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381"/>
        <w:gridCol w:w="1273"/>
        <w:gridCol w:w="3490"/>
      </w:tblGrid>
      <w:tr w:rsidR="00453883" w:rsidRPr="00453883" w14:paraId="7DEB6B72" w14:textId="77777777" w:rsidTr="00AF6C9B">
        <w:trPr>
          <w:trHeight w:val="2103"/>
        </w:trPr>
        <w:tc>
          <w:tcPr>
            <w:tcW w:w="5000" w:type="pct"/>
            <w:gridSpan w:val="4"/>
          </w:tcPr>
          <w:p w14:paraId="264FBC14" w14:textId="77777777" w:rsidR="00453883" w:rsidRPr="00453883" w:rsidRDefault="00453883" w:rsidP="00453883">
            <w:pPr>
              <w:jc w:val="center"/>
              <w:rPr>
                <w:b/>
              </w:rPr>
            </w:pPr>
            <w:r w:rsidRPr="00453883">
              <w:rPr>
                <w:b/>
                <w:noProof/>
                <w:lang w:val="fr-CA" w:eastAsia="fr-CA"/>
              </w:rPr>
              <w:drawing>
                <wp:inline distT="0" distB="0" distL="0" distR="0" wp14:anchorId="1363E099" wp14:editId="79AC1164">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5BEF1452" w14:textId="77777777" w:rsidR="00453883" w:rsidRPr="00453883" w:rsidRDefault="00453883" w:rsidP="00453883">
            <w:pPr>
              <w:spacing w:before="120" w:after="100" w:afterAutospacing="1"/>
              <w:jc w:val="center"/>
            </w:pPr>
            <w:r w:rsidRPr="00453883">
              <w:rPr>
                <w:b/>
              </w:rPr>
              <w:t>SUPREME COURT OF CANADA</w:t>
            </w:r>
          </w:p>
        </w:tc>
      </w:tr>
      <w:tr w:rsidR="00453883" w:rsidRPr="00453883" w14:paraId="1A165086" w14:textId="77777777" w:rsidTr="00AF6C9B">
        <w:tblPrEx>
          <w:tblCellMar>
            <w:top w:w="58" w:type="dxa"/>
            <w:left w:w="58" w:type="dxa"/>
            <w:bottom w:w="58" w:type="dxa"/>
            <w:right w:w="58" w:type="dxa"/>
          </w:tblCellMar>
        </w:tblPrEx>
        <w:tc>
          <w:tcPr>
            <w:tcW w:w="2078" w:type="pct"/>
            <w:gridSpan w:val="2"/>
          </w:tcPr>
          <w:p w14:paraId="4B85F690" w14:textId="77777777" w:rsidR="00453883" w:rsidRPr="00453883" w:rsidRDefault="00453883" w:rsidP="00453883">
            <w:pPr>
              <w:rPr>
                <w:b/>
                <w:smallCaps/>
                <w:lang w:val="fr-CA"/>
              </w:rPr>
            </w:pPr>
          </w:p>
          <w:p w14:paraId="6D50DFC8" w14:textId="77777777" w:rsidR="00453883" w:rsidRPr="00453883" w:rsidRDefault="00453883" w:rsidP="00453883">
            <w:pPr>
              <w:rPr>
                <w:b/>
                <w:smallCaps/>
                <w:lang w:val="fr-CA"/>
              </w:rPr>
            </w:pPr>
            <w:r w:rsidRPr="00453883">
              <w:rPr>
                <w:b/>
                <w:smallCaps/>
                <w:lang w:val="fr-CA"/>
              </w:rPr>
              <w:t>Citation:</w:t>
            </w:r>
            <w:r w:rsidRPr="00453883">
              <w:rPr>
                <w:lang w:val="fr-CA"/>
              </w:rPr>
              <w:t xml:space="preserve"> Sharp </w:t>
            </w:r>
            <w:r w:rsidRPr="00453883">
              <w:rPr>
                <w:i/>
                <w:lang w:val="fr-CA"/>
              </w:rPr>
              <w:t>v.</w:t>
            </w:r>
            <w:r w:rsidRPr="00453883">
              <w:rPr>
                <w:lang w:val="fr-CA"/>
              </w:rPr>
              <w:t xml:space="preserve"> Autorité des marchés financiers, 2023 SCC 29</w:t>
            </w:r>
          </w:p>
        </w:tc>
        <w:tc>
          <w:tcPr>
            <w:tcW w:w="781" w:type="pct"/>
          </w:tcPr>
          <w:p w14:paraId="52A5E3F5" w14:textId="77777777" w:rsidR="00453883" w:rsidRPr="00453883" w:rsidRDefault="00453883" w:rsidP="00453883">
            <w:pPr>
              <w:rPr>
                <w:lang w:val="fr-CA"/>
              </w:rPr>
            </w:pPr>
          </w:p>
        </w:tc>
        <w:tc>
          <w:tcPr>
            <w:tcW w:w="2141" w:type="pct"/>
          </w:tcPr>
          <w:p w14:paraId="412701D9" w14:textId="77777777" w:rsidR="00453883" w:rsidRPr="00453883" w:rsidRDefault="00453883" w:rsidP="00453883">
            <w:pPr>
              <w:rPr>
                <w:b/>
                <w:smallCaps/>
                <w:lang w:val="fr-CA"/>
              </w:rPr>
            </w:pPr>
          </w:p>
          <w:p w14:paraId="107EC57D" w14:textId="77777777" w:rsidR="00453883" w:rsidRPr="00453883" w:rsidRDefault="00453883" w:rsidP="00453883">
            <w:pPr>
              <w:jc w:val="both"/>
            </w:pPr>
            <w:r w:rsidRPr="00453883">
              <w:rPr>
                <w:b/>
                <w:smallCaps/>
              </w:rPr>
              <w:t>Appeal Heard:</w:t>
            </w:r>
            <w:r w:rsidRPr="00453883">
              <w:t xml:space="preserve"> January 18, 2023</w:t>
            </w:r>
          </w:p>
          <w:p w14:paraId="6A6B1636" w14:textId="77777777" w:rsidR="00453883" w:rsidRPr="00453883" w:rsidRDefault="00453883" w:rsidP="00453883">
            <w:r w:rsidRPr="00453883">
              <w:rPr>
                <w:b/>
                <w:smallCaps/>
              </w:rPr>
              <w:t>Judgment Rendered:</w:t>
            </w:r>
            <w:r w:rsidRPr="00453883">
              <w:t xml:space="preserve"> November 17, 2023</w:t>
            </w:r>
          </w:p>
          <w:p w14:paraId="29401299" w14:textId="77777777" w:rsidR="00453883" w:rsidRPr="00453883" w:rsidRDefault="00453883" w:rsidP="00453883">
            <w:r w:rsidRPr="00453883">
              <w:rPr>
                <w:b/>
                <w:smallCaps/>
              </w:rPr>
              <w:t>Docket:</w:t>
            </w:r>
            <w:r w:rsidRPr="00453883">
              <w:t xml:space="preserve"> 39920</w:t>
            </w:r>
          </w:p>
        </w:tc>
      </w:tr>
      <w:tr w:rsidR="00453883" w:rsidRPr="00453883" w14:paraId="66FA5D16" w14:textId="77777777" w:rsidTr="00AF6C9B">
        <w:tblPrEx>
          <w:tblCellMar>
            <w:top w:w="58" w:type="dxa"/>
            <w:left w:w="58" w:type="dxa"/>
            <w:bottom w:w="58" w:type="dxa"/>
            <w:right w:w="58" w:type="dxa"/>
          </w:tblCellMar>
        </w:tblPrEx>
        <w:tc>
          <w:tcPr>
            <w:tcW w:w="5000" w:type="pct"/>
            <w:gridSpan w:val="4"/>
          </w:tcPr>
          <w:p w14:paraId="651BEF75" w14:textId="77777777" w:rsidR="00453883" w:rsidRPr="00453883" w:rsidRDefault="00453883" w:rsidP="00453883"/>
          <w:p w14:paraId="7BBE3FFB" w14:textId="77777777" w:rsidR="00453883" w:rsidRPr="00453883" w:rsidRDefault="00453883" w:rsidP="00453883">
            <w:pPr>
              <w:rPr>
                <w:b/>
                <w:smallCaps/>
              </w:rPr>
            </w:pPr>
            <w:r w:rsidRPr="00453883">
              <w:rPr>
                <w:b/>
                <w:smallCaps/>
              </w:rPr>
              <w:t>Between:</w:t>
            </w:r>
          </w:p>
          <w:p w14:paraId="4CA97047" w14:textId="77777777" w:rsidR="00453883" w:rsidRPr="00453883" w:rsidRDefault="00453883" w:rsidP="00453883"/>
          <w:p w14:paraId="1B452372" w14:textId="77777777" w:rsidR="00453883" w:rsidRPr="00453883" w:rsidRDefault="00453883" w:rsidP="00453883">
            <w:pPr>
              <w:jc w:val="center"/>
              <w:rPr>
                <w:b/>
              </w:rPr>
            </w:pPr>
            <w:r w:rsidRPr="00453883">
              <w:rPr>
                <w:b/>
              </w:rPr>
              <w:t>Frederick Langford Sharp</w:t>
            </w:r>
          </w:p>
          <w:p w14:paraId="466D831D" w14:textId="77777777" w:rsidR="00453883" w:rsidRPr="00453883" w:rsidRDefault="00453883" w:rsidP="00453883">
            <w:pPr>
              <w:jc w:val="center"/>
            </w:pPr>
            <w:r w:rsidRPr="00453883">
              <w:t>Appellant</w:t>
            </w:r>
          </w:p>
          <w:p w14:paraId="724BB9F0" w14:textId="77777777" w:rsidR="00453883" w:rsidRPr="00453883" w:rsidRDefault="00453883" w:rsidP="00453883"/>
          <w:p w14:paraId="5E291430" w14:textId="77777777" w:rsidR="00453883" w:rsidRPr="00453883" w:rsidRDefault="00453883" w:rsidP="00453883">
            <w:pPr>
              <w:jc w:val="center"/>
            </w:pPr>
            <w:r w:rsidRPr="00453883">
              <w:t>and</w:t>
            </w:r>
          </w:p>
          <w:p w14:paraId="68F853C5" w14:textId="77777777" w:rsidR="00453883" w:rsidRPr="00453883" w:rsidRDefault="00453883" w:rsidP="00453883"/>
          <w:p w14:paraId="19B2A0B5" w14:textId="77777777" w:rsidR="00453883" w:rsidRPr="00453883" w:rsidRDefault="00453883" w:rsidP="00453883">
            <w:pPr>
              <w:jc w:val="center"/>
              <w:rPr>
                <w:b/>
                <w:lang w:val="fr-CA"/>
              </w:rPr>
            </w:pPr>
            <w:r w:rsidRPr="00453883">
              <w:rPr>
                <w:b/>
                <w:lang w:val="fr-CA"/>
              </w:rPr>
              <w:t>Autorité des marchés financiers</w:t>
            </w:r>
          </w:p>
          <w:p w14:paraId="74CC080F" w14:textId="77777777" w:rsidR="00453883" w:rsidRPr="00453883" w:rsidRDefault="00453883" w:rsidP="00453883">
            <w:pPr>
              <w:jc w:val="center"/>
              <w:rPr>
                <w:lang w:val="fr-CA"/>
              </w:rPr>
            </w:pPr>
            <w:r w:rsidRPr="00453883">
              <w:rPr>
                <w:lang w:val="fr-CA"/>
              </w:rPr>
              <w:t>Respondent</w:t>
            </w:r>
          </w:p>
          <w:p w14:paraId="525E0C27" w14:textId="77777777" w:rsidR="00453883" w:rsidRPr="00453883" w:rsidRDefault="00453883" w:rsidP="00453883">
            <w:pPr>
              <w:rPr>
                <w:lang w:val="fr-CA"/>
              </w:rPr>
            </w:pPr>
          </w:p>
          <w:p w14:paraId="7D0512CD" w14:textId="77777777" w:rsidR="00453883" w:rsidRPr="00453883" w:rsidRDefault="00453883" w:rsidP="00453883">
            <w:pPr>
              <w:jc w:val="center"/>
              <w:rPr>
                <w:lang w:val="fr-CA"/>
              </w:rPr>
            </w:pPr>
            <w:r w:rsidRPr="00453883">
              <w:rPr>
                <w:lang w:val="fr-CA"/>
              </w:rPr>
              <w:t>- and –</w:t>
            </w:r>
          </w:p>
          <w:p w14:paraId="46AF2C1F" w14:textId="77777777" w:rsidR="00453883" w:rsidRPr="00453883" w:rsidRDefault="00453883" w:rsidP="00453883">
            <w:pPr>
              <w:rPr>
                <w:lang w:val="fr-CA"/>
              </w:rPr>
            </w:pPr>
          </w:p>
          <w:p w14:paraId="493C7F99" w14:textId="77777777" w:rsidR="00453883" w:rsidRPr="00453883" w:rsidRDefault="00453883" w:rsidP="00453883">
            <w:pPr>
              <w:jc w:val="center"/>
              <w:rPr>
                <w:b/>
              </w:rPr>
            </w:pPr>
            <w:r w:rsidRPr="00453883">
              <w:rPr>
                <w:b/>
              </w:rPr>
              <w:t>Attorney General of Quebec, Shawn Van Damme, Vincenzo Antonio Carnovale, Pasquale Antonio Rocca and Ontario Securities Commission</w:t>
            </w:r>
          </w:p>
          <w:p w14:paraId="30F7DE5C" w14:textId="77777777" w:rsidR="00453883" w:rsidRPr="00453883" w:rsidRDefault="00453883" w:rsidP="00453883">
            <w:pPr>
              <w:jc w:val="center"/>
            </w:pPr>
            <w:r w:rsidRPr="00453883">
              <w:t>Interveners</w:t>
            </w:r>
          </w:p>
          <w:p w14:paraId="301A37BB" w14:textId="77777777" w:rsidR="00453883" w:rsidRPr="00453883" w:rsidRDefault="00453883" w:rsidP="00453883"/>
          <w:p w14:paraId="78D8BF45" w14:textId="77777777" w:rsidR="00453883" w:rsidRPr="00453883" w:rsidRDefault="00453883" w:rsidP="00453883">
            <w:pPr>
              <w:rPr>
                <w:b/>
                <w:smallCaps/>
              </w:rPr>
            </w:pPr>
            <w:r w:rsidRPr="00453883">
              <w:rPr>
                <w:b/>
                <w:smallCaps/>
              </w:rPr>
              <w:t>And Between:</w:t>
            </w:r>
          </w:p>
          <w:p w14:paraId="2E2EBF11" w14:textId="77777777" w:rsidR="00453883" w:rsidRPr="00453883" w:rsidRDefault="00453883" w:rsidP="00453883"/>
          <w:p w14:paraId="5264B289" w14:textId="77777777" w:rsidR="00453883" w:rsidRPr="00453883" w:rsidRDefault="00453883" w:rsidP="00453883">
            <w:pPr>
              <w:jc w:val="center"/>
              <w:rPr>
                <w:b/>
              </w:rPr>
            </w:pPr>
            <w:r w:rsidRPr="00453883">
              <w:rPr>
                <w:b/>
              </w:rPr>
              <w:t>Shawn Van Damme, Vincenzo Antonio Carnovale and Pasquale Antonio Rocca</w:t>
            </w:r>
          </w:p>
          <w:p w14:paraId="7C2216EB" w14:textId="77777777" w:rsidR="00453883" w:rsidRPr="00453883" w:rsidRDefault="00453883" w:rsidP="00453883">
            <w:pPr>
              <w:jc w:val="center"/>
              <w:rPr>
                <w:lang w:val="fr-CA"/>
              </w:rPr>
            </w:pPr>
            <w:r w:rsidRPr="00453883">
              <w:rPr>
                <w:lang w:val="fr-CA"/>
              </w:rPr>
              <w:t>Appellants</w:t>
            </w:r>
          </w:p>
          <w:p w14:paraId="42D63DD1" w14:textId="77777777" w:rsidR="00453883" w:rsidRPr="00453883" w:rsidRDefault="00453883" w:rsidP="00453883">
            <w:pPr>
              <w:rPr>
                <w:lang w:val="fr-CA"/>
              </w:rPr>
            </w:pPr>
          </w:p>
          <w:p w14:paraId="300E4BED" w14:textId="77777777" w:rsidR="00453883" w:rsidRPr="00453883" w:rsidRDefault="00453883" w:rsidP="00453883">
            <w:pPr>
              <w:jc w:val="center"/>
              <w:rPr>
                <w:lang w:val="fr-CA"/>
              </w:rPr>
            </w:pPr>
            <w:r w:rsidRPr="00453883">
              <w:rPr>
                <w:lang w:val="fr-CA"/>
              </w:rPr>
              <w:t>and</w:t>
            </w:r>
          </w:p>
          <w:p w14:paraId="2F838423" w14:textId="77777777" w:rsidR="00453883" w:rsidRPr="00453883" w:rsidRDefault="00453883" w:rsidP="00453883">
            <w:pPr>
              <w:rPr>
                <w:lang w:val="fr-CA"/>
              </w:rPr>
            </w:pPr>
          </w:p>
          <w:p w14:paraId="6370FFAA" w14:textId="77777777" w:rsidR="00453883" w:rsidRPr="00453883" w:rsidRDefault="00453883" w:rsidP="00453883">
            <w:pPr>
              <w:jc w:val="center"/>
              <w:rPr>
                <w:b/>
                <w:lang w:val="fr-CA"/>
              </w:rPr>
            </w:pPr>
            <w:r w:rsidRPr="00453883">
              <w:rPr>
                <w:b/>
                <w:lang w:val="fr-CA"/>
              </w:rPr>
              <w:t>Autorité des marchés financiers</w:t>
            </w:r>
          </w:p>
          <w:p w14:paraId="010D0B82" w14:textId="77777777" w:rsidR="00453883" w:rsidRPr="00453883" w:rsidRDefault="00453883" w:rsidP="00453883">
            <w:pPr>
              <w:jc w:val="center"/>
            </w:pPr>
            <w:r w:rsidRPr="00453883">
              <w:t>Respondent</w:t>
            </w:r>
          </w:p>
          <w:p w14:paraId="6C7F192B" w14:textId="77777777" w:rsidR="00453883" w:rsidRPr="00453883" w:rsidRDefault="00453883" w:rsidP="00453883"/>
          <w:p w14:paraId="62F5877F" w14:textId="77777777" w:rsidR="00453883" w:rsidRPr="00453883" w:rsidRDefault="00453883" w:rsidP="00453883">
            <w:pPr>
              <w:jc w:val="center"/>
            </w:pPr>
            <w:r w:rsidRPr="00453883">
              <w:t>- and -</w:t>
            </w:r>
          </w:p>
          <w:p w14:paraId="005C08B4" w14:textId="77777777" w:rsidR="00453883" w:rsidRPr="00453883" w:rsidRDefault="00453883" w:rsidP="00453883"/>
          <w:p w14:paraId="65C694A4" w14:textId="77777777" w:rsidR="00453883" w:rsidRPr="00453883" w:rsidRDefault="00453883" w:rsidP="00453883">
            <w:pPr>
              <w:jc w:val="center"/>
              <w:rPr>
                <w:b/>
              </w:rPr>
            </w:pPr>
            <w:r w:rsidRPr="00453883">
              <w:rPr>
                <w:b/>
              </w:rPr>
              <w:t>Attorney General of Quebec, Frederick Langford Sharp and Ontario Securities Commission</w:t>
            </w:r>
          </w:p>
          <w:p w14:paraId="0E413AB7" w14:textId="77777777" w:rsidR="00453883" w:rsidRPr="00453883" w:rsidRDefault="00453883" w:rsidP="00453883">
            <w:pPr>
              <w:jc w:val="center"/>
            </w:pPr>
            <w:r w:rsidRPr="00453883">
              <w:t>Interveners</w:t>
            </w:r>
          </w:p>
          <w:p w14:paraId="777625E4" w14:textId="77777777" w:rsidR="00453883" w:rsidRPr="00453883" w:rsidRDefault="00453883" w:rsidP="00453883"/>
          <w:p w14:paraId="0A988A80" w14:textId="77777777" w:rsidR="00453883" w:rsidRPr="00453883" w:rsidRDefault="00453883" w:rsidP="00453883">
            <w:pPr>
              <w:jc w:val="center"/>
            </w:pPr>
            <w:r w:rsidRPr="00453883">
              <w:rPr>
                <w:b/>
                <w:smallCaps/>
              </w:rPr>
              <w:t xml:space="preserve">Official English Translation: </w:t>
            </w:r>
            <w:r w:rsidRPr="00453883">
              <w:t>Reasons of Côté J.</w:t>
            </w:r>
          </w:p>
          <w:p w14:paraId="19060EEB" w14:textId="77777777" w:rsidR="00453883" w:rsidRPr="00453883" w:rsidRDefault="00453883" w:rsidP="00453883"/>
          <w:p w14:paraId="18770C9D" w14:textId="77777777" w:rsidR="00453883" w:rsidRPr="00453883" w:rsidRDefault="00453883" w:rsidP="00453883">
            <w:r w:rsidRPr="00453883">
              <w:rPr>
                <w:b/>
                <w:smallCaps/>
              </w:rPr>
              <w:t>Coram:</w:t>
            </w:r>
            <w:r w:rsidRPr="00453883">
              <w:t xml:space="preserve"> Wagner C.J. and Karakatsanis, Côté, Brown,</w:t>
            </w:r>
            <w:r w:rsidRPr="00453883">
              <w:rPr>
                <w:vertAlign w:val="superscript"/>
              </w:rPr>
              <w:t>*</w:t>
            </w:r>
            <w:r w:rsidRPr="00453883">
              <w:t xml:space="preserve"> Rowe, Martin, Kasirer, Jamal and O’Bonsawin JJ.</w:t>
            </w:r>
          </w:p>
          <w:p w14:paraId="2A2BA234" w14:textId="77777777" w:rsidR="00453883" w:rsidRPr="00453883" w:rsidRDefault="00453883" w:rsidP="00453883">
            <w:pPr>
              <w:rPr>
                <w:b/>
                <w:smallCaps/>
              </w:rPr>
            </w:pPr>
          </w:p>
        </w:tc>
      </w:tr>
      <w:tr w:rsidR="00453883" w:rsidRPr="00453883" w14:paraId="189945C4" w14:textId="77777777" w:rsidTr="00AF6C9B">
        <w:tblPrEx>
          <w:tblCellMar>
            <w:top w:w="58" w:type="dxa"/>
            <w:left w:w="58" w:type="dxa"/>
            <w:bottom w:w="58" w:type="dxa"/>
            <w:right w:w="58" w:type="dxa"/>
          </w:tblCellMar>
        </w:tblPrEx>
        <w:trPr>
          <w:cantSplit/>
        </w:trPr>
        <w:tc>
          <w:tcPr>
            <w:tcW w:w="1231" w:type="pct"/>
          </w:tcPr>
          <w:p w14:paraId="2DD1F7AD" w14:textId="77777777" w:rsidR="00453883" w:rsidRPr="00453883" w:rsidRDefault="00453883" w:rsidP="00453883">
            <w:pPr>
              <w:rPr>
                <w:smallCaps/>
              </w:rPr>
            </w:pPr>
            <w:r w:rsidRPr="00453883">
              <w:rPr>
                <w:b/>
                <w:smallCaps/>
              </w:rPr>
              <w:lastRenderedPageBreak/>
              <w:t>Joint Reasons for Judgment:</w:t>
            </w:r>
            <w:r w:rsidRPr="00453883">
              <w:rPr>
                <w:smallCaps/>
              </w:rPr>
              <w:t xml:space="preserve"> </w:t>
            </w:r>
          </w:p>
          <w:p w14:paraId="6B1763CA" w14:textId="77777777" w:rsidR="00453883" w:rsidRPr="00453883" w:rsidRDefault="00453883" w:rsidP="00453883">
            <w:r w:rsidRPr="00453883">
              <w:t>(paras. 1 to 138)</w:t>
            </w:r>
          </w:p>
        </w:tc>
        <w:tc>
          <w:tcPr>
            <w:tcW w:w="3769" w:type="pct"/>
            <w:gridSpan w:val="3"/>
          </w:tcPr>
          <w:p w14:paraId="7B5C2235" w14:textId="77777777" w:rsidR="00453883" w:rsidRPr="00453883" w:rsidRDefault="00453883" w:rsidP="00453883">
            <w:r w:rsidRPr="00453883">
              <w:t>Wagner C.J. and Jamal J. (Karakatsanis, Rowe, Martin, Kasirer and O’Bonsawin JJ. concurring)</w:t>
            </w:r>
          </w:p>
        </w:tc>
      </w:tr>
      <w:tr w:rsidR="00453883" w:rsidRPr="00453883" w14:paraId="352CB75E" w14:textId="77777777" w:rsidTr="00AF6C9B">
        <w:tblPrEx>
          <w:tblCellMar>
            <w:top w:w="58" w:type="dxa"/>
            <w:left w:w="58" w:type="dxa"/>
            <w:bottom w:w="58" w:type="dxa"/>
            <w:right w:w="58" w:type="dxa"/>
          </w:tblCellMar>
        </w:tblPrEx>
        <w:trPr>
          <w:cantSplit/>
        </w:trPr>
        <w:tc>
          <w:tcPr>
            <w:tcW w:w="1231" w:type="pct"/>
          </w:tcPr>
          <w:p w14:paraId="4B162314" w14:textId="77777777" w:rsidR="00453883" w:rsidRPr="00453883" w:rsidRDefault="00453883" w:rsidP="00453883"/>
        </w:tc>
        <w:tc>
          <w:tcPr>
            <w:tcW w:w="3769" w:type="pct"/>
            <w:gridSpan w:val="3"/>
          </w:tcPr>
          <w:p w14:paraId="2B4C9CEB" w14:textId="77777777" w:rsidR="00453883" w:rsidRPr="00453883" w:rsidRDefault="00453883" w:rsidP="00453883"/>
        </w:tc>
      </w:tr>
      <w:tr w:rsidR="00453883" w:rsidRPr="00453883" w14:paraId="56B9E300" w14:textId="77777777" w:rsidTr="00AF6C9B">
        <w:tblPrEx>
          <w:tblCellMar>
            <w:top w:w="58" w:type="dxa"/>
            <w:left w:w="58" w:type="dxa"/>
            <w:bottom w:w="58" w:type="dxa"/>
            <w:right w:w="58" w:type="dxa"/>
          </w:tblCellMar>
        </w:tblPrEx>
        <w:trPr>
          <w:cantSplit/>
        </w:trPr>
        <w:tc>
          <w:tcPr>
            <w:tcW w:w="1231" w:type="pct"/>
          </w:tcPr>
          <w:p w14:paraId="0F835C61" w14:textId="77777777" w:rsidR="00453883" w:rsidRPr="00453883" w:rsidRDefault="00453883" w:rsidP="00453883">
            <w:r w:rsidRPr="00453883">
              <w:rPr>
                <w:b/>
                <w:smallCaps/>
              </w:rPr>
              <w:t>Dissenting Reasons</w:t>
            </w:r>
            <w:r w:rsidRPr="00453883">
              <w:rPr>
                <w:b/>
              </w:rPr>
              <w:t>:</w:t>
            </w:r>
            <w:r w:rsidRPr="00453883">
              <w:t xml:space="preserve"> </w:t>
            </w:r>
          </w:p>
          <w:p w14:paraId="3D7BB6CD" w14:textId="77777777" w:rsidR="00453883" w:rsidRPr="00453883" w:rsidRDefault="00453883" w:rsidP="00453883">
            <w:r w:rsidRPr="00453883">
              <w:t xml:space="preserve">(paras. </w:t>
            </w:r>
            <w:r w:rsidRPr="00453883">
              <w:rPr>
                <w:lang w:val="fr-CA"/>
              </w:rPr>
              <w:t>139</w:t>
            </w:r>
            <w:r w:rsidRPr="00453883">
              <w:t xml:space="preserve"> to </w:t>
            </w:r>
            <w:r w:rsidRPr="00453883">
              <w:rPr>
                <w:lang w:val="fr-CA"/>
              </w:rPr>
              <w:t>212</w:t>
            </w:r>
            <w:r w:rsidRPr="00453883">
              <w:t>)</w:t>
            </w:r>
          </w:p>
        </w:tc>
        <w:tc>
          <w:tcPr>
            <w:tcW w:w="3769" w:type="pct"/>
            <w:gridSpan w:val="3"/>
          </w:tcPr>
          <w:p w14:paraId="4E20ADD7" w14:textId="77777777" w:rsidR="00453883" w:rsidRPr="00453883" w:rsidRDefault="00453883" w:rsidP="00453883">
            <w:r w:rsidRPr="00453883">
              <w:t>Côté J.</w:t>
            </w:r>
          </w:p>
        </w:tc>
      </w:tr>
    </w:tbl>
    <w:p w14:paraId="3446654C" w14:textId="77777777" w:rsidR="00453883" w:rsidRPr="00453883" w:rsidRDefault="00453883" w:rsidP="00453883">
      <w:pPr>
        <w:rPr>
          <w:rFonts w:eastAsiaTheme="minorHAnsi" w:cstheme="minorBidi"/>
          <w:szCs w:val="24"/>
          <w:lang w:eastAsia="en-US"/>
        </w:rPr>
      </w:pPr>
    </w:p>
    <w:p w14:paraId="0BA8D67A" w14:textId="77777777" w:rsidR="00453883" w:rsidRPr="00453883" w:rsidRDefault="00453883" w:rsidP="00453883">
      <w:pPr>
        <w:rPr>
          <w:rFonts w:eastAsiaTheme="minorHAnsi" w:cstheme="minorBidi"/>
          <w:szCs w:val="24"/>
          <w:lang w:eastAsia="en-US"/>
        </w:rPr>
      </w:pPr>
    </w:p>
    <w:p w14:paraId="6738ACD5" w14:textId="77777777" w:rsidR="00453883" w:rsidRPr="00453883" w:rsidRDefault="00453883" w:rsidP="00453883">
      <w:pPr>
        <w:rPr>
          <w:rFonts w:eastAsiaTheme="minorHAnsi" w:cstheme="minorBidi"/>
          <w:szCs w:val="24"/>
          <w:lang w:eastAsia="en-US"/>
        </w:rPr>
      </w:pPr>
      <w:r w:rsidRPr="00453883">
        <w:rPr>
          <w:rFonts w:eastAsiaTheme="minorHAnsi" w:cstheme="minorBidi"/>
          <w:b/>
          <w:smallCaps/>
          <w:szCs w:val="24"/>
          <w:lang w:eastAsia="en-US"/>
        </w:rPr>
        <w:t>Note:</w:t>
      </w:r>
      <w:r w:rsidRPr="00453883">
        <w:rPr>
          <w:rFonts w:eastAsiaTheme="minorHAnsi" w:cstheme="minorBidi"/>
          <w:b/>
          <w:szCs w:val="24"/>
          <w:lang w:eastAsia="en-US"/>
        </w:rPr>
        <w:t xml:space="preserve"> </w:t>
      </w:r>
      <w:r w:rsidRPr="00453883">
        <w:rPr>
          <w:rFonts w:eastAsiaTheme="minorHAnsi" w:cstheme="minorBidi"/>
          <w:szCs w:val="24"/>
          <w:lang w:eastAsia="en-US"/>
        </w:rPr>
        <w:t xml:space="preserve">This document is subject to editorial revision before its reproduction in final form in the </w:t>
      </w:r>
      <w:r w:rsidRPr="00453883">
        <w:rPr>
          <w:rFonts w:eastAsiaTheme="minorHAnsi" w:cstheme="minorBidi"/>
          <w:i/>
          <w:szCs w:val="24"/>
          <w:lang w:eastAsia="en-US"/>
        </w:rPr>
        <w:t>Canada Supreme Court Reports</w:t>
      </w:r>
      <w:r w:rsidRPr="00453883">
        <w:rPr>
          <w:rFonts w:eastAsiaTheme="minorHAnsi" w:cstheme="minorBidi"/>
          <w:szCs w:val="24"/>
          <w:lang w:eastAsia="en-US"/>
        </w:rPr>
        <w:t>.</w:t>
      </w:r>
    </w:p>
    <w:p w14:paraId="044B4F29" w14:textId="77777777" w:rsidR="00453883" w:rsidRPr="00453883" w:rsidRDefault="00453883" w:rsidP="00453883">
      <w:pPr>
        <w:rPr>
          <w:rFonts w:eastAsiaTheme="minorHAnsi" w:cstheme="minorBidi"/>
          <w:szCs w:val="24"/>
          <w:lang w:eastAsia="en-US"/>
        </w:rPr>
      </w:pPr>
    </w:p>
    <w:p w14:paraId="58287AF6" w14:textId="77777777" w:rsidR="00453883" w:rsidRPr="00453883" w:rsidRDefault="00453883" w:rsidP="00453883">
      <w:pPr>
        <w:rPr>
          <w:rFonts w:eastAsiaTheme="minorHAnsi" w:cstheme="minorBidi"/>
          <w:szCs w:val="24"/>
          <w:lang w:eastAsia="en-US"/>
        </w:rPr>
      </w:pPr>
    </w:p>
    <w:p w14:paraId="24020982" w14:textId="77777777" w:rsidR="00453883" w:rsidRPr="00453883" w:rsidRDefault="00453883" w:rsidP="00453883">
      <w:pPr>
        <w:rPr>
          <w:rFonts w:eastAsiaTheme="minorHAnsi" w:cstheme="minorBidi"/>
          <w:szCs w:val="24"/>
          <w:lang w:eastAsia="en-US"/>
        </w:rPr>
      </w:pPr>
      <w:r w:rsidRPr="00453883">
        <w:rPr>
          <w:rFonts w:eastAsiaTheme="minorHAnsi" w:cstheme="minorBidi"/>
          <w:szCs w:val="24"/>
          <w:vertAlign w:val="superscript"/>
          <w:lang w:eastAsia="en-US"/>
        </w:rPr>
        <w:t>*</w:t>
      </w:r>
      <w:r w:rsidRPr="00453883">
        <w:rPr>
          <w:rFonts w:eastAsiaTheme="minorHAnsi" w:cstheme="minorBidi"/>
          <w:szCs w:val="24"/>
          <w:lang w:eastAsia="en-US"/>
        </w:rPr>
        <w:t xml:space="preserve"> Brown J. did not participate in the final disposition of the judgment.</w:t>
      </w:r>
    </w:p>
    <w:p w14:paraId="7D338768" w14:textId="77777777" w:rsidR="00453883" w:rsidRPr="00453883" w:rsidRDefault="00453883" w:rsidP="00453883">
      <w:pPr>
        <w:rPr>
          <w:rFonts w:eastAsiaTheme="minorHAnsi" w:cstheme="minorBidi"/>
          <w:szCs w:val="24"/>
          <w:lang w:eastAsia="en-US"/>
        </w:rPr>
      </w:pPr>
    </w:p>
    <w:p w14:paraId="3CDE900D" w14:textId="77777777" w:rsidR="00453883" w:rsidRPr="00453883" w:rsidRDefault="00453883" w:rsidP="00453883">
      <w:pPr>
        <w:rPr>
          <w:rFonts w:eastAsiaTheme="minorHAnsi" w:cstheme="minorBidi"/>
          <w:szCs w:val="24"/>
          <w:lang w:eastAsia="en-US"/>
        </w:rPr>
      </w:pP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453883" w:rsidRPr="00453883" w14:paraId="4BA94F3E" w14:textId="77777777" w:rsidTr="00AF6C9B">
        <w:tc>
          <w:tcPr>
            <w:tcW w:w="1500" w:type="pct"/>
            <w:tcMar>
              <w:top w:w="284" w:type="dxa"/>
            </w:tcMar>
          </w:tcPr>
          <w:p w14:paraId="41491286" w14:textId="77777777" w:rsidR="00453883" w:rsidRPr="00453883" w:rsidRDefault="00453883" w:rsidP="00453883"/>
        </w:tc>
        <w:tc>
          <w:tcPr>
            <w:tcW w:w="2000" w:type="pct"/>
            <w:tcBorders>
              <w:bottom w:val="single" w:sz="4" w:space="0" w:color="auto"/>
            </w:tcBorders>
            <w:tcMar>
              <w:top w:w="284" w:type="dxa"/>
            </w:tcMar>
          </w:tcPr>
          <w:p w14:paraId="2B586351" w14:textId="77777777" w:rsidR="00453883" w:rsidRPr="00453883" w:rsidRDefault="00453883" w:rsidP="00453883"/>
        </w:tc>
        <w:tc>
          <w:tcPr>
            <w:tcW w:w="1500" w:type="pct"/>
            <w:tcMar>
              <w:top w:w="284" w:type="dxa"/>
            </w:tcMar>
          </w:tcPr>
          <w:p w14:paraId="78E6DC96" w14:textId="77777777" w:rsidR="00453883" w:rsidRPr="00453883" w:rsidRDefault="00453883" w:rsidP="00453883"/>
        </w:tc>
      </w:tr>
    </w:tbl>
    <w:p w14:paraId="3951D4F7" w14:textId="77777777" w:rsidR="00453883" w:rsidRPr="00453883" w:rsidRDefault="00453883" w:rsidP="00453883">
      <w:pPr>
        <w:rPr>
          <w:rFonts w:eastAsiaTheme="minorHAnsi" w:cstheme="minorBidi"/>
          <w:szCs w:val="24"/>
          <w:lang w:eastAsia="en-US"/>
        </w:rPr>
      </w:pPr>
    </w:p>
    <w:p w14:paraId="3C776EEA" w14:textId="77777777" w:rsidR="00453883" w:rsidRPr="00AF6C9B" w:rsidRDefault="00453883">
      <w:pPr>
        <w:rPr>
          <w:b/>
          <w:lang w:val="en-US"/>
        </w:rPr>
      </w:pPr>
      <w:r w:rsidRPr="00AF6C9B">
        <w:rPr>
          <w:lang w:val="en-US"/>
        </w:rPr>
        <w:br w:type="page"/>
      </w:r>
    </w:p>
    <w:p w14:paraId="20BC7293" w14:textId="34FBD717" w:rsidR="00FB2C98" w:rsidRPr="00AF6C9B" w:rsidRDefault="003B29DE">
      <w:pPr>
        <w:pStyle w:val="SCCLsocLastPartyInRole"/>
        <w:rPr>
          <w:lang w:val="en-US"/>
        </w:rPr>
      </w:pPr>
      <w:r w:rsidRPr="00AF6C9B">
        <w:rPr>
          <w:lang w:val="en-US"/>
        </w:rPr>
        <w:t>Frederick Langford Sharp</w:t>
      </w:r>
      <w:r w:rsidRPr="00AF6C9B">
        <w:rPr>
          <w:rStyle w:val="SCCLsocPartyRole"/>
          <w:lang w:val="en-US"/>
        </w:rPr>
        <w:tab/>
        <w:t>Appellant</w:t>
      </w:r>
    </w:p>
    <w:p w14:paraId="788426F9" w14:textId="77777777" w:rsidR="00FB2C98" w:rsidRPr="00AF6C9B" w:rsidRDefault="003B29DE">
      <w:pPr>
        <w:pStyle w:val="SCCLsocVersus"/>
        <w:rPr>
          <w:lang w:val="en-US"/>
        </w:rPr>
      </w:pPr>
      <w:proofErr w:type="gramStart"/>
      <w:r w:rsidRPr="00AF6C9B">
        <w:rPr>
          <w:lang w:val="en-US"/>
        </w:rPr>
        <w:t>v</w:t>
      </w:r>
      <w:proofErr w:type="gramEnd"/>
      <w:r w:rsidRPr="00AF6C9B">
        <w:rPr>
          <w:lang w:val="en-US"/>
        </w:rPr>
        <w:t>.</w:t>
      </w:r>
    </w:p>
    <w:p w14:paraId="00D819CB" w14:textId="77777777" w:rsidR="00FB2C98" w:rsidRPr="00453883" w:rsidRDefault="003B29DE">
      <w:pPr>
        <w:pStyle w:val="SCCLsocLastPartyInRole"/>
        <w:rPr>
          <w:rStyle w:val="SCCLsocPartyRole"/>
          <w:lang w:val="fr-CA"/>
        </w:rPr>
      </w:pPr>
      <w:r w:rsidRPr="00453883">
        <w:rPr>
          <w:lang w:val="fr-CA"/>
        </w:rPr>
        <w:t>Autorité des marchés financiers</w:t>
      </w:r>
      <w:r w:rsidRPr="00453883">
        <w:rPr>
          <w:rStyle w:val="SCCLsocPartyRole"/>
          <w:lang w:val="fr-CA"/>
        </w:rPr>
        <w:tab/>
        <w:t>Respondent</w:t>
      </w:r>
    </w:p>
    <w:p w14:paraId="7D62339E" w14:textId="77777777" w:rsidR="008E2031" w:rsidRPr="00AF6C9B" w:rsidRDefault="008E2031" w:rsidP="008E2031">
      <w:pPr>
        <w:pStyle w:val="SCCLsocOtherPartySeparator"/>
        <w:rPr>
          <w:lang w:val="fr-CA"/>
        </w:rPr>
      </w:pPr>
      <w:proofErr w:type="gramStart"/>
      <w:r w:rsidRPr="00AF6C9B">
        <w:rPr>
          <w:lang w:val="fr-CA"/>
        </w:rPr>
        <w:t>and</w:t>
      </w:r>
      <w:proofErr w:type="gramEnd"/>
    </w:p>
    <w:p w14:paraId="3B63416A" w14:textId="77777777" w:rsidR="008E2031" w:rsidRPr="00453883" w:rsidRDefault="008E2031" w:rsidP="008E2031">
      <w:pPr>
        <w:pStyle w:val="SCCLsocParty"/>
      </w:pPr>
      <w:r w:rsidRPr="00453883">
        <w:t>Attorney General of Quebec,</w:t>
      </w:r>
    </w:p>
    <w:p w14:paraId="69D15F0A" w14:textId="77777777" w:rsidR="008E2031" w:rsidRPr="00453883" w:rsidRDefault="008E2031" w:rsidP="008E2031">
      <w:pPr>
        <w:pStyle w:val="SCCLsocParty"/>
      </w:pPr>
      <w:r w:rsidRPr="00453883">
        <w:t>Shawn Van Damme,</w:t>
      </w:r>
    </w:p>
    <w:p w14:paraId="2037F32D" w14:textId="77777777" w:rsidR="008E2031" w:rsidRPr="00453883" w:rsidRDefault="008E2031" w:rsidP="008E2031">
      <w:pPr>
        <w:pStyle w:val="SCCLsocParty"/>
      </w:pPr>
      <w:r w:rsidRPr="00453883">
        <w:t>Vincenzo Antonio Carnovale,</w:t>
      </w:r>
    </w:p>
    <w:p w14:paraId="1D78D872" w14:textId="77777777" w:rsidR="008E2031" w:rsidRPr="00453883" w:rsidRDefault="008E2031" w:rsidP="008E2031">
      <w:pPr>
        <w:pStyle w:val="SCCLsocParty"/>
      </w:pPr>
      <w:r w:rsidRPr="00453883">
        <w:t xml:space="preserve">Pasquale </w:t>
      </w:r>
      <w:r w:rsidR="00A87026" w:rsidRPr="00453883">
        <w:t xml:space="preserve">Antonio Rocca </w:t>
      </w:r>
      <w:r w:rsidRPr="00453883">
        <w:t>and</w:t>
      </w:r>
    </w:p>
    <w:p w14:paraId="401451C0" w14:textId="77777777" w:rsidR="008E2031" w:rsidRPr="00453883" w:rsidRDefault="008E2031" w:rsidP="008E2031">
      <w:pPr>
        <w:pStyle w:val="SCCLsocLastPartyInRole"/>
      </w:pPr>
      <w:r w:rsidRPr="00453883">
        <w:t>Ontario Securities Commission</w:t>
      </w:r>
      <w:r w:rsidRPr="00453883">
        <w:rPr>
          <w:rStyle w:val="SCCLsocPartyRole"/>
        </w:rPr>
        <w:tab/>
        <w:t>Interveners</w:t>
      </w:r>
    </w:p>
    <w:p w14:paraId="6690FF66" w14:textId="24CC6F76" w:rsidR="00FB2C98" w:rsidRPr="00453883" w:rsidRDefault="00061413">
      <w:pPr>
        <w:pStyle w:val="SCCLsocSubfileSeparator"/>
      </w:pPr>
      <w:r w:rsidRPr="00453883">
        <w:noBreakHyphen/>
        <w:t xml:space="preserve"> </w:t>
      </w:r>
      <w:proofErr w:type="gramStart"/>
      <w:r w:rsidRPr="00453883">
        <w:t>and</w:t>
      </w:r>
      <w:proofErr w:type="gramEnd"/>
      <w:r w:rsidRPr="00453883">
        <w:t xml:space="preserve"> </w:t>
      </w:r>
      <w:r w:rsidRPr="00453883">
        <w:noBreakHyphen/>
      </w:r>
    </w:p>
    <w:p w14:paraId="63A2E549" w14:textId="77777777" w:rsidR="00FB2C98" w:rsidRPr="00453883" w:rsidRDefault="003B29DE">
      <w:pPr>
        <w:pStyle w:val="SCCLsocParty"/>
      </w:pPr>
      <w:r w:rsidRPr="00453883">
        <w:t>Shawn Van Damme,</w:t>
      </w:r>
    </w:p>
    <w:p w14:paraId="7B431DAC" w14:textId="77777777" w:rsidR="00FB2C98" w:rsidRPr="00AF6C9B" w:rsidRDefault="00942ABB">
      <w:pPr>
        <w:pStyle w:val="SCCLsocParty"/>
        <w:rPr>
          <w:lang w:val="en-US"/>
        </w:rPr>
      </w:pPr>
      <w:r w:rsidRPr="00AF6C9B">
        <w:rPr>
          <w:lang w:val="en-US"/>
        </w:rPr>
        <w:t>Vincenzo Antonio Carnovale and</w:t>
      </w:r>
    </w:p>
    <w:p w14:paraId="58D64EDC" w14:textId="77777777" w:rsidR="00FB2C98" w:rsidRPr="00453883" w:rsidRDefault="003B29DE">
      <w:pPr>
        <w:pStyle w:val="SCCLsocLastPartyInRole"/>
        <w:rPr>
          <w:lang w:val="fr-CA"/>
        </w:rPr>
      </w:pPr>
      <w:r w:rsidRPr="00453883">
        <w:rPr>
          <w:lang w:val="fr-CA"/>
        </w:rPr>
        <w:t>Pasquale Antonio Rocca</w:t>
      </w:r>
      <w:r w:rsidRPr="00453883">
        <w:rPr>
          <w:rStyle w:val="SCCLsocPartyRole"/>
          <w:lang w:val="fr-CA"/>
        </w:rPr>
        <w:tab/>
        <w:t>Appellants</w:t>
      </w:r>
    </w:p>
    <w:p w14:paraId="309C4608" w14:textId="77777777" w:rsidR="00FB2C98" w:rsidRPr="00453883" w:rsidRDefault="003B29DE">
      <w:pPr>
        <w:pStyle w:val="SCCLsocVersus"/>
        <w:rPr>
          <w:lang w:val="fr-CA"/>
        </w:rPr>
      </w:pPr>
      <w:r w:rsidRPr="00453883">
        <w:rPr>
          <w:lang w:val="fr-CA"/>
        </w:rPr>
        <w:t>v.</w:t>
      </w:r>
    </w:p>
    <w:p w14:paraId="76378143" w14:textId="77777777" w:rsidR="00FB2C98" w:rsidRPr="00453883" w:rsidRDefault="003B29DE">
      <w:pPr>
        <w:pStyle w:val="SCCLsocLastPartyInRole"/>
        <w:rPr>
          <w:lang w:val="fr-CA"/>
        </w:rPr>
      </w:pPr>
      <w:r w:rsidRPr="00453883">
        <w:rPr>
          <w:lang w:val="fr-CA"/>
        </w:rPr>
        <w:t>Autorité des marchés financiers</w:t>
      </w:r>
      <w:r w:rsidRPr="00453883">
        <w:rPr>
          <w:rStyle w:val="SCCLsocPartyRole"/>
          <w:lang w:val="fr-CA"/>
        </w:rPr>
        <w:tab/>
        <w:t>Respondent</w:t>
      </w:r>
    </w:p>
    <w:p w14:paraId="4A66D7CF" w14:textId="77777777" w:rsidR="00FB2C98" w:rsidRPr="00AF6C9B" w:rsidRDefault="003B29DE">
      <w:pPr>
        <w:pStyle w:val="SCCLsocOtherPartySeparator"/>
        <w:rPr>
          <w:lang w:val="fr-CA"/>
        </w:rPr>
      </w:pPr>
      <w:proofErr w:type="gramStart"/>
      <w:r w:rsidRPr="00AF6C9B">
        <w:rPr>
          <w:lang w:val="fr-CA"/>
        </w:rPr>
        <w:t>and</w:t>
      </w:r>
      <w:proofErr w:type="gramEnd"/>
    </w:p>
    <w:p w14:paraId="6671EC66" w14:textId="77777777" w:rsidR="008E2031" w:rsidRPr="00453883" w:rsidRDefault="008E2031" w:rsidP="008E2031">
      <w:pPr>
        <w:pStyle w:val="SCCLsocParty"/>
      </w:pPr>
      <w:r w:rsidRPr="00453883">
        <w:t>Attorney General of Quebec,</w:t>
      </w:r>
    </w:p>
    <w:p w14:paraId="3B86FAD8" w14:textId="77777777" w:rsidR="008E2031" w:rsidRPr="00453883" w:rsidRDefault="00A87026" w:rsidP="008E2031">
      <w:pPr>
        <w:pStyle w:val="SCCLsocParty"/>
      </w:pPr>
      <w:r w:rsidRPr="00453883">
        <w:t>Frederick Langford Sharp and</w:t>
      </w:r>
    </w:p>
    <w:p w14:paraId="4451F8A0" w14:textId="77777777" w:rsidR="00FB2C98" w:rsidRPr="00453883" w:rsidRDefault="003B29DE">
      <w:pPr>
        <w:pStyle w:val="SCCLsocLastPartyInRole"/>
      </w:pPr>
      <w:r w:rsidRPr="00453883">
        <w:t>Ontario Securities Commission</w:t>
      </w:r>
      <w:r w:rsidRPr="00453883">
        <w:rPr>
          <w:rStyle w:val="SCCLsocPartyRole"/>
        </w:rPr>
        <w:tab/>
        <w:t>Interveners</w:t>
      </w:r>
    </w:p>
    <w:p w14:paraId="268DF71D" w14:textId="77777777" w:rsidR="00426659" w:rsidRPr="00AF6C9B" w:rsidRDefault="00426659" w:rsidP="00061413">
      <w:pPr>
        <w:spacing w:after="720"/>
        <w:jc w:val="both"/>
        <w:rPr>
          <w:b/>
          <w:lang w:val="en-US"/>
        </w:rPr>
      </w:pPr>
      <w:r w:rsidRPr="00AF6C9B">
        <w:rPr>
          <w:b/>
          <w:lang w:val="en-US"/>
        </w:rPr>
        <w:t xml:space="preserve">Indexed as: </w:t>
      </w:r>
      <w:r w:rsidRPr="00AF6C9B">
        <w:rPr>
          <w:rStyle w:val="SCCAppellantForIndexChar"/>
          <w:lang w:val="en-US"/>
        </w:rPr>
        <w:t>Sharp</w:t>
      </w:r>
      <w:r w:rsidRPr="00AF6C9B">
        <w:rPr>
          <w:b/>
          <w:lang w:val="en-US"/>
        </w:rPr>
        <w:t xml:space="preserve"> </w:t>
      </w:r>
      <w:r w:rsidRPr="00AF6C9B">
        <w:rPr>
          <w:b/>
          <w:i/>
          <w:lang w:val="en-US"/>
        </w:rPr>
        <w:t>v.</w:t>
      </w:r>
      <w:r w:rsidRPr="00AF6C9B">
        <w:rPr>
          <w:b/>
          <w:lang w:val="en-US"/>
        </w:rPr>
        <w:t xml:space="preserve"> </w:t>
      </w:r>
      <w:r w:rsidRPr="00AF6C9B">
        <w:rPr>
          <w:rStyle w:val="SCCRespondentForIndexChar"/>
          <w:lang w:val="en-US"/>
        </w:rPr>
        <w:t>Autor</w:t>
      </w:r>
      <w:r w:rsidR="008E2031" w:rsidRPr="00AF6C9B">
        <w:rPr>
          <w:rStyle w:val="SCCRespondentForIndexChar"/>
          <w:lang w:val="en-US"/>
        </w:rPr>
        <w:t>ité des marchés financiers</w:t>
      </w:r>
    </w:p>
    <w:p w14:paraId="52756006" w14:textId="09AD7461" w:rsidR="00426659" w:rsidRPr="00453883" w:rsidRDefault="00AE4535" w:rsidP="00061413">
      <w:pPr>
        <w:pStyle w:val="SCCSystemYear"/>
        <w:spacing w:after="720"/>
        <w:jc w:val="both"/>
        <w:rPr>
          <w:lang w:val="en-US"/>
        </w:rPr>
      </w:pPr>
      <w:r w:rsidRPr="00453883">
        <w:rPr>
          <w:lang w:val="en-US"/>
        </w:rPr>
        <w:t>2023</w:t>
      </w:r>
      <w:r w:rsidR="003D0399" w:rsidRPr="00453883">
        <w:rPr>
          <w:lang w:val="en-US"/>
        </w:rPr>
        <w:t xml:space="preserve"> </w:t>
      </w:r>
      <w:r w:rsidR="00061413" w:rsidRPr="00453883">
        <w:rPr>
          <w:lang w:val="en-US"/>
        </w:rPr>
        <w:t xml:space="preserve">SCC </w:t>
      </w:r>
      <w:r w:rsidR="00B54F95" w:rsidRPr="00453883">
        <w:rPr>
          <w:lang w:val="en-US"/>
        </w:rPr>
        <w:t>29</w:t>
      </w:r>
    </w:p>
    <w:p w14:paraId="08BEF9C9" w14:textId="77777777" w:rsidR="008322BD" w:rsidRPr="00453883" w:rsidRDefault="009B57B3" w:rsidP="00061413">
      <w:pPr>
        <w:spacing w:after="720"/>
        <w:jc w:val="both"/>
      </w:pPr>
      <w:r w:rsidRPr="00453883">
        <w:t>File No.: 39920.</w:t>
      </w:r>
    </w:p>
    <w:p w14:paraId="6920C9B0" w14:textId="0E75DCFE" w:rsidR="008322BD" w:rsidRPr="00453883" w:rsidRDefault="00AE4535" w:rsidP="00061413">
      <w:pPr>
        <w:spacing w:after="720"/>
        <w:jc w:val="both"/>
      </w:pPr>
      <w:r w:rsidRPr="00453883">
        <w:t>2023: January 18</w:t>
      </w:r>
      <w:r w:rsidR="009B57B3" w:rsidRPr="00453883">
        <w:t xml:space="preserve">; </w:t>
      </w:r>
      <w:r w:rsidR="008E2031" w:rsidRPr="00453883">
        <w:t xml:space="preserve">2023: </w:t>
      </w:r>
      <w:r w:rsidR="00D16C23" w:rsidRPr="00453883">
        <w:t>November 17</w:t>
      </w:r>
      <w:r w:rsidR="009B57B3" w:rsidRPr="00453883">
        <w:t>.</w:t>
      </w:r>
    </w:p>
    <w:p w14:paraId="764A4298" w14:textId="52AC50E6" w:rsidR="008322BD" w:rsidRPr="00453883" w:rsidRDefault="008E2031" w:rsidP="00061413">
      <w:pPr>
        <w:spacing w:after="720"/>
        <w:jc w:val="both"/>
      </w:pPr>
      <w:r w:rsidRPr="00453883">
        <w:t xml:space="preserve">Present: </w:t>
      </w:r>
      <w:r w:rsidR="009B57B3" w:rsidRPr="00453883">
        <w:t>Wagner C.J. and Karakatsanis, Côté, Brown,</w:t>
      </w:r>
      <w:r w:rsidR="006E5C6D" w:rsidRPr="001C2DEE">
        <w:rPr>
          <w:rStyle w:val="Hyperlink"/>
          <w:vertAlign w:val="superscript"/>
        </w:rPr>
        <w:footnoteReference w:customMarkFollows="1" w:id="1"/>
        <w:sym w:font="Symbol" w:char="F02A"/>
      </w:r>
      <w:r w:rsidR="009B57B3" w:rsidRPr="00453883">
        <w:t xml:space="preserve"> Rowe, Martin, Kasirer, Jamal and O</w:t>
      </w:r>
      <w:r w:rsidR="00595373" w:rsidRPr="00453883">
        <w:t>’</w:t>
      </w:r>
      <w:r w:rsidR="009B57B3" w:rsidRPr="00453883">
        <w:t>Bonsawin JJ.</w:t>
      </w:r>
    </w:p>
    <w:p w14:paraId="12203BB9" w14:textId="77777777" w:rsidR="008322BD" w:rsidRPr="00453883" w:rsidRDefault="00656313" w:rsidP="00061413">
      <w:pPr>
        <w:pStyle w:val="SCCLowerCourtNameLowercase"/>
        <w:spacing w:after="720" w:line="240" w:lineRule="auto"/>
      </w:pPr>
      <w:r w:rsidRPr="00453883">
        <w:t>o</w:t>
      </w:r>
      <w:r w:rsidR="00170592" w:rsidRPr="00453883">
        <w:t>n</w:t>
      </w:r>
      <w:r w:rsidR="00224FC0" w:rsidRPr="00453883">
        <w:t xml:space="preserve"> </w:t>
      </w:r>
      <w:r w:rsidRPr="00453883">
        <w:t>a</w:t>
      </w:r>
      <w:r w:rsidR="00170592" w:rsidRPr="00453883">
        <w:t>ppeal</w:t>
      </w:r>
      <w:r w:rsidR="00224FC0" w:rsidRPr="00453883">
        <w:t xml:space="preserve"> </w:t>
      </w:r>
      <w:r w:rsidR="00170592" w:rsidRPr="00453883">
        <w:t>from</w:t>
      </w:r>
      <w:r w:rsidR="009567AA" w:rsidRPr="00453883">
        <w:t xml:space="preserve"> the</w:t>
      </w:r>
      <w:r w:rsidR="00224FC0" w:rsidRPr="00453883">
        <w:t xml:space="preserve"> </w:t>
      </w:r>
      <w:r w:rsidR="009B57B3" w:rsidRPr="00453883">
        <w:t>cour</w:t>
      </w:r>
      <w:r w:rsidR="008E2031" w:rsidRPr="00453883">
        <w:t>t of appeal for quebec</w:t>
      </w:r>
    </w:p>
    <w:p w14:paraId="44378F48" w14:textId="7D02EE41" w:rsidR="00BF612E" w:rsidRPr="00453883" w:rsidRDefault="009B57B3" w:rsidP="00B82ABF">
      <w:pPr>
        <w:pStyle w:val="SCCNormalDoubleSpacing"/>
        <w:spacing w:after="480"/>
        <w:rPr>
          <w:i/>
          <w:iCs/>
          <w:color w:val="000000"/>
          <w:szCs w:val="24"/>
        </w:rPr>
      </w:pPr>
      <w:r w:rsidRPr="00453883">
        <w:tab/>
      </w:r>
      <w:r w:rsidR="00BF612E" w:rsidRPr="00453883">
        <w:rPr>
          <w:i/>
          <w:szCs w:val="24"/>
        </w:rPr>
        <w:t xml:space="preserve">Constitutional law </w:t>
      </w:r>
      <w:r w:rsidR="00BF612E" w:rsidRPr="00453883">
        <w:rPr>
          <w:i/>
          <w:iCs/>
          <w:color w:val="000000"/>
          <w:szCs w:val="24"/>
        </w:rPr>
        <w:t>—</w:t>
      </w:r>
      <w:r w:rsidR="00BF612E" w:rsidRPr="00453883">
        <w:rPr>
          <w:i/>
          <w:szCs w:val="24"/>
        </w:rPr>
        <w:t xml:space="preserve"> Extraterritoriality </w:t>
      </w:r>
      <w:r w:rsidR="00BF612E" w:rsidRPr="00453883">
        <w:rPr>
          <w:i/>
          <w:iCs/>
          <w:color w:val="000000"/>
          <w:szCs w:val="24"/>
        </w:rPr>
        <w:t>—</w:t>
      </w:r>
      <w:r w:rsidR="00BF612E" w:rsidRPr="00453883">
        <w:rPr>
          <w:i/>
          <w:szCs w:val="24"/>
        </w:rPr>
        <w:t xml:space="preserve"> Jurisdiction </w:t>
      </w:r>
      <w:r w:rsidR="00BF612E" w:rsidRPr="00453883">
        <w:rPr>
          <w:i/>
          <w:iCs/>
          <w:color w:val="000000"/>
          <w:szCs w:val="24"/>
        </w:rPr>
        <w:t xml:space="preserve">— </w:t>
      </w:r>
      <w:r w:rsidR="00BF612E" w:rsidRPr="00453883">
        <w:rPr>
          <w:i/>
          <w:szCs w:val="24"/>
        </w:rPr>
        <w:t xml:space="preserve">Constitutional applicability of </w:t>
      </w:r>
      <w:r w:rsidR="00B82ABF" w:rsidRPr="00453883">
        <w:rPr>
          <w:i/>
          <w:szCs w:val="24"/>
        </w:rPr>
        <w:t>Quebec regulatory scheme to out</w:t>
      </w:r>
      <w:r w:rsidR="00B82ABF" w:rsidRPr="00453883">
        <w:rPr>
          <w:i/>
          <w:szCs w:val="24"/>
        </w:rPr>
        <w:noBreakHyphen/>
        <w:t>of</w:t>
      </w:r>
      <w:r w:rsidR="00B82ABF" w:rsidRPr="00453883">
        <w:rPr>
          <w:i/>
          <w:szCs w:val="24"/>
        </w:rPr>
        <w:noBreakHyphen/>
      </w:r>
      <w:r w:rsidR="00BF612E" w:rsidRPr="00453883">
        <w:rPr>
          <w:i/>
          <w:szCs w:val="24"/>
        </w:rPr>
        <w:t xml:space="preserve">province residents </w:t>
      </w:r>
      <w:r w:rsidR="00BF612E" w:rsidRPr="00453883">
        <w:rPr>
          <w:i/>
          <w:iCs/>
          <w:color w:val="000000"/>
          <w:szCs w:val="24"/>
        </w:rPr>
        <w:t xml:space="preserve">— </w:t>
      </w:r>
      <w:r w:rsidR="00BF612E" w:rsidRPr="00453883">
        <w:rPr>
          <w:i/>
          <w:szCs w:val="24"/>
        </w:rPr>
        <w:t>Quebec administrative tribunal</w:t>
      </w:r>
      <w:r w:rsidR="00B82ABF" w:rsidRPr="00453883">
        <w:rPr>
          <w:i/>
          <w:szCs w:val="24"/>
        </w:rPr>
        <w:t xml:space="preserve"> claiming jurisdiction over out</w:t>
      </w:r>
      <w:r w:rsidR="00B82ABF" w:rsidRPr="00453883">
        <w:rPr>
          <w:i/>
          <w:szCs w:val="24"/>
        </w:rPr>
        <w:noBreakHyphen/>
        <w:t>of</w:t>
      </w:r>
      <w:r w:rsidR="00B82ABF" w:rsidRPr="00453883">
        <w:rPr>
          <w:i/>
          <w:szCs w:val="24"/>
        </w:rPr>
        <w:noBreakHyphen/>
      </w:r>
      <w:r w:rsidR="00BF612E" w:rsidRPr="00453883">
        <w:rPr>
          <w:i/>
          <w:szCs w:val="24"/>
        </w:rPr>
        <w:t xml:space="preserve">province defendants in securities enforcement proceeding </w:t>
      </w:r>
      <w:r w:rsidR="00BF612E" w:rsidRPr="00453883">
        <w:rPr>
          <w:i/>
          <w:iCs/>
          <w:color w:val="000000"/>
          <w:szCs w:val="24"/>
        </w:rPr>
        <w:t xml:space="preserve">— </w:t>
      </w:r>
      <w:r w:rsidR="00BF612E" w:rsidRPr="00453883">
        <w:rPr>
          <w:i/>
          <w:szCs w:val="24"/>
        </w:rPr>
        <w:t xml:space="preserve">Whether tribunal properly assumed jurisdiction </w:t>
      </w:r>
      <w:r w:rsidR="00BF612E" w:rsidRPr="00453883">
        <w:rPr>
          <w:i/>
          <w:iCs/>
          <w:color w:val="000000"/>
          <w:szCs w:val="24"/>
        </w:rPr>
        <w:t>— Civil Code of Québec, preliminary provision — Act respecting the Autorité des marchés financiers, CQLR</w:t>
      </w:r>
      <w:r w:rsidR="00B82ABF" w:rsidRPr="00453883">
        <w:rPr>
          <w:i/>
          <w:iCs/>
          <w:color w:val="000000"/>
          <w:szCs w:val="24"/>
        </w:rPr>
        <w:t>, c. </w:t>
      </w:r>
      <w:r w:rsidR="00BF612E" w:rsidRPr="00453883">
        <w:rPr>
          <w:i/>
          <w:iCs/>
          <w:color w:val="000000"/>
          <w:szCs w:val="24"/>
        </w:rPr>
        <w:t>A</w:t>
      </w:r>
      <w:r w:rsidR="00B82ABF" w:rsidRPr="00453883">
        <w:rPr>
          <w:i/>
          <w:iCs/>
          <w:color w:val="000000"/>
          <w:szCs w:val="24"/>
        </w:rPr>
        <w:noBreakHyphen/>
        <w:t>33.2, s. </w:t>
      </w:r>
      <w:r w:rsidR="001B61FB" w:rsidRPr="00453883">
        <w:rPr>
          <w:i/>
          <w:iCs/>
          <w:color w:val="000000"/>
          <w:szCs w:val="24"/>
        </w:rPr>
        <w:t>93 —</w:t>
      </w:r>
      <w:r w:rsidR="00BF612E" w:rsidRPr="00453883">
        <w:rPr>
          <w:i/>
          <w:iCs/>
          <w:color w:val="000000"/>
          <w:szCs w:val="24"/>
        </w:rPr>
        <w:t xml:space="preserve"> Securities Act, CQLR</w:t>
      </w:r>
      <w:r w:rsidR="00B82ABF" w:rsidRPr="00453883">
        <w:rPr>
          <w:i/>
          <w:iCs/>
          <w:color w:val="000000"/>
          <w:szCs w:val="24"/>
        </w:rPr>
        <w:t>, c. </w:t>
      </w:r>
      <w:r w:rsidR="00BF612E" w:rsidRPr="00453883">
        <w:rPr>
          <w:i/>
          <w:iCs/>
          <w:color w:val="000000"/>
          <w:szCs w:val="24"/>
        </w:rPr>
        <w:t>V</w:t>
      </w:r>
      <w:r w:rsidR="00B82ABF" w:rsidRPr="00453883">
        <w:rPr>
          <w:i/>
          <w:iCs/>
          <w:color w:val="000000"/>
          <w:szCs w:val="24"/>
        </w:rPr>
        <w:noBreakHyphen/>
      </w:r>
      <w:r w:rsidR="00BF612E" w:rsidRPr="00453883">
        <w:rPr>
          <w:i/>
          <w:iCs/>
          <w:color w:val="000000"/>
          <w:szCs w:val="24"/>
        </w:rPr>
        <w:t>1.1.</w:t>
      </w:r>
    </w:p>
    <w:p w14:paraId="4EB91247" w14:textId="36817B08" w:rsidR="00BF612E" w:rsidRPr="00453883" w:rsidRDefault="00B82ABF" w:rsidP="00B82ABF">
      <w:pPr>
        <w:pStyle w:val="SCCNormalDoubleSpacing"/>
        <w:spacing w:after="480"/>
        <w:rPr>
          <w:szCs w:val="24"/>
        </w:rPr>
      </w:pPr>
      <w:r w:rsidRPr="00453883">
        <w:rPr>
          <w:szCs w:val="24"/>
        </w:rPr>
        <w:tab/>
      </w:r>
      <w:r w:rsidR="00BF612E" w:rsidRPr="00453883">
        <w:rPr>
          <w:szCs w:val="24"/>
        </w:rPr>
        <w:t>Four British Columbia residents (the “defendants”) are alleged by the administrative agency that regulates Quebec’s financial sector, the Autorité des marchés financiers (“AMF”), to have en</w:t>
      </w:r>
      <w:r w:rsidRPr="00453883">
        <w:rPr>
          <w:szCs w:val="24"/>
        </w:rPr>
        <w:t>gaged in a transnational “pump</w:t>
      </w:r>
      <w:r w:rsidRPr="00453883">
        <w:rPr>
          <w:szCs w:val="24"/>
        </w:rPr>
        <w:noBreakHyphen/>
        <w:t>and</w:t>
      </w:r>
      <w:r w:rsidRPr="00453883">
        <w:rPr>
          <w:szCs w:val="24"/>
        </w:rPr>
        <w:noBreakHyphen/>
      </w:r>
      <w:r w:rsidR="00BF612E" w:rsidRPr="00453883">
        <w:rPr>
          <w:szCs w:val="24"/>
        </w:rPr>
        <w:t>dump” securities manipulation scheme. The defendants allegedly</w:t>
      </w:r>
      <w:r w:rsidR="003D75C4" w:rsidRPr="00453883">
        <w:rPr>
          <w:szCs w:val="24"/>
        </w:rPr>
        <w:t xml:space="preserve"> acted in concert to (1) </w:t>
      </w:r>
      <w:r w:rsidR="00BF612E" w:rsidRPr="00453883">
        <w:rPr>
          <w:szCs w:val="24"/>
        </w:rPr>
        <w:t>acquire the shares of a shell company</w:t>
      </w:r>
      <w:r w:rsidR="003D75C4" w:rsidRPr="00453883">
        <w:rPr>
          <w:szCs w:val="24"/>
        </w:rPr>
        <w:t>, (2) </w:t>
      </w:r>
      <w:r w:rsidR="00BF612E" w:rsidRPr="00453883">
        <w:rPr>
          <w:szCs w:val="24"/>
        </w:rPr>
        <w:t xml:space="preserve">give it </w:t>
      </w:r>
      <w:r w:rsidR="003D75C4" w:rsidRPr="00453883">
        <w:rPr>
          <w:szCs w:val="24"/>
        </w:rPr>
        <w:t>a legitimate face, (3) </w:t>
      </w:r>
      <w:r w:rsidR="00BF612E" w:rsidRPr="00453883">
        <w:rPr>
          <w:szCs w:val="24"/>
        </w:rPr>
        <w:t>promote its</w:t>
      </w:r>
      <w:r w:rsidR="003D75C4" w:rsidRPr="00453883">
        <w:rPr>
          <w:szCs w:val="24"/>
        </w:rPr>
        <w:t xml:space="preserve"> business, (4) </w:t>
      </w:r>
      <w:r w:rsidR="005754C7" w:rsidRPr="00453883">
        <w:rPr>
          <w:szCs w:val="24"/>
        </w:rPr>
        <w:t xml:space="preserve">sell their </w:t>
      </w:r>
      <w:r w:rsidR="003D75C4" w:rsidRPr="00453883">
        <w:rPr>
          <w:szCs w:val="24"/>
        </w:rPr>
        <w:t>shares for a profit, and (5) </w:t>
      </w:r>
      <w:r w:rsidR="00BF612E" w:rsidRPr="00453883">
        <w:rPr>
          <w:szCs w:val="24"/>
        </w:rPr>
        <w:t>distribute this profit among themselves. The AMF also alleged that the scheme had several ties to Quebec sufficient to apply Quebec’s securities regulatory scheme to the defendants: the shell company was a reporting issuer in Quebec with a Montréal business address; its director was a Quebec resident when the scheme was implemented; its promotional activities were accessible to Quebec residents; and, ultimately, Quebec investors lost money.</w:t>
      </w:r>
    </w:p>
    <w:p w14:paraId="2CFF0E74" w14:textId="75A50442" w:rsidR="00BF612E" w:rsidRPr="00453883" w:rsidRDefault="00B82ABF" w:rsidP="00B82ABF">
      <w:pPr>
        <w:pStyle w:val="SCCNormalDoubleSpacing"/>
        <w:spacing w:after="480"/>
        <w:rPr>
          <w:szCs w:val="24"/>
        </w:rPr>
      </w:pPr>
      <w:r w:rsidRPr="00453883">
        <w:rPr>
          <w:szCs w:val="24"/>
        </w:rPr>
        <w:tab/>
      </w:r>
      <w:r w:rsidR="00BF612E" w:rsidRPr="00453883">
        <w:rPr>
          <w:szCs w:val="24"/>
        </w:rPr>
        <w:t>The AMF brought an originating pleading before Quebec’s Financial Markets Administrative Tribunal (“FMAT”) alleging that the defendants contravened the Quebec</w:t>
      </w:r>
      <w:r w:rsidR="00BF612E" w:rsidRPr="00453883">
        <w:rPr>
          <w:i/>
          <w:szCs w:val="24"/>
        </w:rPr>
        <w:t xml:space="preserve"> Securities Act</w:t>
      </w:r>
      <w:r w:rsidR="00BF612E" w:rsidRPr="00453883">
        <w:rPr>
          <w:szCs w:val="24"/>
        </w:rPr>
        <w:t>. It asked the FMAT to make various orders against the defendants. The defendants filed motions for a declinatory exception challenging the FMAT’</w:t>
      </w:r>
      <w:r w:rsidR="001C5C52" w:rsidRPr="00453883">
        <w:rPr>
          <w:szCs w:val="24"/>
        </w:rPr>
        <w:t>s jurisdiction over them as out</w:t>
      </w:r>
      <w:r w:rsidR="001C5C52" w:rsidRPr="00453883">
        <w:rPr>
          <w:szCs w:val="24"/>
        </w:rPr>
        <w:noBreakHyphen/>
      </w:r>
      <w:r w:rsidR="00BF612E" w:rsidRPr="00453883">
        <w:rPr>
          <w:szCs w:val="24"/>
        </w:rPr>
        <w:t>o</w:t>
      </w:r>
      <w:r w:rsidR="001C5C52" w:rsidRPr="00453883">
        <w:rPr>
          <w:szCs w:val="24"/>
        </w:rPr>
        <w:t>f</w:t>
      </w:r>
      <w:r w:rsidR="001C5C52" w:rsidRPr="00453883">
        <w:rPr>
          <w:szCs w:val="24"/>
        </w:rPr>
        <w:noBreakHyphen/>
      </w:r>
      <w:r w:rsidR="00BF612E" w:rsidRPr="00453883">
        <w:rPr>
          <w:szCs w:val="24"/>
        </w:rPr>
        <w:t>province defendants. The FMAT dismissed the defendants’ motions. It ruled that it had jurisdiction over them un</w:t>
      </w:r>
      <w:r w:rsidRPr="00453883">
        <w:rPr>
          <w:szCs w:val="24"/>
        </w:rPr>
        <w:t>der s. </w:t>
      </w:r>
      <w:r w:rsidR="00BF612E" w:rsidRPr="00453883">
        <w:rPr>
          <w:szCs w:val="24"/>
        </w:rPr>
        <w:t xml:space="preserve">93 of the </w:t>
      </w:r>
      <w:r w:rsidR="00BF612E" w:rsidRPr="00453883">
        <w:rPr>
          <w:i/>
          <w:szCs w:val="24"/>
        </w:rPr>
        <w:t>Act respecting the Autorité des marchés financiers</w:t>
      </w:r>
      <w:r w:rsidR="00BF612E" w:rsidRPr="00453883">
        <w:rPr>
          <w:szCs w:val="24"/>
        </w:rPr>
        <w:t xml:space="preserve">, which grants the FMAT jurisdiction to make determinations under the </w:t>
      </w:r>
      <w:r w:rsidR="00BF612E" w:rsidRPr="00453883">
        <w:rPr>
          <w:i/>
          <w:szCs w:val="24"/>
        </w:rPr>
        <w:t>Securities Act</w:t>
      </w:r>
      <w:r w:rsidR="00BF612E" w:rsidRPr="00453883">
        <w:rPr>
          <w:szCs w:val="24"/>
        </w:rPr>
        <w:t xml:space="preserve">, in light of the Court’s decision in </w:t>
      </w:r>
      <w:r w:rsidR="00BF612E" w:rsidRPr="00453883">
        <w:rPr>
          <w:i/>
          <w:szCs w:val="24"/>
        </w:rPr>
        <w:t>Unifund Assurance Co. v. Insurance Corp. of British Columbia</w:t>
      </w:r>
      <w:r w:rsidR="00BF612E" w:rsidRPr="00453883">
        <w:rPr>
          <w:szCs w:val="24"/>
        </w:rPr>
        <w:t>, 2003 SCC 40, [2003] 2 S.C.R. 63, which held that a provincial regulatory scheme con</w:t>
      </w:r>
      <w:r w:rsidRPr="00453883">
        <w:rPr>
          <w:szCs w:val="24"/>
        </w:rPr>
        <w:t>stitutionally applies to an out</w:t>
      </w:r>
      <w:r w:rsidRPr="00453883">
        <w:rPr>
          <w:szCs w:val="24"/>
        </w:rPr>
        <w:noBreakHyphen/>
        <w:t>of</w:t>
      </w:r>
      <w:r w:rsidRPr="00453883">
        <w:rPr>
          <w:szCs w:val="24"/>
        </w:rPr>
        <w:noBreakHyphen/>
      </w:r>
      <w:r w:rsidR="00BF612E" w:rsidRPr="00453883">
        <w:rPr>
          <w:szCs w:val="24"/>
        </w:rPr>
        <w:t>province defendant when there is a “sufficient connection” or a “real and substantial connection” between the province and the defendan</w:t>
      </w:r>
      <w:r w:rsidRPr="00453883">
        <w:rPr>
          <w:szCs w:val="24"/>
        </w:rPr>
        <w:t>t.</w:t>
      </w:r>
    </w:p>
    <w:p w14:paraId="4FDA37C1" w14:textId="2B6A9054" w:rsidR="00BF612E" w:rsidRPr="00453883" w:rsidRDefault="00B82ABF" w:rsidP="00B82ABF">
      <w:pPr>
        <w:pStyle w:val="SCCNormalDoubleSpacing"/>
        <w:spacing w:after="480"/>
        <w:rPr>
          <w:szCs w:val="24"/>
        </w:rPr>
      </w:pPr>
      <w:r w:rsidRPr="00453883">
        <w:rPr>
          <w:szCs w:val="24"/>
        </w:rPr>
        <w:tab/>
      </w:r>
      <w:r w:rsidR="00BF612E" w:rsidRPr="00453883">
        <w:rPr>
          <w:szCs w:val="24"/>
        </w:rPr>
        <w:t xml:space="preserve">The Superior Court of Quebec dismissed the defendants’ applications for judicial review and held that the FMAT properly assumed jurisdiction. The court stated that the FMAT correctly recognized the limits of its extraterritorial reach by applying the “real and substantial connection” test set out in </w:t>
      </w:r>
      <w:r w:rsidR="00BF612E" w:rsidRPr="00453883">
        <w:rPr>
          <w:i/>
          <w:szCs w:val="24"/>
        </w:rPr>
        <w:t>Club Resorts Ltd. v. Van Breda</w:t>
      </w:r>
      <w:r w:rsidR="00BF612E" w:rsidRPr="00453883">
        <w:rPr>
          <w:szCs w:val="24"/>
        </w:rPr>
        <w:t xml:space="preserve">, 2012 SCC 17, [2012] 1 S.C.R. 572, and that the FMAT correctly applied the </w:t>
      </w:r>
      <w:r w:rsidR="00BF612E" w:rsidRPr="00453883">
        <w:rPr>
          <w:i/>
          <w:szCs w:val="24"/>
        </w:rPr>
        <w:t xml:space="preserve">Unifund </w:t>
      </w:r>
      <w:r w:rsidR="00BF612E" w:rsidRPr="00453883">
        <w:rPr>
          <w:szCs w:val="24"/>
        </w:rPr>
        <w:t xml:space="preserve">test for the constitutional applicability of provincial legislation. The majority of the Court of Appeal of Quebec dismissed the defendants’ appeals. It concluded that the real and substantial connection test in </w:t>
      </w:r>
      <w:r w:rsidR="00BF612E" w:rsidRPr="00453883">
        <w:rPr>
          <w:i/>
          <w:szCs w:val="24"/>
        </w:rPr>
        <w:t xml:space="preserve">Unifund </w:t>
      </w:r>
      <w:r w:rsidR="00BF612E" w:rsidRPr="00453883">
        <w:rPr>
          <w:szCs w:val="24"/>
        </w:rPr>
        <w:t xml:space="preserve">addresses the constitutional applicability of the </w:t>
      </w:r>
      <w:r w:rsidRPr="00453883">
        <w:rPr>
          <w:szCs w:val="24"/>
        </w:rPr>
        <w:t>Quebec securities scheme to non</w:t>
      </w:r>
      <w:r w:rsidRPr="00453883">
        <w:rPr>
          <w:szCs w:val="24"/>
        </w:rPr>
        <w:noBreakHyphen/>
      </w:r>
      <w:r w:rsidR="00BF612E" w:rsidRPr="00453883">
        <w:rPr>
          <w:szCs w:val="24"/>
        </w:rPr>
        <w:t xml:space="preserve">residents who allegedly engaged in a securities manipulation scheme with connections to Quebec, and that the FMAT correctly concluded there is a real and substantial connection between Quebec and the defendants and properly assumed jurisdiction. The majority also ruled that although the </w:t>
      </w:r>
      <w:r w:rsidR="00BF612E" w:rsidRPr="00453883">
        <w:rPr>
          <w:i/>
          <w:szCs w:val="24"/>
        </w:rPr>
        <w:t xml:space="preserve">Civil Code of Québec </w:t>
      </w:r>
      <w:r w:rsidR="00BF612E" w:rsidRPr="00453883">
        <w:rPr>
          <w:szCs w:val="24"/>
        </w:rPr>
        <w:t>(“</w:t>
      </w:r>
      <w:r w:rsidR="00BF612E" w:rsidRPr="00453883">
        <w:rPr>
          <w:i/>
          <w:szCs w:val="24"/>
        </w:rPr>
        <w:t>C.C.Q</w:t>
      </w:r>
      <w:r w:rsidR="00BF612E" w:rsidRPr="00453883">
        <w:rPr>
          <w:szCs w:val="24"/>
        </w:rPr>
        <w:t xml:space="preserve">.”) acts as suppletive law for many matters, including certain aspects of public law, the private international law rules in Book Ten of the </w:t>
      </w:r>
      <w:r w:rsidR="00BF612E" w:rsidRPr="00453883">
        <w:rPr>
          <w:i/>
          <w:szCs w:val="24"/>
        </w:rPr>
        <w:t>C.C.Q.</w:t>
      </w:r>
      <w:r w:rsidR="00BF612E" w:rsidRPr="00453883">
        <w:rPr>
          <w:szCs w:val="24"/>
        </w:rPr>
        <w:t xml:space="preserve"> do not apply when no private rights are at issue. The concurring judge would have held that the FMAT has jurisdiction over the out-of-province defendants under the rule</w:t>
      </w:r>
      <w:r w:rsidRPr="00453883">
        <w:rPr>
          <w:szCs w:val="24"/>
        </w:rPr>
        <w:t xml:space="preserve">s of private international law </w:t>
      </w:r>
      <w:r w:rsidR="00BF612E" w:rsidRPr="00453883">
        <w:rPr>
          <w:szCs w:val="24"/>
        </w:rPr>
        <w:t xml:space="preserve">in Title Three of Book Ten of the </w:t>
      </w:r>
      <w:r w:rsidR="00BF612E" w:rsidRPr="00453883">
        <w:rPr>
          <w:i/>
          <w:szCs w:val="24"/>
        </w:rPr>
        <w:t>C.C.Q.</w:t>
      </w:r>
      <w:r w:rsidR="00BF612E" w:rsidRPr="00453883">
        <w:rPr>
          <w:szCs w:val="24"/>
        </w:rPr>
        <w:t>, either by analogy</w:t>
      </w:r>
      <w:r w:rsidRPr="00453883">
        <w:rPr>
          <w:szCs w:val="24"/>
        </w:rPr>
        <w:t xml:space="preserve"> under art. </w:t>
      </w:r>
      <w:r w:rsidR="00BF612E" w:rsidRPr="00453883">
        <w:rPr>
          <w:szCs w:val="24"/>
        </w:rPr>
        <w:t>3148 para.</w:t>
      </w:r>
      <w:r w:rsidRPr="00453883">
        <w:rPr>
          <w:szCs w:val="24"/>
        </w:rPr>
        <w:t> </w:t>
      </w:r>
      <w:r w:rsidR="00BF612E" w:rsidRPr="00453883">
        <w:rPr>
          <w:szCs w:val="24"/>
        </w:rPr>
        <w:t xml:space="preserve">1(3) </w:t>
      </w:r>
      <w:r w:rsidR="00BF612E" w:rsidRPr="00453883">
        <w:rPr>
          <w:i/>
          <w:szCs w:val="24"/>
        </w:rPr>
        <w:t>C.C.Q.</w:t>
      </w:r>
      <w:r w:rsidR="00BF612E" w:rsidRPr="00453883">
        <w:rPr>
          <w:szCs w:val="24"/>
        </w:rPr>
        <w:t>, or, a</w:t>
      </w:r>
      <w:r w:rsidRPr="00453883">
        <w:rPr>
          <w:szCs w:val="24"/>
        </w:rPr>
        <w:t>lternatively, under art. </w:t>
      </w:r>
      <w:r w:rsidR="00BF612E" w:rsidRPr="00453883">
        <w:rPr>
          <w:szCs w:val="24"/>
        </w:rPr>
        <w:t xml:space="preserve">3136 </w:t>
      </w:r>
      <w:r w:rsidR="00BF612E" w:rsidRPr="00453883">
        <w:rPr>
          <w:i/>
          <w:szCs w:val="24"/>
        </w:rPr>
        <w:t>C.C.Q.</w:t>
      </w:r>
    </w:p>
    <w:p w14:paraId="680F4FC9" w14:textId="5C98CB5A" w:rsidR="008322BD" w:rsidRPr="00453883" w:rsidRDefault="00BF612E" w:rsidP="00B82ABF">
      <w:pPr>
        <w:pStyle w:val="SCCNormalDoubleSpacing"/>
        <w:spacing w:after="480"/>
      </w:pPr>
      <w:r w:rsidRPr="00453883">
        <w:tab/>
      </w:r>
      <w:r w:rsidRPr="00453883">
        <w:rPr>
          <w:i/>
        </w:rPr>
        <w:t xml:space="preserve">Held </w:t>
      </w:r>
      <w:r w:rsidRPr="00453883">
        <w:t>(Côté J. dissenting)</w:t>
      </w:r>
      <w:r w:rsidR="009B57B3" w:rsidRPr="00453883">
        <w:rPr>
          <w:rStyle w:val="QuoteChar"/>
          <w:i w:val="0"/>
          <w:color w:val="auto"/>
          <w:lang w:val="en-CA"/>
        </w:rPr>
        <w:t>:</w:t>
      </w:r>
      <w:r w:rsidR="002078CC" w:rsidRPr="00453883">
        <w:t xml:space="preserve"> </w:t>
      </w:r>
      <w:r w:rsidRPr="00453883">
        <w:t>The appeal should be dismissed.</w:t>
      </w:r>
    </w:p>
    <w:p w14:paraId="26B45C3F" w14:textId="1F18D004" w:rsidR="00BF612E" w:rsidRPr="00453883" w:rsidRDefault="009B57B3" w:rsidP="00B82ABF">
      <w:pPr>
        <w:pStyle w:val="SCCNormalDoubleSpacing"/>
        <w:spacing w:after="480"/>
        <w:rPr>
          <w:szCs w:val="24"/>
        </w:rPr>
      </w:pPr>
      <w:r w:rsidRPr="00453883">
        <w:tab/>
      </w:r>
      <w:r w:rsidR="00BF612E" w:rsidRPr="00453883">
        <w:rPr>
          <w:i/>
          <w:szCs w:val="24"/>
        </w:rPr>
        <w:t xml:space="preserve">Per </w:t>
      </w:r>
      <w:r w:rsidR="00BF612E" w:rsidRPr="00453883">
        <w:rPr>
          <w:b/>
          <w:szCs w:val="24"/>
        </w:rPr>
        <w:t xml:space="preserve">Wagner </w:t>
      </w:r>
      <w:r w:rsidR="00BF612E" w:rsidRPr="00453883">
        <w:rPr>
          <w:szCs w:val="24"/>
        </w:rPr>
        <w:t xml:space="preserve">C.J. and Karakatsanis, Rowe, Martin, Kasirer, </w:t>
      </w:r>
      <w:r w:rsidR="00BF612E" w:rsidRPr="00453883">
        <w:rPr>
          <w:b/>
          <w:szCs w:val="24"/>
        </w:rPr>
        <w:t>Jamal</w:t>
      </w:r>
      <w:r w:rsidR="00BF612E" w:rsidRPr="00453883">
        <w:rPr>
          <w:szCs w:val="24"/>
        </w:rPr>
        <w:t xml:space="preserve"> and O’Bonsawin JJ.: The FMAT has jurisdiction over the defendants under the Quebec securities scheme, which constitutionally applies to them. The FMAT has jurisdiction to make determinations under the </w:t>
      </w:r>
      <w:r w:rsidR="00BF612E" w:rsidRPr="00453883">
        <w:rPr>
          <w:i/>
          <w:szCs w:val="24"/>
        </w:rPr>
        <w:t>Securities Act</w:t>
      </w:r>
      <w:r w:rsidR="00BF612E" w:rsidRPr="00453883">
        <w:rPr>
          <w:szCs w:val="24"/>
        </w:rPr>
        <w:t>, including when there is a “r</w:t>
      </w:r>
      <w:r w:rsidR="00F9204D" w:rsidRPr="00453883">
        <w:rPr>
          <w:szCs w:val="24"/>
        </w:rPr>
        <w:t xml:space="preserve">eal and substantial” connection, </w:t>
      </w:r>
      <w:r w:rsidR="00BF612E" w:rsidRPr="00453883">
        <w:rPr>
          <w:szCs w:val="24"/>
        </w:rPr>
        <w:t>also described as a “sufficient connecti</w:t>
      </w:r>
      <w:r w:rsidR="00B82ABF" w:rsidRPr="00453883">
        <w:rPr>
          <w:szCs w:val="24"/>
        </w:rPr>
        <w:t>on”</w:t>
      </w:r>
      <w:r w:rsidR="00F9204D" w:rsidRPr="00453883">
        <w:rPr>
          <w:szCs w:val="24"/>
        </w:rPr>
        <w:t>,</w:t>
      </w:r>
      <w:r w:rsidR="00B82ABF" w:rsidRPr="00453883">
        <w:rPr>
          <w:szCs w:val="24"/>
        </w:rPr>
        <w:t xml:space="preserve"> between Quebec and out</w:t>
      </w:r>
      <w:r w:rsidR="00B82ABF" w:rsidRPr="00453883">
        <w:rPr>
          <w:szCs w:val="24"/>
        </w:rPr>
        <w:noBreakHyphen/>
        <w:t>of</w:t>
      </w:r>
      <w:r w:rsidR="00B82ABF" w:rsidRPr="00453883">
        <w:rPr>
          <w:szCs w:val="24"/>
        </w:rPr>
        <w:noBreakHyphen/>
      </w:r>
      <w:r w:rsidR="00BF612E" w:rsidRPr="00453883">
        <w:rPr>
          <w:szCs w:val="24"/>
        </w:rPr>
        <w:t>province defendants. The allegations that the defendants used Quebec as the face of their securities manipulation and injured Quebec investors establish such a connection to give the FMAT jurisdiction over the defendants. The Quebec legislature has exercised its prescriptive legislative jurisdiction — its power to enact bin</w:t>
      </w:r>
      <w:r w:rsidR="00B82ABF" w:rsidRPr="00453883">
        <w:rPr>
          <w:szCs w:val="24"/>
        </w:rPr>
        <w:t>ding rules applicable to out</w:t>
      </w:r>
      <w:r w:rsidR="00B82ABF" w:rsidRPr="00453883">
        <w:rPr>
          <w:szCs w:val="24"/>
        </w:rPr>
        <w:noBreakHyphen/>
        <w:t>of</w:t>
      </w:r>
      <w:r w:rsidR="00B82ABF" w:rsidRPr="00453883">
        <w:rPr>
          <w:szCs w:val="24"/>
        </w:rPr>
        <w:noBreakHyphen/>
      </w:r>
      <w:r w:rsidR="00BF612E" w:rsidRPr="00453883">
        <w:rPr>
          <w:szCs w:val="24"/>
        </w:rPr>
        <w:t>province parties with a real and substantial connection to Quebec. Those rules are engaged in the circumstances of the instant case. As a result, the FMAT also has adjudicatory jurisdiction, or the authority to hear this matter involving the defendants.</w:t>
      </w:r>
    </w:p>
    <w:p w14:paraId="7043A185" w14:textId="115F19B1" w:rsidR="00BF612E" w:rsidRPr="00453883" w:rsidRDefault="00B82ABF" w:rsidP="00B82ABF">
      <w:pPr>
        <w:pStyle w:val="SCCNormalDoubleSpacing"/>
        <w:spacing w:after="480"/>
        <w:rPr>
          <w:szCs w:val="24"/>
        </w:rPr>
      </w:pPr>
      <w:r w:rsidRPr="00453883">
        <w:rPr>
          <w:szCs w:val="24"/>
        </w:rPr>
        <w:tab/>
      </w:r>
      <w:r w:rsidR="00BF612E" w:rsidRPr="00453883">
        <w:rPr>
          <w:szCs w:val="24"/>
        </w:rPr>
        <w:t xml:space="preserve">Under Quebec civil law, all interpretive exercises of laws governing persons, relations between persons, and property must begin with the </w:t>
      </w:r>
      <w:r w:rsidR="00BF612E" w:rsidRPr="00453883">
        <w:rPr>
          <w:i/>
          <w:szCs w:val="24"/>
        </w:rPr>
        <w:t>C.C.Q.</w:t>
      </w:r>
      <w:r w:rsidR="00BF612E" w:rsidRPr="00453883">
        <w:rPr>
          <w:szCs w:val="24"/>
        </w:rPr>
        <w:t xml:space="preserve">, although special legislation can derogate from the </w:t>
      </w:r>
      <w:r w:rsidR="00BF612E" w:rsidRPr="00453883">
        <w:rPr>
          <w:i/>
          <w:szCs w:val="24"/>
        </w:rPr>
        <w:t>C.C.Q.</w:t>
      </w:r>
      <w:r w:rsidR="00BF612E" w:rsidRPr="00453883">
        <w:rPr>
          <w:szCs w:val="24"/>
        </w:rPr>
        <w:t xml:space="preserve"> when the legislature expresses its intention to do so. As its preliminary provision announces, the </w:t>
      </w:r>
      <w:r w:rsidR="00BF612E" w:rsidRPr="00453883">
        <w:rPr>
          <w:i/>
          <w:szCs w:val="24"/>
        </w:rPr>
        <w:t xml:space="preserve">C.C.Q. </w:t>
      </w:r>
      <w:r w:rsidR="00BF612E" w:rsidRPr="00453883">
        <w:rPr>
          <w:szCs w:val="24"/>
        </w:rPr>
        <w:t xml:space="preserve">lays down the </w:t>
      </w:r>
      <w:r w:rsidR="00BF612E" w:rsidRPr="00453883">
        <w:rPr>
          <w:i/>
          <w:szCs w:val="24"/>
        </w:rPr>
        <w:t>jus commune</w:t>
      </w:r>
      <w:r w:rsidR="00BF612E" w:rsidRPr="00453883">
        <w:rPr>
          <w:szCs w:val="24"/>
        </w:rPr>
        <w:t>, or the law of general application, of Quebec in all matters within the letter, spirit, or object of its provisions. I</w:t>
      </w:r>
      <w:r w:rsidR="005754C7" w:rsidRPr="00453883">
        <w:rPr>
          <w:szCs w:val="24"/>
        </w:rPr>
        <w:t>t</w:t>
      </w:r>
      <w:r w:rsidR="00BF612E" w:rsidRPr="00453883">
        <w:rPr>
          <w:szCs w:val="24"/>
        </w:rPr>
        <w:t xml:space="preserve"> has a suppletive role and </w:t>
      </w:r>
      <w:r w:rsidR="005754C7" w:rsidRPr="00453883">
        <w:rPr>
          <w:szCs w:val="24"/>
        </w:rPr>
        <w:t xml:space="preserve">can </w:t>
      </w:r>
      <w:r w:rsidR="00BF612E" w:rsidRPr="00453883">
        <w:rPr>
          <w:szCs w:val="24"/>
        </w:rPr>
        <w:t xml:space="preserve">fill gaps in special statutes to the extent that legislation is silent on a given matter, thus preventing a legal vacuum. The proper interpretive methodology in determining the relationship between the </w:t>
      </w:r>
      <w:r w:rsidR="00BF612E" w:rsidRPr="00453883">
        <w:rPr>
          <w:i/>
          <w:szCs w:val="24"/>
        </w:rPr>
        <w:t xml:space="preserve">C.C.Q. </w:t>
      </w:r>
      <w:r w:rsidR="00BF612E" w:rsidRPr="00453883">
        <w:rPr>
          <w:szCs w:val="24"/>
        </w:rPr>
        <w:t xml:space="preserve">and special statutes governing persons, relations between persons, and property is to start with the </w:t>
      </w:r>
      <w:r w:rsidR="00BF612E" w:rsidRPr="00453883">
        <w:rPr>
          <w:i/>
          <w:szCs w:val="24"/>
        </w:rPr>
        <w:t>jus commune</w:t>
      </w:r>
      <w:r w:rsidR="00BF612E" w:rsidRPr="00453883">
        <w:rPr>
          <w:szCs w:val="24"/>
        </w:rPr>
        <w:t xml:space="preserve"> in the </w:t>
      </w:r>
      <w:r w:rsidR="00BF612E" w:rsidRPr="00453883">
        <w:rPr>
          <w:i/>
          <w:szCs w:val="24"/>
        </w:rPr>
        <w:t>C.C.Q.</w:t>
      </w:r>
      <w:r w:rsidR="00BF612E" w:rsidRPr="00453883">
        <w:rPr>
          <w:szCs w:val="24"/>
        </w:rPr>
        <w:t xml:space="preserve">, and then to ask whether the special statute complements or derogates from the </w:t>
      </w:r>
      <w:r w:rsidR="00BF612E" w:rsidRPr="00453883">
        <w:rPr>
          <w:i/>
          <w:szCs w:val="24"/>
        </w:rPr>
        <w:t>jus commune</w:t>
      </w:r>
      <w:r w:rsidR="00BF612E" w:rsidRPr="00453883">
        <w:rPr>
          <w:szCs w:val="24"/>
        </w:rPr>
        <w:t>.</w:t>
      </w:r>
    </w:p>
    <w:p w14:paraId="6D9853D7" w14:textId="52459764" w:rsidR="00BF612E" w:rsidRPr="00453883" w:rsidRDefault="00B82ABF" w:rsidP="00B82ABF">
      <w:pPr>
        <w:pStyle w:val="SCCNormalDoubleSpacing"/>
        <w:spacing w:after="480"/>
        <w:rPr>
          <w:szCs w:val="24"/>
        </w:rPr>
      </w:pPr>
      <w:r w:rsidRPr="00453883">
        <w:rPr>
          <w:szCs w:val="24"/>
        </w:rPr>
        <w:tab/>
      </w:r>
      <w:r w:rsidR="00BF612E" w:rsidRPr="00453883">
        <w:rPr>
          <w:szCs w:val="24"/>
        </w:rPr>
        <w:t xml:space="preserve">The </w:t>
      </w:r>
      <w:r w:rsidR="00BF612E" w:rsidRPr="00453883">
        <w:rPr>
          <w:i/>
          <w:szCs w:val="24"/>
        </w:rPr>
        <w:t>C.C.Q.</w:t>
      </w:r>
      <w:r w:rsidR="00BF612E" w:rsidRPr="00453883">
        <w:rPr>
          <w:szCs w:val="24"/>
        </w:rPr>
        <w:t xml:space="preserve"> does not simply lay down rules of private law on a narrow compass. The preliminary provision of the </w:t>
      </w:r>
      <w:r w:rsidR="00BF612E" w:rsidRPr="00453883">
        <w:rPr>
          <w:i/>
          <w:szCs w:val="24"/>
        </w:rPr>
        <w:t>C.C.Q.</w:t>
      </w:r>
      <w:r w:rsidR="00BF612E" w:rsidRPr="00453883">
        <w:rPr>
          <w:szCs w:val="24"/>
        </w:rPr>
        <w:t xml:space="preserve"> provides that the </w:t>
      </w:r>
      <w:r w:rsidR="00BF612E" w:rsidRPr="00453883">
        <w:rPr>
          <w:i/>
          <w:szCs w:val="24"/>
        </w:rPr>
        <w:t>C.C.Q</w:t>
      </w:r>
      <w:r w:rsidR="00BF612E" w:rsidRPr="00453883">
        <w:rPr>
          <w:szCs w:val="24"/>
        </w:rPr>
        <w:t xml:space="preserve">. lays down the </w:t>
      </w:r>
      <w:r w:rsidR="00BF612E" w:rsidRPr="00453883">
        <w:rPr>
          <w:i/>
          <w:szCs w:val="24"/>
        </w:rPr>
        <w:t>jus commune</w:t>
      </w:r>
      <w:r w:rsidR="00BF612E" w:rsidRPr="00453883">
        <w:rPr>
          <w:szCs w:val="24"/>
        </w:rPr>
        <w:t xml:space="preserve">, and the </w:t>
      </w:r>
      <w:r w:rsidR="00BF612E" w:rsidRPr="00453883">
        <w:rPr>
          <w:i/>
          <w:szCs w:val="24"/>
        </w:rPr>
        <w:t>C.C.Q.</w:t>
      </w:r>
      <w:r w:rsidR="00BF612E" w:rsidRPr="00453883">
        <w:rPr>
          <w:szCs w:val="24"/>
        </w:rPr>
        <w:t xml:space="preserve"> contains rules of public law and is an important source o</w:t>
      </w:r>
      <w:r w:rsidR="00F104EE" w:rsidRPr="00453883">
        <w:rPr>
          <w:szCs w:val="24"/>
        </w:rPr>
        <w:t>f administrative law in Quebec.</w:t>
      </w:r>
      <w:r w:rsidR="00BF612E" w:rsidRPr="00453883">
        <w:rPr>
          <w:szCs w:val="24"/>
        </w:rPr>
        <w:t xml:space="preserve"> As a result, the proper way to determine whether the </w:t>
      </w:r>
      <w:r w:rsidR="00BF612E" w:rsidRPr="00453883">
        <w:rPr>
          <w:i/>
          <w:szCs w:val="24"/>
        </w:rPr>
        <w:t xml:space="preserve">C.C.Q. </w:t>
      </w:r>
      <w:r w:rsidR="00BF612E" w:rsidRPr="00453883">
        <w:rPr>
          <w:szCs w:val="24"/>
        </w:rPr>
        <w:t xml:space="preserve">applies does not involve characterizing the right at issue as either a private law or public law matter. Book Ten of the </w:t>
      </w:r>
      <w:r w:rsidR="00BF612E" w:rsidRPr="00453883">
        <w:rPr>
          <w:i/>
          <w:szCs w:val="24"/>
        </w:rPr>
        <w:t>C.C.Q</w:t>
      </w:r>
      <w:r w:rsidR="00BF612E" w:rsidRPr="00453883">
        <w:rPr>
          <w:szCs w:val="24"/>
        </w:rPr>
        <w:t xml:space="preserve">., which codifies the rules of private international law in Quebec, therefore applies as the </w:t>
      </w:r>
      <w:r w:rsidR="00BF612E" w:rsidRPr="00453883">
        <w:rPr>
          <w:i/>
          <w:szCs w:val="24"/>
        </w:rPr>
        <w:t>jus commune</w:t>
      </w:r>
      <w:r w:rsidR="00BF612E" w:rsidRPr="00453883">
        <w:rPr>
          <w:szCs w:val="24"/>
        </w:rPr>
        <w:t xml:space="preserve"> beyond matters of private law to all matters within the letter, spirit, or object of the </w:t>
      </w:r>
      <w:r w:rsidR="00BF612E" w:rsidRPr="00453883">
        <w:rPr>
          <w:i/>
          <w:szCs w:val="24"/>
        </w:rPr>
        <w:t>C.C.Q.</w:t>
      </w:r>
      <w:r w:rsidR="00BF612E" w:rsidRPr="00453883">
        <w:rPr>
          <w:szCs w:val="24"/>
        </w:rPr>
        <w:t>’s provisions, and it applies to administrative tribunals like the FMAT regardless of whether private rights are at issue, unless otherwise provided by law. Furthermore, Title Three of Book Ten applies not just in cases of conflict of jurisdiction; it applies more broadly to determine the “International Jurisdiction of Québec Authorities”</w:t>
      </w:r>
      <w:r w:rsidR="001B61FB" w:rsidRPr="00453883">
        <w:rPr>
          <w:szCs w:val="24"/>
        </w:rPr>
        <w:t>.</w:t>
      </w:r>
    </w:p>
    <w:p w14:paraId="07D547EF" w14:textId="031A7891" w:rsidR="00BF612E" w:rsidRPr="00453883" w:rsidRDefault="00B82ABF" w:rsidP="00B82ABF">
      <w:pPr>
        <w:pStyle w:val="SCCNormalDoubleSpacing"/>
        <w:spacing w:after="480"/>
        <w:rPr>
          <w:szCs w:val="24"/>
        </w:rPr>
      </w:pPr>
      <w:r w:rsidRPr="00453883">
        <w:rPr>
          <w:szCs w:val="24"/>
        </w:rPr>
        <w:tab/>
      </w:r>
      <w:r w:rsidR="00BF612E" w:rsidRPr="00453883">
        <w:rPr>
          <w:szCs w:val="24"/>
        </w:rPr>
        <w:t xml:space="preserve">The application of the interpretive methodology regarding the relationship between the </w:t>
      </w:r>
      <w:r w:rsidR="00BF612E" w:rsidRPr="00453883">
        <w:rPr>
          <w:i/>
          <w:szCs w:val="24"/>
        </w:rPr>
        <w:t xml:space="preserve">C.C.Q. </w:t>
      </w:r>
      <w:r w:rsidR="00BF612E" w:rsidRPr="00453883">
        <w:rPr>
          <w:szCs w:val="24"/>
        </w:rPr>
        <w:t xml:space="preserve">and special statutes in the instant case leads to the conclusion that the </w:t>
      </w:r>
      <w:r w:rsidR="00BF612E" w:rsidRPr="00453883">
        <w:rPr>
          <w:i/>
          <w:szCs w:val="24"/>
        </w:rPr>
        <w:t>C.C.Q.</w:t>
      </w:r>
      <w:r w:rsidR="00BF612E" w:rsidRPr="00453883">
        <w:rPr>
          <w:szCs w:val="24"/>
        </w:rPr>
        <w:t xml:space="preserve"> does not grant the FMAT jurisdiction over the defendants.</w:t>
      </w:r>
      <w:r w:rsidR="00BF612E" w:rsidRPr="00453883" w:rsidDel="00541F37">
        <w:rPr>
          <w:szCs w:val="24"/>
        </w:rPr>
        <w:t xml:space="preserve"> </w:t>
      </w:r>
      <w:r w:rsidR="00BF612E" w:rsidRPr="00453883">
        <w:rPr>
          <w:szCs w:val="24"/>
        </w:rPr>
        <w:t>The FMAT’s jurisdiction does not arise from</w:t>
      </w:r>
      <w:r w:rsidRPr="00453883">
        <w:rPr>
          <w:szCs w:val="24"/>
        </w:rPr>
        <w:t xml:space="preserve"> art. </w:t>
      </w:r>
      <w:r w:rsidR="00BF612E" w:rsidRPr="00453883">
        <w:rPr>
          <w:szCs w:val="24"/>
        </w:rPr>
        <w:t>3148 para 1(3) or from art.</w:t>
      </w:r>
      <w:r w:rsidR="001C5C52" w:rsidRPr="00453883">
        <w:rPr>
          <w:szCs w:val="24"/>
        </w:rPr>
        <w:t> </w:t>
      </w:r>
      <w:r w:rsidR="00BF612E" w:rsidRPr="00453883">
        <w:rPr>
          <w:szCs w:val="24"/>
        </w:rPr>
        <w:t xml:space="preserve">3136 </w:t>
      </w:r>
      <w:r w:rsidR="00BF612E" w:rsidRPr="00453883">
        <w:rPr>
          <w:i/>
          <w:szCs w:val="24"/>
        </w:rPr>
        <w:t>C.C.Q</w:t>
      </w:r>
      <w:r w:rsidR="00BF612E" w:rsidRPr="00453883">
        <w:rPr>
          <w:szCs w:val="24"/>
        </w:rPr>
        <w:t>. Article</w:t>
      </w:r>
      <w:r w:rsidRPr="00453883">
        <w:rPr>
          <w:szCs w:val="24"/>
        </w:rPr>
        <w:t xml:space="preserve"> 3148 para. </w:t>
      </w:r>
      <w:r w:rsidR="00BF612E" w:rsidRPr="00453883">
        <w:rPr>
          <w:szCs w:val="24"/>
        </w:rPr>
        <w:t xml:space="preserve">1(3) </w:t>
      </w:r>
      <w:r w:rsidR="00BF612E" w:rsidRPr="00453883">
        <w:rPr>
          <w:i/>
          <w:szCs w:val="24"/>
        </w:rPr>
        <w:t>C.C.Q</w:t>
      </w:r>
      <w:r w:rsidR="00BF612E" w:rsidRPr="00453883">
        <w:rPr>
          <w:szCs w:val="24"/>
        </w:rPr>
        <w:t xml:space="preserve">. does not apply directly because the proceeding before the FMAT does not involve a personal action of a patrimonial nature, which implies the assertion of rights that </w:t>
      </w:r>
      <w:r w:rsidR="001F63DA" w:rsidRPr="00453883">
        <w:rPr>
          <w:szCs w:val="24"/>
        </w:rPr>
        <w:t xml:space="preserve">by their very essence have a monetary value </w:t>
      </w:r>
      <w:r w:rsidR="00BF612E" w:rsidRPr="00453883">
        <w:rPr>
          <w:szCs w:val="24"/>
        </w:rPr>
        <w:t>and are transmissible as property. Rather, the AMF has brought an action before the FMAT in the public interest, rather than in a strictly personal capacity. Its action aims to prevent future harm to the Quebec securities market and is neither restorative nor punitive.</w:t>
      </w:r>
      <w:r w:rsidR="00BF612E" w:rsidRPr="00453883">
        <w:t xml:space="preserve"> </w:t>
      </w:r>
      <w:r w:rsidR="00BF612E" w:rsidRPr="00453883">
        <w:rPr>
          <w:szCs w:val="24"/>
        </w:rPr>
        <w:t>It does not involve a person taking legal action against another based on personal rights that are transmissible as property. In addition, a</w:t>
      </w:r>
      <w:r w:rsidRPr="00453883">
        <w:rPr>
          <w:szCs w:val="24"/>
        </w:rPr>
        <w:t>rt. 3148 para. </w:t>
      </w:r>
      <w:r w:rsidR="00BF612E" w:rsidRPr="00453883">
        <w:rPr>
          <w:szCs w:val="24"/>
        </w:rPr>
        <w:t xml:space="preserve">1(3) </w:t>
      </w:r>
      <w:r w:rsidR="00BF612E" w:rsidRPr="00453883">
        <w:rPr>
          <w:i/>
          <w:szCs w:val="24"/>
        </w:rPr>
        <w:t>C.C.Q.</w:t>
      </w:r>
      <w:r w:rsidR="00BF612E" w:rsidRPr="00453883">
        <w:rPr>
          <w:szCs w:val="24"/>
        </w:rPr>
        <w:t xml:space="preserve"> cannot be applied by analogy because there is no tenable analogy between a personal action of a patrimonial nature, which seeks the enforcement of a debt under private law, and a regulatory prosecution by the state, which seeks public interest remedies rather than simply private reparation. Such proceedings are of a fundament</w:t>
      </w:r>
      <w:r w:rsidRPr="00453883">
        <w:rPr>
          <w:szCs w:val="24"/>
        </w:rPr>
        <w:t>ally different legal character</w:t>
      </w:r>
      <w:r w:rsidR="00BF612E" w:rsidRPr="00453883">
        <w:rPr>
          <w:szCs w:val="24"/>
        </w:rPr>
        <w:t>.</w:t>
      </w:r>
      <w:r w:rsidR="00C853A8" w:rsidRPr="00453883">
        <w:rPr>
          <w:szCs w:val="24"/>
        </w:rPr>
        <w:t xml:space="preserve"> </w:t>
      </w:r>
      <w:r w:rsidR="00BF612E" w:rsidRPr="00453883">
        <w:rPr>
          <w:szCs w:val="24"/>
        </w:rPr>
        <w:t>As for a</w:t>
      </w:r>
      <w:r w:rsidRPr="00453883">
        <w:rPr>
          <w:szCs w:val="24"/>
        </w:rPr>
        <w:t>rt. </w:t>
      </w:r>
      <w:r w:rsidR="00BF612E" w:rsidRPr="00453883">
        <w:rPr>
          <w:szCs w:val="24"/>
        </w:rPr>
        <w:t xml:space="preserve">3136 </w:t>
      </w:r>
      <w:r w:rsidR="00BF612E" w:rsidRPr="00453883">
        <w:rPr>
          <w:i/>
          <w:szCs w:val="24"/>
        </w:rPr>
        <w:t>C.C.Q.</w:t>
      </w:r>
      <w:r w:rsidR="00BF612E" w:rsidRPr="00453883">
        <w:rPr>
          <w:szCs w:val="24"/>
        </w:rPr>
        <w:t>, it does not provide a basis for the FMAT’s jurisdiction for two reasons. First, the AMF did not seek to rely on it — the Court has previously confirmed that it may be applied only if one of the parties raises it. Second, for it to apply, a Quebec authority must otherwise have no jurisdiction to hear a dispute. The FMAT, however, does have jurisdiction under the special jurisdictional rules of the Quebec securities scheme.</w:t>
      </w:r>
    </w:p>
    <w:p w14:paraId="1C3553CC" w14:textId="1E4062B5" w:rsidR="00BF612E" w:rsidRPr="00453883" w:rsidRDefault="000F1FD3" w:rsidP="000F1FD3">
      <w:pPr>
        <w:pStyle w:val="SCCNormalDoubleSpacing"/>
        <w:spacing w:after="480"/>
        <w:rPr>
          <w:szCs w:val="24"/>
        </w:rPr>
      </w:pPr>
      <w:r w:rsidRPr="00453883">
        <w:rPr>
          <w:szCs w:val="24"/>
        </w:rPr>
        <w:tab/>
      </w:r>
      <w:r w:rsidR="00BF612E" w:rsidRPr="00453883">
        <w:rPr>
          <w:szCs w:val="24"/>
        </w:rPr>
        <w:t xml:space="preserve">The FMAT has jurisdiction under two special statutes: the Quebec </w:t>
      </w:r>
      <w:r w:rsidR="00BF612E" w:rsidRPr="00453883">
        <w:rPr>
          <w:i/>
          <w:szCs w:val="24"/>
        </w:rPr>
        <w:t>Securities Act</w:t>
      </w:r>
      <w:r w:rsidR="00BF612E" w:rsidRPr="00453883">
        <w:rPr>
          <w:szCs w:val="24"/>
        </w:rPr>
        <w:t xml:space="preserve"> and the </w:t>
      </w:r>
      <w:r w:rsidR="00BF612E" w:rsidRPr="00453883">
        <w:rPr>
          <w:i/>
          <w:szCs w:val="24"/>
        </w:rPr>
        <w:t>Act respecting the Autorité des marchés financiers</w:t>
      </w:r>
      <w:r w:rsidR="00BF612E" w:rsidRPr="00453883">
        <w:rPr>
          <w:szCs w:val="24"/>
        </w:rPr>
        <w:t xml:space="preserve">, now known as the </w:t>
      </w:r>
      <w:r w:rsidR="00BF612E" w:rsidRPr="00453883">
        <w:rPr>
          <w:i/>
          <w:szCs w:val="24"/>
        </w:rPr>
        <w:t>Act respecting the regulation of the financial sector</w:t>
      </w:r>
      <w:r w:rsidR="00BF612E" w:rsidRPr="00453883">
        <w:rPr>
          <w:szCs w:val="24"/>
        </w:rPr>
        <w:t xml:space="preserve">. Section 93 of the </w:t>
      </w:r>
      <w:r w:rsidR="00BF612E" w:rsidRPr="00453883">
        <w:rPr>
          <w:i/>
          <w:szCs w:val="24"/>
        </w:rPr>
        <w:t>Act respecting the Autorité des marchés financiers</w:t>
      </w:r>
      <w:r w:rsidR="00BF612E" w:rsidRPr="00453883">
        <w:rPr>
          <w:szCs w:val="24"/>
        </w:rPr>
        <w:t xml:space="preserve"> provides that the FMAT’s function is to make determinations regarding matters brought under the </w:t>
      </w:r>
      <w:r w:rsidR="00BF612E" w:rsidRPr="00453883">
        <w:rPr>
          <w:i/>
          <w:szCs w:val="24"/>
        </w:rPr>
        <w:t>Act respecting the Autorité des marchés financiers</w:t>
      </w:r>
      <w:r w:rsidR="00BF612E" w:rsidRPr="00453883">
        <w:rPr>
          <w:szCs w:val="24"/>
        </w:rPr>
        <w:t xml:space="preserve"> and other Acts listed in the provision, including the </w:t>
      </w:r>
      <w:r w:rsidR="00BF612E" w:rsidRPr="00453883">
        <w:rPr>
          <w:i/>
          <w:szCs w:val="24"/>
        </w:rPr>
        <w:t>Securities Act</w:t>
      </w:r>
      <w:r w:rsidR="00BF612E" w:rsidRPr="00453883">
        <w:rPr>
          <w:szCs w:val="24"/>
        </w:rPr>
        <w:t xml:space="preserve">. It thus grants the FMAT jurisdiction over the adjudication of matters brought under the </w:t>
      </w:r>
      <w:r w:rsidR="00BF612E" w:rsidRPr="00453883">
        <w:rPr>
          <w:i/>
          <w:szCs w:val="24"/>
        </w:rPr>
        <w:t>Securities Act</w:t>
      </w:r>
      <w:r w:rsidR="00BF612E" w:rsidRPr="00453883">
        <w:rPr>
          <w:szCs w:val="24"/>
        </w:rPr>
        <w:t xml:space="preserve">. Section 94 grants the FMAT jurisdiction to take any measure to ensure compliance with any of the </w:t>
      </w:r>
      <w:r w:rsidRPr="00453883">
        <w:rPr>
          <w:szCs w:val="24"/>
        </w:rPr>
        <w:t>Acts referred to in s. </w:t>
      </w:r>
      <w:r w:rsidR="00BF612E" w:rsidRPr="00453883">
        <w:rPr>
          <w:szCs w:val="24"/>
        </w:rPr>
        <w:t>93. Sections 265, 273.1</w:t>
      </w:r>
      <w:r w:rsidR="00C853A8" w:rsidRPr="00453883">
        <w:rPr>
          <w:szCs w:val="24"/>
        </w:rPr>
        <w:t>,</w:t>
      </w:r>
      <w:r w:rsidR="00BF612E" w:rsidRPr="00453883">
        <w:rPr>
          <w:szCs w:val="24"/>
        </w:rPr>
        <w:t xml:space="preserve"> and 273.3 of the </w:t>
      </w:r>
      <w:r w:rsidR="00BF612E" w:rsidRPr="00453883">
        <w:rPr>
          <w:i/>
          <w:szCs w:val="24"/>
        </w:rPr>
        <w:t>Securities Act</w:t>
      </w:r>
      <w:r w:rsidR="00BF612E" w:rsidRPr="00453883">
        <w:rPr>
          <w:szCs w:val="24"/>
        </w:rPr>
        <w:t xml:space="preserve"> empower the FMAT to act in a broad range of circumstances. These provisions must be read in conjunction with the </w:t>
      </w:r>
      <w:r w:rsidR="00BF612E" w:rsidRPr="00453883">
        <w:rPr>
          <w:i/>
          <w:szCs w:val="24"/>
        </w:rPr>
        <w:t>Act respecting the Autorité des marchés financiers</w:t>
      </w:r>
      <w:r w:rsidR="00BF612E" w:rsidRPr="00453883">
        <w:rPr>
          <w:szCs w:val="24"/>
        </w:rPr>
        <w:t>, which explicitly provides for the FMAT’s jurisdiction to make determinations over matters brought under the two Acts.</w:t>
      </w:r>
    </w:p>
    <w:p w14:paraId="44DC86E3" w14:textId="368465C7" w:rsidR="00BF612E" w:rsidRPr="00453883" w:rsidRDefault="000F1FD3" w:rsidP="000F1FD3">
      <w:pPr>
        <w:pStyle w:val="SCCNormalDoubleSpacing"/>
        <w:spacing w:after="480"/>
        <w:rPr>
          <w:szCs w:val="24"/>
        </w:rPr>
      </w:pPr>
      <w:r w:rsidRPr="00453883">
        <w:rPr>
          <w:szCs w:val="24"/>
        </w:rPr>
        <w:tab/>
      </w:r>
      <w:r w:rsidR="00BF612E" w:rsidRPr="00453883">
        <w:rPr>
          <w:szCs w:val="24"/>
        </w:rPr>
        <w:t xml:space="preserve">Neither the </w:t>
      </w:r>
      <w:r w:rsidR="00BF612E" w:rsidRPr="00453883">
        <w:rPr>
          <w:i/>
          <w:szCs w:val="24"/>
        </w:rPr>
        <w:t>Securities Act</w:t>
      </w:r>
      <w:r w:rsidR="00BF612E" w:rsidRPr="00453883">
        <w:rPr>
          <w:szCs w:val="24"/>
        </w:rPr>
        <w:t xml:space="preserve"> nor the </w:t>
      </w:r>
      <w:r w:rsidR="00BF612E" w:rsidRPr="00453883">
        <w:rPr>
          <w:i/>
          <w:szCs w:val="24"/>
        </w:rPr>
        <w:t>Act respecting the Autorité des marchés financiers</w:t>
      </w:r>
      <w:r w:rsidR="00BF612E" w:rsidRPr="00453883">
        <w:rPr>
          <w:szCs w:val="24"/>
        </w:rPr>
        <w:t xml:space="preserve"> expressly provide for the FMAT to asse</w:t>
      </w:r>
      <w:r w:rsidRPr="00453883">
        <w:rPr>
          <w:szCs w:val="24"/>
        </w:rPr>
        <w:t>rt jurisdiction over out</w:t>
      </w:r>
      <w:r w:rsidRPr="00453883">
        <w:rPr>
          <w:szCs w:val="24"/>
        </w:rPr>
        <w:noBreakHyphen/>
        <w:t>of</w:t>
      </w:r>
      <w:r w:rsidRPr="00453883">
        <w:rPr>
          <w:szCs w:val="24"/>
        </w:rPr>
        <w:noBreakHyphen/>
      </w:r>
      <w:r w:rsidR="00BF612E" w:rsidRPr="00453883">
        <w:rPr>
          <w:szCs w:val="24"/>
        </w:rPr>
        <w:t xml:space="preserve">province parties, or otherwise limits the territorial reach of the Quebec securities scheme over interprovincial or international transactions. To evaluate whether these statutes may be applied in such circumstances, the Quebec securities scheme must be interpreted to determine its territorial reach. This involves consideration of the Court’s decision in </w:t>
      </w:r>
      <w:r w:rsidR="00BF612E" w:rsidRPr="00453883">
        <w:rPr>
          <w:i/>
          <w:szCs w:val="24"/>
        </w:rPr>
        <w:t>Unifund</w:t>
      </w:r>
      <w:r w:rsidR="00BF612E" w:rsidRPr="00453883">
        <w:rPr>
          <w:szCs w:val="24"/>
        </w:rPr>
        <w:t xml:space="preserve">, which holds that the permissible territorial application of provincial legislation is determined by assessing the sufficiency of the connection among the enacting jurisdiction, the subject matter of the legislation, and the individual or entity sought to be regulated, subject to the principles of order and fairness. The “real and substantial connection” test in </w:t>
      </w:r>
      <w:r w:rsidR="00BF612E" w:rsidRPr="00453883">
        <w:rPr>
          <w:i/>
          <w:szCs w:val="24"/>
        </w:rPr>
        <w:t>Unifund</w:t>
      </w:r>
      <w:r w:rsidR="00BF612E" w:rsidRPr="00453883">
        <w:rPr>
          <w:szCs w:val="24"/>
        </w:rPr>
        <w:t xml:space="preserve"> is the accepted test for discerning the presumptively intended reach of federal legislation as well as the constitutionally permissible application of provincial legislation. It is concerned with the constitutional applicability of legislation and not with its constitutional validity. Moreover, it functions as a principle of statutory interpretation: it limits, or reads down, the territorial reach of otherwise broadly framed provincial legislation, consistent with the territorial restrictions on prov</w:t>
      </w:r>
      <w:r w:rsidRPr="00453883">
        <w:rPr>
          <w:szCs w:val="24"/>
        </w:rPr>
        <w:t>incial legislative power in ss. </w:t>
      </w:r>
      <w:r w:rsidR="00BF612E" w:rsidRPr="00453883">
        <w:rPr>
          <w:szCs w:val="24"/>
        </w:rPr>
        <w:t xml:space="preserve">91 and 92 of the </w:t>
      </w:r>
      <w:r w:rsidR="00BF612E" w:rsidRPr="00453883">
        <w:rPr>
          <w:i/>
          <w:szCs w:val="24"/>
        </w:rPr>
        <w:t>Constitution Act, 1867</w:t>
      </w:r>
      <w:r w:rsidR="00BF612E" w:rsidRPr="00453883">
        <w:rPr>
          <w:szCs w:val="24"/>
        </w:rPr>
        <w:t>, by insisting on a “sufficient connection” betw</w:t>
      </w:r>
      <w:r w:rsidRPr="00453883">
        <w:rPr>
          <w:szCs w:val="24"/>
        </w:rPr>
        <w:t>een the legislation and the out</w:t>
      </w:r>
      <w:r w:rsidRPr="00453883">
        <w:rPr>
          <w:szCs w:val="24"/>
        </w:rPr>
        <w:noBreakHyphen/>
        <w:t>of</w:t>
      </w:r>
      <w:r w:rsidRPr="00453883">
        <w:rPr>
          <w:szCs w:val="24"/>
        </w:rPr>
        <w:noBreakHyphen/>
      </w:r>
      <w:r w:rsidR="00BF612E" w:rsidRPr="00453883">
        <w:rPr>
          <w:szCs w:val="24"/>
        </w:rPr>
        <w:t>province defendant. It also relates to prescriptive legislative jurisdic</w:t>
      </w:r>
      <w:r w:rsidR="00F9204D" w:rsidRPr="00453883">
        <w:rPr>
          <w:szCs w:val="24"/>
        </w:rPr>
        <w:t xml:space="preserve">tion, rather than adjudicatory </w:t>
      </w:r>
      <w:r w:rsidR="00BF612E" w:rsidRPr="00453883">
        <w:rPr>
          <w:szCs w:val="24"/>
        </w:rPr>
        <w:t xml:space="preserve">jurisdiction. Furthermore, it is distinct from the “real and substantial connection” tests that the Court has developed elsewhere in the domain of conflicts of laws. The “real and substantial connection” test is a family of tests and requires different considerations in each of the varying contexts in which its formula is employed. For example, the “real and substantial connection” test set out in </w:t>
      </w:r>
      <w:r w:rsidR="00BF612E" w:rsidRPr="00453883">
        <w:rPr>
          <w:i/>
          <w:szCs w:val="24"/>
        </w:rPr>
        <w:t xml:space="preserve">Van Breda </w:t>
      </w:r>
      <w:r w:rsidR="00BF612E" w:rsidRPr="00453883">
        <w:rPr>
          <w:szCs w:val="24"/>
        </w:rPr>
        <w:t>applies in the context of tort claims at common law and does not apply in Quebec.</w:t>
      </w:r>
    </w:p>
    <w:p w14:paraId="5B2F7AC5" w14:textId="489E2D36" w:rsidR="00BF612E" w:rsidRPr="00453883" w:rsidRDefault="000F1FD3" w:rsidP="000F1FD3">
      <w:pPr>
        <w:pStyle w:val="SCCNormalDoubleSpacing"/>
        <w:spacing w:after="480"/>
        <w:rPr>
          <w:szCs w:val="24"/>
        </w:rPr>
      </w:pPr>
      <w:r w:rsidRPr="00453883">
        <w:rPr>
          <w:szCs w:val="24"/>
        </w:rPr>
        <w:tab/>
      </w:r>
      <w:r w:rsidR="00BF612E" w:rsidRPr="00453883">
        <w:rPr>
          <w:szCs w:val="24"/>
        </w:rPr>
        <w:t xml:space="preserve">Interpreted in light of the </w:t>
      </w:r>
      <w:r w:rsidR="00BF612E" w:rsidRPr="00453883">
        <w:rPr>
          <w:i/>
          <w:szCs w:val="24"/>
        </w:rPr>
        <w:t>Unifund</w:t>
      </w:r>
      <w:r w:rsidR="00BF612E" w:rsidRPr="00453883">
        <w:rPr>
          <w:szCs w:val="24"/>
        </w:rPr>
        <w:t xml:space="preserve"> test, the Quebec securities scheme pro</w:t>
      </w:r>
      <w:r w:rsidRPr="00453883">
        <w:rPr>
          <w:szCs w:val="24"/>
        </w:rPr>
        <w:t>vides for jurisdiction over out</w:t>
      </w:r>
      <w:r w:rsidRPr="00453883">
        <w:rPr>
          <w:szCs w:val="24"/>
        </w:rPr>
        <w:noBreakHyphen/>
        <w:t>of</w:t>
      </w:r>
      <w:r w:rsidRPr="00453883">
        <w:rPr>
          <w:szCs w:val="24"/>
        </w:rPr>
        <w:noBreakHyphen/>
      </w:r>
      <w:r w:rsidR="00BF612E" w:rsidRPr="00453883">
        <w:rPr>
          <w:szCs w:val="24"/>
        </w:rPr>
        <w:t>province parties with a “sufficient connection” or “real and substantial connection” with Quebec. The “sufficient connection” analysis must recognize the transnational nature of modern securities regulation and the public interest in addressing international market manipulation. Securities regulation raises unique considerations that highlight the need for transnational enforcement. In the instant case, there is a sufficient connec</w:t>
      </w:r>
      <w:r w:rsidRPr="00453883">
        <w:rPr>
          <w:szCs w:val="24"/>
        </w:rPr>
        <w:t>tion between Quebec and the out</w:t>
      </w:r>
      <w:r w:rsidRPr="00453883">
        <w:rPr>
          <w:szCs w:val="24"/>
        </w:rPr>
        <w:noBreakHyphen/>
        <w:t>of</w:t>
      </w:r>
      <w:r w:rsidRPr="00453883">
        <w:rPr>
          <w:szCs w:val="24"/>
        </w:rPr>
        <w:noBreakHyphen/>
      </w:r>
      <w:r w:rsidR="00BF612E" w:rsidRPr="00453883">
        <w:rPr>
          <w:szCs w:val="24"/>
        </w:rPr>
        <w:t>province defendants. The defendants allegedly used Quebec as the face of</w:t>
      </w:r>
      <w:r w:rsidRPr="00453883">
        <w:rPr>
          <w:szCs w:val="24"/>
        </w:rPr>
        <w:t xml:space="preserve"> their alleged pump</w:t>
      </w:r>
      <w:r w:rsidRPr="00453883">
        <w:rPr>
          <w:szCs w:val="24"/>
        </w:rPr>
        <w:noBreakHyphen/>
        <w:t>and</w:t>
      </w:r>
      <w:r w:rsidRPr="00453883">
        <w:rPr>
          <w:szCs w:val="24"/>
        </w:rPr>
        <w:noBreakHyphen/>
      </w:r>
      <w:r w:rsidR="00BF612E" w:rsidRPr="00453883">
        <w:rPr>
          <w:szCs w:val="24"/>
        </w:rPr>
        <w:t xml:space="preserve">dump scheme. They participated in marketing or financing efforts and partly targeted Quebec residents. The shell company through which the defendants operated their scheme was a reporting issuer in Quebec, and its director was a Quebec resident. It would </w:t>
      </w:r>
      <w:r w:rsidRPr="00453883">
        <w:rPr>
          <w:szCs w:val="24"/>
        </w:rPr>
        <w:t>defeat the purpose of the cross</w:t>
      </w:r>
      <w:r w:rsidRPr="00453883">
        <w:rPr>
          <w:szCs w:val="24"/>
        </w:rPr>
        <w:noBreakHyphen/>
      </w:r>
      <w:r w:rsidR="00BF612E" w:rsidRPr="00453883">
        <w:rPr>
          <w:szCs w:val="24"/>
        </w:rPr>
        <w:t>border nature of modern securities regulation to allow the defendants to escape the reach of Quebec’s regulatory oversight. Applying the Quebec regulatory regime is fair to the defendants: their entrance into Quebec’s market was not accidental or irrelevant, but rather was an integral part of their securities manipulation operation. Moreover, applying the Quebec regulatory scheme does not offend the principle of order or the related concept of interprovincial comity. Because contemporary securities manipulation and fraud are often transnational and extend across provincial and national borders, courts and tribunals must take a flexible and purposive approach when applying the principles of order and fairness in the securities context.</w:t>
      </w:r>
    </w:p>
    <w:p w14:paraId="3483A397" w14:textId="65E83F05" w:rsidR="00463E42" w:rsidRPr="00453883" w:rsidRDefault="003D75C4" w:rsidP="003D75C4">
      <w:pPr>
        <w:pStyle w:val="SCCNormalDoubleSpacing"/>
        <w:spacing w:after="480"/>
        <w:rPr>
          <w:szCs w:val="24"/>
        </w:rPr>
      </w:pPr>
      <w:r w:rsidRPr="00453883">
        <w:rPr>
          <w:i/>
          <w:szCs w:val="24"/>
        </w:rPr>
        <w:tab/>
      </w:r>
      <w:r w:rsidR="00463E42" w:rsidRPr="00453883">
        <w:rPr>
          <w:i/>
          <w:szCs w:val="24"/>
        </w:rPr>
        <w:t>Per</w:t>
      </w:r>
      <w:r w:rsidR="00463E42" w:rsidRPr="00453883">
        <w:rPr>
          <w:szCs w:val="24"/>
        </w:rPr>
        <w:t xml:space="preserve"> </w:t>
      </w:r>
      <w:r w:rsidR="00463E42" w:rsidRPr="00453883">
        <w:rPr>
          <w:b/>
          <w:szCs w:val="24"/>
        </w:rPr>
        <w:t>Côté</w:t>
      </w:r>
      <w:r w:rsidR="00463E42" w:rsidRPr="00453883">
        <w:rPr>
          <w:szCs w:val="24"/>
        </w:rPr>
        <w:t xml:space="preserve"> J. (dissenting): The appeals should be allowed. A</w:t>
      </w:r>
      <w:r w:rsidR="00463E42" w:rsidRPr="00453883">
        <w:t xml:space="preserve">t this stage of the proceedings, this case raises no issue regarding the constitutional applicability of the </w:t>
      </w:r>
      <w:r w:rsidR="00463E42" w:rsidRPr="00453883">
        <w:rPr>
          <w:i/>
        </w:rPr>
        <w:t>S</w:t>
      </w:r>
      <w:r w:rsidR="00F434CA" w:rsidRPr="00453883">
        <w:rPr>
          <w:i/>
        </w:rPr>
        <w:t>ecurities Act</w:t>
      </w:r>
      <w:r w:rsidR="00463E42" w:rsidRPr="00453883">
        <w:t xml:space="preserve"> but rather concerns the FMAT’s adjudicative jurisdiction. The limits of that jurisdiction must be analyzed in light of the rules of private international law set out in Title Three of Book Ten of the </w:t>
      </w:r>
      <w:r w:rsidR="00463E42" w:rsidRPr="00453883">
        <w:rPr>
          <w:i/>
        </w:rPr>
        <w:t>C.C.Q.</w:t>
      </w:r>
      <w:r w:rsidR="00463E42" w:rsidRPr="00453883">
        <w:rPr>
          <w:szCs w:val="24"/>
        </w:rPr>
        <w:t xml:space="preserve"> The application of </w:t>
      </w:r>
      <w:r w:rsidR="00463E42" w:rsidRPr="00453883">
        <w:t>those provisions in this case leads to the conclusion that the FMAT does not have adjudicative jurisdiction over the defendants and therefore cannot hear the matter</w:t>
      </w:r>
      <w:r w:rsidRPr="00453883">
        <w:rPr>
          <w:szCs w:val="24"/>
        </w:rPr>
        <w:t>.</w:t>
      </w:r>
    </w:p>
    <w:p w14:paraId="392796B9" w14:textId="60734CAC" w:rsidR="00463E42" w:rsidRPr="00453883" w:rsidRDefault="003D75C4" w:rsidP="003D75C4">
      <w:pPr>
        <w:pStyle w:val="SCCNormalDoubleSpacing"/>
        <w:spacing w:after="480"/>
        <w:rPr>
          <w:szCs w:val="24"/>
        </w:rPr>
      </w:pPr>
      <w:r w:rsidRPr="00453883">
        <w:rPr>
          <w:szCs w:val="24"/>
        </w:rPr>
        <w:tab/>
      </w:r>
      <w:r w:rsidR="00463E42" w:rsidRPr="00453883">
        <w:rPr>
          <w:szCs w:val="24"/>
        </w:rPr>
        <w:t xml:space="preserve">The majority’s approach </w:t>
      </w:r>
      <w:r w:rsidR="00463E42" w:rsidRPr="00453883">
        <w:t xml:space="preserve">conflates the concepts of adjudicative jurisdiction of a court or tribunal and constitutional applicability of legislation, as it deals interchangeably with the constitutional applicability of the </w:t>
      </w:r>
      <w:r w:rsidR="00853BE7" w:rsidRPr="00453883">
        <w:rPr>
          <w:i/>
        </w:rPr>
        <w:t>Securities Act</w:t>
      </w:r>
      <w:r w:rsidR="00463E42" w:rsidRPr="00453883">
        <w:t xml:space="preserve"> under the </w:t>
      </w:r>
      <w:r w:rsidR="00463E42" w:rsidRPr="00453883">
        <w:rPr>
          <w:i/>
        </w:rPr>
        <w:t xml:space="preserve">Unifund </w:t>
      </w:r>
      <w:r w:rsidR="00463E42" w:rsidRPr="00453883">
        <w:t>framework and the FMAT’s jurisdiction under the rules of private international law. Both concepts involve the existence of a real and substantial connection.</w:t>
      </w:r>
      <w:r w:rsidR="00463E42" w:rsidRPr="00453883">
        <w:rPr>
          <w:rStyle w:val="ui-provider"/>
        </w:rPr>
        <w:t xml:space="preserve"> In the constitutional context, the real and substantial connection test affirms the constitutionally imposed territorial limits that underlie the requirement of legitimacy in the exercise of the state’s power of adjudication</w:t>
      </w:r>
      <w:r w:rsidR="00463E42" w:rsidRPr="00453883">
        <w:rPr>
          <w:szCs w:val="24"/>
        </w:rPr>
        <w:t xml:space="preserve">. </w:t>
      </w:r>
      <w:r w:rsidR="00463E42" w:rsidRPr="00453883">
        <w:t>Thus, the applicability of provincial legislation to a defendant domiciled outside the province in question depends on there being a sufficient connection between the enacting jurisdiction and the out</w:t>
      </w:r>
      <w:r w:rsidR="00463E42" w:rsidRPr="00453883">
        <w:noBreakHyphen/>
        <w:t>of</w:t>
      </w:r>
      <w:r w:rsidR="00463E42" w:rsidRPr="00453883">
        <w:noBreakHyphen/>
        <w:t xml:space="preserve">province individual </w:t>
      </w:r>
      <w:proofErr w:type="gramStart"/>
      <w:r w:rsidR="00463E42" w:rsidRPr="00453883">
        <w:t>or</w:t>
      </w:r>
      <w:proofErr w:type="gramEnd"/>
      <w:r w:rsidR="00463E42" w:rsidRPr="00453883">
        <w:t xml:space="preserve"> entity. Although this test relates more specifically to the connection between a province and an action, the purpose of the </w:t>
      </w:r>
      <w:r w:rsidR="00463E42" w:rsidRPr="00453883">
        <w:rPr>
          <w:i/>
        </w:rPr>
        <w:t>Unifund</w:t>
      </w:r>
      <w:r w:rsidR="00463E42" w:rsidRPr="00453883">
        <w:t xml:space="preserve"> analysis is essentially to determine whether there is a viable cause of action on the merits</w:t>
      </w:r>
      <w:r w:rsidR="00463E42" w:rsidRPr="00453883">
        <w:rPr>
          <w:szCs w:val="24"/>
        </w:rPr>
        <w:t xml:space="preserve">. </w:t>
      </w:r>
      <w:r w:rsidR="00463E42" w:rsidRPr="00453883">
        <w:t>Conversely, from a private international law perspective, the real and substantial connection test relates to the exercise of the state’s power of adjudication. The rules of private international law in force in a province are what confer adjudicative jurisdiction on a decision maker. In Quebec, these rules are set out in Book Ten of the</w:t>
      </w:r>
      <w:r w:rsidR="00463E42" w:rsidRPr="00453883">
        <w:rPr>
          <w:i/>
        </w:rPr>
        <w:t xml:space="preserve"> C.C.Q.</w:t>
      </w:r>
      <w:r w:rsidR="00463E42" w:rsidRPr="00453883">
        <w:t xml:space="preserve"> To be able to assume jurisdiction over a dispute, a provincial court or tribunal must have adjudicative jurisdiction under provincial legislation, which must itself have been validly enacted by the province in the exercise of its legislative jurisdiction. The jurisdiction of courts and tribunals of the Canadian provinces, the appropriateness of exercising that jurisdiction and the law that should apply to a dispute are all different concepts.</w:t>
      </w:r>
    </w:p>
    <w:p w14:paraId="3ECE10E6" w14:textId="430AFC3C" w:rsidR="00463E42" w:rsidRPr="00453883" w:rsidRDefault="003D75C4" w:rsidP="003D75C4">
      <w:pPr>
        <w:pStyle w:val="SCCNormalDoubleSpacing"/>
        <w:spacing w:after="480"/>
        <w:rPr>
          <w:szCs w:val="24"/>
        </w:rPr>
      </w:pPr>
      <w:r w:rsidRPr="00453883">
        <w:tab/>
      </w:r>
      <w:r w:rsidR="00463E42" w:rsidRPr="00453883">
        <w:t xml:space="preserve">The adjudicative jurisdiction of a court or tribunal has two components: jurisdiction </w:t>
      </w:r>
      <w:r w:rsidR="00463E42" w:rsidRPr="00453883">
        <w:rPr>
          <w:i/>
        </w:rPr>
        <w:t>ratione materiae</w:t>
      </w:r>
      <w:r w:rsidR="00463E42" w:rsidRPr="00453883">
        <w:t xml:space="preserve"> (subject</w:t>
      </w:r>
      <w:r w:rsidR="00463E42" w:rsidRPr="00453883">
        <w:noBreakHyphen/>
        <w:t xml:space="preserve">matter jurisdiction) and jurisdiction </w:t>
      </w:r>
      <w:r w:rsidR="00463E42" w:rsidRPr="00453883">
        <w:rPr>
          <w:i/>
        </w:rPr>
        <w:t>ratione personae</w:t>
      </w:r>
      <w:r w:rsidR="00463E42" w:rsidRPr="00453883">
        <w:t xml:space="preserve"> (territorial jurisdiction). The subject</w:t>
      </w:r>
      <w:r w:rsidR="00463E42" w:rsidRPr="00453883">
        <w:noBreakHyphen/>
        <w:t>matter jurisdiction of a court or tribunal is that given to it to hear a case by reason of its subject matter</w:t>
      </w:r>
      <w:r w:rsidR="00463E42" w:rsidRPr="00453883">
        <w:rPr>
          <w:szCs w:val="24"/>
        </w:rPr>
        <w:t xml:space="preserve">, whereas </w:t>
      </w:r>
      <w:r w:rsidR="00463E42" w:rsidRPr="00453883">
        <w:t>territorial jurisdiction is assessed on the basis of a geographical connection</w:t>
      </w:r>
      <w:r w:rsidR="00463E42" w:rsidRPr="00453883">
        <w:rPr>
          <w:szCs w:val="24"/>
        </w:rPr>
        <w:t xml:space="preserve">. </w:t>
      </w:r>
      <w:r w:rsidR="00463E42" w:rsidRPr="00453883">
        <w:t>To have jurisdiction to hear a dispute, a court or tribunal must have the necessary subject</w:t>
      </w:r>
      <w:r w:rsidR="00463E42" w:rsidRPr="00453883">
        <w:noBreakHyphen/>
        <w:t>matter jurisdiction and territorial jurisdiction</w:t>
      </w:r>
      <w:r w:rsidR="00463E42" w:rsidRPr="00453883">
        <w:rPr>
          <w:szCs w:val="24"/>
        </w:rPr>
        <w:t xml:space="preserve">. In this case, the objection raised by the defendants in their </w:t>
      </w:r>
      <w:r w:rsidR="00463E42" w:rsidRPr="00453883">
        <w:t xml:space="preserve">motions for declinatory exception </w:t>
      </w:r>
      <w:r w:rsidR="00463E42" w:rsidRPr="00453883">
        <w:rPr>
          <w:szCs w:val="24"/>
        </w:rPr>
        <w:t>relates not to the FMAT’s lack of subject</w:t>
      </w:r>
      <w:r w:rsidR="00463E42" w:rsidRPr="00453883">
        <w:rPr>
          <w:szCs w:val="24"/>
        </w:rPr>
        <w:noBreakHyphen/>
        <w:t>matter jurisdiction but rather to its</w:t>
      </w:r>
      <w:r w:rsidR="00463E42" w:rsidRPr="00453883">
        <w:t xml:space="preserve"> lack of territorial jurisdiction over them</w:t>
      </w:r>
      <w:r w:rsidR="00463E42" w:rsidRPr="00453883">
        <w:rPr>
          <w:szCs w:val="24"/>
        </w:rPr>
        <w:t>. T</w:t>
      </w:r>
      <w:r w:rsidR="00463E42" w:rsidRPr="00453883">
        <w:t xml:space="preserve">he appeals therefore relate not to the extraterritorial applicability of the </w:t>
      </w:r>
      <w:r w:rsidR="00853BE7" w:rsidRPr="00453883">
        <w:rPr>
          <w:i/>
        </w:rPr>
        <w:t>Securities Act</w:t>
      </w:r>
      <w:r w:rsidR="00463E42" w:rsidRPr="00453883">
        <w:t xml:space="preserve"> but rather to the FMAT’s territorial jurisdiction under private international law</w:t>
      </w:r>
      <w:r w:rsidR="00463E42" w:rsidRPr="00453883">
        <w:rPr>
          <w:szCs w:val="24"/>
        </w:rPr>
        <w:t>.</w:t>
      </w:r>
    </w:p>
    <w:p w14:paraId="026B0B4B" w14:textId="59A0C6E5" w:rsidR="00463E42" w:rsidRPr="00453883" w:rsidRDefault="003D75C4" w:rsidP="003D75C4">
      <w:pPr>
        <w:pStyle w:val="SCCNormalDoubleSpacing"/>
        <w:spacing w:after="480"/>
        <w:rPr>
          <w:i/>
          <w:szCs w:val="24"/>
        </w:rPr>
      </w:pPr>
      <w:r w:rsidRPr="00453883">
        <w:tab/>
      </w:r>
      <w:r w:rsidR="00463E42" w:rsidRPr="00453883">
        <w:t xml:space="preserve">The rules of private international law set out in the </w:t>
      </w:r>
      <w:r w:rsidR="00463E42" w:rsidRPr="00453883">
        <w:rPr>
          <w:i/>
        </w:rPr>
        <w:t>C.C.Q.</w:t>
      </w:r>
      <w:r w:rsidR="00463E42" w:rsidRPr="00453883">
        <w:t xml:space="preserve"> apply to all proceedings that may be heard by Quebec authorities pursuant to the jurisdiction conferred on the province by the Constitution. Accordingly, the rules in Title Three of Book Ten of the </w:t>
      </w:r>
      <w:r w:rsidR="00463E42" w:rsidRPr="00453883">
        <w:rPr>
          <w:i/>
          <w:iCs/>
        </w:rPr>
        <w:t>C.C.Q.</w:t>
      </w:r>
      <w:r w:rsidR="00463E42" w:rsidRPr="00453883">
        <w:rPr>
          <w:iCs/>
        </w:rPr>
        <w:t xml:space="preserve"> must be considered in this case unless a special law complements, makes exceptions to or derogates from them</w:t>
      </w:r>
      <w:r w:rsidR="00463E42" w:rsidRPr="00453883">
        <w:rPr>
          <w:szCs w:val="24"/>
        </w:rPr>
        <w:t>.</w:t>
      </w:r>
      <w:r w:rsidRPr="00453883">
        <w:t xml:space="preserve"> Article </w:t>
      </w:r>
      <w:r w:rsidR="00463E42" w:rsidRPr="00453883">
        <w:t xml:space="preserve">3076 </w:t>
      </w:r>
      <w:r w:rsidR="00463E42" w:rsidRPr="00453883">
        <w:rPr>
          <w:i/>
        </w:rPr>
        <w:t>C.C.Q.</w:t>
      </w:r>
      <w:r w:rsidR="00463E42" w:rsidRPr="00453883">
        <w:t xml:space="preserve"> in fact provides that Book Ten applies subject to those rules of law in force in Quebec which are applicable by reason of their particular object. Those rules might include the </w:t>
      </w:r>
      <w:r w:rsidR="00853BE7" w:rsidRPr="00453883">
        <w:rPr>
          <w:i/>
        </w:rPr>
        <w:t>Securities Act</w:t>
      </w:r>
      <w:r w:rsidR="00463E42" w:rsidRPr="00453883">
        <w:t xml:space="preserve"> and the </w:t>
      </w:r>
      <w:r w:rsidR="00853BE7" w:rsidRPr="00453883">
        <w:rPr>
          <w:i/>
        </w:rPr>
        <w:t>Act respecting the Autorité des marchés financiers</w:t>
      </w:r>
      <w:r w:rsidR="00463E42" w:rsidRPr="00453883">
        <w:t xml:space="preserve">, but these statutes do not themselves make exceptions to, derogate from or complement the </w:t>
      </w:r>
      <w:r w:rsidR="00463E42" w:rsidRPr="00453883">
        <w:rPr>
          <w:i/>
        </w:rPr>
        <w:t>C.C.Q.</w:t>
      </w:r>
      <w:r w:rsidR="00463E42" w:rsidRPr="00453883">
        <w:t xml:space="preserve">’s rules of private international law when it comes to the administrative proceedings brought by the AMF. It is clear from reading the provisions of these statutes that the legislature intended them to be supplemented by the </w:t>
      </w:r>
      <w:r w:rsidR="00463E42" w:rsidRPr="00453883">
        <w:rPr>
          <w:i/>
        </w:rPr>
        <w:t>C.C.Q.</w:t>
      </w:r>
      <w:r w:rsidR="00463E42" w:rsidRPr="00453883">
        <w:t>’s provisions on the international jurisdiction</w:t>
      </w:r>
      <w:r w:rsidRPr="00453883">
        <w:t xml:space="preserve"> of Quebec authorities. Section </w:t>
      </w:r>
      <w:r w:rsidR="00463E42" w:rsidRPr="00453883">
        <w:t xml:space="preserve">93 </w:t>
      </w:r>
      <w:r w:rsidR="00853BE7" w:rsidRPr="00453883">
        <w:t xml:space="preserve">of the </w:t>
      </w:r>
      <w:r w:rsidR="00853BE7" w:rsidRPr="00453883">
        <w:rPr>
          <w:i/>
        </w:rPr>
        <w:t>Act respecting the Autorité des marchés financiers</w:t>
      </w:r>
      <w:r w:rsidR="00463E42" w:rsidRPr="00453883">
        <w:t xml:space="preserve"> establishes the FMAT’s subject</w:t>
      </w:r>
      <w:r w:rsidR="00463E42" w:rsidRPr="00453883">
        <w:noBreakHyphen/>
        <w:t xml:space="preserve">matter jurisdiction in administrative proceedings instituted by the AMF under the </w:t>
      </w:r>
      <w:r w:rsidR="00853BE7" w:rsidRPr="00453883">
        <w:rPr>
          <w:i/>
        </w:rPr>
        <w:t>Securities Act</w:t>
      </w:r>
      <w:r w:rsidR="00463E42" w:rsidRPr="00453883">
        <w:t>; it does not give the FMAT territorial jurisdiction</w:t>
      </w:r>
      <w:r w:rsidR="00463E42" w:rsidRPr="00453883">
        <w:rPr>
          <w:szCs w:val="24"/>
        </w:rPr>
        <w:t>. As for s. 94</w:t>
      </w:r>
      <w:r w:rsidR="00853BE7" w:rsidRPr="00453883">
        <w:rPr>
          <w:szCs w:val="24"/>
        </w:rPr>
        <w:t xml:space="preserve"> of the</w:t>
      </w:r>
      <w:r w:rsidR="00463E42" w:rsidRPr="00453883">
        <w:rPr>
          <w:szCs w:val="24"/>
        </w:rPr>
        <w:t xml:space="preserve"> </w:t>
      </w:r>
      <w:r w:rsidR="00853BE7" w:rsidRPr="00453883">
        <w:rPr>
          <w:i/>
          <w:szCs w:val="24"/>
        </w:rPr>
        <w:t>Act respecting the Autorité des marchés financiers</w:t>
      </w:r>
      <w:r w:rsidR="00463E42" w:rsidRPr="00453883">
        <w:rPr>
          <w:szCs w:val="24"/>
        </w:rPr>
        <w:t xml:space="preserve">, it </w:t>
      </w:r>
      <w:r w:rsidR="00463E42" w:rsidRPr="00453883">
        <w:t xml:space="preserve">is not concerned in any way with territorial jurisdiction but relates rather to the measures that the FMAT may take once it is established that it has jurisdiction </w:t>
      </w:r>
      <w:r w:rsidR="00463E42" w:rsidRPr="00453883">
        <w:rPr>
          <w:i/>
        </w:rPr>
        <w:t>ratione personae</w:t>
      </w:r>
      <w:r w:rsidR="00463E42" w:rsidRPr="00453883">
        <w:t xml:space="preserve"> to deal with a matter. This is also the case of ss. 265, 273.1</w:t>
      </w:r>
      <w:r w:rsidR="00597A0F" w:rsidRPr="00453883">
        <w:t>,</w:t>
      </w:r>
      <w:r w:rsidR="00463E42" w:rsidRPr="00453883">
        <w:t xml:space="preserve"> and 273.3 </w:t>
      </w:r>
      <w:r w:rsidR="00853BE7" w:rsidRPr="00453883">
        <w:t xml:space="preserve">of the </w:t>
      </w:r>
      <w:r w:rsidR="00853BE7" w:rsidRPr="00453883">
        <w:rPr>
          <w:i/>
        </w:rPr>
        <w:t>Securities Act</w:t>
      </w:r>
      <w:r w:rsidR="00463E42" w:rsidRPr="00453883">
        <w:rPr>
          <w:szCs w:val="24"/>
        </w:rPr>
        <w:t>. T</w:t>
      </w:r>
      <w:r w:rsidR="00463E42" w:rsidRPr="00453883">
        <w:t xml:space="preserve">he FMAT can take the measures contemplated in those provisions only where it has jurisdiction under the rules of private international law set out in the </w:t>
      </w:r>
      <w:r w:rsidR="00463E42" w:rsidRPr="00453883">
        <w:rPr>
          <w:i/>
        </w:rPr>
        <w:t>C.C.Q.</w:t>
      </w:r>
    </w:p>
    <w:p w14:paraId="5F9CF783" w14:textId="21634353" w:rsidR="00463E42" w:rsidRPr="00453883" w:rsidRDefault="003D75C4" w:rsidP="003D75C4">
      <w:pPr>
        <w:pStyle w:val="SCCNormalDoubleSpacing"/>
        <w:spacing w:after="480"/>
        <w:rPr>
          <w:szCs w:val="24"/>
        </w:rPr>
      </w:pPr>
      <w:r w:rsidRPr="00453883">
        <w:tab/>
      </w:r>
      <w:r w:rsidR="00463E42" w:rsidRPr="00453883">
        <w:t xml:space="preserve">The issue of the FMAT’s adjudicative jurisdiction must therefore be decided by applying the rules on international jurisdiction set out in Title Three of Book Ten of the </w:t>
      </w:r>
      <w:r w:rsidR="00463E42" w:rsidRPr="00453883">
        <w:rPr>
          <w:i/>
        </w:rPr>
        <w:t>C.C.Q.</w:t>
      </w:r>
      <w:r w:rsidR="00463E42" w:rsidRPr="00453883">
        <w:rPr>
          <w:szCs w:val="24"/>
        </w:rPr>
        <w:t xml:space="preserve">, </w:t>
      </w:r>
      <w:r w:rsidR="00463E42" w:rsidRPr="00453883">
        <w:t xml:space="preserve">that is, arts. 3134 to 3154. The </w:t>
      </w:r>
      <w:r w:rsidR="00463E42" w:rsidRPr="00453883">
        <w:rPr>
          <w:i/>
        </w:rPr>
        <w:t>C.C.Q.</w:t>
      </w:r>
      <w:r w:rsidR="00463E42" w:rsidRPr="00453883">
        <w:t xml:space="preserve"> contains a well</w:t>
      </w:r>
      <w:r w:rsidR="00463E42" w:rsidRPr="00453883">
        <w:noBreakHyphen/>
        <w:t>developed set of rules and principles of private international law and codifies the “sufficient connection” test</w:t>
      </w:r>
      <w:r w:rsidR="00463E42" w:rsidRPr="00453883">
        <w:rPr>
          <w:szCs w:val="24"/>
        </w:rPr>
        <w:t xml:space="preserve">. However, no provision of the </w:t>
      </w:r>
      <w:r w:rsidR="00463E42" w:rsidRPr="00453883">
        <w:rPr>
          <w:i/>
        </w:rPr>
        <w:t>C.C.Q.</w:t>
      </w:r>
      <w:r w:rsidR="00463E42" w:rsidRPr="00453883">
        <w:t xml:space="preserve"> can ground the FMAT’s jurisdiction in the proceedings brought by the AMF</w:t>
      </w:r>
      <w:r w:rsidR="00463E42" w:rsidRPr="00453883">
        <w:rPr>
          <w:szCs w:val="24"/>
        </w:rPr>
        <w:t xml:space="preserve">. There is agreement with the majority that </w:t>
      </w:r>
      <w:r w:rsidR="00463E42" w:rsidRPr="00453883">
        <w:t>no analogy can be drawn between a personal action of a patrimonial nature and the proceedings brought by the AMF</w:t>
      </w:r>
      <w:r w:rsidR="00463E42" w:rsidRPr="00453883">
        <w:rPr>
          <w:szCs w:val="24"/>
        </w:rPr>
        <w:t>.</w:t>
      </w:r>
      <w:r w:rsidRPr="00453883">
        <w:t xml:space="preserve"> Article </w:t>
      </w:r>
      <w:r w:rsidR="00463E42" w:rsidRPr="00453883">
        <w:t xml:space="preserve">3148 para. 1(3) </w:t>
      </w:r>
      <w:r w:rsidR="00463E42" w:rsidRPr="00453883">
        <w:rPr>
          <w:i/>
        </w:rPr>
        <w:t>C.C.Q.</w:t>
      </w:r>
      <w:r w:rsidR="00463E42" w:rsidRPr="00453883">
        <w:t xml:space="preserve"> therefore cannot confer jurisdiction on the FMAT</w:t>
      </w:r>
      <w:r w:rsidR="00463E42" w:rsidRPr="00453883">
        <w:rPr>
          <w:szCs w:val="24"/>
        </w:rPr>
        <w:t>.</w:t>
      </w:r>
      <w:r w:rsidR="00463E42" w:rsidRPr="00453883">
        <w:t xml:space="preserve"> As for art. </w:t>
      </w:r>
      <w:r w:rsidR="00463E42" w:rsidRPr="00453883">
        <w:rPr>
          <w:szCs w:val="24"/>
        </w:rPr>
        <w:t>3136</w:t>
      </w:r>
      <w:r w:rsidR="00463E42" w:rsidRPr="00453883">
        <w:t xml:space="preserve"> </w:t>
      </w:r>
      <w:hyperlink r:id="rId10" w:history="1">
        <w:r w:rsidR="00463E42" w:rsidRPr="00453883">
          <w:rPr>
            <w:i/>
            <w:iCs/>
            <w:szCs w:val="24"/>
          </w:rPr>
          <w:t>C.C.Q.</w:t>
        </w:r>
      </w:hyperlink>
      <w:r w:rsidR="00463E42" w:rsidRPr="00453883">
        <w:rPr>
          <w:iCs/>
          <w:szCs w:val="24"/>
        </w:rPr>
        <w:t>, it</w:t>
      </w:r>
      <w:r w:rsidR="00463E42" w:rsidRPr="00453883">
        <w:rPr>
          <w:iCs/>
        </w:rPr>
        <w:t xml:space="preserve"> recognizes the “forum of necessity” doctrine, which can serve as an exceptional basis for the jurisdiction of Quebec authorities</w:t>
      </w:r>
      <w:r w:rsidR="00463E42" w:rsidRPr="00453883">
        <w:rPr>
          <w:szCs w:val="24"/>
        </w:rPr>
        <w:t>. However,</w:t>
      </w:r>
      <w:r w:rsidR="00463E42" w:rsidRPr="00453883">
        <w:t xml:space="preserve"> it can be applied only if one of the parties raises it, which the AMF did not do in this case</w:t>
      </w:r>
      <w:r w:rsidR="00463E42" w:rsidRPr="00453883">
        <w:rPr>
          <w:szCs w:val="24"/>
        </w:rPr>
        <w:t>. The AMF</w:t>
      </w:r>
      <w:r w:rsidR="00463E42" w:rsidRPr="00453883">
        <w:t xml:space="preserve"> did not demonstrate that proceedings abroad had proved impossible or that it could not reasonably require the institution of proceedings abroad. Nor did it explain why it had not applied to the authorities having jurisdiction, in accordance with the provisions of the </w:t>
      </w:r>
      <w:r w:rsidR="00853BE7" w:rsidRPr="00453883">
        <w:rPr>
          <w:i/>
        </w:rPr>
        <w:t>Securities Act</w:t>
      </w:r>
      <w:r w:rsidR="00463E42" w:rsidRPr="00453883">
        <w:t xml:space="preserve"> concerning interjurisdictional cooperation. As a result, the AMF cannot rely on art. 3136.</w:t>
      </w:r>
    </w:p>
    <w:p w14:paraId="23D0506F" w14:textId="68D01472" w:rsidR="00463E42" w:rsidRPr="00453883" w:rsidRDefault="003D75C4" w:rsidP="003D75C4">
      <w:pPr>
        <w:pStyle w:val="SCCNormalDoubleSpacing"/>
        <w:spacing w:after="480"/>
        <w:rPr>
          <w:szCs w:val="24"/>
        </w:rPr>
      </w:pPr>
      <w:r w:rsidRPr="00453883">
        <w:tab/>
      </w:r>
      <w:r w:rsidR="00463E42" w:rsidRPr="00453883">
        <w:t xml:space="preserve">Where the </w:t>
      </w:r>
      <w:r w:rsidR="00463E42" w:rsidRPr="00453883">
        <w:rPr>
          <w:i/>
        </w:rPr>
        <w:t>C.C.Q.</w:t>
      </w:r>
      <w:r w:rsidR="00463E42" w:rsidRPr="00453883">
        <w:t xml:space="preserve"> does not establish the territorial jurisdiction of a court or tribunal and the legislature has not otherwise conferred territorial jurisdiction on it through special </w:t>
      </w:r>
      <w:proofErr w:type="gramStart"/>
      <w:r w:rsidR="00463E42" w:rsidRPr="00453883">
        <w:t>legislation, that</w:t>
      </w:r>
      <w:proofErr w:type="gramEnd"/>
      <w:r w:rsidR="00463E42" w:rsidRPr="00453883">
        <w:t xml:space="preserve"> must be the end of the analysis.</w:t>
      </w:r>
      <w:r w:rsidR="00463E42" w:rsidRPr="00453883">
        <w:rPr>
          <w:i/>
        </w:rPr>
        <w:t xml:space="preserve"> Unifund</w:t>
      </w:r>
      <w:r w:rsidR="00463E42" w:rsidRPr="00453883">
        <w:t xml:space="preserve"> cannot serve as a safety net, because it concerns an entirely different situation: it applies once it is established that a court or tribunal has jurisdiction to deal with a matter. It cannot give the FMAT territorial jurisdiction over the defendants, who are domiciled outside Quebec, in a manner that derogates from the well</w:t>
      </w:r>
      <w:r w:rsidR="00463E42" w:rsidRPr="00453883">
        <w:noBreakHyphen/>
        <w:t xml:space="preserve">developed set of rules in the </w:t>
      </w:r>
      <w:r w:rsidR="00463E42" w:rsidRPr="00453883">
        <w:rPr>
          <w:i/>
        </w:rPr>
        <w:t>C.C.Q.</w:t>
      </w:r>
      <w:r w:rsidR="00463E42" w:rsidRPr="00453883">
        <w:t xml:space="preserve"> The </w:t>
      </w:r>
      <w:r w:rsidR="00463E42" w:rsidRPr="00453883">
        <w:rPr>
          <w:i/>
        </w:rPr>
        <w:t>Unifund</w:t>
      </w:r>
      <w:r w:rsidR="00463E42" w:rsidRPr="00453883">
        <w:t xml:space="preserve"> test is therefore of no assistance to the AMF and cannot ground the FMAT’s adjudicative jurisdiction over the defendants in this case</w:t>
      </w:r>
      <w:r w:rsidR="00463E42" w:rsidRPr="00453883">
        <w:rPr>
          <w:szCs w:val="24"/>
        </w:rPr>
        <w:t>.</w:t>
      </w:r>
    </w:p>
    <w:p w14:paraId="3C126F13" w14:textId="081FDDE5" w:rsidR="00A149DF" w:rsidRPr="00453883" w:rsidRDefault="002E6705" w:rsidP="000F1FD3">
      <w:pPr>
        <w:pStyle w:val="SCCNormalDoubleSpacing"/>
        <w:widowControl w:val="0"/>
        <w:spacing w:after="720" w:line="240" w:lineRule="auto"/>
        <w:rPr>
          <w:b/>
        </w:rPr>
      </w:pPr>
      <w:r w:rsidRPr="00453883">
        <w:rPr>
          <w:b/>
        </w:rPr>
        <w:t>Cases Cited</w:t>
      </w:r>
    </w:p>
    <w:p w14:paraId="37952071" w14:textId="4E6C4EF6" w:rsidR="00DA29A9" w:rsidRPr="00453883" w:rsidRDefault="00DA29A9" w:rsidP="000F1FD3">
      <w:pPr>
        <w:pStyle w:val="SCCNormalDoubleSpacing"/>
        <w:widowControl w:val="0"/>
        <w:spacing w:after="720" w:line="240" w:lineRule="auto"/>
      </w:pPr>
      <w:r w:rsidRPr="00453883">
        <w:t>By Wagner C.J. and Jamal J.</w:t>
      </w:r>
    </w:p>
    <w:p w14:paraId="2A3BFF4D" w14:textId="0E23884C" w:rsidR="004E2C26" w:rsidRPr="00453883" w:rsidRDefault="004408BB" w:rsidP="000F1FD3">
      <w:pPr>
        <w:pStyle w:val="SCCNormalDoubleSpacing"/>
        <w:widowControl w:val="0"/>
        <w:spacing w:after="480"/>
      </w:pPr>
      <w:r w:rsidRPr="00453883">
        <w:tab/>
      </w:r>
      <w:r w:rsidRPr="00453883">
        <w:rPr>
          <w:b/>
        </w:rPr>
        <w:t xml:space="preserve">Overruled: </w:t>
      </w:r>
      <w:r w:rsidRPr="00453883">
        <w:rPr>
          <w:i/>
        </w:rPr>
        <w:t>Donaldson v. Autorité des marchés financiers</w:t>
      </w:r>
      <w:r w:rsidRPr="00453883">
        <w:t xml:space="preserve">, 2020 QCCA 401; </w:t>
      </w:r>
      <w:r w:rsidRPr="00453883">
        <w:rPr>
          <w:b/>
        </w:rPr>
        <w:t>applied:</w:t>
      </w:r>
      <w:r w:rsidRPr="00453883">
        <w:t xml:space="preserve"> </w:t>
      </w:r>
      <w:r w:rsidRPr="00453883">
        <w:rPr>
          <w:i/>
        </w:rPr>
        <w:t>Unifund Assurance Co. v. Insurance Corp. of British Columbia</w:t>
      </w:r>
      <w:r w:rsidRPr="00453883">
        <w:t xml:space="preserve">, 2003 SCC 40, [2003] 2 S.C.R. 63; </w:t>
      </w:r>
      <w:r w:rsidRPr="00453883">
        <w:rPr>
          <w:i/>
        </w:rPr>
        <w:t>Canada (Minister of Citizenship and Immigration) v. Vavilov</w:t>
      </w:r>
      <w:r w:rsidRPr="00453883">
        <w:t xml:space="preserve">, 2019 SCC 65, [2019] 4 S.C.R. 653; </w:t>
      </w:r>
      <w:r w:rsidRPr="00453883">
        <w:rPr>
          <w:b/>
        </w:rPr>
        <w:t>considered:</w:t>
      </w:r>
      <w:r w:rsidRPr="00453883">
        <w:t xml:space="preserve"> </w:t>
      </w:r>
      <w:r w:rsidRPr="00453883">
        <w:rPr>
          <w:i/>
        </w:rPr>
        <w:t>Club Resorts Ltd. v. Van Breda</w:t>
      </w:r>
      <w:r w:rsidRPr="00453883">
        <w:t>, 2012 SCC 17, [2012] 1 S.C.R. 572;</w:t>
      </w:r>
      <w:r w:rsidR="007D241D" w:rsidRPr="00453883">
        <w:t xml:space="preserve"> </w:t>
      </w:r>
      <w:r w:rsidRPr="00453883">
        <w:rPr>
          <w:b/>
        </w:rPr>
        <w:t>r</w:t>
      </w:r>
      <w:r w:rsidR="002E6705" w:rsidRPr="00453883">
        <w:rPr>
          <w:b/>
        </w:rPr>
        <w:t>eferred to:</w:t>
      </w:r>
      <w:r w:rsidR="00BD0E9E" w:rsidRPr="00453883">
        <w:t xml:space="preserve"> </w:t>
      </w:r>
      <w:r w:rsidR="004E4890" w:rsidRPr="00453883">
        <w:rPr>
          <w:i/>
        </w:rPr>
        <w:t>Spar Aerospace Ltd. v. American Mobile Satellite Corp.</w:t>
      </w:r>
      <w:r w:rsidR="004E4890" w:rsidRPr="00453883">
        <w:t xml:space="preserve">, 2002 SCC 78, [2002] 4 S.C.R. 205; </w:t>
      </w:r>
      <w:r w:rsidR="004E4890" w:rsidRPr="00453883">
        <w:rPr>
          <w:i/>
        </w:rPr>
        <w:t>Air Canada v. McDonnell Douglas Corp.</w:t>
      </w:r>
      <w:r w:rsidR="004E4890" w:rsidRPr="00453883">
        <w:t xml:space="preserve">, [1989] 1 S.C.R. 1554; </w:t>
      </w:r>
      <w:r w:rsidR="004E4890" w:rsidRPr="00453883">
        <w:rPr>
          <w:i/>
        </w:rPr>
        <w:t>McCabe v. British Columbia (Securities Commission)</w:t>
      </w:r>
      <w:r w:rsidR="004E4890" w:rsidRPr="00453883">
        <w:t xml:space="preserve">, 2016 BCCA 7, 394 D.L.R. (4th) 197; </w:t>
      </w:r>
      <w:r w:rsidR="004E4890" w:rsidRPr="00453883">
        <w:rPr>
          <w:i/>
        </w:rPr>
        <w:t>Canada Post Corp. v. Canadian Union of Postal Workers</w:t>
      </w:r>
      <w:r w:rsidR="004E4890" w:rsidRPr="00453883">
        <w:t xml:space="preserve">, 2019 SCC 67, [2019] 4 S.C.R. 900; </w:t>
      </w:r>
      <w:r w:rsidR="004E4890" w:rsidRPr="00453883">
        <w:rPr>
          <w:i/>
        </w:rPr>
        <w:t>Society of Composers, Authors and Music Publishers of Canada v. Entertainment Software Association</w:t>
      </w:r>
      <w:r w:rsidR="004E4890" w:rsidRPr="00453883">
        <w:t xml:space="preserve">, 2022 SCC 30; </w:t>
      </w:r>
      <w:r w:rsidR="004E4890" w:rsidRPr="00453883">
        <w:rPr>
          <w:i/>
        </w:rPr>
        <w:t>Fédération des producteurs acéricoles du Québec v. Regroupement pour la commercialisation des produits de l’érable inc.</w:t>
      </w:r>
      <w:r w:rsidR="004E4890" w:rsidRPr="00453883">
        <w:t xml:space="preserve">, 2006 SCC 50, [2006] 2 S.C.R. 591; </w:t>
      </w:r>
      <w:r w:rsidR="004E4890" w:rsidRPr="00453883">
        <w:rPr>
          <w:i/>
        </w:rPr>
        <w:t>Gilles E. Néron Communication Marketing Inc. v. Chambre des notaires du Québec</w:t>
      </w:r>
      <w:r w:rsidR="004E4890" w:rsidRPr="00453883">
        <w:t xml:space="preserve">, 2004 SCC 53, [2004] 3 S.C.R. 95; </w:t>
      </w:r>
      <w:r w:rsidR="004E4890" w:rsidRPr="00453883">
        <w:rPr>
          <w:i/>
          <w:lang w:val="en-US"/>
        </w:rPr>
        <w:t>Finney v. Barreau du Québec</w:t>
      </w:r>
      <w:r w:rsidR="004E4890" w:rsidRPr="00453883">
        <w:rPr>
          <w:lang w:val="en-US"/>
        </w:rPr>
        <w:t xml:space="preserve">, 2004 SCC 36, [2004] 2 S.C.R. 17; </w:t>
      </w:r>
      <w:r w:rsidR="004E4890" w:rsidRPr="00453883">
        <w:rPr>
          <w:i/>
          <w:lang w:val="en-US"/>
        </w:rPr>
        <w:t>Prud’homme</w:t>
      </w:r>
      <w:r w:rsidR="004E4890" w:rsidRPr="00453883">
        <w:rPr>
          <w:i/>
        </w:rPr>
        <w:t xml:space="preserve"> v. Prud’homme</w:t>
      </w:r>
      <w:r w:rsidR="004E4890" w:rsidRPr="00453883">
        <w:t xml:space="preserve">, 2002 SCC 85, [2002] 4 S.C.R. 663; </w:t>
      </w:r>
      <w:r w:rsidR="004E4890" w:rsidRPr="00453883">
        <w:rPr>
          <w:i/>
        </w:rPr>
        <w:t>Doré v. Verdun (City)</w:t>
      </w:r>
      <w:r w:rsidR="004E4890" w:rsidRPr="00453883">
        <w:t xml:space="preserve">, [1997] 2 S.C.R. 862; </w:t>
      </w:r>
      <w:r w:rsidR="004E4890" w:rsidRPr="00453883">
        <w:rPr>
          <w:i/>
        </w:rPr>
        <w:t>Montréal (City) v. Octane Stratégie inc.</w:t>
      </w:r>
      <w:r w:rsidR="004E4890" w:rsidRPr="00453883">
        <w:t xml:space="preserve">, 2019 SCC 57, [2019] 4 S.C.R. 138; </w:t>
      </w:r>
      <w:r w:rsidR="004E4890" w:rsidRPr="00453883">
        <w:rPr>
          <w:i/>
        </w:rPr>
        <w:t>Peoples Department Stores Inc. (Trustee of) v. Wise</w:t>
      </w:r>
      <w:r w:rsidR="004E4890" w:rsidRPr="00453883">
        <w:t xml:space="preserve">, 2004 SCC 68, [2004] 3 S.C.R. 461; </w:t>
      </w:r>
      <w:r w:rsidR="004E4890" w:rsidRPr="00453883">
        <w:rPr>
          <w:i/>
        </w:rPr>
        <w:t>Lefebvre (Trustee of)</w:t>
      </w:r>
      <w:r w:rsidR="004E4890" w:rsidRPr="00453883">
        <w:t xml:space="preserve">, 2004 SCC 63, [2004] 3 S.C.R. 326; </w:t>
      </w:r>
      <w:r w:rsidR="004E4890" w:rsidRPr="00453883">
        <w:rPr>
          <w:i/>
        </w:rPr>
        <w:t>Quebec (Commission des normes du travail) v. Asphalte Desjardins inc.</w:t>
      </w:r>
      <w:r w:rsidR="004E4890" w:rsidRPr="00453883">
        <w:t>, 20</w:t>
      </w:r>
      <w:r w:rsidR="005B1A52" w:rsidRPr="00453883">
        <w:t>14 SCC 51, [2014] 2 S.C.R. 514</w:t>
      </w:r>
      <w:r w:rsidR="00027D32" w:rsidRPr="00453883">
        <w:t xml:space="preserve">; </w:t>
      </w:r>
      <w:r w:rsidR="001C3905" w:rsidRPr="00453883">
        <w:rPr>
          <w:i/>
        </w:rPr>
        <w:t>Béliveau St</w:t>
      </w:r>
      <w:r w:rsidR="001C3905" w:rsidRPr="00453883">
        <w:rPr>
          <w:i/>
        </w:rPr>
        <w:noBreakHyphen/>
      </w:r>
      <w:r w:rsidR="004E4890" w:rsidRPr="00453883">
        <w:rPr>
          <w:i/>
        </w:rPr>
        <w:t>Jacques v. Fédération des employées et employés de services publics inc.</w:t>
      </w:r>
      <w:r w:rsidR="004E4890" w:rsidRPr="00453883">
        <w:t xml:space="preserve">, [1996] 2 S.C.R. 345; </w:t>
      </w:r>
      <w:r w:rsidR="004E4890" w:rsidRPr="00453883">
        <w:rPr>
          <w:i/>
        </w:rPr>
        <w:t>Quebec (Public Curator) v. Syndicat nation</w:t>
      </w:r>
      <w:r w:rsidR="00061413" w:rsidRPr="00453883">
        <w:rPr>
          <w:i/>
        </w:rPr>
        <w:t>al des employés de l’hôpital St</w:t>
      </w:r>
      <w:r w:rsidR="00061413" w:rsidRPr="00453883">
        <w:rPr>
          <w:i/>
        </w:rPr>
        <w:noBreakHyphen/>
      </w:r>
      <w:r w:rsidR="004E4890" w:rsidRPr="00453883">
        <w:rPr>
          <w:i/>
        </w:rPr>
        <w:t>Ferdinand</w:t>
      </w:r>
      <w:r w:rsidR="004E4890" w:rsidRPr="00453883">
        <w:t xml:space="preserve">, [1996] 3 S.C.R. 211; </w:t>
      </w:r>
      <w:r w:rsidR="004E4890" w:rsidRPr="00453883">
        <w:rPr>
          <w:i/>
        </w:rPr>
        <w:t>Compagnie d’immeubles Yale ltée v. Kirkland (Ville de)</w:t>
      </w:r>
      <w:r w:rsidR="004E4890" w:rsidRPr="00453883">
        <w:t xml:space="preserve">, [1996] R.J.Q. 502; </w:t>
      </w:r>
      <w:r w:rsidR="004E4890" w:rsidRPr="00453883">
        <w:rPr>
          <w:i/>
          <w:szCs w:val="24"/>
        </w:rPr>
        <w:t>Dionne v. Commission scolaire des Patriotes</w:t>
      </w:r>
      <w:r w:rsidR="004E4890" w:rsidRPr="00453883">
        <w:rPr>
          <w:szCs w:val="24"/>
        </w:rPr>
        <w:t xml:space="preserve">, 2014 SCC 33, [2014] 1 S.C.R. 765; </w:t>
      </w:r>
      <w:r w:rsidR="004E4890" w:rsidRPr="00453883">
        <w:rPr>
          <w:i/>
        </w:rPr>
        <w:t>Lalonde v. Sun Life Assurance Co. of Canada</w:t>
      </w:r>
      <w:r w:rsidR="004E4890" w:rsidRPr="00453883">
        <w:t>, [1992] 3 S.C.R. 261;</w:t>
      </w:r>
      <w:r w:rsidR="005E3ACA" w:rsidRPr="00453883">
        <w:rPr>
          <w:i/>
        </w:rPr>
        <w:t xml:space="preserve"> City of Ottawa v. Town of Eastview</w:t>
      </w:r>
      <w:r w:rsidR="005E3ACA" w:rsidRPr="00453883">
        <w:t>, [1941] S.C.R. 448;</w:t>
      </w:r>
      <w:r w:rsidR="004E4890" w:rsidRPr="00453883">
        <w:t xml:space="preserve"> </w:t>
      </w:r>
      <w:r w:rsidR="004E4890" w:rsidRPr="00453883">
        <w:rPr>
          <w:i/>
        </w:rPr>
        <w:t>Gignac v. Gauvin</w:t>
      </w:r>
      <w:r w:rsidR="004E4890" w:rsidRPr="00453883">
        <w:t xml:space="preserve">, 2009 QCCS 524, 73 C.C.P.B. 47; </w:t>
      </w:r>
      <w:r w:rsidR="004E4890" w:rsidRPr="00453883">
        <w:rPr>
          <w:i/>
        </w:rPr>
        <w:t>Dell Computer Corp. v. Union des consommateurs</w:t>
      </w:r>
      <w:r w:rsidR="004E4890" w:rsidRPr="00453883">
        <w:t xml:space="preserve">, 2007 SCC 34, [2007] 2 S.C.R. 801; </w:t>
      </w:r>
      <w:r w:rsidR="004E4890" w:rsidRPr="00453883">
        <w:rPr>
          <w:i/>
        </w:rPr>
        <w:t>Barer v. Knight Brothers LLC</w:t>
      </w:r>
      <w:r w:rsidR="004E4890" w:rsidRPr="00453883">
        <w:t xml:space="preserve">, 2019 SCC 13, [2019] 1 S.C.R. 573; </w:t>
      </w:r>
      <w:r w:rsidR="004E4890" w:rsidRPr="00453883">
        <w:rPr>
          <w:i/>
        </w:rPr>
        <w:t>Ormuco inc. v. Ernst &amp; Young</w:t>
      </w:r>
      <w:r w:rsidR="009A3747" w:rsidRPr="00453883">
        <w:t>, 2022 QCCA 405</w:t>
      </w:r>
      <w:r w:rsidR="00E54FDF" w:rsidRPr="00453883">
        <w:t xml:space="preserve">; </w:t>
      </w:r>
      <w:r w:rsidR="00E54FDF" w:rsidRPr="00453883">
        <w:rPr>
          <w:i/>
        </w:rPr>
        <w:t>Mines d’or Visible inc. v. Zara Resources Inc.</w:t>
      </w:r>
      <w:r w:rsidR="00E54FDF" w:rsidRPr="00453883">
        <w:t>, 2013 QCBDR 95</w:t>
      </w:r>
      <w:r w:rsidR="00F46F46" w:rsidRPr="00453883">
        <w:t xml:space="preserve">; </w:t>
      </w:r>
      <w:r w:rsidR="00F46F46" w:rsidRPr="00453883">
        <w:rPr>
          <w:i/>
        </w:rPr>
        <w:t>Financière Manuvie v. Proteau</w:t>
      </w:r>
      <w:r w:rsidR="00F46F46" w:rsidRPr="00453883">
        <w:t>, 2013 QCBDR 137</w:t>
      </w:r>
      <w:r w:rsidR="009029F9" w:rsidRPr="00453883">
        <w:t xml:space="preserve">; </w:t>
      </w:r>
      <w:r w:rsidR="009029F9" w:rsidRPr="00453883">
        <w:rPr>
          <w:i/>
          <w:lang w:val="en-US"/>
        </w:rPr>
        <w:t xml:space="preserve">Newfoundland and Labrador (Attorney General) v. </w:t>
      </w:r>
      <w:r w:rsidR="009029F9" w:rsidRPr="00453883">
        <w:rPr>
          <w:i/>
        </w:rPr>
        <w:t>Uashaunnuat (Innu of Uashat and of Mani</w:t>
      </w:r>
      <w:r w:rsidR="009029F9" w:rsidRPr="00453883">
        <w:rPr>
          <w:i/>
        </w:rPr>
        <w:noBreakHyphen/>
        <w:t>Utenam)</w:t>
      </w:r>
      <w:r w:rsidR="009029F9" w:rsidRPr="00453883">
        <w:t xml:space="preserve">, 2020 SCC 4, [2020] 1 S.C.R. 15; </w:t>
      </w:r>
      <w:r w:rsidR="009029F9" w:rsidRPr="00453883">
        <w:rPr>
          <w:i/>
        </w:rPr>
        <w:t>St. Lawrence Cement Inc. v. Barrette</w:t>
      </w:r>
      <w:r w:rsidR="009029F9" w:rsidRPr="00453883">
        <w:t xml:space="preserve">, 2008 SCC 64, [2008] 3 S.C.R. 392; </w:t>
      </w:r>
      <w:r w:rsidR="009029F9" w:rsidRPr="00453883">
        <w:rPr>
          <w:i/>
        </w:rPr>
        <w:t>Kosoian v. Société de transport de Montréal</w:t>
      </w:r>
      <w:r w:rsidR="009029F9" w:rsidRPr="00453883">
        <w:t>, 2019 SCC 59, [2019] 4 S.C.R. 335</w:t>
      </w:r>
      <w:r w:rsidR="00097D8F" w:rsidRPr="00453883">
        <w:t xml:space="preserve">; </w:t>
      </w:r>
      <w:r w:rsidR="00097D8F" w:rsidRPr="00453883">
        <w:rPr>
          <w:rStyle w:val="qrafter"/>
          <w:i/>
          <w:szCs w:val="24"/>
        </w:rPr>
        <w:t xml:space="preserve">Autorité des marchés financiers v. Dominion Investments (Nassau) Ltd. </w:t>
      </w:r>
      <w:r w:rsidR="00097D8F" w:rsidRPr="00453883">
        <w:rPr>
          <w:rStyle w:val="qrafter"/>
          <w:i/>
          <w:szCs w:val="24"/>
          <w:lang w:val="en-US"/>
        </w:rPr>
        <w:t>(Dominion Investments Ltd.)</w:t>
      </w:r>
      <w:r w:rsidR="00097D8F" w:rsidRPr="00453883">
        <w:rPr>
          <w:rStyle w:val="qrafter"/>
          <w:szCs w:val="24"/>
          <w:lang w:val="en-US"/>
        </w:rPr>
        <w:t>, 2008 QCBDRVM 4</w:t>
      </w:r>
      <w:r w:rsidR="004E4890" w:rsidRPr="00453883">
        <w:t xml:space="preserve">; </w:t>
      </w:r>
      <w:r w:rsidR="004E4890" w:rsidRPr="00453883">
        <w:rPr>
          <w:i/>
        </w:rPr>
        <w:t>GreCon Dimter inc. v. J.R. Normand inc.</w:t>
      </w:r>
      <w:r w:rsidR="004E4890" w:rsidRPr="00453883">
        <w:t xml:space="preserve">, 2005 SCC 46, [2005] 2 S.C.R. 401; </w:t>
      </w:r>
      <w:r w:rsidR="004E4890" w:rsidRPr="00453883">
        <w:rPr>
          <w:i/>
        </w:rPr>
        <w:t>Lamborghini (Canada) inc. v. Automobili Lamborghini S.P.A.</w:t>
      </w:r>
      <w:r w:rsidR="004E4890" w:rsidRPr="00453883">
        <w:t>, [1997] R.J.Q. 58</w:t>
      </w:r>
      <w:r w:rsidR="00BC2593" w:rsidRPr="00453883">
        <w:t xml:space="preserve">; </w:t>
      </w:r>
      <w:r w:rsidR="00BC2593" w:rsidRPr="00453883">
        <w:rPr>
          <w:i/>
          <w:lang w:val="en-US"/>
        </w:rPr>
        <w:t>Anvil Mining Ltd. v. Association canadienne contre l’impunité</w:t>
      </w:r>
      <w:r w:rsidR="00BC2593" w:rsidRPr="00453883">
        <w:rPr>
          <w:lang w:val="en-US"/>
        </w:rPr>
        <w:t>, 2012 QCCA 117</w:t>
      </w:r>
      <w:r w:rsidR="00B94105" w:rsidRPr="00453883">
        <w:rPr>
          <w:lang w:val="en-US"/>
        </w:rPr>
        <w:t xml:space="preserve">; </w:t>
      </w:r>
      <w:r w:rsidR="003A79DD" w:rsidRPr="00453883">
        <w:rPr>
          <w:i/>
          <w:lang w:val="en-US"/>
        </w:rPr>
        <w:t>Otsuka Pharmaceutical Company Limited v. Pohoresky</w:t>
      </w:r>
      <w:r w:rsidR="0002481E" w:rsidRPr="00453883">
        <w:rPr>
          <w:lang w:val="en-US"/>
        </w:rPr>
        <w:t xml:space="preserve">, </w:t>
      </w:r>
      <w:r w:rsidR="0002481E" w:rsidRPr="00453883">
        <w:rPr>
          <w:szCs w:val="24"/>
        </w:rPr>
        <w:t>2022 QCCA 1230</w:t>
      </w:r>
      <w:r w:rsidR="003A79DD" w:rsidRPr="00453883">
        <w:t xml:space="preserve">; </w:t>
      </w:r>
      <w:r w:rsidR="00B94105" w:rsidRPr="00453883">
        <w:rPr>
          <w:i/>
        </w:rPr>
        <w:t>Droit de la famille — 1830</w:t>
      </w:r>
      <w:r w:rsidR="00B94105" w:rsidRPr="00453883">
        <w:t>, 2018 QCCA 24</w:t>
      </w:r>
      <w:r w:rsidR="004E4890" w:rsidRPr="00453883">
        <w:t xml:space="preserve">; </w:t>
      </w:r>
      <w:r w:rsidR="006E302F" w:rsidRPr="00453883">
        <w:rPr>
          <w:i/>
        </w:rPr>
        <w:t>Droit de la famille</w:t>
      </w:r>
      <w:r w:rsidR="00061413" w:rsidRPr="00453883">
        <w:rPr>
          <w:i/>
        </w:rPr>
        <w:t xml:space="preserve"> </w:t>
      </w:r>
      <w:r w:rsidR="006E302F" w:rsidRPr="00453883">
        <w:rPr>
          <w:i/>
        </w:rPr>
        <w:t>—</w:t>
      </w:r>
      <w:r w:rsidR="00061413" w:rsidRPr="00453883">
        <w:rPr>
          <w:i/>
        </w:rPr>
        <w:t xml:space="preserve"> </w:t>
      </w:r>
      <w:r w:rsidR="006E302F" w:rsidRPr="00453883">
        <w:rPr>
          <w:i/>
        </w:rPr>
        <w:t>143017</w:t>
      </w:r>
      <w:r w:rsidR="006E302F" w:rsidRPr="00453883">
        <w:t xml:space="preserve">, 2014 QCCA 2188; </w:t>
      </w:r>
      <w:r w:rsidR="004E4890" w:rsidRPr="00453883">
        <w:rPr>
          <w:i/>
        </w:rPr>
        <w:t>Ontario College of Pharmacists v. 1724665 Ontario Inc.</w:t>
      </w:r>
      <w:r w:rsidR="004E4890" w:rsidRPr="00453883">
        <w:t xml:space="preserve">, 2013 ONCA 381, 363 D.L.R. (4th) 724; </w:t>
      </w:r>
      <w:r w:rsidR="004E4890" w:rsidRPr="00453883">
        <w:rPr>
          <w:i/>
        </w:rPr>
        <w:t>Berger v. Saskatchewan (Financial and Consumer Affairs Authority)</w:t>
      </w:r>
      <w:r w:rsidR="004E4890" w:rsidRPr="00453883">
        <w:t xml:space="preserve">, 2019 SKCA 89; </w:t>
      </w:r>
      <w:r w:rsidR="004E4890" w:rsidRPr="00453883">
        <w:rPr>
          <w:i/>
        </w:rPr>
        <w:t>Torudag v. British Columbia</w:t>
      </w:r>
      <w:r w:rsidR="004E4890" w:rsidRPr="00453883">
        <w:t xml:space="preserve"> </w:t>
      </w:r>
      <w:r w:rsidR="004E4890" w:rsidRPr="00453883">
        <w:rPr>
          <w:i/>
        </w:rPr>
        <w:t>(Securities Commission)</w:t>
      </w:r>
      <w:r w:rsidR="004E4890" w:rsidRPr="00453883">
        <w:t xml:space="preserve">, 2011 BCCA 458, 343 D.L.R. (4th) 743; </w:t>
      </w:r>
      <w:r w:rsidR="004E4890" w:rsidRPr="00453883">
        <w:rPr>
          <w:i/>
        </w:rPr>
        <w:t>Society of Composers, Authors and Music Publishers of Canada v. Canadian Assn. of Internet Providers</w:t>
      </w:r>
      <w:r w:rsidR="004E4890" w:rsidRPr="00453883">
        <w:t xml:space="preserve">, 2004 SCC 45, [2004] 2 S.C.R. 427; </w:t>
      </w:r>
      <w:r w:rsidR="004E4890" w:rsidRPr="00453883">
        <w:rPr>
          <w:i/>
        </w:rPr>
        <w:t>British Columbia v. Imperial Tobacco Canada Ltd.</w:t>
      </w:r>
      <w:r w:rsidR="004E4890" w:rsidRPr="00453883">
        <w:t xml:space="preserve">, 2005 SCC 49, [2005] 2 S.C.R. 473; </w:t>
      </w:r>
      <w:r w:rsidR="004E4890" w:rsidRPr="00453883">
        <w:rPr>
          <w:i/>
        </w:rPr>
        <w:t>R. v. Hape</w:t>
      </w:r>
      <w:r w:rsidR="004E4890" w:rsidRPr="00453883">
        <w:t xml:space="preserve">, 2007 SCC 26, [2007] 2 S.C.R. 292; </w:t>
      </w:r>
      <w:r w:rsidR="004E4890" w:rsidRPr="00453883">
        <w:rPr>
          <w:i/>
        </w:rPr>
        <w:t>British Columbia v. Imperial Tobacco Canada Ltd.</w:t>
      </w:r>
      <w:r w:rsidR="004E4890" w:rsidRPr="00453883">
        <w:t xml:space="preserve">, 2004 BCCA 269, 239 D.L.R. (4th) 412, aff’d 2005 SCC 49, [2005] 2 S.C.R. 473; </w:t>
      </w:r>
      <w:r w:rsidR="004E4890" w:rsidRPr="00453883">
        <w:rPr>
          <w:i/>
        </w:rPr>
        <w:t>Morguard Investments Ltd. v. De Savoye</w:t>
      </w:r>
      <w:r w:rsidR="004E4890" w:rsidRPr="00453883">
        <w:t xml:space="preserve">, [1990] 3 S.C.R. 1077; </w:t>
      </w:r>
      <w:r w:rsidR="004E4890" w:rsidRPr="00453883">
        <w:rPr>
          <w:rStyle w:val="ui-provider"/>
          <w:i/>
          <w:iCs/>
        </w:rPr>
        <w:t>Beals v. Saldanha</w:t>
      </w:r>
      <w:r w:rsidR="004E4890" w:rsidRPr="00453883">
        <w:rPr>
          <w:rStyle w:val="ui-provider"/>
        </w:rPr>
        <w:t xml:space="preserve">, 2003 SCC 72, [2003] 3 S.C.R. 416; </w:t>
      </w:r>
      <w:r w:rsidR="0017231C" w:rsidRPr="00453883">
        <w:rPr>
          <w:i/>
        </w:rPr>
        <w:t>Libman v. The Queen</w:t>
      </w:r>
      <w:r w:rsidR="0017231C" w:rsidRPr="00453883">
        <w:t xml:space="preserve">, [1985] 2 S.C.R. 178; </w:t>
      </w:r>
      <w:r w:rsidR="0097630D" w:rsidRPr="00453883">
        <w:rPr>
          <w:i/>
        </w:rPr>
        <w:t>Hunt v. T&amp;N plc</w:t>
      </w:r>
      <w:r w:rsidR="0097630D" w:rsidRPr="00453883">
        <w:t xml:space="preserve">, [1993] 4 S.C.R. 289; </w:t>
      </w:r>
      <w:r w:rsidR="004E4890" w:rsidRPr="00453883">
        <w:rPr>
          <w:i/>
        </w:rPr>
        <w:t>Global Securities Corp. v. British Columbia (Securities Commission)</w:t>
      </w:r>
      <w:r w:rsidR="004E4890" w:rsidRPr="00453883">
        <w:t>, 2000 SCC 21, [2000] 1 S.C.R. 494.</w:t>
      </w:r>
    </w:p>
    <w:p w14:paraId="1C0E4A1C" w14:textId="269DF363" w:rsidR="00DA29A9" w:rsidRPr="00453883" w:rsidRDefault="00DA29A9" w:rsidP="000F1FD3">
      <w:pPr>
        <w:pStyle w:val="SCCNormalDoubleSpacing"/>
        <w:widowControl w:val="0"/>
        <w:spacing w:after="720" w:line="240" w:lineRule="auto"/>
      </w:pPr>
      <w:r w:rsidRPr="00453883">
        <w:t>By Côté J.</w:t>
      </w:r>
      <w:r w:rsidR="008F617F" w:rsidRPr="00453883">
        <w:t xml:space="preserve"> (dissenting)</w:t>
      </w:r>
    </w:p>
    <w:p w14:paraId="00234EA5" w14:textId="69D0CD04" w:rsidR="003164BA" w:rsidRPr="00453883" w:rsidRDefault="00DA29A9" w:rsidP="000F1FD3">
      <w:pPr>
        <w:pStyle w:val="SCCNormalDoubleSpacing"/>
        <w:widowControl w:val="0"/>
        <w:spacing w:after="480"/>
      </w:pPr>
      <w:r w:rsidRPr="00453883">
        <w:tab/>
      </w:r>
      <w:r w:rsidRPr="00453883">
        <w:rPr>
          <w:i/>
        </w:rPr>
        <w:t>Unifund Assurance Co. v. Insurance Corp. of British Columbia</w:t>
      </w:r>
      <w:r w:rsidRPr="00453883">
        <w:t>, 2003 SCC 40, [2003] 2 S.C.R. 63;</w:t>
      </w:r>
      <w:r w:rsidR="00E97804" w:rsidRPr="00453883">
        <w:t xml:space="preserve"> </w:t>
      </w:r>
      <w:r w:rsidR="00E97804" w:rsidRPr="00453883">
        <w:rPr>
          <w:i/>
          <w:lang w:val="en-US"/>
        </w:rPr>
        <w:t xml:space="preserve">Newfoundland and Labrador (Attorney General) v. </w:t>
      </w:r>
      <w:r w:rsidR="00E97804" w:rsidRPr="00453883">
        <w:rPr>
          <w:i/>
        </w:rPr>
        <w:t>Uashaunn</w:t>
      </w:r>
      <w:r w:rsidR="00061413" w:rsidRPr="00453883">
        <w:rPr>
          <w:i/>
        </w:rPr>
        <w:t>uat (Innu of Uashat and of Mani</w:t>
      </w:r>
      <w:r w:rsidR="00061413" w:rsidRPr="00453883">
        <w:rPr>
          <w:i/>
        </w:rPr>
        <w:noBreakHyphen/>
      </w:r>
      <w:r w:rsidR="00E97804" w:rsidRPr="00453883">
        <w:rPr>
          <w:i/>
        </w:rPr>
        <w:t>Utenam)</w:t>
      </w:r>
      <w:r w:rsidR="00E97804" w:rsidRPr="00453883">
        <w:t>, 2020 SCC 4, [2020] 1 S.C.R. 15;</w:t>
      </w:r>
      <w:r w:rsidR="001E1567" w:rsidRPr="00453883">
        <w:t xml:space="preserve"> </w:t>
      </w:r>
      <w:r w:rsidR="001E1567" w:rsidRPr="00453883">
        <w:rPr>
          <w:i/>
        </w:rPr>
        <w:t>Transax Technologies inc. v. Red Baron Corp. Ltd</w:t>
      </w:r>
      <w:r w:rsidR="001E1567" w:rsidRPr="00453883">
        <w:t xml:space="preserve">, 2016 QCCA 1432; </w:t>
      </w:r>
      <w:r w:rsidR="001E1567" w:rsidRPr="00453883">
        <w:rPr>
          <w:i/>
        </w:rPr>
        <w:t>Spar Aerospace Ltd. v. American Mobile Satellite Corp.</w:t>
      </w:r>
      <w:r w:rsidR="001E1567" w:rsidRPr="00453883">
        <w:t xml:space="preserve">, 2002 SCC 78, [2002] 4 S.C.R. 205; </w:t>
      </w:r>
      <w:r w:rsidR="001E1567" w:rsidRPr="00453883">
        <w:rPr>
          <w:i/>
        </w:rPr>
        <w:t>Air Canada v. McDonnell Douglas Corp.</w:t>
      </w:r>
      <w:r w:rsidR="001E1567" w:rsidRPr="00453883">
        <w:t xml:space="preserve">, [1989] 1 S.C.R. 1554; </w:t>
      </w:r>
      <w:r w:rsidR="001E1567" w:rsidRPr="00453883">
        <w:rPr>
          <w:i/>
        </w:rPr>
        <w:t>Rosdev Investments Inc. v. Allstate Insurance Co. of Canada</w:t>
      </w:r>
      <w:r w:rsidR="001E1567" w:rsidRPr="00453883">
        <w:t>, [1994] R.J.Q. 2966;</w:t>
      </w:r>
      <w:r w:rsidR="00826AA2" w:rsidRPr="00453883">
        <w:t xml:space="preserve"> </w:t>
      </w:r>
      <w:r w:rsidR="00826AA2" w:rsidRPr="00453883">
        <w:rPr>
          <w:i/>
        </w:rPr>
        <w:t>Club Resorts Ltd. v. Van Breda</w:t>
      </w:r>
      <w:r w:rsidR="00826AA2" w:rsidRPr="00453883">
        <w:t>, 2012 SCC 17, [2012] 1 S.C.R. 572</w:t>
      </w:r>
      <w:r w:rsidR="00A8363D" w:rsidRPr="00453883">
        <w:t xml:space="preserve">; </w:t>
      </w:r>
      <w:r w:rsidR="003A3666" w:rsidRPr="00453883">
        <w:rPr>
          <w:i/>
        </w:rPr>
        <w:t>Lamborghini (Canada) inc. v</w:t>
      </w:r>
      <w:r w:rsidR="00A8363D" w:rsidRPr="00453883">
        <w:rPr>
          <w:i/>
        </w:rPr>
        <w:t>. Automobili Lamborghini S.P.A.</w:t>
      </w:r>
      <w:r w:rsidR="00A8363D" w:rsidRPr="00453883">
        <w:t>, [1997] R.J.Q. 58</w:t>
      </w:r>
      <w:r w:rsidR="003E0F30" w:rsidRPr="00453883">
        <w:t xml:space="preserve">; </w:t>
      </w:r>
      <w:r w:rsidR="0016115D" w:rsidRPr="00453883">
        <w:rPr>
          <w:i/>
        </w:rPr>
        <w:t>Morguard Investments Ltd. v. De Savoye</w:t>
      </w:r>
      <w:r w:rsidR="0016115D" w:rsidRPr="00453883">
        <w:t xml:space="preserve">, [1990] 3 S.C.R. 1077; </w:t>
      </w:r>
      <w:r w:rsidR="0016115D" w:rsidRPr="00453883">
        <w:rPr>
          <w:i/>
        </w:rPr>
        <w:t>Hunt v. T&amp;N plc</w:t>
      </w:r>
      <w:r w:rsidR="001B4C8B" w:rsidRPr="00453883">
        <w:t>, [1993] 4 S.C.R. 289</w:t>
      </w:r>
      <w:r w:rsidR="00F65071" w:rsidRPr="00453883">
        <w:t xml:space="preserve">; </w:t>
      </w:r>
      <w:r w:rsidR="00F65071" w:rsidRPr="00453883">
        <w:rPr>
          <w:i/>
        </w:rPr>
        <w:t>Tolofson v. Jensen</w:t>
      </w:r>
      <w:r w:rsidR="00F65071" w:rsidRPr="00453883">
        <w:t>, [1994] 3 S.C.R. 1022;</w:t>
      </w:r>
      <w:r w:rsidR="00EF0ADE" w:rsidRPr="00453883">
        <w:t xml:space="preserve"> </w:t>
      </w:r>
      <w:r w:rsidR="00EF0ADE" w:rsidRPr="00453883">
        <w:rPr>
          <w:i/>
        </w:rPr>
        <w:t>United States of America v. Harden</w:t>
      </w:r>
      <w:r w:rsidR="00EF0ADE" w:rsidRPr="00453883">
        <w:t>, [1963] S.C.R. 366</w:t>
      </w:r>
      <w:r w:rsidR="00877F63" w:rsidRPr="00453883">
        <w:t xml:space="preserve">; </w:t>
      </w:r>
      <w:r w:rsidR="00877F63" w:rsidRPr="00453883">
        <w:rPr>
          <w:i/>
          <w:szCs w:val="24"/>
        </w:rPr>
        <w:t>Canada Post Corp. v. Lépine</w:t>
      </w:r>
      <w:r w:rsidR="00877F63" w:rsidRPr="00453883">
        <w:rPr>
          <w:szCs w:val="24"/>
        </w:rPr>
        <w:t>, 2009 SCC 16, [2009] 1 S.C.R. 549;</w:t>
      </w:r>
      <w:r w:rsidR="00841287" w:rsidRPr="00453883">
        <w:rPr>
          <w:szCs w:val="24"/>
        </w:rPr>
        <w:t xml:space="preserve"> </w:t>
      </w:r>
      <w:r w:rsidR="00841287" w:rsidRPr="00453883">
        <w:rPr>
          <w:i/>
          <w:iCs/>
        </w:rPr>
        <w:t>Barer v. Knight Brothers LLC</w:t>
      </w:r>
      <w:r w:rsidR="00841287" w:rsidRPr="00453883">
        <w:t xml:space="preserve">, </w:t>
      </w:r>
      <w:r w:rsidR="00841287" w:rsidRPr="00453883">
        <w:rPr>
          <w:rStyle w:val="Hyperlink"/>
          <w:color w:val="auto"/>
        </w:rPr>
        <w:t>2019 SCC 13</w:t>
      </w:r>
      <w:r w:rsidR="00A8363D" w:rsidRPr="00453883">
        <w:t>, [2019] 1 S.C.R. 573</w:t>
      </w:r>
      <w:r w:rsidR="004F5A35" w:rsidRPr="00453883">
        <w:t xml:space="preserve">; </w:t>
      </w:r>
      <w:r w:rsidR="00A537C2" w:rsidRPr="00453883">
        <w:rPr>
          <w:i/>
          <w:color w:val="000000" w:themeColor="text1"/>
        </w:rPr>
        <w:t>Compagnie d’immeubles Yale ltée v. Kirkland (Ville de)</w:t>
      </w:r>
      <w:r w:rsidR="00A537C2" w:rsidRPr="00453883">
        <w:rPr>
          <w:color w:val="000000" w:themeColor="text1"/>
        </w:rPr>
        <w:t xml:space="preserve">, [1996] R.J.Q. 502; </w:t>
      </w:r>
      <w:r w:rsidR="00061413" w:rsidRPr="00453883">
        <w:rPr>
          <w:i/>
          <w:color w:val="000000" w:themeColor="text1"/>
        </w:rPr>
        <w:t>Perron</w:t>
      </w:r>
      <w:r w:rsidR="00061413" w:rsidRPr="00453883">
        <w:rPr>
          <w:i/>
          <w:color w:val="000000" w:themeColor="text1"/>
        </w:rPr>
        <w:noBreakHyphen/>
      </w:r>
      <w:r w:rsidR="004F5A35" w:rsidRPr="00453883">
        <w:rPr>
          <w:i/>
          <w:color w:val="000000" w:themeColor="text1"/>
        </w:rPr>
        <w:t xml:space="preserve">Malenfant </w:t>
      </w:r>
      <w:r w:rsidR="004F5A35" w:rsidRPr="00453883">
        <w:rPr>
          <w:i/>
        </w:rPr>
        <w:t>v. Malenfant (Trustee of)</w:t>
      </w:r>
      <w:r w:rsidR="004F5A35" w:rsidRPr="00453883">
        <w:t>, [1999] 3 S.C.R. 375</w:t>
      </w:r>
      <w:r w:rsidR="0098011B" w:rsidRPr="00453883">
        <w:t>;</w:t>
      </w:r>
      <w:r w:rsidR="0098011B" w:rsidRPr="00453883">
        <w:rPr>
          <w:i/>
        </w:rPr>
        <w:t xml:space="preserve"> Lapointe R</w:t>
      </w:r>
      <w:r w:rsidR="001B4C8B" w:rsidRPr="00453883">
        <w:rPr>
          <w:i/>
        </w:rPr>
        <w:t>osenstein Marchand Melançon LLP</w:t>
      </w:r>
      <w:r w:rsidR="0098011B" w:rsidRPr="00453883">
        <w:rPr>
          <w:i/>
        </w:rPr>
        <w:t xml:space="preserve"> v. Cassels Brock &amp; Blackwell LLP</w:t>
      </w:r>
      <w:r w:rsidR="0098011B" w:rsidRPr="00453883">
        <w:t>, 2016 SCC 30, [2016] 1 S.C.R. 851;</w:t>
      </w:r>
      <w:r w:rsidR="00630A0D" w:rsidRPr="00453883">
        <w:t xml:space="preserve"> </w:t>
      </w:r>
      <w:r w:rsidR="00630A0D" w:rsidRPr="00453883">
        <w:rPr>
          <w:i/>
          <w:szCs w:val="24"/>
        </w:rPr>
        <w:t>Autorité des marchés financiers v. Fournier</w:t>
      </w:r>
      <w:r w:rsidR="00630A0D" w:rsidRPr="00453883">
        <w:rPr>
          <w:szCs w:val="24"/>
        </w:rPr>
        <w:t xml:space="preserve">, 2012 QCCA 1179; </w:t>
      </w:r>
      <w:r w:rsidR="00630A0D" w:rsidRPr="00453883">
        <w:rPr>
          <w:i/>
        </w:rPr>
        <w:t>Donaldson v. Autorité des marchés financiers</w:t>
      </w:r>
      <w:r w:rsidR="00630A0D" w:rsidRPr="00453883">
        <w:t>, 2020 QCCA 401;</w:t>
      </w:r>
      <w:r w:rsidR="009912E3" w:rsidRPr="00453883">
        <w:t xml:space="preserve"> </w:t>
      </w:r>
      <w:r w:rsidR="009912E3" w:rsidRPr="00453883">
        <w:rPr>
          <w:i/>
          <w:szCs w:val="24"/>
        </w:rPr>
        <w:t>Fédération des producteurs acéricoles du Québec v. Regroupement pour la commercialisation des produits de l’érable inc.</w:t>
      </w:r>
      <w:r w:rsidR="009912E3" w:rsidRPr="00453883">
        <w:rPr>
          <w:szCs w:val="24"/>
        </w:rPr>
        <w:t xml:space="preserve">, 2006 SCC 50, [2006] 2 S.C.R. 591; </w:t>
      </w:r>
      <w:r w:rsidR="009912E3" w:rsidRPr="00453883">
        <w:rPr>
          <w:i/>
          <w:szCs w:val="24"/>
        </w:rPr>
        <w:t>Yared v. Karam</w:t>
      </w:r>
      <w:r w:rsidR="009912E3" w:rsidRPr="00453883">
        <w:rPr>
          <w:szCs w:val="24"/>
        </w:rPr>
        <w:t>, 2019 SCC 62, [2019] 4 S</w:t>
      </w:r>
      <w:r w:rsidR="001B4C8B" w:rsidRPr="00453883">
        <w:rPr>
          <w:szCs w:val="24"/>
        </w:rPr>
        <w:t>.</w:t>
      </w:r>
      <w:r w:rsidR="009912E3" w:rsidRPr="00453883">
        <w:rPr>
          <w:szCs w:val="24"/>
        </w:rPr>
        <w:t>C.R. 498;</w:t>
      </w:r>
      <w:r w:rsidR="0003741B" w:rsidRPr="00453883">
        <w:rPr>
          <w:szCs w:val="24"/>
        </w:rPr>
        <w:t xml:space="preserve"> </w:t>
      </w:r>
      <w:r w:rsidR="0003741B" w:rsidRPr="00453883">
        <w:rPr>
          <w:i/>
          <w:szCs w:val="24"/>
        </w:rPr>
        <w:t>Otsuka Pharmaceutical Company Limited v. Pohoresky</w:t>
      </w:r>
      <w:r w:rsidR="0003741B" w:rsidRPr="00453883">
        <w:rPr>
          <w:szCs w:val="24"/>
        </w:rPr>
        <w:t>, 2022 QCCA 1230;</w:t>
      </w:r>
      <w:r w:rsidR="00E71847" w:rsidRPr="00453883">
        <w:rPr>
          <w:szCs w:val="24"/>
        </w:rPr>
        <w:t xml:space="preserve"> </w:t>
      </w:r>
      <w:r w:rsidR="00E71847" w:rsidRPr="00453883">
        <w:rPr>
          <w:i/>
        </w:rPr>
        <w:t>GreCon Dimter inc. v. J.R. Normand inc.</w:t>
      </w:r>
      <w:r w:rsidR="00E71847" w:rsidRPr="00453883">
        <w:t>, 2005 SCC 46, [2005] 2 S.C.R. 401</w:t>
      </w:r>
      <w:r w:rsidR="005B7D50" w:rsidRPr="00453883">
        <w:t>.</w:t>
      </w:r>
    </w:p>
    <w:p w14:paraId="424CC275" w14:textId="77777777" w:rsidR="003B215F" w:rsidRPr="00453883" w:rsidRDefault="002E6705" w:rsidP="00061413">
      <w:pPr>
        <w:pStyle w:val="SCCNormalDoubleSpacing"/>
        <w:spacing w:after="720" w:line="240" w:lineRule="auto"/>
      </w:pPr>
      <w:r w:rsidRPr="00453883">
        <w:rPr>
          <w:b/>
        </w:rPr>
        <w:t>Statutes and Regulations Cite</w:t>
      </w:r>
      <w:r w:rsidR="00A41805" w:rsidRPr="00453883">
        <w:rPr>
          <w:b/>
        </w:rPr>
        <w:t>d</w:t>
      </w:r>
    </w:p>
    <w:p w14:paraId="78FF5548" w14:textId="61AE6F4A" w:rsidR="007803C8" w:rsidRPr="00453883" w:rsidRDefault="007803C8" w:rsidP="00061413">
      <w:pPr>
        <w:pStyle w:val="SCCNormalDoubleSpacing"/>
        <w:spacing w:after="240" w:line="240" w:lineRule="auto"/>
        <w:ind w:left="547" w:hanging="547"/>
        <w:rPr>
          <w:i/>
          <w:lang w:val="en-US"/>
        </w:rPr>
      </w:pPr>
      <w:r w:rsidRPr="00453883">
        <w:rPr>
          <w:i/>
          <w:lang w:val="en-US"/>
        </w:rPr>
        <w:t>Act mainly to improve the regulation of the financial sector, the protection of deposits of money and the operation of financial institutions</w:t>
      </w:r>
      <w:r w:rsidRPr="00453883">
        <w:rPr>
          <w:lang w:val="en-US"/>
        </w:rPr>
        <w:t xml:space="preserve">, S.Q. 2018, </w:t>
      </w:r>
      <w:r w:rsidR="00061413" w:rsidRPr="00453883">
        <w:rPr>
          <w:lang w:val="en-US"/>
        </w:rPr>
        <w:t>c. </w:t>
      </w:r>
      <w:r w:rsidRPr="00453883">
        <w:rPr>
          <w:lang w:val="en-US"/>
        </w:rPr>
        <w:t>23, Part IV.</w:t>
      </w:r>
    </w:p>
    <w:p w14:paraId="28E93545" w14:textId="000CE58B" w:rsidR="00684FE8" w:rsidRPr="00453883" w:rsidRDefault="00684FE8" w:rsidP="00061413">
      <w:pPr>
        <w:pStyle w:val="SCCNormalDoubleSpacing"/>
        <w:spacing w:after="240" w:line="240" w:lineRule="auto"/>
        <w:ind w:left="547" w:hanging="547"/>
      </w:pPr>
      <w:r w:rsidRPr="00453883">
        <w:rPr>
          <w:i/>
        </w:rPr>
        <w:t>Act respecting administrative justice</w:t>
      </w:r>
      <w:r w:rsidR="00061413" w:rsidRPr="00453883">
        <w:t>, CQLR, c. J</w:t>
      </w:r>
      <w:r w:rsidR="00061413" w:rsidRPr="00453883">
        <w:noBreakHyphen/>
        <w:t>3, s. </w:t>
      </w:r>
      <w:r w:rsidRPr="00453883">
        <w:t>9.</w:t>
      </w:r>
    </w:p>
    <w:p w14:paraId="229660A6" w14:textId="0952EB63" w:rsidR="00D855EB" w:rsidRPr="00453883" w:rsidRDefault="00D855EB" w:rsidP="00061413">
      <w:pPr>
        <w:pStyle w:val="SCCNormalDoubleSpacing"/>
        <w:spacing w:after="240" w:line="240" w:lineRule="auto"/>
        <w:ind w:left="547" w:hanging="547"/>
      </w:pPr>
      <w:r w:rsidRPr="00453883">
        <w:rPr>
          <w:i/>
        </w:rPr>
        <w:t>Act respecting French, the official and common language of Québec</w:t>
      </w:r>
      <w:r w:rsidRPr="00453883">
        <w:t xml:space="preserve">, S.Q. 2022, </w:t>
      </w:r>
      <w:proofErr w:type="gramStart"/>
      <w:r w:rsidRPr="00453883">
        <w:t>c</w:t>
      </w:r>
      <w:proofErr w:type="gramEnd"/>
      <w:r w:rsidRPr="00453883">
        <w:t>. 14.</w:t>
      </w:r>
    </w:p>
    <w:p w14:paraId="1D995303" w14:textId="5BA36E3B" w:rsidR="006F3A66" w:rsidRPr="00453883" w:rsidRDefault="006F3A66" w:rsidP="00061413">
      <w:pPr>
        <w:pStyle w:val="SCCNormalDoubleSpacing"/>
        <w:spacing w:after="240" w:line="240" w:lineRule="auto"/>
        <w:ind w:left="547" w:hanging="547"/>
        <w:rPr>
          <w:i/>
        </w:rPr>
      </w:pPr>
      <w:r w:rsidRPr="00453883">
        <w:rPr>
          <w:i/>
        </w:rPr>
        <w:t>Act respecting the Autorité des marchés financiers</w:t>
      </w:r>
      <w:r w:rsidRPr="00453883">
        <w:t>, CQLR, c. A</w:t>
      </w:r>
      <w:r w:rsidR="00061413" w:rsidRPr="00453883">
        <w:noBreakHyphen/>
      </w:r>
      <w:r w:rsidRPr="00453883">
        <w:t>33.2</w:t>
      </w:r>
      <w:r w:rsidR="009860E2" w:rsidRPr="00453883">
        <w:t xml:space="preserve">, </w:t>
      </w:r>
      <w:r w:rsidR="00265D46" w:rsidRPr="00453883">
        <w:t>s</w:t>
      </w:r>
      <w:r w:rsidR="009860E2" w:rsidRPr="00453883">
        <w:t>s. 93</w:t>
      </w:r>
      <w:r w:rsidR="00372099" w:rsidRPr="00453883">
        <w:t xml:space="preserve"> [</w:t>
      </w:r>
      <w:proofErr w:type="gramStart"/>
      <w:r w:rsidR="00372099" w:rsidRPr="00453883">
        <w:t>am</w:t>
      </w:r>
      <w:proofErr w:type="gramEnd"/>
      <w:r w:rsidR="00372099" w:rsidRPr="00453883">
        <w:t>. 2018, c.</w:t>
      </w:r>
      <w:r w:rsidR="00867630" w:rsidRPr="00453883">
        <w:t> </w:t>
      </w:r>
      <w:r w:rsidR="00372099" w:rsidRPr="00453883">
        <w:t>23, s.</w:t>
      </w:r>
      <w:r w:rsidR="00867630" w:rsidRPr="00453883">
        <w:t> </w:t>
      </w:r>
      <w:r w:rsidR="00372099" w:rsidRPr="00453883">
        <w:t>628]</w:t>
      </w:r>
      <w:r w:rsidR="00265D46" w:rsidRPr="00453883">
        <w:t>, 94</w:t>
      </w:r>
      <w:r w:rsidR="00372099" w:rsidRPr="00453883">
        <w:t xml:space="preserve"> [rep</w:t>
      </w:r>
      <w:r w:rsidR="00867630" w:rsidRPr="00453883">
        <w:t>l</w:t>
      </w:r>
      <w:r w:rsidR="009860E2" w:rsidRPr="00453883">
        <w:t>.</w:t>
      </w:r>
      <w:r w:rsidR="00867630" w:rsidRPr="00453883">
        <w:t xml:space="preserve"> 2018, c. 23, s. 629].</w:t>
      </w:r>
    </w:p>
    <w:p w14:paraId="6E5C1714" w14:textId="77777777" w:rsidR="00DA68B1" w:rsidRPr="00453883" w:rsidRDefault="00DA68B1" w:rsidP="00061413">
      <w:pPr>
        <w:pStyle w:val="SCCNormalDoubleSpacing"/>
        <w:spacing w:after="240" w:line="240" w:lineRule="auto"/>
        <w:ind w:left="547" w:hanging="547"/>
      </w:pPr>
      <w:r w:rsidRPr="00453883">
        <w:rPr>
          <w:i/>
        </w:rPr>
        <w:t>Act respecting the regulation of the financial sector</w:t>
      </w:r>
      <w:r w:rsidRPr="00453883">
        <w:t>, CQLR</w:t>
      </w:r>
      <w:r w:rsidR="00124A87" w:rsidRPr="00453883">
        <w:t>,</w:t>
      </w:r>
      <w:r w:rsidR="00846DE0" w:rsidRPr="00453883">
        <w:t xml:space="preserve"> c. E</w:t>
      </w:r>
      <w:r w:rsidR="00846DE0" w:rsidRPr="00453883">
        <w:noBreakHyphen/>
      </w:r>
      <w:r w:rsidRPr="00453883">
        <w:t>6.1</w:t>
      </w:r>
      <w:r w:rsidR="00672151" w:rsidRPr="00453883">
        <w:t>, ss. 93, 94</w:t>
      </w:r>
      <w:r w:rsidR="00846DE0" w:rsidRPr="00453883">
        <w:t>.</w:t>
      </w:r>
    </w:p>
    <w:p w14:paraId="380AA0CC" w14:textId="5A6D1387" w:rsidR="008C4281" w:rsidRPr="00453883" w:rsidRDefault="008C4281" w:rsidP="00061413">
      <w:pPr>
        <w:pStyle w:val="SCCNormalDoubleSpacing"/>
        <w:spacing w:after="240" w:line="240" w:lineRule="auto"/>
        <w:ind w:left="547" w:hanging="547"/>
        <w:rPr>
          <w:rStyle w:val="solexhl"/>
          <w:rFonts w:eastAsiaTheme="majorEastAsia"/>
          <w:iCs/>
        </w:rPr>
      </w:pPr>
      <w:r w:rsidRPr="00453883">
        <w:rPr>
          <w:rStyle w:val="solexhl"/>
          <w:rFonts w:eastAsiaTheme="majorEastAsia"/>
          <w:i/>
          <w:iCs/>
        </w:rPr>
        <w:t>Charter of human rights and freedoms</w:t>
      </w:r>
      <w:r w:rsidR="006A3881" w:rsidRPr="00453883">
        <w:rPr>
          <w:rStyle w:val="solexhl"/>
          <w:rFonts w:eastAsiaTheme="majorEastAsia"/>
          <w:iCs/>
        </w:rPr>
        <w:t>, CQLR, c. </w:t>
      </w:r>
      <w:r w:rsidR="00061413" w:rsidRPr="00453883">
        <w:rPr>
          <w:rStyle w:val="solexhl"/>
          <w:rFonts w:eastAsiaTheme="majorEastAsia"/>
          <w:iCs/>
        </w:rPr>
        <w:t>C</w:t>
      </w:r>
      <w:r w:rsidR="00061413" w:rsidRPr="00453883">
        <w:rPr>
          <w:rStyle w:val="solexhl"/>
          <w:rFonts w:eastAsiaTheme="majorEastAsia"/>
          <w:iCs/>
        </w:rPr>
        <w:noBreakHyphen/>
      </w:r>
      <w:r w:rsidRPr="00453883">
        <w:rPr>
          <w:rStyle w:val="solexhl"/>
          <w:rFonts w:eastAsiaTheme="majorEastAsia"/>
          <w:iCs/>
        </w:rPr>
        <w:t>12.</w:t>
      </w:r>
    </w:p>
    <w:p w14:paraId="5DEE53F3" w14:textId="009D36AF" w:rsidR="00DA68B1" w:rsidRPr="00453883" w:rsidRDefault="008A65BE" w:rsidP="00061413">
      <w:pPr>
        <w:pStyle w:val="SCCNormalDoubleSpacing"/>
        <w:spacing w:after="240" w:line="240" w:lineRule="auto"/>
        <w:ind w:left="547" w:hanging="547"/>
      </w:pPr>
      <w:r w:rsidRPr="00453883">
        <w:rPr>
          <w:i/>
        </w:rPr>
        <w:t>Charter of the French language</w:t>
      </w:r>
      <w:r w:rsidRPr="00453883">
        <w:t>, CQLR, c. C</w:t>
      </w:r>
      <w:r w:rsidRPr="00453883">
        <w:noBreakHyphen/>
        <w:t>11.</w:t>
      </w:r>
    </w:p>
    <w:p w14:paraId="1B176A85" w14:textId="1995FE88" w:rsidR="006B735F" w:rsidRPr="00453883" w:rsidRDefault="006B735F" w:rsidP="00061413">
      <w:pPr>
        <w:pStyle w:val="SCCNormalDoubleSpacing"/>
        <w:spacing w:after="240" w:line="240" w:lineRule="auto"/>
        <w:ind w:left="547" w:hanging="547"/>
      </w:pPr>
      <w:r w:rsidRPr="00453883">
        <w:rPr>
          <w:rStyle w:val="solexhl"/>
          <w:rFonts w:eastAsiaTheme="majorEastAsia"/>
          <w:i/>
          <w:iCs/>
        </w:rPr>
        <w:t>Civil Code of Québec</w:t>
      </w:r>
      <w:r w:rsidR="0035231B" w:rsidRPr="00453883">
        <w:t xml:space="preserve">, </w:t>
      </w:r>
      <w:r w:rsidR="00B402E2" w:rsidRPr="00453883">
        <w:t xml:space="preserve">preliminary provision, </w:t>
      </w:r>
      <w:r w:rsidR="008C4281" w:rsidRPr="00453883">
        <w:t xml:space="preserve">arts. 300, Book Five, 1376, Book Ten, 3076, Title Three, </w:t>
      </w:r>
      <w:r w:rsidR="003626E3" w:rsidRPr="00453883">
        <w:t xml:space="preserve">3134 to 3154, </w:t>
      </w:r>
      <w:r w:rsidR="004326E9" w:rsidRPr="00453883">
        <w:t>3155(6), 3162</w:t>
      </w:r>
      <w:r w:rsidR="00A8363D" w:rsidRPr="00453883">
        <w:t>, 3164</w:t>
      </w:r>
      <w:r w:rsidR="00B105BC" w:rsidRPr="00453883">
        <w:t>.</w:t>
      </w:r>
    </w:p>
    <w:p w14:paraId="65B15B5D" w14:textId="620A756D" w:rsidR="007742CD" w:rsidRPr="00453883" w:rsidRDefault="007742CD" w:rsidP="007742CD">
      <w:pPr>
        <w:pStyle w:val="SCCNormalDoubleSpacing"/>
        <w:spacing w:after="240" w:line="240" w:lineRule="auto"/>
        <w:ind w:left="547" w:hanging="547"/>
        <w:rPr>
          <w:i/>
          <w:iCs/>
          <w:color w:val="000000" w:themeColor="text1"/>
          <w:lang w:val="en-US"/>
        </w:rPr>
      </w:pPr>
      <w:r w:rsidRPr="00453883">
        <w:rPr>
          <w:i/>
          <w:color w:val="000000" w:themeColor="text1"/>
          <w:lang w:val="en-US"/>
        </w:rPr>
        <w:t>Code of Civil Procedure</w:t>
      </w:r>
      <w:r w:rsidRPr="00453883">
        <w:rPr>
          <w:color w:val="000000" w:themeColor="text1"/>
          <w:lang w:val="en-US"/>
        </w:rPr>
        <w:t xml:space="preserve">, </w:t>
      </w:r>
      <w:r w:rsidRPr="00453883">
        <w:rPr>
          <w:iCs/>
          <w:color w:val="000000" w:themeColor="text1"/>
        </w:rPr>
        <w:t>CQLR</w:t>
      </w:r>
      <w:r w:rsidR="00175C53" w:rsidRPr="00453883">
        <w:rPr>
          <w:color w:val="000000" w:themeColor="text1"/>
          <w:lang w:val="en-US"/>
        </w:rPr>
        <w:t>, c. C</w:t>
      </w:r>
      <w:r w:rsidR="00175C53" w:rsidRPr="00453883">
        <w:rPr>
          <w:color w:val="000000" w:themeColor="text1"/>
          <w:lang w:val="en-US"/>
        </w:rPr>
        <w:noBreakHyphen/>
        <w:t>25.01.</w:t>
      </w:r>
    </w:p>
    <w:p w14:paraId="5CFF388C" w14:textId="31B6B33F" w:rsidR="00F45AFF" w:rsidRPr="00453883" w:rsidRDefault="00F45AFF" w:rsidP="00061413">
      <w:pPr>
        <w:pStyle w:val="SCCNormalDoubleSpacing"/>
        <w:spacing w:after="240" w:line="240" w:lineRule="auto"/>
        <w:ind w:left="547" w:hanging="547"/>
        <w:rPr>
          <w:iCs/>
        </w:rPr>
      </w:pPr>
      <w:r w:rsidRPr="00453883">
        <w:rPr>
          <w:i/>
          <w:iCs/>
        </w:rPr>
        <w:t>Code of Penal Procedure</w:t>
      </w:r>
      <w:r w:rsidR="00061413" w:rsidRPr="00453883">
        <w:rPr>
          <w:iCs/>
        </w:rPr>
        <w:t>, CQLR, c. </w:t>
      </w:r>
      <w:r w:rsidRPr="00453883">
        <w:rPr>
          <w:iCs/>
        </w:rPr>
        <w:t>C</w:t>
      </w:r>
      <w:r w:rsidR="00061413" w:rsidRPr="00453883">
        <w:noBreakHyphen/>
        <w:t>25.1, art. </w:t>
      </w:r>
      <w:r w:rsidRPr="00453883">
        <w:t>142.</w:t>
      </w:r>
    </w:p>
    <w:p w14:paraId="747B7E4D" w14:textId="05743192" w:rsidR="00D10BF0" w:rsidRPr="00453883" w:rsidRDefault="00D10BF0" w:rsidP="00061413">
      <w:pPr>
        <w:pStyle w:val="SCCNormalDoubleSpacing"/>
        <w:spacing w:after="240" w:line="240" w:lineRule="auto"/>
        <w:ind w:left="547" w:hanging="547"/>
      </w:pPr>
      <w:r w:rsidRPr="00453883">
        <w:rPr>
          <w:i/>
        </w:rPr>
        <w:t>Constitution Act, 1867</w:t>
      </w:r>
      <w:r w:rsidR="000D0FEB" w:rsidRPr="00453883">
        <w:t>, ss. 91, 92</w:t>
      </w:r>
      <w:r w:rsidR="008C4281" w:rsidRPr="00453883">
        <w:t>.</w:t>
      </w:r>
    </w:p>
    <w:p w14:paraId="0B794789" w14:textId="6876A531" w:rsidR="00A73B24" w:rsidRPr="00453883" w:rsidRDefault="00A73B24" w:rsidP="00061413">
      <w:pPr>
        <w:pStyle w:val="SCCNormalDoubleSpacing"/>
        <w:spacing w:after="240" w:line="240" w:lineRule="auto"/>
        <w:ind w:left="547" w:hanging="547"/>
      </w:pPr>
      <w:r w:rsidRPr="00453883">
        <w:rPr>
          <w:i/>
        </w:rPr>
        <w:t>Interpretation Act</w:t>
      </w:r>
      <w:r w:rsidRPr="00453883">
        <w:t>, CQLR, c. </w:t>
      </w:r>
      <w:r w:rsidR="00061413" w:rsidRPr="00453883">
        <w:rPr>
          <w:lang w:val="en-US"/>
        </w:rPr>
        <w:t>I</w:t>
      </w:r>
      <w:r w:rsidR="00061413" w:rsidRPr="00453883">
        <w:rPr>
          <w:lang w:val="en-US"/>
        </w:rPr>
        <w:noBreakHyphen/>
        <w:t>16, ss. </w:t>
      </w:r>
      <w:r w:rsidRPr="00453883">
        <w:rPr>
          <w:lang w:val="en-US"/>
        </w:rPr>
        <w:t>12, 13.</w:t>
      </w:r>
    </w:p>
    <w:p w14:paraId="6BE73018" w14:textId="3FB3CD66" w:rsidR="008C4281" w:rsidRPr="00453883" w:rsidRDefault="00061413" w:rsidP="00061413">
      <w:pPr>
        <w:pStyle w:val="SCCNormalDoubleSpacing"/>
        <w:spacing w:after="240" w:line="240" w:lineRule="auto"/>
        <w:ind w:left="547" w:hanging="547"/>
        <w:rPr>
          <w:i/>
        </w:rPr>
      </w:pPr>
      <w:r w:rsidRPr="00453883">
        <w:rPr>
          <w:i/>
        </w:rPr>
        <w:t>Regulation 51</w:t>
      </w:r>
      <w:r w:rsidRPr="00453883">
        <w:rPr>
          <w:i/>
        </w:rPr>
        <w:noBreakHyphen/>
      </w:r>
      <w:r w:rsidR="008C4281" w:rsidRPr="00453883">
        <w:rPr>
          <w:i/>
        </w:rPr>
        <w:t xml:space="preserve">105 respecting </w:t>
      </w:r>
      <w:r w:rsidRPr="00453883">
        <w:rPr>
          <w:i/>
        </w:rPr>
        <w:t>Issuers Quoted in the U.S. Over</w:t>
      </w:r>
      <w:r w:rsidRPr="00453883">
        <w:rPr>
          <w:i/>
        </w:rPr>
        <w:noBreakHyphen/>
        <w:t>the</w:t>
      </w:r>
      <w:r w:rsidRPr="00453883">
        <w:rPr>
          <w:i/>
        </w:rPr>
        <w:noBreakHyphen/>
      </w:r>
      <w:r w:rsidR="008C4281" w:rsidRPr="00453883">
        <w:rPr>
          <w:i/>
        </w:rPr>
        <w:t>Counter Markets</w:t>
      </w:r>
      <w:r w:rsidR="00005328" w:rsidRPr="00453883">
        <w:t>, CQLR, c. </w:t>
      </w:r>
      <w:r w:rsidRPr="00453883">
        <w:t>V</w:t>
      </w:r>
      <w:r w:rsidRPr="00453883">
        <w:noBreakHyphen/>
      </w:r>
      <w:r w:rsidR="008C4281" w:rsidRPr="00453883">
        <w:t>1.1, r.</w:t>
      </w:r>
      <w:r w:rsidRPr="00453883">
        <w:t> 24.1, s. </w:t>
      </w:r>
      <w:r w:rsidR="008C4281" w:rsidRPr="00453883">
        <w:t>3.</w:t>
      </w:r>
    </w:p>
    <w:p w14:paraId="763BB6F8" w14:textId="542CB211" w:rsidR="008C4281" w:rsidRPr="00453883" w:rsidRDefault="008C4281" w:rsidP="00061413">
      <w:pPr>
        <w:pStyle w:val="SCCNormalDoubleSpacing"/>
        <w:spacing w:after="240" w:line="240" w:lineRule="auto"/>
        <w:ind w:left="547" w:hanging="547"/>
      </w:pPr>
      <w:r w:rsidRPr="00453883">
        <w:rPr>
          <w:i/>
        </w:rPr>
        <w:t>Rules of the Supreme Court of Canada</w:t>
      </w:r>
      <w:r w:rsidR="00061413" w:rsidRPr="00453883">
        <w:t>, SOR/2002</w:t>
      </w:r>
      <w:r w:rsidR="00061413" w:rsidRPr="00453883">
        <w:noBreakHyphen/>
      </w:r>
      <w:r w:rsidR="008264ED" w:rsidRPr="00453883">
        <w:t>156, r. 33(2</w:t>
      </w:r>
      <w:r w:rsidRPr="00453883">
        <w:t>).</w:t>
      </w:r>
    </w:p>
    <w:p w14:paraId="3847F92F" w14:textId="2D777D20" w:rsidR="00A149DF" w:rsidRPr="00453883" w:rsidRDefault="00B71308" w:rsidP="00061413">
      <w:pPr>
        <w:pStyle w:val="SCCNormalDoubleSpacing"/>
        <w:spacing w:after="720" w:line="240" w:lineRule="auto"/>
        <w:ind w:left="547" w:hanging="547"/>
      </w:pPr>
      <w:r w:rsidRPr="00453883">
        <w:rPr>
          <w:i/>
        </w:rPr>
        <w:t>Securities Act</w:t>
      </w:r>
      <w:r w:rsidRPr="00453883">
        <w:t>, CQLR</w:t>
      </w:r>
      <w:r w:rsidR="00846DE0" w:rsidRPr="00453883">
        <w:t>, c. </w:t>
      </w:r>
      <w:r w:rsidRPr="00453883">
        <w:t>V</w:t>
      </w:r>
      <w:r w:rsidRPr="00453883">
        <w:noBreakHyphen/>
        <w:t>1.1</w:t>
      </w:r>
      <w:r w:rsidR="00672151" w:rsidRPr="00453883">
        <w:t>, ss. </w:t>
      </w:r>
      <w:r w:rsidR="008C4281" w:rsidRPr="00453883">
        <w:t xml:space="preserve">68, </w:t>
      </w:r>
      <w:r w:rsidR="00120456" w:rsidRPr="00453883">
        <w:t xml:space="preserve">Title VII, </w:t>
      </w:r>
      <w:r w:rsidR="00672151" w:rsidRPr="00453883">
        <w:t>195.2, 199.1</w:t>
      </w:r>
      <w:r w:rsidR="00006C17" w:rsidRPr="00453883">
        <w:t xml:space="preserve">, </w:t>
      </w:r>
      <w:r w:rsidR="007666BB" w:rsidRPr="00453883">
        <w:t>202, 210,</w:t>
      </w:r>
      <w:r w:rsidR="00361018" w:rsidRPr="00453883">
        <w:t xml:space="preserve"> Title VIII</w:t>
      </w:r>
      <w:r w:rsidR="008E2C2C" w:rsidRPr="00453883">
        <w:t xml:space="preserve">, </w:t>
      </w:r>
      <w:r w:rsidR="00950950" w:rsidRPr="00453883">
        <w:t xml:space="preserve">213.1 et seq., </w:t>
      </w:r>
      <w:r w:rsidR="008E2C2C" w:rsidRPr="00453883">
        <w:t>233.2</w:t>
      </w:r>
      <w:r w:rsidR="006A652C" w:rsidRPr="00453883">
        <w:t xml:space="preserve">, </w:t>
      </w:r>
      <w:r w:rsidR="004840E0" w:rsidRPr="00453883">
        <w:t xml:space="preserve">235, </w:t>
      </w:r>
      <w:r w:rsidR="007666BB" w:rsidRPr="00453883">
        <w:t xml:space="preserve">236.1, </w:t>
      </w:r>
      <w:r w:rsidR="000351AD" w:rsidRPr="00453883">
        <w:t xml:space="preserve">Title IX, </w:t>
      </w:r>
      <w:r w:rsidR="00006C17" w:rsidRPr="00453883">
        <w:t xml:space="preserve">265, </w:t>
      </w:r>
      <w:r w:rsidR="00D6696E" w:rsidRPr="00453883">
        <w:t xml:space="preserve">273.1, </w:t>
      </w:r>
      <w:r w:rsidR="00006C17" w:rsidRPr="00453883">
        <w:t>273.3</w:t>
      </w:r>
      <w:r w:rsidR="001128BE" w:rsidRPr="00453883">
        <w:t xml:space="preserve">, </w:t>
      </w:r>
      <w:r w:rsidR="001128BE" w:rsidRPr="00453883">
        <w:rPr>
          <w:lang w:val="en-US"/>
        </w:rPr>
        <w:t>Title X, Chapter II</w:t>
      </w:r>
      <w:r w:rsidR="009F3106" w:rsidRPr="00453883">
        <w:rPr>
          <w:lang w:val="en-US"/>
        </w:rPr>
        <w:t>, 307, 307.1</w:t>
      </w:r>
      <w:r w:rsidR="00006C17" w:rsidRPr="00453883">
        <w:t>.</w:t>
      </w:r>
    </w:p>
    <w:p w14:paraId="7FA79708" w14:textId="77777777" w:rsidR="002E6705" w:rsidRPr="00453883" w:rsidRDefault="002E6705" w:rsidP="00061413">
      <w:pPr>
        <w:pStyle w:val="SCCNormalDoubleSpacing"/>
        <w:spacing w:after="720" w:line="240" w:lineRule="auto"/>
        <w:rPr>
          <w:b/>
          <w:lang w:val="fr-CA"/>
        </w:rPr>
      </w:pPr>
      <w:r w:rsidRPr="00453883">
        <w:rPr>
          <w:b/>
          <w:lang w:val="fr-CA"/>
        </w:rPr>
        <w:t>Authors Cited</w:t>
      </w:r>
    </w:p>
    <w:p w14:paraId="226BC67F" w14:textId="3443B1B5" w:rsidR="002C57B3" w:rsidRPr="00453883" w:rsidRDefault="002C57B3" w:rsidP="00061413">
      <w:pPr>
        <w:pStyle w:val="SCCNormalDoubleSpacing"/>
        <w:spacing w:after="240" w:line="240" w:lineRule="auto"/>
        <w:ind w:left="540" w:hanging="540"/>
        <w:rPr>
          <w:lang w:val="fr-CA"/>
        </w:rPr>
      </w:pPr>
      <w:r w:rsidRPr="00453883">
        <w:rPr>
          <w:lang w:val="fr-CA"/>
        </w:rPr>
        <w:t>Baudouin, Jean</w:t>
      </w:r>
      <w:r w:rsidRPr="00453883">
        <w:rPr>
          <w:lang w:val="fr-CA"/>
        </w:rPr>
        <w:noBreakHyphen/>
        <w:t>Louis, et Pierre</w:t>
      </w:r>
      <w:r w:rsidRPr="00453883">
        <w:rPr>
          <w:lang w:val="fr-CA"/>
        </w:rPr>
        <w:noBreakHyphen/>
        <w:t xml:space="preserve">Gabriel Jobin. </w:t>
      </w:r>
      <w:r w:rsidRPr="00453883">
        <w:rPr>
          <w:i/>
          <w:iCs/>
          <w:lang w:val="fr-CA"/>
        </w:rPr>
        <w:t>Les obligations</w:t>
      </w:r>
      <w:r w:rsidRPr="00453883">
        <w:rPr>
          <w:lang w:val="fr-CA"/>
        </w:rPr>
        <w:t>, 7</w:t>
      </w:r>
      <w:r w:rsidRPr="00453883">
        <w:rPr>
          <w:vertAlign w:val="superscript"/>
          <w:lang w:val="fr-CA"/>
        </w:rPr>
        <w:t>e </w:t>
      </w:r>
      <w:r w:rsidRPr="00453883">
        <w:rPr>
          <w:lang w:val="fr-CA"/>
        </w:rPr>
        <w:t>éd., par Pierre</w:t>
      </w:r>
      <w:r w:rsidRPr="00453883">
        <w:rPr>
          <w:lang w:val="fr-CA"/>
        </w:rPr>
        <w:noBreakHyphen/>
        <w:t>Gabriel Jobin et Nathalie Vézina. Cowansville, Que.: Yvon Blais, 2013.</w:t>
      </w:r>
    </w:p>
    <w:p w14:paraId="207C937C" w14:textId="2DFBCF95" w:rsidR="008C4281" w:rsidRPr="00453883" w:rsidRDefault="00092771" w:rsidP="00061413">
      <w:pPr>
        <w:pStyle w:val="SCCNormalDoubleSpacing"/>
        <w:spacing w:after="240" w:line="240" w:lineRule="auto"/>
        <w:ind w:left="540" w:hanging="540"/>
        <w:rPr>
          <w:lang w:val="fr-CA"/>
        </w:rPr>
      </w:pPr>
      <w:r w:rsidRPr="00453883">
        <w:rPr>
          <w:lang w:val="fr-CA"/>
        </w:rPr>
        <w:t xml:space="preserve">Bisson, Alain‐François. “La Disposition préliminaire du </w:t>
      </w:r>
      <w:r w:rsidRPr="00453883">
        <w:rPr>
          <w:i/>
          <w:iCs/>
          <w:lang w:val="fr-CA"/>
        </w:rPr>
        <w:t>Code civil du Québec</w:t>
      </w:r>
      <w:r w:rsidR="00056139" w:rsidRPr="00453883">
        <w:rPr>
          <w:lang w:val="fr-CA"/>
        </w:rPr>
        <w:t xml:space="preserve">” (1999), 44 </w:t>
      </w:r>
      <w:r w:rsidR="00056139" w:rsidRPr="00453883">
        <w:rPr>
          <w:i/>
          <w:iCs/>
          <w:lang w:val="fr-CA"/>
        </w:rPr>
        <w:t xml:space="preserve">McGill </w:t>
      </w:r>
      <w:r w:rsidRPr="00453883">
        <w:rPr>
          <w:i/>
          <w:iCs/>
          <w:lang w:val="fr-CA"/>
        </w:rPr>
        <w:t>L.J.</w:t>
      </w:r>
      <w:r w:rsidR="00056139" w:rsidRPr="00453883">
        <w:rPr>
          <w:lang w:val="fr-CA"/>
        </w:rPr>
        <w:t xml:space="preserve"> </w:t>
      </w:r>
      <w:r w:rsidRPr="00453883">
        <w:rPr>
          <w:lang w:val="fr-CA"/>
        </w:rPr>
        <w:t>539.</w:t>
      </w:r>
    </w:p>
    <w:p w14:paraId="43F43D4A" w14:textId="77777777" w:rsidR="008C4281" w:rsidRPr="00453883" w:rsidRDefault="008C4281" w:rsidP="00061413">
      <w:pPr>
        <w:pStyle w:val="SCCNormalDoubleSpacing"/>
        <w:spacing w:after="240" w:line="240" w:lineRule="auto"/>
        <w:ind w:left="540" w:hanging="540"/>
        <w:rPr>
          <w:lang w:val="en-US"/>
        </w:rPr>
      </w:pPr>
      <w:r w:rsidRPr="00453883">
        <w:rPr>
          <w:lang w:val="en-US"/>
        </w:rPr>
        <w:t xml:space="preserve">Blom, Joost. “Constitutionalizing Canadian private international law — 25 years since </w:t>
      </w:r>
      <w:r w:rsidRPr="00453883">
        <w:rPr>
          <w:i/>
          <w:lang w:val="en-US"/>
        </w:rPr>
        <w:t>Morguard</w:t>
      </w:r>
      <w:r w:rsidRPr="00453883">
        <w:rPr>
          <w:lang w:val="en-US"/>
        </w:rPr>
        <w:t xml:space="preserve">” (2017), 13 </w:t>
      </w:r>
      <w:r w:rsidRPr="00453883">
        <w:rPr>
          <w:i/>
          <w:lang w:val="en-US"/>
        </w:rPr>
        <w:t>J. Priv. Int’l L.</w:t>
      </w:r>
      <w:r w:rsidRPr="00453883">
        <w:rPr>
          <w:lang w:val="en-US"/>
        </w:rPr>
        <w:t xml:space="preserve"> 259.</w:t>
      </w:r>
    </w:p>
    <w:p w14:paraId="2D6D5538" w14:textId="77777777" w:rsidR="008C4281" w:rsidRPr="00453883" w:rsidRDefault="008C4281" w:rsidP="00061413">
      <w:pPr>
        <w:pStyle w:val="SCCNormalDoubleSpacing"/>
        <w:spacing w:after="240" w:line="240" w:lineRule="auto"/>
        <w:ind w:left="540" w:hanging="540"/>
      </w:pPr>
      <w:r w:rsidRPr="00453883">
        <w:t xml:space="preserve">Blom, Joost. “Regulation of Contracts in Canadian Private International Law” (2014), 31 </w:t>
      </w:r>
      <w:r w:rsidRPr="00453883">
        <w:rPr>
          <w:i/>
        </w:rPr>
        <w:t>Ariz. J. Int’l &amp; Comp. L.</w:t>
      </w:r>
      <w:r w:rsidRPr="00453883">
        <w:t xml:space="preserve"> 21.</w:t>
      </w:r>
    </w:p>
    <w:p w14:paraId="64F192C1" w14:textId="428188BE" w:rsidR="008C4281" w:rsidRPr="00453883" w:rsidRDefault="008C4281" w:rsidP="00061413">
      <w:pPr>
        <w:pStyle w:val="SCCNormalDoubleSpacing"/>
        <w:spacing w:after="240" w:line="240" w:lineRule="auto"/>
        <w:ind w:left="540" w:hanging="540"/>
        <w:rPr>
          <w:lang w:val="en-US"/>
        </w:rPr>
      </w:pPr>
      <w:r w:rsidRPr="00453883">
        <w:t>Blom</w:t>
      </w:r>
      <w:r w:rsidR="006A0B34" w:rsidRPr="00453883">
        <w:t>,</w:t>
      </w:r>
      <w:r w:rsidRPr="00453883">
        <w:t xml:space="preserve"> Joost, and Elizabeth Edinger. “The Chimera of the Real and Substantial Connection Test” (2005), 38 </w:t>
      </w:r>
      <w:r w:rsidRPr="00453883">
        <w:rPr>
          <w:i/>
        </w:rPr>
        <w:t>U.B.C. L. Rev.</w:t>
      </w:r>
      <w:r w:rsidRPr="00453883">
        <w:t xml:space="preserve"> 373.</w:t>
      </w:r>
    </w:p>
    <w:p w14:paraId="3FB5DD64" w14:textId="0118E6C8" w:rsidR="00861FD7" w:rsidRPr="00453883" w:rsidRDefault="00861FD7" w:rsidP="00061413">
      <w:pPr>
        <w:pStyle w:val="SCCNormalDoubleSpacing"/>
        <w:spacing w:after="240" w:line="240" w:lineRule="auto"/>
        <w:ind w:left="540" w:hanging="540"/>
      </w:pPr>
      <w:r w:rsidRPr="00453883">
        <w:t>Brierley, John E. C. “Quebec’s ‘Common Laws’ (</w:t>
      </w:r>
      <w:r w:rsidRPr="00453883">
        <w:rPr>
          <w:i/>
          <w:iCs/>
        </w:rPr>
        <w:t>Droits Communs</w:t>
      </w:r>
      <w:r w:rsidRPr="00453883">
        <w:t xml:space="preserve">): How Many Are There?”, in Ernest Caparros et al., eds., </w:t>
      </w:r>
      <w:r w:rsidRPr="00453883">
        <w:rPr>
          <w:i/>
          <w:iCs/>
        </w:rPr>
        <w:t>Mélanges Louis</w:t>
      </w:r>
      <w:r w:rsidRPr="00453883">
        <w:rPr>
          <w:i/>
          <w:iCs/>
        </w:rPr>
        <w:noBreakHyphen/>
        <w:t>Philippe Pigeon</w:t>
      </w:r>
      <w:r w:rsidRPr="00453883">
        <w:t>. Montréal: Wilson &amp; Lafleur, 1989, 109.</w:t>
      </w:r>
    </w:p>
    <w:p w14:paraId="7526AE78" w14:textId="77777777" w:rsidR="005B2679" w:rsidRPr="00453883" w:rsidRDefault="005B2679" w:rsidP="00061413">
      <w:pPr>
        <w:pStyle w:val="SCCNormalDoubleSpacing"/>
        <w:spacing w:after="240" w:line="240" w:lineRule="auto"/>
        <w:ind w:left="540" w:hanging="540"/>
        <w:rPr>
          <w:lang w:val="fr-CA"/>
        </w:rPr>
      </w:pPr>
      <w:r w:rsidRPr="00453883">
        <w:t xml:space="preserve">Brierley, John E. C., and Roderick A. Macdonald, eds. </w:t>
      </w:r>
      <w:r w:rsidRPr="00453883">
        <w:rPr>
          <w:i/>
        </w:rPr>
        <w:t>Quebec Civil Law: An Introduction to Quebec Private Law</w:t>
      </w:r>
      <w:r w:rsidRPr="00453883">
        <w:t xml:space="preserve">. </w:t>
      </w:r>
      <w:r w:rsidRPr="00453883">
        <w:rPr>
          <w:lang w:val="fr-CA"/>
        </w:rPr>
        <w:t>Toronto: Emond Montgomery, 1993.</w:t>
      </w:r>
    </w:p>
    <w:p w14:paraId="1680EBA7" w14:textId="706C1315" w:rsidR="005B2679" w:rsidRPr="00453883" w:rsidRDefault="00672169" w:rsidP="00061413">
      <w:pPr>
        <w:pStyle w:val="SCCNormalDoubleSpacing"/>
        <w:spacing w:after="240" w:line="240" w:lineRule="auto"/>
        <w:ind w:left="540" w:hanging="540"/>
        <w:rPr>
          <w:lang w:val="fr-CA"/>
        </w:rPr>
      </w:pPr>
      <w:r w:rsidRPr="00453883">
        <w:rPr>
          <w:lang w:val="fr-CA"/>
        </w:rPr>
        <w:t>Brisson, Jean</w:t>
      </w:r>
      <w:r w:rsidRPr="00453883">
        <w:rPr>
          <w:lang w:val="fr-CA"/>
        </w:rPr>
        <w:noBreakHyphen/>
      </w:r>
      <w:r w:rsidR="005B2679" w:rsidRPr="00453883">
        <w:rPr>
          <w:lang w:val="fr-CA"/>
        </w:rPr>
        <w:t xml:space="preserve">Maurice. </w:t>
      </w:r>
      <w:r w:rsidR="00B7432F" w:rsidRPr="00453883">
        <w:rPr>
          <w:lang w:val="fr-CA"/>
        </w:rPr>
        <w:t>“Le Code civil, droit commun?</w:t>
      </w:r>
      <w:r w:rsidR="005B2679" w:rsidRPr="00453883">
        <w:rPr>
          <w:lang w:val="fr-CA"/>
        </w:rPr>
        <w:t xml:space="preserve">”, dans </w:t>
      </w:r>
      <w:r w:rsidR="005B2679" w:rsidRPr="00453883">
        <w:rPr>
          <w:i/>
          <w:lang w:val="fr-CA"/>
        </w:rPr>
        <w:t>Le nouveau Code civil: interprétation et applic</w:t>
      </w:r>
      <w:r w:rsidR="00061413" w:rsidRPr="00453883">
        <w:rPr>
          <w:i/>
          <w:lang w:val="fr-CA"/>
        </w:rPr>
        <w:t>ation — Les journées Maximilien</w:t>
      </w:r>
      <w:r w:rsidR="00061413" w:rsidRPr="00453883">
        <w:rPr>
          <w:i/>
          <w:lang w:val="fr-CA"/>
        </w:rPr>
        <w:noBreakHyphen/>
      </w:r>
      <w:r w:rsidR="005B2679" w:rsidRPr="00453883">
        <w:rPr>
          <w:i/>
          <w:lang w:val="fr-CA"/>
        </w:rPr>
        <w:t>Caron 1992</w:t>
      </w:r>
      <w:r w:rsidR="005B2679" w:rsidRPr="00453883">
        <w:rPr>
          <w:lang w:val="fr-CA"/>
        </w:rPr>
        <w:t>. Montréal: Thémis, 1993, 292.</w:t>
      </w:r>
    </w:p>
    <w:p w14:paraId="0B4E6110" w14:textId="4F0FC5C7" w:rsidR="00507010" w:rsidRPr="00453883" w:rsidRDefault="00507010" w:rsidP="00061413">
      <w:pPr>
        <w:pStyle w:val="SCCNormalDoubleSpacing"/>
        <w:spacing w:after="240" w:line="240" w:lineRule="auto"/>
        <w:ind w:left="540" w:hanging="540"/>
        <w:rPr>
          <w:lang w:val="fr-CA"/>
        </w:rPr>
      </w:pPr>
      <w:r w:rsidRPr="00453883">
        <w:rPr>
          <w:lang w:val="fr-CA"/>
        </w:rPr>
        <w:t>Brun, Henri, Guy</w:t>
      </w:r>
      <w:r w:rsidR="00061413" w:rsidRPr="00453883">
        <w:rPr>
          <w:lang w:val="fr-CA"/>
        </w:rPr>
        <w:t xml:space="preserve"> Tremblay et Eugénie Brouillet. </w:t>
      </w:r>
      <w:r w:rsidRPr="00453883">
        <w:rPr>
          <w:i/>
          <w:iCs/>
          <w:lang w:val="fr-CA"/>
        </w:rPr>
        <w:t>Droit constitutionnel</w:t>
      </w:r>
      <w:r w:rsidRPr="00453883">
        <w:rPr>
          <w:lang w:val="fr-CA"/>
        </w:rPr>
        <w:t>, 6</w:t>
      </w:r>
      <w:r w:rsidRPr="00453883">
        <w:rPr>
          <w:vertAlign w:val="superscript"/>
          <w:lang w:val="fr-CA"/>
        </w:rPr>
        <w:t>e</w:t>
      </w:r>
      <w:r w:rsidRPr="00453883">
        <w:rPr>
          <w:lang w:val="fr-CA"/>
        </w:rPr>
        <w:t> éd. Cowansville, Que.: Yvon Blais, 2014.</w:t>
      </w:r>
    </w:p>
    <w:p w14:paraId="73F10579" w14:textId="309BE900" w:rsidR="003F0D22" w:rsidRPr="00453883" w:rsidRDefault="00672169" w:rsidP="003F0D22">
      <w:pPr>
        <w:pStyle w:val="SCCNormalDoubleSpacing"/>
        <w:spacing w:after="240" w:line="240" w:lineRule="auto"/>
        <w:ind w:left="540" w:hanging="540"/>
        <w:rPr>
          <w:strike/>
          <w:lang w:val="fr-CA"/>
        </w:rPr>
      </w:pPr>
      <w:r w:rsidRPr="00453883">
        <w:rPr>
          <w:lang w:val="fr-CA"/>
        </w:rPr>
        <w:t xml:space="preserve">Cornu, Gérard. </w:t>
      </w:r>
      <w:r w:rsidR="003F0D22" w:rsidRPr="00453883">
        <w:rPr>
          <w:i/>
          <w:iCs/>
          <w:lang w:val="fr-CA"/>
        </w:rPr>
        <w:t>Droit civil: Introduction au droit</w:t>
      </w:r>
      <w:r w:rsidR="003F0D22" w:rsidRPr="00453883">
        <w:rPr>
          <w:lang w:val="fr-CA"/>
        </w:rPr>
        <w:t>, 13</w:t>
      </w:r>
      <w:r w:rsidR="003F0D22" w:rsidRPr="00453883">
        <w:rPr>
          <w:vertAlign w:val="superscript"/>
          <w:lang w:val="fr-CA"/>
        </w:rPr>
        <w:t>e</w:t>
      </w:r>
      <w:r w:rsidR="003F0D22" w:rsidRPr="00453883">
        <w:rPr>
          <w:lang w:val="fr-CA"/>
        </w:rPr>
        <w:t> éd. Paris: Montchrestien, 2007.</w:t>
      </w:r>
    </w:p>
    <w:p w14:paraId="4A8FF737" w14:textId="02490EE4" w:rsidR="00E41315" w:rsidRPr="00453883" w:rsidRDefault="00E41315" w:rsidP="00061413">
      <w:pPr>
        <w:pStyle w:val="SCCNormalDoubleSpacing"/>
        <w:spacing w:after="240" w:line="240" w:lineRule="auto"/>
        <w:ind w:left="540" w:hanging="540"/>
        <w:rPr>
          <w:lang w:val="fr-CA"/>
        </w:rPr>
      </w:pPr>
      <w:r w:rsidRPr="00453883">
        <w:rPr>
          <w:lang w:val="fr-CA"/>
        </w:rPr>
        <w:t>Côté</w:t>
      </w:r>
      <w:r w:rsidR="00061413" w:rsidRPr="00453883">
        <w:rPr>
          <w:lang w:val="fr-CA"/>
        </w:rPr>
        <w:t>, Pierre</w:t>
      </w:r>
      <w:r w:rsidR="00061413" w:rsidRPr="00453883">
        <w:rPr>
          <w:lang w:val="fr-CA"/>
        </w:rPr>
        <w:noBreakHyphen/>
      </w:r>
      <w:r w:rsidRPr="00453883">
        <w:rPr>
          <w:lang w:val="fr-CA"/>
        </w:rPr>
        <w:t>André, et M</w:t>
      </w:r>
      <w:r w:rsidR="00E86124" w:rsidRPr="00453883">
        <w:rPr>
          <w:lang w:val="fr-CA"/>
        </w:rPr>
        <w:t>athieu Devinat.</w:t>
      </w:r>
      <w:r w:rsidRPr="00453883">
        <w:rPr>
          <w:lang w:val="fr-CA"/>
        </w:rPr>
        <w:t xml:space="preserve"> </w:t>
      </w:r>
      <w:r w:rsidRPr="00453883">
        <w:rPr>
          <w:i/>
          <w:lang w:val="fr-CA"/>
        </w:rPr>
        <w:t>Interprétation des lois</w:t>
      </w:r>
      <w:r w:rsidR="00E86124" w:rsidRPr="00453883">
        <w:rPr>
          <w:lang w:val="fr-CA"/>
        </w:rPr>
        <w:t>, 5</w:t>
      </w:r>
      <w:r w:rsidR="00E86124" w:rsidRPr="00453883">
        <w:rPr>
          <w:vertAlign w:val="superscript"/>
          <w:lang w:val="fr-CA"/>
        </w:rPr>
        <w:t>e</w:t>
      </w:r>
      <w:r w:rsidRPr="00453883">
        <w:rPr>
          <w:lang w:val="fr-CA"/>
        </w:rPr>
        <w:t> </w:t>
      </w:r>
      <w:r w:rsidR="00E86124" w:rsidRPr="00453883">
        <w:rPr>
          <w:lang w:val="fr-CA"/>
        </w:rPr>
        <w:t>éd. Montréal: Thémis, 2021.</w:t>
      </w:r>
    </w:p>
    <w:p w14:paraId="3D706110" w14:textId="408AE408" w:rsidR="005B4AB5" w:rsidRPr="00453883" w:rsidRDefault="005B4AB5" w:rsidP="00F12379">
      <w:pPr>
        <w:pStyle w:val="SCCNormalDoubleSpacing"/>
        <w:spacing w:after="240" w:line="240" w:lineRule="auto"/>
        <w:ind w:left="540" w:hanging="540"/>
        <w:rPr>
          <w:lang w:val="fr-CA"/>
        </w:rPr>
      </w:pPr>
      <w:r w:rsidRPr="00453883">
        <w:rPr>
          <w:lang w:val="fr-CA"/>
        </w:rPr>
        <w:t xml:space="preserve">Duclos, Cinthia. </w:t>
      </w:r>
      <w:r w:rsidRPr="00453883">
        <w:rPr>
          <w:i/>
          <w:lang w:val="fr-CA"/>
        </w:rPr>
        <w:t>La protection des épargnants dans l'industrie des services d’investissement: une analyse de l’influence des défaillances organisationnelles sous l’angle du Swiss Cheese Model</w:t>
      </w:r>
      <w:r w:rsidRPr="00453883">
        <w:rPr>
          <w:lang w:val="fr-CA"/>
        </w:rPr>
        <w:t>. Montréal: Yvon Blais, 2021.</w:t>
      </w:r>
    </w:p>
    <w:p w14:paraId="49071A74" w14:textId="3DD3E44F" w:rsidR="00F12379" w:rsidRPr="00453883" w:rsidRDefault="00F12379" w:rsidP="00F12379">
      <w:pPr>
        <w:pStyle w:val="SCCNormalDoubleSpacing"/>
        <w:spacing w:after="240" w:line="240" w:lineRule="auto"/>
        <w:ind w:left="540" w:hanging="540"/>
        <w:rPr>
          <w:lang w:val="en-US"/>
        </w:rPr>
      </w:pPr>
      <w:r w:rsidRPr="00453883">
        <w:rPr>
          <w:lang w:val="fr-CA"/>
        </w:rPr>
        <w:t>Duclos, Cinthia, avec</w:t>
      </w:r>
      <w:r w:rsidR="00056139" w:rsidRPr="00453883">
        <w:rPr>
          <w:lang w:val="fr-CA"/>
        </w:rPr>
        <w:t xml:space="preserve"> la collaboration de Raymonde Crête et Audrey </w:t>
      </w:r>
      <w:r w:rsidRPr="00453883">
        <w:rPr>
          <w:lang w:val="fr-CA"/>
        </w:rPr>
        <w:t xml:space="preserve">Létourneau. “Les autorités d’encadrement”, dans </w:t>
      </w:r>
      <w:r w:rsidR="002C6AF2" w:rsidRPr="00453883">
        <w:rPr>
          <w:lang w:val="fr-CA"/>
        </w:rPr>
        <w:t>Raymond</w:t>
      </w:r>
      <w:r w:rsidR="00056139" w:rsidRPr="00453883">
        <w:rPr>
          <w:lang w:val="fr-CA"/>
        </w:rPr>
        <w:t xml:space="preserve"> </w:t>
      </w:r>
      <w:r w:rsidRPr="00453883">
        <w:rPr>
          <w:lang w:val="fr-CA"/>
        </w:rPr>
        <w:t xml:space="preserve">Crête et </w:t>
      </w:r>
      <w:r w:rsidR="002C6AF2" w:rsidRPr="00453883">
        <w:rPr>
          <w:lang w:val="fr-CA"/>
        </w:rPr>
        <w:t xml:space="preserve">autres, </w:t>
      </w:r>
      <w:proofErr w:type="gramStart"/>
      <w:r w:rsidR="002C6AF2" w:rsidRPr="00453883">
        <w:rPr>
          <w:lang w:val="fr-CA"/>
        </w:rPr>
        <w:t>dir.,</w:t>
      </w:r>
      <w:proofErr w:type="gramEnd"/>
      <w:r w:rsidRPr="00453883">
        <w:rPr>
          <w:lang w:val="fr-CA"/>
        </w:rPr>
        <w:t xml:space="preserve"> </w:t>
      </w:r>
      <w:r w:rsidRPr="00453883">
        <w:rPr>
          <w:i/>
          <w:lang w:val="fr-CA"/>
        </w:rPr>
        <w:t>Courtiers et conseillers financiers: Encadrement des services de placement</w:t>
      </w:r>
      <w:r w:rsidR="002C6AF2" w:rsidRPr="00453883">
        <w:rPr>
          <w:lang w:val="fr-CA"/>
        </w:rPr>
        <w:t xml:space="preserve">. </w:t>
      </w:r>
      <w:r w:rsidR="002C6AF2" w:rsidRPr="00453883">
        <w:t>Cowansville, Que.: Yvon Blais, 2011, 117.</w:t>
      </w:r>
    </w:p>
    <w:p w14:paraId="17989637" w14:textId="53D93B35" w:rsidR="008C4281" w:rsidRPr="00453883" w:rsidRDefault="008C4281" w:rsidP="00061413">
      <w:pPr>
        <w:pStyle w:val="SCCNormalDoubleSpacing"/>
        <w:spacing w:after="240" w:line="240" w:lineRule="auto"/>
        <w:ind w:left="540" w:hanging="540"/>
        <w:rPr>
          <w:lang w:val="fr-CA"/>
        </w:rPr>
      </w:pPr>
      <w:r w:rsidRPr="00453883">
        <w:rPr>
          <w:lang w:val="en-US"/>
        </w:rPr>
        <w:t xml:space="preserve">Edinger, Elizabeth, and Vaughan Black. “A New Approach to Extraterritoriality: </w:t>
      </w:r>
      <w:r w:rsidRPr="00453883">
        <w:rPr>
          <w:i/>
          <w:lang w:val="en-US"/>
        </w:rPr>
        <w:t>Unifund Assurance Co. v. I.C.B.C.</w:t>
      </w:r>
      <w:r w:rsidRPr="00453883">
        <w:rPr>
          <w:lang w:val="en-US"/>
        </w:rPr>
        <w:t xml:space="preserve">” </w:t>
      </w:r>
      <w:r w:rsidRPr="00453883">
        <w:rPr>
          <w:lang w:val="fr-CA"/>
        </w:rPr>
        <w:t xml:space="preserve">(2004), 40 </w:t>
      </w:r>
      <w:r w:rsidRPr="00453883">
        <w:rPr>
          <w:i/>
          <w:lang w:val="fr-CA"/>
        </w:rPr>
        <w:t>Can. Bus. L.J.</w:t>
      </w:r>
      <w:r w:rsidRPr="00453883">
        <w:rPr>
          <w:lang w:val="fr-CA"/>
        </w:rPr>
        <w:t xml:space="preserve"> 161.</w:t>
      </w:r>
    </w:p>
    <w:p w14:paraId="79B14D0B" w14:textId="09D01D5E" w:rsidR="00951A23" w:rsidRPr="00453883" w:rsidRDefault="00951A23" w:rsidP="00061413">
      <w:pPr>
        <w:pStyle w:val="SCCNormalDoubleSpacing"/>
        <w:spacing w:after="240" w:line="240" w:lineRule="auto"/>
        <w:ind w:left="540" w:hanging="540"/>
        <w:rPr>
          <w:lang w:val="fr-CA"/>
        </w:rPr>
      </w:pPr>
      <w:r w:rsidRPr="00453883">
        <w:rPr>
          <w:lang w:val="fr-CA"/>
        </w:rPr>
        <w:t xml:space="preserve">Emanuelli, Claude. </w:t>
      </w:r>
      <w:r w:rsidRPr="00453883">
        <w:rPr>
          <w:i/>
          <w:lang w:val="fr-CA"/>
        </w:rPr>
        <w:t>Droit international privé québécois</w:t>
      </w:r>
      <w:r w:rsidRPr="00453883">
        <w:rPr>
          <w:lang w:val="fr-CA"/>
        </w:rPr>
        <w:t>, 3</w:t>
      </w:r>
      <w:r w:rsidRPr="00453883">
        <w:rPr>
          <w:vertAlign w:val="superscript"/>
          <w:lang w:val="fr-CA"/>
        </w:rPr>
        <w:t>e</w:t>
      </w:r>
      <w:r w:rsidRPr="00453883">
        <w:rPr>
          <w:lang w:val="fr-CA"/>
        </w:rPr>
        <w:t> éd. Montréal: Wilson &amp; Lafleur, 2011.</w:t>
      </w:r>
    </w:p>
    <w:p w14:paraId="46A9DB12" w14:textId="3FDB4443" w:rsidR="00BA706F" w:rsidRPr="00453883" w:rsidRDefault="00E41315" w:rsidP="00BA706F">
      <w:pPr>
        <w:pStyle w:val="SCCNormalDoubleSpacing"/>
        <w:spacing w:after="240" w:line="240" w:lineRule="auto"/>
        <w:ind w:left="540" w:hanging="540"/>
        <w:rPr>
          <w:lang w:val="fr-CA"/>
        </w:rPr>
      </w:pPr>
      <w:r w:rsidRPr="00453883">
        <w:rPr>
          <w:lang w:val="fr-CA"/>
        </w:rPr>
        <w:t xml:space="preserve">Emanuelli, Claude. </w:t>
      </w:r>
      <w:r w:rsidRPr="00453883">
        <w:rPr>
          <w:i/>
          <w:lang w:val="fr-CA"/>
        </w:rPr>
        <w:t>Étude comparative sur le droit international privé au Canada</w:t>
      </w:r>
      <w:r w:rsidRPr="00453883">
        <w:rPr>
          <w:lang w:val="fr-CA"/>
        </w:rPr>
        <w:t xml:space="preserve">. </w:t>
      </w:r>
      <w:r w:rsidR="00BD7E9E" w:rsidRPr="00453883">
        <w:rPr>
          <w:lang w:val="fr-CA"/>
        </w:rPr>
        <w:t>Montréal: Wilson &amp; Lafleur, 2019.</w:t>
      </w:r>
    </w:p>
    <w:p w14:paraId="7D460DE3" w14:textId="43DCCC76" w:rsidR="00BA706F" w:rsidRPr="00453883" w:rsidRDefault="00BA706F" w:rsidP="00061413">
      <w:pPr>
        <w:pStyle w:val="SCCNormalDoubleSpacing"/>
        <w:spacing w:after="240" w:line="240" w:lineRule="auto"/>
        <w:ind w:left="540" w:hanging="540"/>
        <w:rPr>
          <w:lang w:val="fr-CA"/>
        </w:rPr>
      </w:pPr>
      <w:r w:rsidRPr="00453883">
        <w:rPr>
          <w:lang w:val="fr-CA"/>
        </w:rPr>
        <w:t>Ferland, Patrick, et Guillaume Laganière. “Le droit international privé”, dans Collection de droit de l’</w:t>
      </w:r>
      <w:r w:rsidR="00672169" w:rsidRPr="00453883">
        <w:rPr>
          <w:lang w:val="fr-CA"/>
        </w:rPr>
        <w:t>École du Barreau du Québec 2023</w:t>
      </w:r>
      <w:r w:rsidR="00672169" w:rsidRPr="00453883">
        <w:rPr>
          <w:lang w:val="fr-CA"/>
        </w:rPr>
        <w:noBreakHyphen/>
        <w:t>2024, vol. </w:t>
      </w:r>
      <w:r w:rsidRPr="00453883">
        <w:rPr>
          <w:lang w:val="fr-CA"/>
        </w:rPr>
        <w:t xml:space="preserve">7, </w:t>
      </w:r>
      <w:r w:rsidRPr="00453883">
        <w:rPr>
          <w:i/>
          <w:lang w:val="fr-CA"/>
        </w:rPr>
        <w:t>Contrats, sûretés, publicité des droits et droit international privé</w:t>
      </w:r>
      <w:r w:rsidRPr="00453883">
        <w:rPr>
          <w:lang w:val="fr-CA"/>
        </w:rPr>
        <w:t>.</w:t>
      </w:r>
      <w:r w:rsidR="003536D1" w:rsidRPr="00453883">
        <w:rPr>
          <w:lang w:val="fr-CA"/>
        </w:rPr>
        <w:t xml:space="preserve"> Montréal: Yvon Blais, 2023, 271</w:t>
      </w:r>
      <w:r w:rsidRPr="00453883">
        <w:rPr>
          <w:lang w:val="fr-CA"/>
        </w:rPr>
        <w:t>.</w:t>
      </w:r>
    </w:p>
    <w:p w14:paraId="65843D78" w14:textId="032AEFD4" w:rsidR="0083122A" w:rsidRPr="00453883" w:rsidRDefault="0083122A" w:rsidP="00061413">
      <w:pPr>
        <w:pStyle w:val="SCCNormalDoubleSpacing"/>
        <w:spacing w:after="240" w:line="240" w:lineRule="auto"/>
        <w:ind w:left="540" w:hanging="540"/>
        <w:rPr>
          <w:lang w:val="fr-CA"/>
        </w:rPr>
      </w:pPr>
      <w:r w:rsidRPr="00453883">
        <w:rPr>
          <w:lang w:val="fr-CA"/>
        </w:rPr>
        <w:t xml:space="preserve">Garant, Patrice, avec la collaboration de Philippe Garant et Jérôme Garant. </w:t>
      </w:r>
      <w:r w:rsidRPr="00453883">
        <w:rPr>
          <w:i/>
          <w:lang w:val="fr-CA"/>
        </w:rPr>
        <w:t>Droit administratif</w:t>
      </w:r>
      <w:r w:rsidRPr="00453883">
        <w:rPr>
          <w:lang w:val="fr-CA"/>
        </w:rPr>
        <w:t>, 7</w:t>
      </w:r>
      <w:r w:rsidRPr="00453883">
        <w:rPr>
          <w:vertAlign w:val="superscript"/>
          <w:lang w:val="fr-CA"/>
        </w:rPr>
        <w:t>e</w:t>
      </w:r>
      <w:r w:rsidRPr="00453883">
        <w:rPr>
          <w:lang w:val="fr-CA"/>
        </w:rPr>
        <w:t> éd. Montréal: Yvon Blais, 2017.</w:t>
      </w:r>
    </w:p>
    <w:p w14:paraId="36B3B58E" w14:textId="3452EF26" w:rsidR="00CB4115" w:rsidRPr="00453883" w:rsidRDefault="00056139" w:rsidP="00061413">
      <w:pPr>
        <w:pStyle w:val="SCCNormalDoubleSpacing"/>
        <w:spacing w:after="240" w:line="240" w:lineRule="auto"/>
        <w:ind w:left="540" w:hanging="540"/>
        <w:rPr>
          <w:lang w:val="fr-CA"/>
        </w:rPr>
      </w:pPr>
      <w:r w:rsidRPr="00453883">
        <w:rPr>
          <w:rStyle w:val="ui-provider"/>
          <w:lang w:val="fr-CA"/>
        </w:rPr>
        <w:t>Glenn, H. </w:t>
      </w:r>
      <w:r w:rsidR="00CB4115" w:rsidRPr="00453883">
        <w:rPr>
          <w:rStyle w:val="ui-provider"/>
          <w:lang w:val="fr-CA"/>
        </w:rPr>
        <w:t xml:space="preserve">Patrick. </w:t>
      </w:r>
      <w:r w:rsidR="001B4C8B" w:rsidRPr="00453883">
        <w:rPr>
          <w:lang w:val="fr-CA"/>
        </w:rPr>
        <w:t>“</w:t>
      </w:r>
      <w:r w:rsidR="001B4C8B" w:rsidRPr="00453883">
        <w:rPr>
          <w:rStyle w:val="ui-provider"/>
          <w:lang w:val="fr-CA"/>
        </w:rPr>
        <w:t>Droit international privé</w:t>
      </w:r>
      <w:r w:rsidR="001B4C8B" w:rsidRPr="00453883">
        <w:rPr>
          <w:lang w:val="fr-CA"/>
        </w:rPr>
        <w:t>”</w:t>
      </w:r>
      <w:r w:rsidR="00CB4115" w:rsidRPr="00453883">
        <w:rPr>
          <w:rStyle w:val="ui-provider"/>
          <w:lang w:val="fr-CA"/>
        </w:rPr>
        <w:t xml:space="preserve">, dans </w:t>
      </w:r>
      <w:r w:rsidR="00CB4115" w:rsidRPr="00453883">
        <w:rPr>
          <w:rStyle w:val="ui-provider"/>
          <w:i/>
          <w:lang w:val="fr-CA"/>
        </w:rPr>
        <w:t>La réforme du Code civil</w:t>
      </w:r>
      <w:r w:rsidR="00CB4115" w:rsidRPr="00453883">
        <w:rPr>
          <w:rStyle w:val="ui-provider"/>
          <w:lang w:val="fr-CA"/>
        </w:rPr>
        <w:t xml:space="preserve">, t. 3, </w:t>
      </w:r>
      <w:r w:rsidR="00CB4115" w:rsidRPr="00453883">
        <w:rPr>
          <w:rStyle w:val="ui-provider"/>
          <w:i/>
          <w:lang w:val="fr-CA"/>
        </w:rPr>
        <w:t>Priorités et hypothèques, preuve et prescription, publicité des droits, droit international privé, dispositions transitoires</w:t>
      </w:r>
      <w:r w:rsidR="00CB4115" w:rsidRPr="00453883">
        <w:rPr>
          <w:rStyle w:val="ui-provider"/>
          <w:lang w:val="fr-CA"/>
        </w:rPr>
        <w:t>. Textes réunis par le Barreau du Québec et la Chambre</w:t>
      </w:r>
      <w:r w:rsidR="00061413" w:rsidRPr="00453883">
        <w:rPr>
          <w:rStyle w:val="ui-provider"/>
          <w:lang w:val="fr-CA"/>
        </w:rPr>
        <w:t xml:space="preserve"> des notaires du Québec. Sainte</w:t>
      </w:r>
      <w:r w:rsidR="00061413" w:rsidRPr="00453883">
        <w:rPr>
          <w:rStyle w:val="ui-provider"/>
          <w:lang w:val="fr-CA"/>
        </w:rPr>
        <w:noBreakHyphen/>
      </w:r>
      <w:r w:rsidR="00CB4115" w:rsidRPr="00453883">
        <w:rPr>
          <w:rStyle w:val="ui-provider"/>
          <w:lang w:val="fr-CA"/>
        </w:rPr>
        <w:t>Foy, Que.: Presses de l’Université Laval, 1993, 669.</w:t>
      </w:r>
    </w:p>
    <w:p w14:paraId="1CBCA327" w14:textId="52C6E998" w:rsidR="006E28C6" w:rsidRPr="00453883" w:rsidRDefault="00056139" w:rsidP="00061413">
      <w:pPr>
        <w:pStyle w:val="SCCNormalDoubleSpacing"/>
        <w:spacing w:after="240" w:line="240" w:lineRule="auto"/>
        <w:ind w:left="540" w:hanging="540"/>
        <w:rPr>
          <w:lang w:val="fr-CA"/>
        </w:rPr>
      </w:pPr>
      <w:r w:rsidRPr="00453883">
        <w:rPr>
          <w:lang w:val="fr-CA"/>
        </w:rPr>
        <w:t>Glenn, H. </w:t>
      </w:r>
      <w:r w:rsidR="006E28C6" w:rsidRPr="00453883">
        <w:rPr>
          <w:lang w:val="fr-CA"/>
        </w:rPr>
        <w:t>P</w:t>
      </w:r>
      <w:r w:rsidR="004D7264" w:rsidRPr="00453883">
        <w:rPr>
          <w:lang w:val="fr-CA"/>
        </w:rPr>
        <w:t>atrick.</w:t>
      </w:r>
      <w:r w:rsidR="006E28C6" w:rsidRPr="00453883">
        <w:rPr>
          <w:lang w:val="fr-CA"/>
        </w:rPr>
        <w:t xml:space="preserve"> “La Disposition préliminaire du </w:t>
      </w:r>
      <w:r w:rsidR="006E28C6" w:rsidRPr="00453883">
        <w:rPr>
          <w:i/>
          <w:lang w:val="fr-CA"/>
        </w:rPr>
        <w:t>Code civil du Québec</w:t>
      </w:r>
      <w:r w:rsidR="006E28C6" w:rsidRPr="00453883">
        <w:rPr>
          <w:lang w:val="fr-CA"/>
        </w:rPr>
        <w:t xml:space="preserve">, le droit commun et les principes généraux du droit” (2005), 46 </w:t>
      </w:r>
      <w:r w:rsidR="006E28C6" w:rsidRPr="00453883">
        <w:rPr>
          <w:i/>
          <w:lang w:val="fr-CA"/>
        </w:rPr>
        <w:t>C. de D.</w:t>
      </w:r>
      <w:r w:rsidR="006E28C6" w:rsidRPr="00453883">
        <w:rPr>
          <w:lang w:val="fr-CA"/>
        </w:rPr>
        <w:t xml:space="preserve"> 339.</w:t>
      </w:r>
    </w:p>
    <w:p w14:paraId="76147029" w14:textId="1D2B7AFC" w:rsidR="00F82CC1" w:rsidRPr="00453883" w:rsidRDefault="00F82CC1" w:rsidP="00061413">
      <w:pPr>
        <w:pStyle w:val="SCCNormalDoubleSpacing"/>
        <w:spacing w:after="240" w:line="240" w:lineRule="auto"/>
        <w:ind w:left="540" w:hanging="540"/>
        <w:rPr>
          <w:lang w:val="fr-CA"/>
        </w:rPr>
      </w:pPr>
      <w:r w:rsidRPr="00453883">
        <w:rPr>
          <w:lang w:val="fr-CA"/>
        </w:rPr>
        <w:t xml:space="preserve">Goldstein, Gérald. </w:t>
      </w:r>
      <w:r w:rsidRPr="00453883">
        <w:rPr>
          <w:i/>
          <w:lang w:val="fr-CA"/>
        </w:rPr>
        <w:t>Droit international privé</w:t>
      </w:r>
      <w:r w:rsidR="00061413" w:rsidRPr="00453883">
        <w:rPr>
          <w:lang w:val="fr-CA"/>
        </w:rPr>
        <w:t>, vol. </w:t>
      </w:r>
      <w:r w:rsidRPr="00453883">
        <w:rPr>
          <w:lang w:val="fr-CA"/>
        </w:rPr>
        <w:t xml:space="preserve">2, </w:t>
      </w:r>
      <w:r w:rsidRPr="00453883">
        <w:rPr>
          <w:i/>
          <w:lang w:val="fr-CA"/>
        </w:rPr>
        <w:t>Compétence internationale des autorités québécoises et effets</w:t>
      </w:r>
      <w:r w:rsidR="00061413" w:rsidRPr="00453883">
        <w:rPr>
          <w:i/>
          <w:lang w:val="fr-CA"/>
        </w:rPr>
        <w:t xml:space="preserve"> des décisions étrangères (Art. </w:t>
      </w:r>
      <w:r w:rsidRPr="00453883">
        <w:rPr>
          <w:i/>
          <w:lang w:val="fr-CA"/>
        </w:rPr>
        <w:t>3134 à 3168 C.c.Q.)</w:t>
      </w:r>
      <w:r w:rsidRPr="00453883">
        <w:rPr>
          <w:lang w:val="fr-CA"/>
        </w:rPr>
        <w:t>, dans Commentaires sur le Code civil du Québec (DCQ). Cowansville, Que.: Yvon Blais, 2012.</w:t>
      </w:r>
    </w:p>
    <w:p w14:paraId="4D273A39" w14:textId="02432031" w:rsidR="00854997" w:rsidRPr="00453883" w:rsidRDefault="00854997" w:rsidP="00061413">
      <w:pPr>
        <w:pStyle w:val="SCCNormalDoubleSpacing"/>
        <w:spacing w:after="240" w:line="240" w:lineRule="auto"/>
        <w:ind w:left="540" w:hanging="540"/>
        <w:rPr>
          <w:lang w:val="fr-CA"/>
        </w:rPr>
      </w:pPr>
      <w:r w:rsidRPr="00453883">
        <w:rPr>
          <w:lang w:val="fr-CA"/>
        </w:rPr>
        <w:t xml:space="preserve">Goldstein, Gérald, et Ethel Groffier. </w:t>
      </w:r>
      <w:r w:rsidRPr="00453883">
        <w:rPr>
          <w:i/>
          <w:lang w:val="fr-CA"/>
        </w:rPr>
        <w:t>Droit international privé</w:t>
      </w:r>
      <w:r w:rsidRPr="00453883">
        <w:rPr>
          <w:lang w:val="fr-CA"/>
        </w:rPr>
        <w:t xml:space="preserve">, t. I, </w:t>
      </w:r>
      <w:r w:rsidRPr="00453883">
        <w:rPr>
          <w:i/>
          <w:lang w:val="fr-CA"/>
        </w:rPr>
        <w:t>Théorie générale</w:t>
      </w:r>
      <w:r w:rsidRPr="00453883">
        <w:rPr>
          <w:lang w:val="fr-CA"/>
        </w:rPr>
        <w:t>. Cowansville, Que.: Yvon Blais, 1998.</w:t>
      </w:r>
    </w:p>
    <w:p w14:paraId="234C7F65" w14:textId="67353C6B" w:rsidR="006B0BF4" w:rsidRPr="00453883" w:rsidRDefault="006B0BF4" w:rsidP="00061413">
      <w:pPr>
        <w:pStyle w:val="SCCNormalDoubleSpacing"/>
        <w:spacing w:after="240" w:line="240" w:lineRule="auto"/>
        <w:ind w:left="540" w:hanging="540"/>
        <w:rPr>
          <w:iCs/>
          <w:szCs w:val="24"/>
          <w:lang w:val="fr-CA"/>
        </w:rPr>
      </w:pPr>
      <w:r w:rsidRPr="00453883">
        <w:rPr>
          <w:szCs w:val="24"/>
          <w:lang w:val="fr-CA"/>
        </w:rPr>
        <w:t xml:space="preserve">Guillemard, Sylvette. </w:t>
      </w:r>
      <w:r w:rsidRPr="00453883">
        <w:rPr>
          <w:lang w:val="fr-CA"/>
        </w:rPr>
        <w:t>“</w:t>
      </w:r>
      <w:r w:rsidRPr="00453883">
        <w:rPr>
          <w:szCs w:val="24"/>
          <w:lang w:val="fr-CA"/>
        </w:rPr>
        <w:t>Règles générales de compétence des tribunaux québécois</w:t>
      </w:r>
      <w:r w:rsidRPr="00453883">
        <w:rPr>
          <w:lang w:val="fr-CA"/>
        </w:rPr>
        <w:t>”</w:t>
      </w:r>
      <w:r w:rsidRPr="00453883">
        <w:rPr>
          <w:szCs w:val="24"/>
          <w:lang w:val="fr-CA"/>
        </w:rPr>
        <w:t xml:space="preserve">, dans </w:t>
      </w:r>
      <w:r w:rsidRPr="00453883">
        <w:rPr>
          <w:i/>
          <w:szCs w:val="24"/>
          <w:lang w:val="fr-CA"/>
        </w:rPr>
        <w:t xml:space="preserve">JurisClasseur Québec — Collection Droit civil — </w:t>
      </w:r>
      <w:r w:rsidRPr="00453883">
        <w:rPr>
          <w:i/>
          <w:iCs/>
          <w:szCs w:val="24"/>
          <w:lang w:val="fr-CA"/>
        </w:rPr>
        <w:t>Droit international privé</w:t>
      </w:r>
      <w:r w:rsidRPr="00453883">
        <w:rPr>
          <w:iCs/>
          <w:szCs w:val="24"/>
          <w:lang w:val="fr-CA"/>
        </w:rPr>
        <w:t>, par Pierre-Claude Lafond, dir. Montréal: LexisNexis, 2012, fascicule 8 (mis à jour 24 juin 2021).</w:t>
      </w:r>
    </w:p>
    <w:p w14:paraId="59138B25" w14:textId="2C41485E" w:rsidR="00AD4F28" w:rsidRPr="00453883" w:rsidRDefault="00AD4F28" w:rsidP="00061413">
      <w:pPr>
        <w:pStyle w:val="SCCNormalDoubleSpacing"/>
        <w:spacing w:after="240" w:line="240" w:lineRule="auto"/>
        <w:ind w:left="540" w:hanging="540"/>
        <w:rPr>
          <w:lang w:val="en-US"/>
        </w:rPr>
      </w:pPr>
      <w:r w:rsidRPr="00453883">
        <w:rPr>
          <w:szCs w:val="24"/>
          <w:lang w:val="fr-CA"/>
        </w:rPr>
        <w:t xml:space="preserve">Guillemard, Sylvette, et Van Anh Ly. </w:t>
      </w:r>
      <w:r w:rsidRPr="00453883">
        <w:rPr>
          <w:i/>
          <w:lang w:val="fr-CA"/>
        </w:rPr>
        <w:t>Éléments de droit international privé québécois</w:t>
      </w:r>
      <w:r w:rsidRPr="00453883">
        <w:rPr>
          <w:lang w:val="fr-CA"/>
        </w:rPr>
        <w:t xml:space="preserve">. </w:t>
      </w:r>
      <w:r w:rsidR="00886A82" w:rsidRPr="00453883">
        <w:rPr>
          <w:lang w:val="en-US"/>
        </w:rPr>
        <w:t>Montréal</w:t>
      </w:r>
      <w:r w:rsidRPr="00453883">
        <w:rPr>
          <w:lang w:val="en-US"/>
        </w:rPr>
        <w:t>: Thomson Reuters, 2019.</w:t>
      </w:r>
    </w:p>
    <w:p w14:paraId="25B45E56" w14:textId="71FB6964" w:rsidR="00A149DF" w:rsidRPr="00453883" w:rsidRDefault="00056139" w:rsidP="00061413">
      <w:pPr>
        <w:pStyle w:val="SCCNormalDoubleSpacing"/>
        <w:spacing w:after="240" w:line="240" w:lineRule="auto"/>
        <w:ind w:left="540" w:hanging="540"/>
      </w:pPr>
      <w:r w:rsidRPr="00453883">
        <w:rPr>
          <w:lang w:val="en-US"/>
        </w:rPr>
        <w:t>Hogg, Peter W., and Wade K. </w:t>
      </w:r>
      <w:r w:rsidR="00AA337C" w:rsidRPr="00453883">
        <w:rPr>
          <w:lang w:val="en-US"/>
        </w:rPr>
        <w:t xml:space="preserve">Wright. </w:t>
      </w:r>
      <w:r w:rsidR="00AA337C" w:rsidRPr="00453883">
        <w:rPr>
          <w:i/>
          <w:lang w:val="en-US"/>
        </w:rPr>
        <w:t>Constitutional Law of Canada</w:t>
      </w:r>
      <w:r w:rsidR="00AA337C" w:rsidRPr="00453883">
        <w:rPr>
          <w:lang w:val="en-US"/>
        </w:rPr>
        <w:t xml:space="preserve">, 5th ed. </w:t>
      </w:r>
      <w:r w:rsidR="00AA337C" w:rsidRPr="00453883">
        <w:t xml:space="preserve">Supp. Toronto: Thomson Reuters, </w:t>
      </w:r>
      <w:r w:rsidR="007B5755" w:rsidRPr="00453883">
        <w:t>202</w:t>
      </w:r>
      <w:r w:rsidR="0082031E" w:rsidRPr="00453883">
        <w:t>3 (updated 2023</w:t>
      </w:r>
      <w:r w:rsidR="007B5755" w:rsidRPr="00453883">
        <w:t>, release 1</w:t>
      </w:r>
      <w:r w:rsidR="00AA337C" w:rsidRPr="00453883">
        <w:t>).</w:t>
      </w:r>
    </w:p>
    <w:p w14:paraId="45C214A2" w14:textId="334450FD" w:rsidR="008C4281" w:rsidRPr="00453883" w:rsidRDefault="008C4281" w:rsidP="00061413">
      <w:pPr>
        <w:pStyle w:val="SCCNormalDoubleSpacing"/>
        <w:spacing w:after="240" w:line="240" w:lineRule="auto"/>
        <w:ind w:left="540" w:hanging="540"/>
      </w:pPr>
      <w:r w:rsidRPr="00453883">
        <w:t xml:space="preserve">Hume, Nathan. “Four Flaws: Reflections on the Canadian Approach to Private International Law” (2006), 44 </w:t>
      </w:r>
      <w:r w:rsidRPr="00453883">
        <w:rPr>
          <w:i/>
        </w:rPr>
        <w:t>Can. Y.B. Int’l L.</w:t>
      </w:r>
      <w:r w:rsidRPr="00453883">
        <w:t xml:space="preserve"> 161.</w:t>
      </w:r>
    </w:p>
    <w:p w14:paraId="647BC737" w14:textId="57CD395B" w:rsidR="008C4281" w:rsidRPr="00453883" w:rsidRDefault="008C4281" w:rsidP="00061413">
      <w:pPr>
        <w:pStyle w:val="SCCNormalDoubleSpacing"/>
        <w:spacing w:after="240" w:line="240" w:lineRule="auto"/>
        <w:ind w:left="540" w:hanging="540"/>
      </w:pPr>
      <w:r w:rsidRPr="00453883">
        <w:t xml:space="preserve">Kain, Brandon, and Byron Shaw. “Mapping the Serbonian Bog: The Territorial Limits of Secondary Market Securities Act Claims </w:t>
      </w:r>
      <w:proofErr w:type="gramStart"/>
      <w:r w:rsidRPr="00453883">
        <w:t>Under</w:t>
      </w:r>
      <w:proofErr w:type="gramEnd"/>
      <w:r w:rsidRPr="00453883">
        <w:t xml:space="preserve"> the Canadian Constitution — Part 1” (2012), 53 </w:t>
      </w:r>
      <w:r w:rsidRPr="00453883">
        <w:rPr>
          <w:i/>
        </w:rPr>
        <w:t>Can. Bus. L.J.</w:t>
      </w:r>
      <w:r w:rsidRPr="00453883">
        <w:t xml:space="preserve"> 63.</w:t>
      </w:r>
    </w:p>
    <w:p w14:paraId="46C8E1C1" w14:textId="287744F2" w:rsidR="00CA4D75" w:rsidRPr="00453883" w:rsidRDefault="00CA4D75" w:rsidP="00061413">
      <w:pPr>
        <w:pStyle w:val="SCCNormalDoubleSpacing"/>
        <w:spacing w:after="240" w:line="240" w:lineRule="auto"/>
        <w:ind w:left="540" w:hanging="540"/>
        <w:rPr>
          <w:lang w:val="fr-CA"/>
        </w:rPr>
      </w:pPr>
      <w:r w:rsidRPr="00453883">
        <w:rPr>
          <w:lang w:val="fr-CA"/>
        </w:rPr>
        <w:t xml:space="preserve">Lemieux, Charlotte. “Éléments d’interprétation en droit civil” (1994), 24 </w:t>
      </w:r>
      <w:r w:rsidRPr="00453883">
        <w:rPr>
          <w:i/>
          <w:lang w:val="fr-CA"/>
        </w:rPr>
        <w:t>R.D.U.S.</w:t>
      </w:r>
      <w:r w:rsidRPr="00453883">
        <w:rPr>
          <w:lang w:val="fr-CA"/>
        </w:rPr>
        <w:t xml:space="preserve"> 221.</w:t>
      </w:r>
    </w:p>
    <w:p w14:paraId="61A81F13" w14:textId="77777777" w:rsidR="00BA33C9" w:rsidRPr="00453883" w:rsidRDefault="005C0560" w:rsidP="00061413">
      <w:pPr>
        <w:pStyle w:val="SCCNormalDoubleSpacing"/>
        <w:spacing w:after="240" w:line="240" w:lineRule="auto"/>
        <w:ind w:left="540" w:hanging="540"/>
        <w:rPr>
          <w:lang w:val="en-US"/>
        </w:rPr>
      </w:pPr>
      <w:r w:rsidRPr="00453883">
        <w:rPr>
          <w:lang w:val="en-US"/>
        </w:rPr>
        <w:t xml:space="preserve">Lemieux, Denis. “The Role of the </w:t>
      </w:r>
      <w:r w:rsidRPr="00453883">
        <w:rPr>
          <w:i/>
          <w:lang w:val="en-US"/>
        </w:rPr>
        <w:t>Civil Code of Québec</w:t>
      </w:r>
      <w:r w:rsidRPr="00453883">
        <w:rPr>
          <w:lang w:val="en-US"/>
        </w:rPr>
        <w:t xml:space="preserve"> in Administrative Law” (2005), 18 </w:t>
      </w:r>
      <w:r w:rsidRPr="00453883">
        <w:rPr>
          <w:i/>
          <w:lang w:val="en-US"/>
        </w:rPr>
        <w:t>C.J.A.L.P.</w:t>
      </w:r>
      <w:r w:rsidRPr="00453883">
        <w:rPr>
          <w:lang w:val="en-US"/>
        </w:rPr>
        <w:t xml:space="preserve"> 143.</w:t>
      </w:r>
    </w:p>
    <w:p w14:paraId="1DBD1060" w14:textId="04B409A4" w:rsidR="008C4281" w:rsidRPr="00453883" w:rsidRDefault="008C4281" w:rsidP="00061413">
      <w:pPr>
        <w:pStyle w:val="SCCNormalDoubleSpacing"/>
        <w:spacing w:after="240" w:line="240" w:lineRule="auto"/>
        <w:ind w:left="540" w:hanging="540"/>
        <w:rPr>
          <w:lang w:val="fr-CA"/>
        </w:rPr>
      </w:pPr>
      <w:r w:rsidRPr="00453883">
        <w:rPr>
          <w:lang w:val="en-US"/>
        </w:rPr>
        <w:t xml:space="preserve">Macdonald, Roderick A. “Encoding </w:t>
      </w:r>
      <w:r w:rsidRPr="00453883">
        <w:rPr>
          <w:i/>
          <w:lang w:val="en-US"/>
        </w:rPr>
        <w:t>Canadian</w:t>
      </w:r>
      <w:r w:rsidRPr="00453883">
        <w:rPr>
          <w:lang w:val="en-US"/>
        </w:rPr>
        <w:t xml:space="preserve"> Civil Law”, in </w:t>
      </w:r>
      <w:r w:rsidR="00061413" w:rsidRPr="00453883">
        <w:rPr>
          <w:i/>
          <w:lang w:val="en-US"/>
        </w:rPr>
        <w:t>Mélanges Paul</w:t>
      </w:r>
      <w:r w:rsidR="00061413" w:rsidRPr="00453883">
        <w:rPr>
          <w:i/>
          <w:lang w:val="en-US"/>
        </w:rPr>
        <w:noBreakHyphen/>
      </w:r>
      <w:r w:rsidRPr="00453883">
        <w:rPr>
          <w:i/>
          <w:lang w:val="en-US"/>
        </w:rPr>
        <w:t>André Crépeau</w:t>
      </w:r>
      <w:r w:rsidRPr="00453883">
        <w:rPr>
          <w:lang w:val="en-US"/>
        </w:rPr>
        <w:t xml:space="preserve">. </w:t>
      </w:r>
      <w:r w:rsidRPr="00453883">
        <w:rPr>
          <w:lang w:val="fr-CA"/>
        </w:rPr>
        <w:t>Cowansville, Que.:Yvon Blais, 1997, 579.</w:t>
      </w:r>
    </w:p>
    <w:p w14:paraId="3B12C5CB" w14:textId="55B8E903" w:rsidR="008C4281" w:rsidRPr="00453883" w:rsidRDefault="00061413" w:rsidP="00061413">
      <w:pPr>
        <w:pStyle w:val="SCCNormalDoubleSpacing"/>
        <w:spacing w:after="240" w:line="240" w:lineRule="auto"/>
        <w:ind w:left="540" w:hanging="540"/>
        <w:rPr>
          <w:strike/>
          <w:lang w:val="en-US"/>
        </w:rPr>
      </w:pPr>
      <w:r w:rsidRPr="00453883">
        <w:rPr>
          <w:lang w:val="fr-CA"/>
        </w:rPr>
        <w:t xml:space="preserve">Mayrand, Albert. </w:t>
      </w:r>
      <w:r w:rsidR="008C4281" w:rsidRPr="00453883">
        <w:rPr>
          <w:rStyle w:val="solexhl"/>
          <w:rFonts w:eastAsiaTheme="majorEastAsia"/>
          <w:i/>
          <w:iCs/>
          <w:lang w:val="fr-CA"/>
        </w:rPr>
        <w:t>Dictionnaire de maximes et locutions latines utilisées en droit</w:t>
      </w:r>
      <w:r w:rsidR="008C4281" w:rsidRPr="00453883">
        <w:rPr>
          <w:lang w:val="fr-CA"/>
        </w:rPr>
        <w:t>, 4</w:t>
      </w:r>
      <w:r w:rsidR="008C4281" w:rsidRPr="00453883">
        <w:rPr>
          <w:vertAlign w:val="superscript"/>
          <w:lang w:val="fr-CA"/>
        </w:rPr>
        <w:t>e</w:t>
      </w:r>
      <w:r w:rsidR="008C4281" w:rsidRPr="00453883">
        <w:rPr>
          <w:lang w:val="fr-CA"/>
        </w:rPr>
        <w:t xml:space="preserve"> éd. </w:t>
      </w:r>
      <w:r w:rsidR="008C4281" w:rsidRPr="00453883">
        <w:rPr>
          <w:lang w:val="en-US"/>
        </w:rPr>
        <w:t>Cowansville, Que.: Yvon Blais, 2007, “</w:t>
      </w:r>
      <w:r w:rsidR="008C4281" w:rsidRPr="00453883">
        <w:rPr>
          <w:i/>
        </w:rPr>
        <w:t>specialia generalibus derogant</w:t>
      </w:r>
      <w:r w:rsidR="008C4281" w:rsidRPr="00453883">
        <w:rPr>
          <w:lang w:val="en-US"/>
        </w:rPr>
        <w:t>”.</w:t>
      </w:r>
    </w:p>
    <w:p w14:paraId="4EEAB8A7" w14:textId="64B8CBD5" w:rsidR="00BA33C9" w:rsidRPr="00453883" w:rsidRDefault="00BA33C9" w:rsidP="00061413">
      <w:pPr>
        <w:pStyle w:val="SCCNormalDoubleSpacing"/>
        <w:spacing w:after="240" w:line="240" w:lineRule="auto"/>
        <w:ind w:left="540" w:hanging="540"/>
        <w:rPr>
          <w:lang w:val="en-US"/>
        </w:rPr>
      </w:pPr>
      <w:r w:rsidRPr="00453883">
        <w:rPr>
          <w:lang w:val="en-US"/>
        </w:rPr>
        <w:t xml:space="preserve">McEvoy, John P. “Forum of necessity in Quebec Private International Law: C.c.Q. art. 3136” (2005), 35 </w:t>
      </w:r>
      <w:r w:rsidRPr="00453883">
        <w:rPr>
          <w:i/>
          <w:lang w:val="en-US"/>
        </w:rPr>
        <w:t>R.G.D.</w:t>
      </w:r>
      <w:r w:rsidRPr="00453883">
        <w:rPr>
          <w:lang w:val="en-US"/>
        </w:rPr>
        <w:t xml:space="preserve"> 61.</w:t>
      </w:r>
    </w:p>
    <w:p w14:paraId="5D99A10F" w14:textId="2E560273" w:rsidR="00C65AD9" w:rsidRPr="00453883" w:rsidRDefault="00C65AD9" w:rsidP="00061413">
      <w:pPr>
        <w:pStyle w:val="SCCNormalDoubleSpacing"/>
        <w:spacing w:after="240" w:line="240" w:lineRule="auto"/>
        <w:ind w:left="540" w:hanging="540"/>
        <w:rPr>
          <w:lang w:val="fr-CA"/>
        </w:rPr>
      </w:pPr>
      <w:r w:rsidRPr="00453883">
        <w:rPr>
          <w:lang w:val="fr-CA"/>
        </w:rPr>
        <w:t xml:space="preserve">Quebec. Ministère de la Justice. </w:t>
      </w:r>
      <w:r w:rsidRPr="00453883">
        <w:rPr>
          <w:rStyle w:val="solexhl"/>
          <w:rFonts w:eastAsiaTheme="majorEastAsia"/>
          <w:i/>
          <w:iCs/>
          <w:lang w:val="fr-CA"/>
        </w:rPr>
        <w:t>Commentaires du ministre de la Justice</w:t>
      </w:r>
      <w:r w:rsidRPr="00453883">
        <w:rPr>
          <w:lang w:val="fr-CA"/>
        </w:rPr>
        <w:t xml:space="preserve">, t. I, </w:t>
      </w:r>
      <w:r w:rsidR="00061413" w:rsidRPr="00453883">
        <w:rPr>
          <w:i/>
          <w:iCs/>
          <w:lang w:val="fr-CA"/>
        </w:rPr>
        <w:t xml:space="preserve">Le Code civil du Québec — </w:t>
      </w:r>
      <w:r w:rsidRPr="00453883">
        <w:rPr>
          <w:i/>
          <w:iCs/>
          <w:lang w:val="fr-CA"/>
        </w:rPr>
        <w:t>Un mouvement de société</w:t>
      </w:r>
      <w:r w:rsidRPr="00453883">
        <w:rPr>
          <w:lang w:val="fr-CA"/>
        </w:rPr>
        <w:t>. Québec: Publications du Québec, 1993.</w:t>
      </w:r>
    </w:p>
    <w:p w14:paraId="62351A53" w14:textId="0ABFD919" w:rsidR="00FC2B52" w:rsidRPr="00453883" w:rsidRDefault="00FC2B52" w:rsidP="00061413">
      <w:pPr>
        <w:pStyle w:val="SCCNormalDoubleSpacing"/>
        <w:spacing w:after="240" w:line="240" w:lineRule="auto"/>
        <w:ind w:left="540" w:hanging="540"/>
        <w:rPr>
          <w:lang w:val="fr-CA"/>
        </w:rPr>
      </w:pPr>
      <w:r w:rsidRPr="00453883">
        <w:rPr>
          <w:lang w:val="fr-CA"/>
        </w:rPr>
        <w:t xml:space="preserve">Quebec. Ministère de la Justice. </w:t>
      </w:r>
      <w:r w:rsidRPr="00453883">
        <w:rPr>
          <w:rStyle w:val="solexhl"/>
          <w:rFonts w:eastAsiaTheme="majorEastAsia"/>
          <w:i/>
          <w:iCs/>
          <w:lang w:val="fr-CA"/>
        </w:rPr>
        <w:t>Commentaires du ministre de la Justice</w:t>
      </w:r>
      <w:r w:rsidRPr="00453883">
        <w:rPr>
          <w:lang w:val="fr-CA"/>
        </w:rPr>
        <w:t xml:space="preserve">, t. II, </w:t>
      </w:r>
      <w:r w:rsidRPr="00453883">
        <w:rPr>
          <w:i/>
          <w:iCs/>
          <w:lang w:val="fr-CA"/>
        </w:rPr>
        <w:t>Le Code civil du Québec — Un mouvement de société</w:t>
      </w:r>
      <w:r w:rsidRPr="00453883">
        <w:rPr>
          <w:lang w:val="fr-CA"/>
        </w:rPr>
        <w:t>. Québec: Publications du Québec, 1993.</w:t>
      </w:r>
    </w:p>
    <w:p w14:paraId="4B612FB9" w14:textId="4E03DB71" w:rsidR="00B26ED0" w:rsidRPr="00453883" w:rsidRDefault="00B26ED0" w:rsidP="00061413">
      <w:pPr>
        <w:pStyle w:val="SCCNormalDoubleSpacing"/>
        <w:spacing w:after="240" w:line="240" w:lineRule="auto"/>
        <w:ind w:left="540" w:hanging="540"/>
        <w:rPr>
          <w:lang w:val="fr-CA"/>
        </w:rPr>
      </w:pPr>
      <w:r w:rsidRPr="00453883">
        <w:rPr>
          <w:lang w:val="fr-CA"/>
        </w:rPr>
        <w:t xml:space="preserve">Rousseau, Stéphane. “L’application de la législation sur les valeurs mobilières au Québec: une étude du rôle du Tribunal administratif des marchés financiers” (2017), 76 </w:t>
      </w:r>
      <w:r w:rsidRPr="00453883">
        <w:rPr>
          <w:i/>
          <w:lang w:val="fr-CA"/>
        </w:rPr>
        <w:t xml:space="preserve">R. du B. </w:t>
      </w:r>
      <w:r w:rsidRPr="00453883">
        <w:rPr>
          <w:lang w:val="fr-CA"/>
        </w:rPr>
        <w:t>1.</w:t>
      </w:r>
    </w:p>
    <w:p w14:paraId="40F5116B" w14:textId="3F34CD29" w:rsidR="00230A99" w:rsidRPr="00453883" w:rsidRDefault="00230A99" w:rsidP="00061413">
      <w:pPr>
        <w:pStyle w:val="SCCNormalDoubleSpacing"/>
        <w:spacing w:after="240" w:line="240" w:lineRule="auto"/>
        <w:ind w:left="540" w:hanging="540"/>
        <w:rPr>
          <w:lang w:val="en-US"/>
        </w:rPr>
      </w:pPr>
      <w:r w:rsidRPr="00453883">
        <w:rPr>
          <w:lang w:val="en-US"/>
        </w:rPr>
        <w:t xml:space="preserve">Saumier, Geneviève. “The Recognition of Foreign Judgments in Quebec — </w:t>
      </w:r>
      <w:proofErr w:type="gramStart"/>
      <w:r w:rsidRPr="00453883">
        <w:rPr>
          <w:lang w:val="en-US"/>
        </w:rPr>
        <w:t>The</w:t>
      </w:r>
      <w:proofErr w:type="gramEnd"/>
      <w:r w:rsidRPr="00453883">
        <w:rPr>
          <w:lang w:val="en-US"/>
        </w:rPr>
        <w:t xml:space="preserve"> Mirror Crack’d?” (2002), 81 </w:t>
      </w:r>
      <w:r w:rsidRPr="00453883">
        <w:rPr>
          <w:i/>
          <w:lang w:val="en-US"/>
        </w:rPr>
        <w:t>Can. Bar Rev.</w:t>
      </w:r>
      <w:r w:rsidRPr="00453883">
        <w:rPr>
          <w:lang w:val="en-US"/>
        </w:rPr>
        <w:t xml:space="preserve"> 677.</w:t>
      </w:r>
    </w:p>
    <w:p w14:paraId="594D0CF6" w14:textId="47D358DE" w:rsidR="008C4281" w:rsidRPr="00453883" w:rsidRDefault="008C4281" w:rsidP="00061413">
      <w:pPr>
        <w:pStyle w:val="SCCNormalDoubleSpacing"/>
        <w:spacing w:after="240" w:line="240" w:lineRule="auto"/>
        <w:ind w:left="540" w:hanging="540"/>
      </w:pPr>
      <w:r w:rsidRPr="00453883">
        <w:rPr>
          <w:lang w:val="en-US"/>
        </w:rPr>
        <w:t>Sul</w:t>
      </w:r>
      <w:r w:rsidR="00061413" w:rsidRPr="00453883">
        <w:t xml:space="preserve">livan, Ruth. </w:t>
      </w:r>
      <w:r w:rsidRPr="00453883">
        <w:rPr>
          <w:i/>
          <w:iCs/>
        </w:rPr>
        <w:t>The Construction of Statutes</w:t>
      </w:r>
      <w:r w:rsidRPr="00453883">
        <w:t>, 7th ed. Toronto: LexisNexis, 2022.</w:t>
      </w:r>
    </w:p>
    <w:p w14:paraId="16A88041" w14:textId="6978BCDB" w:rsidR="008C4281" w:rsidRPr="00453883" w:rsidRDefault="008C4281" w:rsidP="00061413">
      <w:pPr>
        <w:pStyle w:val="SCCNormalDoubleSpacing"/>
        <w:spacing w:after="240" w:line="240" w:lineRule="auto"/>
        <w:ind w:left="540" w:hanging="540"/>
      </w:pPr>
      <w:r w:rsidRPr="00453883">
        <w:t xml:space="preserve">Walker, Janet. </w:t>
      </w:r>
      <w:r w:rsidRPr="00453883">
        <w:rPr>
          <w:i/>
        </w:rPr>
        <w:t>Canadian Conflict of Laws</w:t>
      </w:r>
      <w:r w:rsidR="00501513" w:rsidRPr="00453883">
        <w:t>, 7th ed. Toronto: LexisNexis, 2023</w:t>
      </w:r>
      <w:r w:rsidR="00061413" w:rsidRPr="00453883">
        <w:t xml:space="preserve"> (loose</w:t>
      </w:r>
      <w:r w:rsidR="00061413" w:rsidRPr="00453883">
        <w:noBreakHyphen/>
      </w:r>
      <w:r w:rsidRPr="00453883">
        <w:t>lea</w:t>
      </w:r>
      <w:r w:rsidR="00501513" w:rsidRPr="00453883">
        <w:t>f updated September 2023, release 101</w:t>
      </w:r>
      <w:r w:rsidRPr="00453883">
        <w:t>).</w:t>
      </w:r>
    </w:p>
    <w:p w14:paraId="7A4994C9" w14:textId="1C9AF0A5" w:rsidR="006013DF" w:rsidRPr="00453883" w:rsidRDefault="006013DF" w:rsidP="00061413">
      <w:pPr>
        <w:pStyle w:val="SCCNormalDoubleSpacing"/>
        <w:spacing w:after="720" w:line="240" w:lineRule="auto"/>
        <w:ind w:left="547" w:hanging="547"/>
      </w:pPr>
      <w:r w:rsidRPr="00453883">
        <w:t xml:space="preserve">Walsh, Catherine. “The International Jurisdiction of Québec Authorities in Personal Actions: An Overview” (2012), 71 </w:t>
      </w:r>
      <w:r w:rsidRPr="00453883">
        <w:rPr>
          <w:i/>
        </w:rPr>
        <w:t>R. du B.</w:t>
      </w:r>
      <w:r w:rsidRPr="00453883">
        <w:t xml:space="preserve"> 249.</w:t>
      </w:r>
    </w:p>
    <w:p w14:paraId="28D22CF4" w14:textId="55C7D0E8" w:rsidR="00656313" w:rsidRPr="00453883" w:rsidRDefault="009B57B3" w:rsidP="00061413">
      <w:pPr>
        <w:pStyle w:val="SCCNormalDoubleSpacing"/>
        <w:spacing w:after="480"/>
      </w:pPr>
      <w:r w:rsidRPr="00453883">
        <w:rPr>
          <w:lang w:val="en-US"/>
        </w:rPr>
        <w:tab/>
        <w:t>APPEAL</w:t>
      </w:r>
      <w:r w:rsidR="00CD1F00" w:rsidRPr="00453883">
        <w:rPr>
          <w:lang w:val="en-US"/>
        </w:rPr>
        <w:t>S</w:t>
      </w:r>
      <w:r w:rsidRPr="00453883">
        <w:rPr>
          <w:lang w:val="en-US"/>
        </w:rPr>
        <w:t xml:space="preserve"> from a judgment of the </w:t>
      </w:r>
      <w:r w:rsidR="002078CC" w:rsidRPr="00453883">
        <w:rPr>
          <w:lang w:val="en-US"/>
        </w:rPr>
        <w:t xml:space="preserve">Quebec </w:t>
      </w:r>
      <w:r w:rsidRPr="00453883">
        <w:rPr>
          <w:lang w:val="en-US"/>
        </w:rPr>
        <w:t>Cour</w:t>
      </w:r>
      <w:r w:rsidR="002078CC" w:rsidRPr="00453883">
        <w:rPr>
          <w:lang w:val="en-US"/>
        </w:rPr>
        <w:t>t of Appeal (</w:t>
      </w:r>
      <w:r w:rsidR="00595373" w:rsidRPr="00453883">
        <w:rPr>
          <w:lang w:val="en-US"/>
        </w:rPr>
        <w:t xml:space="preserve">Marcotte, Mainville and Moore JJ.A.), </w:t>
      </w:r>
      <w:hyperlink r:id="rId11" w:history="1">
        <w:r w:rsidR="00595373" w:rsidRPr="00453883">
          <w:rPr>
            <w:rStyle w:val="Hyperlink"/>
            <w:lang w:val="en-US"/>
          </w:rPr>
          <w:t>2021 QCCA 1364</w:t>
        </w:r>
      </w:hyperlink>
      <w:r w:rsidR="00595373" w:rsidRPr="00453883">
        <w:rPr>
          <w:lang w:val="en-US"/>
        </w:rPr>
        <w:t xml:space="preserve">, 90 </w:t>
      </w:r>
      <w:r w:rsidR="00061413" w:rsidRPr="00453883">
        <w:rPr>
          <w:lang w:val="en-US"/>
        </w:rPr>
        <w:t>Admin. L.R. (6th) 25, [2021] AZ</w:t>
      </w:r>
      <w:r w:rsidR="00061413" w:rsidRPr="00453883">
        <w:rPr>
          <w:lang w:val="en-US"/>
        </w:rPr>
        <w:noBreakHyphen/>
        <w:t>51794411, [2021] Q.J. No. </w:t>
      </w:r>
      <w:r w:rsidR="00595373" w:rsidRPr="00453883">
        <w:rPr>
          <w:lang w:val="en-US"/>
        </w:rPr>
        <w:t xml:space="preserve">10996 (QL), 2021 CarswellQue 14741 (WL), </w:t>
      </w:r>
      <w:r w:rsidR="00595373" w:rsidRPr="00453883">
        <w:t xml:space="preserve">affirming a decision of </w:t>
      </w:r>
      <w:r w:rsidR="00595373" w:rsidRPr="00453883">
        <w:rPr>
          <w:lang w:val="en-US"/>
        </w:rPr>
        <w:t>Collier J., 2019 QCCS 94, [201</w:t>
      </w:r>
      <w:r w:rsidR="00672169" w:rsidRPr="00453883">
        <w:rPr>
          <w:lang w:val="en-US"/>
        </w:rPr>
        <w:t>9] AZ</w:t>
      </w:r>
      <w:r w:rsidR="00672169" w:rsidRPr="00453883">
        <w:rPr>
          <w:lang w:val="en-US"/>
        </w:rPr>
        <w:noBreakHyphen/>
      </w:r>
      <w:r w:rsidR="00061413" w:rsidRPr="00453883">
        <w:rPr>
          <w:lang w:val="en-US"/>
        </w:rPr>
        <w:t>51562732, [2019] Q.J. No. </w:t>
      </w:r>
      <w:r w:rsidR="00595373" w:rsidRPr="00453883">
        <w:rPr>
          <w:lang w:val="en-US"/>
        </w:rPr>
        <w:t>175 (QL), 2019 CarswellQue 257 (WL)</w:t>
      </w:r>
      <w:r w:rsidR="002526F7" w:rsidRPr="00453883">
        <w:rPr>
          <w:lang w:val="en-US"/>
        </w:rPr>
        <w:t xml:space="preserve">, dismissing applications for judicial review of a decision of the Financial Markets Administrative Tribunal, 2017 QCTMF 114, </w:t>
      </w:r>
      <w:r w:rsidR="00BF4945" w:rsidRPr="00453883">
        <w:t>2017 LNQCTMF 114 (QL), 2017 CarswellQue 21707 (WL)</w:t>
      </w:r>
      <w:r w:rsidR="00595373" w:rsidRPr="00453883">
        <w:rPr>
          <w:lang w:val="en-US"/>
        </w:rPr>
        <w:t>. Appeal</w:t>
      </w:r>
      <w:r w:rsidR="00CD1F00" w:rsidRPr="00453883">
        <w:rPr>
          <w:lang w:val="en-US"/>
        </w:rPr>
        <w:t>s</w:t>
      </w:r>
      <w:r w:rsidR="00595373" w:rsidRPr="00453883">
        <w:rPr>
          <w:lang w:val="en-US"/>
        </w:rPr>
        <w:t xml:space="preserve"> </w:t>
      </w:r>
      <w:r w:rsidR="007D241D" w:rsidRPr="00453883">
        <w:rPr>
          <w:lang w:val="en-US"/>
        </w:rPr>
        <w:t>dismissed</w:t>
      </w:r>
      <w:r w:rsidR="00785249" w:rsidRPr="00453883">
        <w:rPr>
          <w:lang w:val="en-US"/>
        </w:rPr>
        <w:t>, Côté J. dissenting</w:t>
      </w:r>
      <w:r w:rsidR="00595373" w:rsidRPr="00453883">
        <w:rPr>
          <w:lang w:val="en-US"/>
        </w:rPr>
        <w:t>.</w:t>
      </w:r>
    </w:p>
    <w:p w14:paraId="5A21D2F4" w14:textId="4FD4200F" w:rsidR="00FB2C98" w:rsidRPr="00453883" w:rsidRDefault="003B29DE" w:rsidP="00061413">
      <w:pPr>
        <w:pStyle w:val="SCCNormalDoubleSpacing"/>
        <w:spacing w:after="480"/>
      </w:pPr>
      <w:r w:rsidRPr="00453883">
        <w:rPr>
          <w:rStyle w:val="SCCCounselNameChar"/>
        </w:rPr>
        <w:tab/>
        <w:t>Sean Griffin</w:t>
      </w:r>
      <w:r w:rsidRPr="00453883">
        <w:rPr>
          <w:rStyle w:val="SCCCounselSeparatorChar"/>
        </w:rPr>
        <w:t xml:space="preserve"> and </w:t>
      </w:r>
      <w:r w:rsidRPr="00453883">
        <w:rPr>
          <w:rStyle w:val="SCCCounselNameChar"/>
        </w:rPr>
        <w:t>Daniel Baum</w:t>
      </w:r>
      <w:r w:rsidRPr="00453883">
        <w:rPr>
          <w:rStyle w:val="SCCCounselPartyRoleChar"/>
        </w:rPr>
        <w:t>, for</w:t>
      </w:r>
      <w:r w:rsidR="002526F7" w:rsidRPr="00453883">
        <w:rPr>
          <w:rStyle w:val="SCCCounselPartyRoleChar"/>
        </w:rPr>
        <w:t xml:space="preserve"> the appellant</w:t>
      </w:r>
      <w:r w:rsidR="00BF4945" w:rsidRPr="00453883">
        <w:rPr>
          <w:rStyle w:val="SCCCounselPartyRoleChar"/>
        </w:rPr>
        <w:t>/intervener</w:t>
      </w:r>
      <w:r w:rsidRPr="00453883">
        <w:rPr>
          <w:rStyle w:val="SCCCounselPartyRoleChar"/>
        </w:rPr>
        <w:t xml:space="preserve"> </w:t>
      </w:r>
      <w:r w:rsidR="00C00655" w:rsidRPr="00453883">
        <w:rPr>
          <w:lang w:val="en-US"/>
        </w:rPr>
        <w:t>Frederick Langford Sharp</w:t>
      </w:r>
      <w:r w:rsidRPr="00453883">
        <w:rPr>
          <w:rStyle w:val="SCCCounselPartyRoleChar"/>
        </w:rPr>
        <w:t>.</w:t>
      </w:r>
    </w:p>
    <w:p w14:paraId="3EA2AA9F" w14:textId="0169B868" w:rsidR="00FB2C98" w:rsidRPr="00453883" w:rsidRDefault="003B29DE" w:rsidP="00061413">
      <w:pPr>
        <w:pStyle w:val="SCCNormalDoubleSpacing"/>
        <w:spacing w:after="480"/>
      </w:pPr>
      <w:r w:rsidRPr="00453883">
        <w:rPr>
          <w:rStyle w:val="SCCCounselNameChar"/>
        </w:rPr>
        <w:tab/>
        <w:t>Patrick Ferland</w:t>
      </w:r>
      <w:r w:rsidRPr="00453883">
        <w:rPr>
          <w:rStyle w:val="SCCCounselSeparatorChar"/>
        </w:rPr>
        <w:t xml:space="preserve"> and </w:t>
      </w:r>
      <w:r w:rsidRPr="00453883">
        <w:rPr>
          <w:rStyle w:val="SCCCounselNameChar"/>
        </w:rPr>
        <w:t>Sébastien C. Caron</w:t>
      </w:r>
      <w:r w:rsidRPr="00453883">
        <w:rPr>
          <w:rStyle w:val="SCCCounselPartyRoleChar"/>
        </w:rPr>
        <w:t>, for</w:t>
      </w:r>
      <w:r w:rsidR="002526F7" w:rsidRPr="00453883">
        <w:rPr>
          <w:rStyle w:val="SCCCounselPartyRoleChar"/>
        </w:rPr>
        <w:t xml:space="preserve"> the appellants</w:t>
      </w:r>
      <w:r w:rsidR="00BF4945" w:rsidRPr="00453883">
        <w:rPr>
          <w:rStyle w:val="SCCCounselPartyRoleChar"/>
        </w:rPr>
        <w:t>/interveners</w:t>
      </w:r>
      <w:r w:rsidRPr="00453883">
        <w:rPr>
          <w:rStyle w:val="SCCCounselPartyRoleChar"/>
        </w:rPr>
        <w:t xml:space="preserve"> </w:t>
      </w:r>
      <w:r w:rsidR="00C00655" w:rsidRPr="00453883">
        <w:rPr>
          <w:rStyle w:val="SCCCounselPartyRoleChar"/>
          <w:lang w:val="en-US"/>
        </w:rPr>
        <w:t>Shawn Van Damme, Vincenzo Antonio Carnovale and Pasquale Antonio Rocca</w:t>
      </w:r>
      <w:r w:rsidRPr="00453883">
        <w:rPr>
          <w:rStyle w:val="SCCCounselPartyRoleChar"/>
        </w:rPr>
        <w:t>.</w:t>
      </w:r>
    </w:p>
    <w:p w14:paraId="0222325B" w14:textId="41ACF199" w:rsidR="00FB2C98" w:rsidRPr="00453883" w:rsidRDefault="003B29DE" w:rsidP="00061413">
      <w:pPr>
        <w:pStyle w:val="SCCNormalDoubleSpacing"/>
        <w:spacing w:after="480"/>
      </w:pPr>
      <w:r w:rsidRPr="00453883">
        <w:rPr>
          <w:rStyle w:val="SCCCounselNameChar"/>
        </w:rPr>
        <w:tab/>
        <w:t>Stéphanie Jolin</w:t>
      </w:r>
      <w:r w:rsidRPr="00453883">
        <w:rPr>
          <w:rStyle w:val="SCCCounselSeparatorChar"/>
        </w:rPr>
        <w:t xml:space="preserve"> and </w:t>
      </w:r>
      <w:r w:rsidR="00061413" w:rsidRPr="00453883">
        <w:rPr>
          <w:rStyle w:val="SCCCounselNameChar"/>
        </w:rPr>
        <w:t>Jean</w:t>
      </w:r>
      <w:r w:rsidR="00061413" w:rsidRPr="00453883">
        <w:rPr>
          <w:rStyle w:val="SCCCounselNameChar"/>
        </w:rPr>
        <w:noBreakHyphen/>
      </w:r>
      <w:r w:rsidRPr="00453883">
        <w:rPr>
          <w:rStyle w:val="SCCCounselNameChar"/>
        </w:rPr>
        <w:t xml:space="preserve">Nicolas </w:t>
      </w:r>
      <w:r w:rsidR="00AD0CE2" w:rsidRPr="00453883">
        <w:rPr>
          <w:rStyle w:val="SCCCounselNameChar"/>
          <w:lang w:val="en-US"/>
        </w:rPr>
        <w:t xml:space="preserve">Boutin </w:t>
      </w:r>
      <w:r w:rsidRPr="00453883">
        <w:rPr>
          <w:rStyle w:val="SCCCounselNameChar"/>
        </w:rPr>
        <w:t>Wilkins</w:t>
      </w:r>
      <w:r w:rsidRPr="00453883">
        <w:rPr>
          <w:rStyle w:val="SCCCounselPartyRoleChar"/>
        </w:rPr>
        <w:t>, for the respondent.</w:t>
      </w:r>
    </w:p>
    <w:p w14:paraId="18536CC2" w14:textId="519F2476" w:rsidR="00DB74A9" w:rsidRPr="00453883" w:rsidRDefault="00C00655" w:rsidP="00061413">
      <w:pPr>
        <w:pStyle w:val="SCCNormalDoubleSpacing"/>
        <w:spacing w:after="480"/>
      </w:pPr>
      <w:r w:rsidRPr="00453883">
        <w:rPr>
          <w:rStyle w:val="SCCCounselNameChar"/>
        </w:rPr>
        <w:tab/>
        <w:t xml:space="preserve">Stéphanie </w:t>
      </w:r>
      <w:r w:rsidR="00061413" w:rsidRPr="00453883">
        <w:rPr>
          <w:rStyle w:val="SCCCounselNameChar"/>
        </w:rPr>
        <w:t>Quirion</w:t>
      </w:r>
      <w:r w:rsidR="00061413" w:rsidRPr="00453883">
        <w:rPr>
          <w:rStyle w:val="SCCCounselNameChar"/>
        </w:rPr>
        <w:noBreakHyphen/>
      </w:r>
      <w:r w:rsidRPr="00453883">
        <w:rPr>
          <w:rStyle w:val="SCCCounselNameChar"/>
        </w:rPr>
        <w:t>Cantin</w:t>
      </w:r>
      <w:r w:rsidRPr="00453883">
        <w:rPr>
          <w:rStyle w:val="SCCCounselSeparatorChar"/>
        </w:rPr>
        <w:t xml:space="preserve"> and </w:t>
      </w:r>
      <w:r w:rsidRPr="00453883">
        <w:rPr>
          <w:rStyle w:val="SCCCounselNameChar"/>
        </w:rPr>
        <w:t>Stéphane Rochette</w:t>
      </w:r>
      <w:r w:rsidRPr="00453883">
        <w:rPr>
          <w:rStyle w:val="SCCCounselPartyRoleChar"/>
        </w:rPr>
        <w:t>, for the intervener the Attorney General of Quebec.</w:t>
      </w:r>
    </w:p>
    <w:p w14:paraId="74C5D20C" w14:textId="77777777" w:rsidR="00FB2C98" w:rsidRPr="00453883" w:rsidRDefault="003B29DE" w:rsidP="00061413">
      <w:pPr>
        <w:pStyle w:val="SCCNormalDoubleSpacing"/>
        <w:spacing w:after="480"/>
        <w:rPr>
          <w:rStyle w:val="SCCCounselPartyRoleChar"/>
        </w:rPr>
      </w:pPr>
      <w:r w:rsidRPr="00453883">
        <w:rPr>
          <w:rStyle w:val="SCCCounselNameChar"/>
        </w:rPr>
        <w:tab/>
        <w:t>Katrina Gustafson</w:t>
      </w:r>
      <w:r w:rsidRPr="00453883">
        <w:rPr>
          <w:rStyle w:val="SCCCounselSeparatorChar"/>
        </w:rPr>
        <w:t xml:space="preserve"> and </w:t>
      </w:r>
      <w:r w:rsidRPr="00453883">
        <w:rPr>
          <w:rStyle w:val="SCCCounselNameChar"/>
        </w:rPr>
        <w:t>Alexandra Matushenko</w:t>
      </w:r>
      <w:r w:rsidRPr="00453883">
        <w:rPr>
          <w:rStyle w:val="SCCCounselPartyRoleChar"/>
        </w:rPr>
        <w:t>, for the intervener</w:t>
      </w:r>
      <w:r w:rsidR="00C00655" w:rsidRPr="00453883">
        <w:rPr>
          <w:rStyle w:val="SCCCounselPartyRoleChar"/>
        </w:rPr>
        <w:t xml:space="preserve"> the</w:t>
      </w:r>
      <w:r w:rsidRPr="00453883">
        <w:rPr>
          <w:rStyle w:val="SCCCounselPartyRoleChar"/>
        </w:rPr>
        <w:t xml:space="preserve"> Ontario Securities Commission.</w:t>
      </w:r>
    </w:p>
    <w:p w14:paraId="389DAFAD" w14:textId="77777777" w:rsidR="00453883" w:rsidRPr="00453883" w:rsidRDefault="00453883" w:rsidP="006603E2">
      <w:pPr>
        <w:spacing w:after="480" w:line="480" w:lineRule="auto"/>
        <w:ind w:firstLine="1138"/>
        <w:jc w:val="both"/>
        <w:rPr>
          <w:szCs w:val="24"/>
        </w:rPr>
      </w:pPr>
      <w:r w:rsidRPr="00453883">
        <w:rPr>
          <w:szCs w:val="24"/>
        </w:rPr>
        <w:t xml:space="preserve">The judgment of Wagner C.J. and Karakatsanis, Rowe, Martin, Kasirer, Jamal and O’Bonsawin JJ. </w:t>
      </w:r>
      <w:proofErr w:type="gramStart"/>
      <w:r w:rsidRPr="00453883">
        <w:rPr>
          <w:szCs w:val="24"/>
        </w:rPr>
        <w:t>was</w:t>
      </w:r>
      <w:proofErr w:type="gramEnd"/>
      <w:r w:rsidRPr="00453883">
        <w:rPr>
          <w:szCs w:val="24"/>
        </w:rPr>
        <w:t xml:space="preserve"> delivered by</w:t>
      </w:r>
    </w:p>
    <w:p w14:paraId="753C1A2C" w14:textId="77777777" w:rsidR="00453883" w:rsidRPr="00453883" w:rsidRDefault="00453883" w:rsidP="00DD4D5C">
      <w:pPr>
        <w:pStyle w:val="JudgeJuge"/>
        <w:tabs>
          <w:tab w:val="clear" w:pos="1260"/>
          <w:tab w:val="left" w:pos="1134"/>
        </w:tabs>
      </w:pPr>
      <w:r w:rsidRPr="00453883">
        <w:tab/>
        <w:t xml:space="preserve">The Chief Justice and Jamal J. — </w:t>
      </w:r>
    </w:p>
    <w:p w14:paraId="1DC50638" w14:textId="77777777" w:rsidR="00453883" w:rsidRPr="00453883" w:rsidRDefault="00453883" w:rsidP="00453883">
      <w:pPr>
        <w:pStyle w:val="Title1LevelTitre1Niveau-AltL"/>
        <w:numPr>
          <w:ilvl w:val="0"/>
          <w:numId w:val="8"/>
        </w:numPr>
        <w:rPr>
          <w:rFonts w:cs="Times New Roman"/>
        </w:rPr>
      </w:pPr>
      <w:r w:rsidRPr="00453883">
        <w:rPr>
          <w:rFonts w:cs="Times New Roman"/>
        </w:rPr>
        <w:t>Overview</w:t>
      </w:r>
    </w:p>
    <w:p w14:paraId="2A8C4C1D" w14:textId="77777777" w:rsidR="00453883" w:rsidRPr="00453883" w:rsidRDefault="00453883" w:rsidP="00453883">
      <w:pPr>
        <w:pStyle w:val="ParaNoNdepar-AltN"/>
        <w:rPr>
          <w:rFonts w:cs="Times New Roman"/>
        </w:rPr>
      </w:pPr>
      <w:r w:rsidRPr="00453883">
        <w:rPr>
          <w:rFonts w:cs="Times New Roman"/>
        </w:rPr>
        <w:t xml:space="preserve">At issue in these appeals is whether a provincial administrative tribunal has jurisdiction over out-of-province defendants in a securities enforcement proceeding in Quebec. The appeals also raise the relationship between the </w:t>
      </w:r>
      <w:r w:rsidRPr="00453883">
        <w:rPr>
          <w:rFonts w:cs="Times New Roman"/>
          <w:i/>
        </w:rPr>
        <w:t>Civil Code of Québec</w:t>
      </w:r>
      <w:r w:rsidRPr="00453883">
        <w:rPr>
          <w:rFonts w:cs="Times New Roman"/>
        </w:rPr>
        <w:t xml:space="preserve"> (“</w:t>
      </w:r>
      <w:r w:rsidRPr="00453883">
        <w:rPr>
          <w:rFonts w:cs="Times New Roman"/>
          <w:i/>
        </w:rPr>
        <w:t>C.C.Q.</w:t>
      </w:r>
      <w:r w:rsidRPr="00453883">
        <w:rPr>
          <w:rFonts w:cs="Times New Roman"/>
        </w:rPr>
        <w:t>”) and special statutes under Quebec law.</w:t>
      </w:r>
    </w:p>
    <w:p w14:paraId="6350D018" w14:textId="77777777" w:rsidR="00453883" w:rsidRPr="00453883" w:rsidRDefault="00453883" w:rsidP="00453883">
      <w:pPr>
        <w:pStyle w:val="ParaNoNdepar-AltN"/>
        <w:rPr>
          <w:rFonts w:cs="Times New Roman"/>
        </w:rPr>
      </w:pPr>
      <w:r w:rsidRPr="00453883">
        <w:rPr>
          <w:rFonts w:cs="Times New Roman"/>
        </w:rPr>
        <w:t xml:space="preserve">The Financial Markets Administrative Tribunal (“FMAT”), a Quebec administrative tribunal, claims jurisdiction over the appellants, four British Columbia residents who are alleged to have contravened the Quebec </w:t>
      </w:r>
      <w:r w:rsidRPr="00453883">
        <w:rPr>
          <w:rFonts w:cs="Times New Roman"/>
          <w:i/>
        </w:rPr>
        <w:t>Securities Act</w:t>
      </w:r>
      <w:r w:rsidRPr="00453883">
        <w:rPr>
          <w:rFonts w:cs="Times New Roman"/>
        </w:rPr>
        <w:t>, CQLR, c. V</w:t>
      </w:r>
      <w:r w:rsidRPr="00453883">
        <w:rPr>
          <w:rFonts w:cs="Times New Roman"/>
        </w:rPr>
        <w:noBreakHyphen/>
        <w:t>1.1, by engaging in a transnational “pump-and-dump” securities manipulation scheme with links to Quebec. In a pump-and-dump scheme, promoters boost the price of a stock by releasing false or misleading statements and then profit by selling their holdings in that stock at inflated prices. The scheme is alleged to have injured investors, including investors in Quebec.</w:t>
      </w:r>
    </w:p>
    <w:p w14:paraId="2E4C2793" w14:textId="77777777" w:rsidR="00453883" w:rsidRPr="00453883" w:rsidRDefault="00453883" w:rsidP="00453883">
      <w:pPr>
        <w:pStyle w:val="ParaNoNdepar-AltN"/>
        <w:rPr>
          <w:rFonts w:cs="Times New Roman"/>
        </w:rPr>
      </w:pPr>
      <w:r w:rsidRPr="00453883">
        <w:rPr>
          <w:rFonts w:cs="Times New Roman"/>
        </w:rPr>
        <w:t xml:space="preserve">The appellants challenged the FMAT’s jurisdiction over them as out-of-province defendants. However, the FMAT ruled that it has jurisdiction over the out-of-province appellants under s. 93 of the </w:t>
      </w:r>
      <w:r w:rsidRPr="00453883">
        <w:rPr>
          <w:rFonts w:cs="Times New Roman"/>
          <w:i/>
        </w:rPr>
        <w:t>Act respecting the Autorité des marchés financiers</w:t>
      </w:r>
      <w:r w:rsidRPr="00453883">
        <w:rPr>
          <w:rFonts w:cs="Times New Roman"/>
        </w:rPr>
        <w:t>, CQLR, c. A</w:t>
      </w:r>
      <w:r w:rsidRPr="00453883">
        <w:rPr>
          <w:rFonts w:cs="Times New Roman"/>
        </w:rPr>
        <w:noBreakHyphen/>
        <w:t>33.2,</w:t>
      </w:r>
      <w:r w:rsidRPr="001C2DEE">
        <w:rPr>
          <w:rStyle w:val="Hyperlink"/>
          <w:vertAlign w:val="superscript"/>
        </w:rPr>
        <w:footnoteReference w:id="2"/>
      </w:r>
      <w:r w:rsidRPr="00453883">
        <w:rPr>
          <w:rFonts w:cs="Times New Roman"/>
        </w:rPr>
        <w:t xml:space="preserve"> which grants the FMAT jurisdiction to make determinations under the </w:t>
      </w:r>
      <w:r w:rsidRPr="00453883">
        <w:rPr>
          <w:rFonts w:cs="Times New Roman"/>
          <w:i/>
        </w:rPr>
        <w:t>Securities Act</w:t>
      </w:r>
      <w:r w:rsidRPr="00453883">
        <w:rPr>
          <w:rFonts w:cs="Times New Roman"/>
        </w:rPr>
        <w:t xml:space="preserve">. The FMAT interpreted and applied this jurisdictional provision in light of this Court’s decision in </w:t>
      </w:r>
      <w:r w:rsidRPr="00453883">
        <w:rPr>
          <w:rFonts w:cs="Times New Roman"/>
          <w:i/>
        </w:rPr>
        <w:t>Unifund Assurance Co. v. Insurance Corp. of British Columbia</w:t>
      </w:r>
      <w:r w:rsidRPr="00453883">
        <w:rPr>
          <w:rFonts w:cs="Times New Roman"/>
        </w:rPr>
        <w:t>, 2003 SCC 40, [2003] 2 S.C.R. 63, which held that a provincial regulatory scheme constitutionally applies to an out-of-province defendant when there is a “real and substantial connection”, also described as a “sufficient connection”, between the province and the defendant (</w:t>
      </w:r>
      <w:r w:rsidRPr="00453883">
        <w:rPr>
          <w:rFonts w:cs="Times New Roman"/>
          <w:i/>
        </w:rPr>
        <w:t>Unifund</w:t>
      </w:r>
      <w:r w:rsidRPr="00453883">
        <w:rPr>
          <w:rFonts w:cs="Times New Roman"/>
        </w:rPr>
        <w:t>, at paras. 55</w:t>
      </w:r>
      <w:r w:rsidRPr="00453883">
        <w:rPr>
          <w:rFonts w:cs="Times New Roman"/>
        </w:rPr>
        <w:noBreakHyphen/>
        <w:t>56). The FMAT highlighted several factors that, in its view, created such a connection between Quebec and the appellants’ alleged contraventions.</w:t>
      </w:r>
    </w:p>
    <w:p w14:paraId="3A96F9BC" w14:textId="77777777" w:rsidR="00453883" w:rsidRPr="00453883" w:rsidRDefault="00453883" w:rsidP="00453883">
      <w:pPr>
        <w:pStyle w:val="ParaNoNdepar-AltN"/>
        <w:rPr>
          <w:rFonts w:cs="Times New Roman"/>
        </w:rPr>
      </w:pPr>
      <w:r w:rsidRPr="00453883">
        <w:rPr>
          <w:rFonts w:cs="Times New Roman"/>
        </w:rPr>
        <w:t xml:space="preserve">The Superior Court of Quebec dismissed applications for judicial review from the FMAT’s decision. On appeal, the Court of Appeal of Quebec affirmed the FMAT’s jurisdiction, but the court divided on the appropriate legal basis for doing so. Speaking for the majority, Marcotte J.A. ruled that the FMAT correctly found a real and substantial connection between Quebec and the appellants under the test in </w:t>
      </w:r>
      <w:r w:rsidRPr="00453883">
        <w:rPr>
          <w:rFonts w:cs="Times New Roman"/>
          <w:i/>
        </w:rPr>
        <w:t>Unifund</w:t>
      </w:r>
      <w:r w:rsidRPr="00453883">
        <w:rPr>
          <w:rFonts w:cs="Times New Roman"/>
        </w:rPr>
        <w:t xml:space="preserve">. In separate reasons concurring in the result, Mainville J.A. would have grounded the FMAT’s jurisdiction under Title Three of Book Ten of the </w:t>
      </w:r>
      <w:r w:rsidRPr="00453883">
        <w:rPr>
          <w:rFonts w:cs="Times New Roman"/>
          <w:i/>
        </w:rPr>
        <w:t>C.C.Q.</w:t>
      </w:r>
      <w:r w:rsidRPr="00453883">
        <w:rPr>
          <w:rFonts w:cs="Times New Roman"/>
        </w:rPr>
        <w:t xml:space="preserve">, which establishes rules for the “International Jurisdiction of Québec Authorities”, in particular under art. 3148 para. 1(3) </w:t>
      </w:r>
      <w:r w:rsidRPr="00453883">
        <w:rPr>
          <w:rFonts w:cs="Times New Roman"/>
          <w:i/>
        </w:rPr>
        <w:t>C.C.Q.</w:t>
      </w:r>
      <w:r w:rsidRPr="00453883">
        <w:rPr>
          <w:rFonts w:cs="Times New Roman"/>
        </w:rPr>
        <w:t xml:space="preserve"> — which gives Quebec jurisdiction over personal actions of a patrimonial nature in which a fault was committed in Quebec, an injurious act or omission occurred in Quebec, or injury was suffered in Quebec — or art. 3136 </w:t>
      </w:r>
      <w:r w:rsidRPr="00453883">
        <w:rPr>
          <w:rFonts w:cs="Times New Roman"/>
          <w:i/>
        </w:rPr>
        <w:t>C.C.Q.</w:t>
      </w:r>
      <w:r w:rsidRPr="00453883">
        <w:rPr>
          <w:rFonts w:cs="Times New Roman"/>
        </w:rPr>
        <w:t xml:space="preserve"> — which allows a Quebec authority to hear a dispute even though it has no other basis for jurisdiction if the dispute has a sufficient connection with Quebec and taking proceedings abroad is impossible or cannot reasonably be required.</w:t>
      </w:r>
    </w:p>
    <w:p w14:paraId="4CF77823" w14:textId="77777777" w:rsidR="00453883" w:rsidRPr="00453883" w:rsidRDefault="00453883" w:rsidP="00453883">
      <w:pPr>
        <w:pStyle w:val="ParaNoNdepar-AltN"/>
        <w:rPr>
          <w:rFonts w:cs="Times New Roman"/>
        </w:rPr>
      </w:pPr>
      <w:r w:rsidRPr="00453883">
        <w:rPr>
          <w:rFonts w:cs="Times New Roman"/>
        </w:rPr>
        <w:t xml:space="preserve">For the reasons that follow, we conclude that the FMAT has jurisdiction over the appellants under the </w:t>
      </w:r>
      <w:r w:rsidRPr="00453883">
        <w:rPr>
          <w:rFonts w:cs="Times New Roman"/>
          <w:i/>
        </w:rPr>
        <w:t>Securities Act</w:t>
      </w:r>
      <w:r w:rsidRPr="00453883">
        <w:rPr>
          <w:rFonts w:cs="Times New Roman"/>
        </w:rPr>
        <w:t xml:space="preserve"> and the </w:t>
      </w:r>
      <w:r w:rsidRPr="00453883">
        <w:rPr>
          <w:rFonts w:cs="Times New Roman"/>
          <w:i/>
        </w:rPr>
        <w:t>Act respecting the Autorité des marchés financiers</w:t>
      </w:r>
      <w:r w:rsidRPr="00453883">
        <w:rPr>
          <w:rFonts w:cs="Times New Roman"/>
        </w:rPr>
        <w:t>.</w:t>
      </w:r>
    </w:p>
    <w:p w14:paraId="4CC8C48F" w14:textId="77777777" w:rsidR="00453883" w:rsidRPr="00453883" w:rsidRDefault="00453883" w:rsidP="00453883">
      <w:pPr>
        <w:pStyle w:val="ParaNoNdepar-AltN"/>
        <w:rPr>
          <w:rFonts w:cs="Times New Roman"/>
        </w:rPr>
      </w:pPr>
      <w:r w:rsidRPr="00453883">
        <w:rPr>
          <w:rFonts w:cs="Times New Roman"/>
        </w:rPr>
        <w:t xml:space="preserve">The </w:t>
      </w:r>
      <w:r w:rsidRPr="00453883">
        <w:rPr>
          <w:rFonts w:cs="Times New Roman"/>
          <w:i/>
        </w:rPr>
        <w:t xml:space="preserve">C.C.Q. </w:t>
      </w:r>
      <w:r w:rsidRPr="00453883">
        <w:rPr>
          <w:rFonts w:cs="Times New Roman"/>
        </w:rPr>
        <w:t xml:space="preserve">is the starting point in any interpretive exercise involving the </w:t>
      </w:r>
      <w:r w:rsidRPr="00453883">
        <w:rPr>
          <w:rFonts w:cs="Times New Roman"/>
          <w:i/>
        </w:rPr>
        <w:t>C.C.Q.</w:t>
      </w:r>
      <w:r w:rsidRPr="00453883">
        <w:rPr>
          <w:rFonts w:cs="Times New Roman"/>
        </w:rPr>
        <w:t xml:space="preserve"> and special laws. The preliminary provision of the </w:t>
      </w:r>
      <w:r w:rsidRPr="00453883">
        <w:rPr>
          <w:rFonts w:cs="Times New Roman"/>
          <w:i/>
        </w:rPr>
        <w:t>C.C.Q.</w:t>
      </w:r>
      <w:r w:rsidRPr="00453883">
        <w:rPr>
          <w:rFonts w:cs="Times New Roman"/>
        </w:rPr>
        <w:t xml:space="preserve"> provides that the </w:t>
      </w:r>
      <w:r w:rsidRPr="00453883">
        <w:rPr>
          <w:rFonts w:cs="Times New Roman"/>
          <w:i/>
        </w:rPr>
        <w:t>C.C.Q.</w:t>
      </w:r>
      <w:r w:rsidRPr="00453883">
        <w:rPr>
          <w:rFonts w:cs="Times New Roman"/>
        </w:rPr>
        <w:t xml:space="preserve"> is the </w:t>
      </w:r>
      <w:r w:rsidRPr="00453883">
        <w:rPr>
          <w:rFonts w:cs="Times New Roman"/>
          <w:i/>
        </w:rPr>
        <w:t xml:space="preserve">jus commune </w:t>
      </w:r>
      <w:r w:rsidRPr="00453883">
        <w:rPr>
          <w:rFonts w:cs="Times New Roman"/>
        </w:rPr>
        <w:t xml:space="preserve">and the foundation of all other laws in Quebec, and that other laws may complement or make exceptions to the </w:t>
      </w:r>
      <w:r w:rsidRPr="00453883">
        <w:rPr>
          <w:rFonts w:cs="Times New Roman"/>
          <w:i/>
        </w:rPr>
        <w:t>C.C.Q.</w:t>
      </w:r>
    </w:p>
    <w:p w14:paraId="4D2986BA" w14:textId="77777777" w:rsidR="00453883" w:rsidRPr="00453883" w:rsidRDefault="00453883" w:rsidP="00453883">
      <w:pPr>
        <w:pStyle w:val="ParaNoNdepar-AltN"/>
        <w:rPr>
          <w:rFonts w:cs="Times New Roman"/>
        </w:rPr>
      </w:pPr>
      <w:r w:rsidRPr="00453883">
        <w:rPr>
          <w:rFonts w:cs="Times New Roman"/>
        </w:rPr>
        <w:t xml:space="preserve">In this case, the character of the proceedings and the conclusions sought before the FMAT could suggest, at first blush, a regulatory matter that does not concern the </w:t>
      </w:r>
      <w:r w:rsidRPr="00453883">
        <w:rPr>
          <w:rFonts w:cs="Times New Roman"/>
          <w:i/>
        </w:rPr>
        <w:t>C.C.Q.</w:t>
      </w:r>
      <w:r w:rsidRPr="00453883">
        <w:rPr>
          <w:rFonts w:cs="Times New Roman"/>
        </w:rPr>
        <w:t xml:space="preserve"> The dispute involves a public regulator seeking prohibitions and administrative penalties under a legislative scheme designed to protect the public interest in the securities markets. One might indeed expect jurisdiction over this regulatory scheme to stand outside the scope of Quebec’s law of general application established by the </w:t>
      </w:r>
      <w:r w:rsidRPr="00453883">
        <w:rPr>
          <w:rFonts w:cs="Times New Roman"/>
          <w:i/>
        </w:rPr>
        <w:t>C.C.Q.</w:t>
      </w:r>
      <w:r w:rsidRPr="00453883">
        <w:rPr>
          <w:rFonts w:cs="Times New Roman"/>
        </w:rPr>
        <w:t xml:space="preserve">, which mainly governs “persons, relations between persons, and property” (preliminary provision). But securities law, as enacted by the Quebec </w:t>
      </w:r>
      <w:r w:rsidRPr="00453883">
        <w:rPr>
          <w:rFonts w:cs="Times New Roman"/>
          <w:i/>
        </w:rPr>
        <w:t>Securities Act</w:t>
      </w:r>
      <w:r w:rsidRPr="00453883">
        <w:rPr>
          <w:rFonts w:cs="Times New Roman"/>
        </w:rPr>
        <w:t xml:space="preserve">, is of a hybrid character. On the one hand, the </w:t>
      </w:r>
      <w:r w:rsidRPr="00453883">
        <w:rPr>
          <w:rFonts w:cs="Times New Roman"/>
          <w:i/>
        </w:rPr>
        <w:t>Securities Act</w:t>
      </w:r>
      <w:r w:rsidRPr="00453883">
        <w:rPr>
          <w:rFonts w:cs="Times New Roman"/>
        </w:rPr>
        <w:t xml:space="preserve"> has enforcement and administrative law rules in place to protect the public interest that give the legislation a fundamentally regulatory orientation. On the other hand, the </w:t>
      </w:r>
      <w:r w:rsidRPr="00453883">
        <w:rPr>
          <w:rFonts w:cs="Times New Roman"/>
          <w:i/>
        </w:rPr>
        <w:t>Securities Act</w:t>
      </w:r>
      <w:r w:rsidRPr="00453883">
        <w:rPr>
          <w:rFonts w:cs="Times New Roman"/>
        </w:rPr>
        <w:t xml:space="preserve"> also has a title bearing on civil actions (Title VIII). While the FMAT’s jurisdiction bears principally on the regulatory orientation of the </w:t>
      </w:r>
      <w:r w:rsidRPr="00453883">
        <w:rPr>
          <w:rFonts w:cs="Times New Roman"/>
          <w:i/>
        </w:rPr>
        <w:t>Securities Act</w:t>
      </w:r>
      <w:r w:rsidRPr="00453883">
        <w:rPr>
          <w:rFonts w:cs="Times New Roman"/>
        </w:rPr>
        <w:t xml:space="preserve">, its authority established by the </w:t>
      </w:r>
      <w:r w:rsidRPr="00453883">
        <w:rPr>
          <w:rFonts w:cs="Times New Roman"/>
          <w:i/>
        </w:rPr>
        <w:t>Act respecting the Autorité des marchés financiers</w:t>
      </w:r>
      <w:r w:rsidRPr="00453883">
        <w:rPr>
          <w:rFonts w:cs="Times New Roman"/>
        </w:rPr>
        <w:t xml:space="preserve"> extends to the title on civil actions in the </w:t>
      </w:r>
      <w:r w:rsidRPr="00453883">
        <w:rPr>
          <w:rFonts w:cs="Times New Roman"/>
          <w:i/>
        </w:rPr>
        <w:t>Securities Act</w:t>
      </w:r>
      <w:r w:rsidRPr="00453883">
        <w:rPr>
          <w:rFonts w:cs="Times New Roman"/>
        </w:rPr>
        <w:t xml:space="preserve">, except where excluded by law. Given this hybrid character of securities regulation, the better view is that Book Ten of the </w:t>
      </w:r>
      <w:r w:rsidRPr="00453883">
        <w:rPr>
          <w:rFonts w:cs="Times New Roman"/>
          <w:i/>
        </w:rPr>
        <w:t>C.C.Q.</w:t>
      </w:r>
      <w:r w:rsidRPr="00453883">
        <w:rPr>
          <w:rFonts w:cs="Times New Roman"/>
        </w:rPr>
        <w:t xml:space="preserve">, as part of Quebec’s </w:t>
      </w:r>
      <w:r w:rsidRPr="00453883">
        <w:rPr>
          <w:rFonts w:cs="Times New Roman"/>
          <w:i/>
        </w:rPr>
        <w:t>jus commune</w:t>
      </w:r>
      <w:r w:rsidRPr="00453883">
        <w:rPr>
          <w:rFonts w:cs="Times New Roman"/>
        </w:rPr>
        <w:t>, is the appropriate starting point for analyzing the “International Jurisdiction of Québec Authorities” in this field, including the FMAT.</w:t>
      </w:r>
    </w:p>
    <w:p w14:paraId="4D22732C" w14:textId="77777777" w:rsidR="00453883" w:rsidRPr="00453883" w:rsidRDefault="00453883" w:rsidP="00453883">
      <w:pPr>
        <w:pStyle w:val="ParaNoNdepar-AltN"/>
        <w:rPr>
          <w:rFonts w:cs="Times New Roman"/>
        </w:rPr>
      </w:pPr>
      <w:r w:rsidRPr="00453883">
        <w:rPr>
          <w:rFonts w:cs="Times New Roman"/>
        </w:rPr>
        <w:t xml:space="preserve">This calls for a review of the general and special rules in the </w:t>
      </w:r>
      <w:r w:rsidRPr="00453883">
        <w:rPr>
          <w:rFonts w:cs="Times New Roman"/>
          <w:i/>
        </w:rPr>
        <w:t>C.C.Q.</w:t>
      </w:r>
      <w:r w:rsidRPr="00453883">
        <w:rPr>
          <w:rFonts w:cs="Times New Roman"/>
        </w:rPr>
        <w:t xml:space="preserve"> to determine whether the FMAT has jurisdiction over the out-of-province defendants in this case. We conclude that the </w:t>
      </w:r>
      <w:r w:rsidRPr="00453883">
        <w:rPr>
          <w:rFonts w:cs="Times New Roman"/>
          <w:i/>
        </w:rPr>
        <w:t>C.C.Q.</w:t>
      </w:r>
      <w:r w:rsidRPr="00453883">
        <w:rPr>
          <w:rFonts w:cs="Times New Roman"/>
        </w:rPr>
        <w:t xml:space="preserve">’s rules on private international law are applicable. However, here they provide no basis for jurisdiction over the out-of-province defendants, whether under art. 3134 </w:t>
      </w:r>
      <w:r w:rsidRPr="00453883">
        <w:rPr>
          <w:rFonts w:cs="Times New Roman"/>
          <w:i/>
        </w:rPr>
        <w:t>C.C.Q.</w:t>
      </w:r>
      <w:r w:rsidRPr="00453883">
        <w:rPr>
          <w:rFonts w:cs="Times New Roman"/>
        </w:rPr>
        <w:t xml:space="preserve">, which sets out the residual rule based on domicile in Quebec, art. 3148 </w:t>
      </w:r>
      <w:r w:rsidRPr="00453883">
        <w:rPr>
          <w:rFonts w:cs="Times New Roman"/>
          <w:i/>
        </w:rPr>
        <w:t>C.C.Q.</w:t>
      </w:r>
      <w:r w:rsidRPr="00453883">
        <w:rPr>
          <w:rFonts w:cs="Times New Roman"/>
        </w:rPr>
        <w:t xml:space="preserve">, which specifies the cases in which Quebec authorities have jurisdiction over personal actions of a patrimonial nature, or art. 3136 </w:t>
      </w:r>
      <w:r w:rsidRPr="00453883">
        <w:rPr>
          <w:rFonts w:cs="Times New Roman"/>
          <w:i/>
        </w:rPr>
        <w:t>C.C.Q.</w:t>
      </w:r>
      <w:r w:rsidRPr="00453883">
        <w:rPr>
          <w:rFonts w:cs="Times New Roman"/>
        </w:rPr>
        <w:t>, which allows a Quebec authority to hear a dispute despite having no jurisdiction provided the dispute has a sufficient connection with Quebec and taking proceedings abroad is impossible or cannot reasonably be required.</w:t>
      </w:r>
    </w:p>
    <w:p w14:paraId="3DA94483" w14:textId="77777777" w:rsidR="00453883" w:rsidRPr="00453883" w:rsidRDefault="00453883" w:rsidP="00453883">
      <w:pPr>
        <w:pStyle w:val="ParaNoNdepar-AltN"/>
        <w:rPr>
          <w:rFonts w:cs="Times New Roman"/>
        </w:rPr>
      </w:pPr>
      <w:r w:rsidRPr="00453883">
        <w:rPr>
          <w:rFonts w:cs="Times New Roman"/>
        </w:rPr>
        <w:t xml:space="preserve">Even so, we conclude that the FMAT has jurisdiction over the appellants under Quebec securities legislation. The </w:t>
      </w:r>
      <w:r w:rsidRPr="00453883">
        <w:rPr>
          <w:rFonts w:cs="Times New Roman"/>
          <w:i/>
        </w:rPr>
        <w:t>Act respecting the Autorité des marchés financiers</w:t>
      </w:r>
      <w:r w:rsidRPr="00453883">
        <w:rPr>
          <w:rFonts w:cs="Times New Roman"/>
        </w:rPr>
        <w:t xml:space="preserve"> provides the FMAT with jurisdiction to make determinations under the </w:t>
      </w:r>
      <w:r w:rsidRPr="00453883">
        <w:rPr>
          <w:rFonts w:cs="Times New Roman"/>
          <w:i/>
        </w:rPr>
        <w:t>Securities Act</w:t>
      </w:r>
      <w:r w:rsidRPr="00453883">
        <w:rPr>
          <w:rFonts w:cs="Times New Roman"/>
        </w:rPr>
        <w:t xml:space="preserve">, including when there is a “real and substantial connection” between Quebec and out-of-province defendants. In our view, the allegations that the appellants used Quebec as the “face” of their securities manipulation and injured Quebec investors establish such a connection to give the FMAT jurisdiction over the appellants. </w:t>
      </w:r>
    </w:p>
    <w:p w14:paraId="21B63427" w14:textId="77777777" w:rsidR="00453883" w:rsidRPr="00453883" w:rsidRDefault="00453883" w:rsidP="00453883">
      <w:pPr>
        <w:pStyle w:val="ParaNoNdepar-AltN"/>
        <w:rPr>
          <w:rFonts w:cs="Times New Roman"/>
        </w:rPr>
      </w:pPr>
      <w:r w:rsidRPr="00453883">
        <w:rPr>
          <w:rFonts w:cs="Times New Roman"/>
        </w:rPr>
        <w:t xml:space="preserve">Put another way, the Quebec securities legislation constitutionally applies to the appellants. The Quebec legislature has exercised its </w:t>
      </w:r>
      <w:r w:rsidRPr="00453883">
        <w:rPr>
          <w:rFonts w:cs="Times New Roman"/>
          <w:i/>
        </w:rPr>
        <w:t xml:space="preserve">prescriptive legislative jurisdiction — </w:t>
      </w:r>
      <w:r w:rsidRPr="00453883">
        <w:rPr>
          <w:rFonts w:cs="Times New Roman"/>
        </w:rPr>
        <w:t xml:space="preserve">its power to enact binding rules applicable to out-of-province parties with a real and substantial connection to Quebec. Those rules are engaged in the circumstances of this case. As a result, the FMAT also has </w:t>
      </w:r>
      <w:r w:rsidRPr="00453883">
        <w:rPr>
          <w:rFonts w:cs="Times New Roman"/>
          <w:i/>
        </w:rPr>
        <w:t>adjudicatory jurisdiction</w:t>
      </w:r>
      <w:r w:rsidRPr="00453883">
        <w:rPr>
          <w:rFonts w:cs="Times New Roman"/>
        </w:rPr>
        <w:t xml:space="preserve">, or the authority to hear this matter involving the appellants. </w:t>
      </w:r>
    </w:p>
    <w:p w14:paraId="65FB787C" w14:textId="77777777" w:rsidR="00453883" w:rsidRPr="00453883" w:rsidRDefault="00453883" w:rsidP="00453883">
      <w:pPr>
        <w:pStyle w:val="ParaNoNdepar-AltN"/>
        <w:rPr>
          <w:rFonts w:cs="Times New Roman"/>
        </w:rPr>
      </w:pPr>
      <w:r w:rsidRPr="00453883">
        <w:rPr>
          <w:rFonts w:cs="Times New Roman"/>
        </w:rPr>
        <w:t>We would thus affirm the FMAT’s jurisdiction and dismiss the appeals.</w:t>
      </w:r>
    </w:p>
    <w:p w14:paraId="7B4A0F59" w14:textId="77777777" w:rsidR="00453883" w:rsidRPr="00453883" w:rsidRDefault="00453883" w:rsidP="00453883">
      <w:pPr>
        <w:pStyle w:val="Title1LevelTitre1Niveau-AltL"/>
        <w:jc w:val="both"/>
        <w:rPr>
          <w:rFonts w:cs="Times New Roman"/>
        </w:rPr>
      </w:pPr>
      <w:r w:rsidRPr="00453883">
        <w:rPr>
          <w:rFonts w:cs="Times New Roman"/>
        </w:rPr>
        <w:t>Background</w:t>
      </w:r>
    </w:p>
    <w:p w14:paraId="633BD585" w14:textId="77777777" w:rsidR="00453883" w:rsidRPr="00453883" w:rsidRDefault="00453883" w:rsidP="00453883">
      <w:pPr>
        <w:pStyle w:val="ParaNoNdepar-AltN"/>
        <w:rPr>
          <w:rFonts w:cs="Times New Roman"/>
          <w:i/>
        </w:rPr>
      </w:pPr>
      <w:r w:rsidRPr="00453883">
        <w:rPr>
          <w:rFonts w:cs="Times New Roman"/>
        </w:rPr>
        <w:t xml:space="preserve">The respondent Autorité des marchés financiers (“AMF”) is an administrative agency that regulates Quebec’s financial sector. It brought an originating pleading before the FMAT alleging that the appellants, who are four British Columbia residents, contravened the Quebec </w:t>
      </w:r>
      <w:r w:rsidRPr="00453883">
        <w:rPr>
          <w:rFonts w:cs="Times New Roman"/>
          <w:i/>
        </w:rPr>
        <w:t>Securities Act</w:t>
      </w:r>
      <w:r w:rsidRPr="00453883">
        <w:rPr>
          <w:rFonts w:cs="Times New Roman"/>
        </w:rPr>
        <w:t xml:space="preserve"> by participating in a transnational pump-and-dump scheme with links to Quebec that injured investors.</w:t>
      </w:r>
    </w:p>
    <w:p w14:paraId="097B49D4" w14:textId="77777777" w:rsidR="00453883" w:rsidRPr="00453883" w:rsidRDefault="00453883" w:rsidP="00453883">
      <w:pPr>
        <w:pStyle w:val="ParaNoNdepar-AltN"/>
        <w:rPr>
          <w:rFonts w:cs="Times New Roman"/>
        </w:rPr>
      </w:pPr>
      <w:r w:rsidRPr="00453883">
        <w:rPr>
          <w:rFonts w:cs="Times New Roman"/>
        </w:rPr>
        <w:t xml:space="preserve">The AMF alleged that the appellants committed contraventions of Quebec’s </w:t>
      </w:r>
      <w:r w:rsidRPr="00453883">
        <w:rPr>
          <w:rFonts w:cs="Times New Roman"/>
          <w:i/>
        </w:rPr>
        <w:t>Securities Act</w:t>
      </w:r>
      <w:r w:rsidRPr="00453883">
        <w:rPr>
          <w:rFonts w:cs="Times New Roman"/>
        </w:rPr>
        <w:t xml:space="preserve"> by improperly or fraudulently influencing the market price or the value of securities (s. 195.2), and by knowingly participating in securities transactions that created an artificial security price (s. 199.1). The AMF asked the FMAT to order the appellants to cease engaging in securities transactions (s. 265) and to prohibit them from acting as directors or officers of an issuer, dealer, adviser, or investment fund manager for five years (s. 273.3). The AMF also asked the FMAT to impose administrative penalties on the appellants (s. 273.1).</w:t>
      </w:r>
    </w:p>
    <w:p w14:paraId="59CBFCD1" w14:textId="77777777" w:rsidR="00453883" w:rsidRPr="00453883" w:rsidRDefault="00453883" w:rsidP="00453883">
      <w:pPr>
        <w:pStyle w:val="ParaNoNdepar-AltN"/>
        <w:rPr>
          <w:rFonts w:cs="Times New Roman"/>
          <w:lang w:val="fr-CA"/>
        </w:rPr>
      </w:pPr>
      <w:r w:rsidRPr="00453883">
        <w:rPr>
          <w:rFonts w:cs="Times New Roman"/>
          <w:lang w:val="en-US"/>
        </w:rPr>
        <w:t xml:space="preserve">The </w:t>
      </w:r>
      <w:r w:rsidRPr="00453883">
        <w:rPr>
          <w:rFonts w:cs="Times New Roman"/>
        </w:rPr>
        <w:t xml:space="preserve">FMAT’s function includes making determinations regarding matters relating to the </w:t>
      </w:r>
      <w:r w:rsidRPr="00453883">
        <w:rPr>
          <w:rFonts w:cs="Times New Roman"/>
          <w:i/>
        </w:rPr>
        <w:t>Act respecting the Autorité des marchés financiers</w:t>
      </w:r>
      <w:r w:rsidRPr="00453883">
        <w:rPr>
          <w:rFonts w:cs="Times New Roman"/>
        </w:rPr>
        <w:t xml:space="preserve"> as well as under a range of Quebec legislation, including the </w:t>
      </w:r>
      <w:r w:rsidRPr="00453883">
        <w:rPr>
          <w:rFonts w:cs="Times New Roman"/>
          <w:i/>
        </w:rPr>
        <w:t>Securities Act</w:t>
      </w:r>
      <w:r w:rsidRPr="00453883">
        <w:rPr>
          <w:rFonts w:cs="Times New Roman"/>
        </w:rPr>
        <w:t xml:space="preserve">. </w:t>
      </w:r>
      <w:r w:rsidRPr="00453883">
        <w:rPr>
          <w:rFonts w:cs="Times New Roman"/>
          <w:lang w:val="fr-CA"/>
        </w:rPr>
        <w:t>The FMAT [</w:t>
      </w:r>
      <w:r w:rsidRPr="00453883">
        <w:rPr>
          <w:rFonts w:cs="Times New Roman"/>
          <w:smallCaps/>
          <w:lang w:val="fr-CA"/>
        </w:rPr>
        <w:t>translation</w:t>
      </w:r>
      <w:r w:rsidRPr="00453883">
        <w:rPr>
          <w:rFonts w:cs="Times New Roman"/>
          <w:lang w:val="fr-CA"/>
        </w:rPr>
        <w:t>] “is an independent administrative tribunal specializing in securities that performs decision</w:t>
      </w:r>
      <w:r w:rsidRPr="00453883">
        <w:rPr>
          <w:rFonts w:cs="Times New Roman"/>
          <w:lang w:val="fr-CA"/>
        </w:rPr>
        <w:noBreakHyphen/>
        <w:t xml:space="preserve">making functions” (S. Rousseau, “L’application de la législation sur les valeurs mobilières au Québec: une étude du rôle du Tribunal administratif des marchés financiers” (2017), 76 </w:t>
      </w:r>
      <w:r w:rsidRPr="00453883">
        <w:rPr>
          <w:rFonts w:cs="Times New Roman"/>
          <w:i/>
          <w:lang w:val="fr-CA"/>
        </w:rPr>
        <w:t>R. du B.</w:t>
      </w:r>
      <w:r w:rsidRPr="00453883">
        <w:rPr>
          <w:rFonts w:cs="Times New Roman"/>
          <w:lang w:val="fr-CA"/>
        </w:rPr>
        <w:t xml:space="preserve"> 1, at p. 14). The FMAT exercises its discretion “in the public interest” (</w:t>
      </w:r>
      <w:r w:rsidRPr="00453883">
        <w:rPr>
          <w:rFonts w:cs="Times New Roman"/>
          <w:i/>
          <w:lang w:val="fr-CA"/>
        </w:rPr>
        <w:t>Act respecting the Autorité des marchés financiers</w:t>
      </w:r>
      <w:r w:rsidRPr="00453883">
        <w:rPr>
          <w:rFonts w:cs="Times New Roman"/>
          <w:lang w:val="fr-CA"/>
        </w:rPr>
        <w:t>, s. 93).</w:t>
      </w:r>
    </w:p>
    <w:p w14:paraId="01AEBD9D" w14:textId="77777777" w:rsidR="00453883" w:rsidRPr="00453883" w:rsidRDefault="00453883" w:rsidP="00453883">
      <w:pPr>
        <w:pStyle w:val="ParaNoNdepar-AltN"/>
        <w:rPr>
          <w:rFonts w:cs="Times New Roman"/>
        </w:rPr>
      </w:pPr>
      <w:r w:rsidRPr="00453883">
        <w:rPr>
          <w:rFonts w:cs="Times New Roman"/>
        </w:rPr>
        <w:t>The appellants filed motions for a declinatory exception challenging the FMAT’s jurisdiction over them as out-of-province defendants. On such a motion, the decision maker does not consider the merits of the case, but assumes the facts alleged to be true and asks whether these facts would bring the matter within its jurisdictional competence. The decision maker also refrains from evaluating the parties’ evidence, unless the facts alleged are specifically contested (</w:t>
      </w:r>
      <w:r w:rsidRPr="00453883">
        <w:rPr>
          <w:rFonts w:cs="Times New Roman"/>
          <w:i/>
        </w:rPr>
        <w:t>Spar Aerospace Ltd. v. American Mobile Satellite Corp.</w:t>
      </w:r>
      <w:r w:rsidRPr="00453883">
        <w:rPr>
          <w:rFonts w:cs="Times New Roman"/>
        </w:rPr>
        <w:t xml:space="preserve">, 2002 SCC 78, [2002] 4 S.C.R. 205, at paras. 31-32; </w:t>
      </w:r>
      <w:r w:rsidRPr="00453883">
        <w:rPr>
          <w:rFonts w:cs="Times New Roman"/>
          <w:i/>
        </w:rPr>
        <w:t>Air Canada v. McDonnell Douglas Corp.</w:t>
      </w:r>
      <w:r w:rsidRPr="00453883">
        <w:rPr>
          <w:rFonts w:cs="Times New Roman"/>
        </w:rPr>
        <w:t>, [1989] 1 S.C.R. 1554, at p. 1558). In this case, the facts alleged are uncontested, and thus are assumed to be true for the purposes of the jurisdictional challenges.</w:t>
      </w:r>
    </w:p>
    <w:p w14:paraId="27ACE1CA" w14:textId="77777777" w:rsidR="00453883" w:rsidRPr="00453883" w:rsidRDefault="00453883" w:rsidP="00453883">
      <w:pPr>
        <w:pStyle w:val="ParaNoNdepar-AltN"/>
        <w:rPr>
          <w:rFonts w:cs="Times New Roman"/>
        </w:rPr>
      </w:pPr>
      <w:r w:rsidRPr="00453883">
        <w:rPr>
          <w:rFonts w:cs="Times New Roman"/>
        </w:rPr>
        <w:t>None of the appellants specifically alleges that they were improperly served. The FMAT held a special hearing, which the appellants did not attend, at which it authorized the AMF to serve the appellants Frederick Langford Sharp, Vincenzo Antonio Carnovale, and Pasquale Antonio Rocca with the AMF’s originating pleading and notice of hearing by publication of a press release on the AMF’s website.</w:t>
      </w:r>
    </w:p>
    <w:p w14:paraId="2E5ECD3D" w14:textId="77777777" w:rsidR="00453883" w:rsidRPr="00453883" w:rsidRDefault="00453883" w:rsidP="00453883">
      <w:pPr>
        <w:pStyle w:val="ParaNoNdepar-AltN"/>
        <w:rPr>
          <w:rFonts w:cs="Times New Roman"/>
        </w:rPr>
      </w:pPr>
      <w:r w:rsidRPr="00453883">
        <w:rPr>
          <w:rFonts w:cs="Times New Roman"/>
        </w:rPr>
        <w:t xml:space="preserve">The AMF alleged that the appellants’ securities manipulation scheme had several links to Quebec. The appellants’ alleged activities revolved around the promotion of a shell company named Solo International, Inc., which was incorporated in Nevada in the United States in April 2010 to offer interior design services, and whose shares traded in the over-the-counter (“OTC”) market in New York. In October 2011, Michel Plante, a Quebec resident, acquired three million shares in Solo and became its majority shareholder, taking control of both Solo and its Quebec subsidiary. Because Solo was traded on the OTC market and was directed or administered in or from Quebec after July 31, 2012, Solo was a reporting issuer and subject to continuous disclosure and other obligations under the Quebec </w:t>
      </w:r>
      <w:r w:rsidRPr="00453883">
        <w:rPr>
          <w:rFonts w:cs="Times New Roman"/>
          <w:i/>
        </w:rPr>
        <w:t>Securities Act</w:t>
      </w:r>
      <w:r w:rsidRPr="00453883">
        <w:rPr>
          <w:rFonts w:cs="Times New Roman"/>
        </w:rPr>
        <w:t xml:space="preserve"> (s. 68; </w:t>
      </w:r>
      <w:r w:rsidRPr="00453883">
        <w:rPr>
          <w:rFonts w:cs="Times New Roman"/>
          <w:i/>
        </w:rPr>
        <w:t>Regulation 51-105 respecting Issuers Quoted in the U.S. Over-the-Counter Markets</w:t>
      </w:r>
      <w:r w:rsidRPr="00453883">
        <w:rPr>
          <w:rFonts w:cs="Times New Roman"/>
        </w:rPr>
        <w:t xml:space="preserve">, CQLR, c. V-1.1, r. 24.1, s. 3). It is also alleged to have had a place of business in Montréal. </w:t>
      </w:r>
    </w:p>
    <w:p w14:paraId="05F47940" w14:textId="77777777" w:rsidR="00453883" w:rsidRPr="00453883" w:rsidRDefault="00453883" w:rsidP="00453883">
      <w:pPr>
        <w:pStyle w:val="ParaNoNdepar-AltN"/>
        <w:rPr>
          <w:rFonts w:cs="Times New Roman"/>
        </w:rPr>
      </w:pPr>
      <w:r w:rsidRPr="00453883">
        <w:rPr>
          <w:rFonts w:cs="Times New Roman"/>
        </w:rPr>
        <w:t>Although Plante had no experience in the mining industry, in late 2011 Solo bought mining claims in Quebec through its subsidiary, with financing from offshore entities linked to the appellants. Most of Solo’s original shares were transferred to offshore entities linked to the appellants.</w:t>
      </w:r>
    </w:p>
    <w:p w14:paraId="0EDC48CC" w14:textId="77777777" w:rsidR="00453883" w:rsidRPr="00453883" w:rsidRDefault="00453883" w:rsidP="00453883">
      <w:pPr>
        <w:pStyle w:val="ParaNoNdepar-AltN"/>
        <w:rPr>
          <w:rFonts w:cs="Times New Roman"/>
        </w:rPr>
      </w:pPr>
      <w:r w:rsidRPr="00453883">
        <w:rPr>
          <w:rFonts w:cs="Times New Roman"/>
        </w:rPr>
        <w:t>The AMF alleged that Solo engaged in two pump-and-dump operations. In the first “pump” operation, which occurred in January and February 2012, Solo published six press releases, some of which were issued in Montréal, advertising Solo’s mining exploration activities in Quebec. The appellant Shawn Van Damme helped write these press releases and partly financed the publicity campaign through one of his offshore entities. These promotional efforts led Solo’s stock price to increase, even though Solo had not advanced its mining activities. The appellants, acting through their offshore entities, then sold, or “dumped”, over 2.7 million Solo shares for a profit of about $400,000.</w:t>
      </w:r>
    </w:p>
    <w:p w14:paraId="33E16498" w14:textId="77777777" w:rsidR="00453883" w:rsidRPr="00453883" w:rsidRDefault="00453883" w:rsidP="00453883">
      <w:pPr>
        <w:pStyle w:val="ParaNoNdepar-AltN"/>
        <w:rPr>
          <w:rFonts w:cs="Times New Roman"/>
        </w:rPr>
      </w:pPr>
      <w:r w:rsidRPr="00453883">
        <w:rPr>
          <w:rFonts w:cs="Times New Roman"/>
        </w:rPr>
        <w:t xml:space="preserve">In the second “pump” operation, which occurred on November 14, 2012, eight promoters marketed Solo’s shares, even though </w:t>
      </w:r>
      <w:proofErr w:type="gramStart"/>
      <w:r w:rsidRPr="00453883">
        <w:rPr>
          <w:rFonts w:cs="Times New Roman"/>
        </w:rPr>
        <w:t>Solo</w:t>
      </w:r>
      <w:proofErr w:type="gramEnd"/>
      <w:r w:rsidRPr="00453883">
        <w:rPr>
          <w:rFonts w:cs="Times New Roman"/>
        </w:rPr>
        <w:t xml:space="preserve"> remained essentially inoperative. The appellants Van Damme, Carnovale, and Rocca financed this promotional effort through their offshore entities. The appellants, again acting through their offshore entities, then sold, or “dumped”, over 43 million Solo shares for a profit of more than $2.2 million.</w:t>
      </w:r>
    </w:p>
    <w:p w14:paraId="68DCF4AE" w14:textId="77777777" w:rsidR="00453883" w:rsidRPr="00453883" w:rsidRDefault="00453883" w:rsidP="00453883">
      <w:pPr>
        <w:pStyle w:val="ParaNoNdepar-AltN"/>
        <w:rPr>
          <w:rFonts w:cs="Times New Roman"/>
        </w:rPr>
      </w:pPr>
      <w:r w:rsidRPr="00453883">
        <w:rPr>
          <w:rFonts w:cs="Times New Roman"/>
        </w:rPr>
        <w:t>According to the AMF, the appellants’ pump-and-dump scheme proceeded in five steps. The appellants acted in concert to (1) acquire the shares of Solo, (2) give Solo a legitimate “face”, (3) promote Solo’s business, (4) sell their shares for a profit, and (5) distribute this profit among themselves. The AMF alleged that each appellant was involved in one or more of these steps and that the scheme had several ties to Quebec sufficient to apply Quebec’s securities regulatory scheme to them: Solo was a reporting issuer in Quebec with a Montréal business address; Plante, who directed Solo, was a Quebec resident when the scheme was implemented; Solo’s promotional activities were accessible to Quebec residents; and, ultimately, 15 Quebec investors lost a total of $5,000.</w:t>
      </w:r>
    </w:p>
    <w:p w14:paraId="7FA3B2C4" w14:textId="77777777" w:rsidR="00453883" w:rsidRPr="00453883" w:rsidRDefault="00453883" w:rsidP="00453883">
      <w:pPr>
        <w:pStyle w:val="Title1LevelTitre1Niveau-AltL"/>
        <w:jc w:val="both"/>
        <w:rPr>
          <w:rFonts w:cs="Times New Roman"/>
        </w:rPr>
      </w:pPr>
      <w:r w:rsidRPr="00453883">
        <w:rPr>
          <w:rFonts w:cs="Times New Roman"/>
        </w:rPr>
        <w:t>Decisions Below</w:t>
      </w:r>
    </w:p>
    <w:p w14:paraId="460DF733" w14:textId="77777777" w:rsidR="00453883" w:rsidRPr="00453883" w:rsidRDefault="00453883" w:rsidP="00453883">
      <w:pPr>
        <w:pStyle w:val="Title2LevelTitre2Niveau"/>
        <w:jc w:val="both"/>
        <w:rPr>
          <w:rFonts w:cs="Times New Roman"/>
          <w:lang w:val="fr-CA"/>
        </w:rPr>
      </w:pPr>
      <w:r w:rsidRPr="00453883">
        <w:rPr>
          <w:rFonts w:cs="Times New Roman"/>
          <w:lang w:val="fr-CA"/>
        </w:rPr>
        <w:t>Financial Markets Administrative Tribunal, 2017 QCTMF 114 (Jean-Pierre Cristel)</w:t>
      </w:r>
    </w:p>
    <w:p w14:paraId="20D12BE2" w14:textId="77777777" w:rsidR="00453883" w:rsidRPr="00453883" w:rsidRDefault="00453883" w:rsidP="00453883">
      <w:pPr>
        <w:pStyle w:val="ParaNoNdepar-AltN"/>
        <w:rPr>
          <w:rFonts w:cs="Times New Roman"/>
          <w:lang w:val="en-US"/>
        </w:rPr>
      </w:pPr>
      <w:r w:rsidRPr="00453883">
        <w:rPr>
          <w:rFonts w:cs="Times New Roman"/>
          <w:lang w:val="en-US"/>
        </w:rPr>
        <w:t xml:space="preserve">The FMAT ruled that it had jurisdiction over the appellants under s. 93 of the </w:t>
      </w:r>
      <w:r w:rsidRPr="00453883">
        <w:rPr>
          <w:rFonts w:cs="Times New Roman"/>
          <w:i/>
          <w:lang w:val="en-US"/>
        </w:rPr>
        <w:t>Act respecting the Autorité des marchés financiers</w:t>
      </w:r>
      <w:r w:rsidRPr="00453883">
        <w:rPr>
          <w:rFonts w:cs="Times New Roman"/>
          <w:lang w:val="en-US"/>
        </w:rPr>
        <w:t xml:space="preserve">, which grants the FMAT jurisdiction to make determinations under the Quebec </w:t>
      </w:r>
      <w:r w:rsidRPr="00453883">
        <w:rPr>
          <w:rFonts w:cs="Times New Roman"/>
          <w:i/>
          <w:lang w:val="en-US"/>
        </w:rPr>
        <w:t>Securities Act</w:t>
      </w:r>
      <w:r w:rsidRPr="00453883">
        <w:rPr>
          <w:rFonts w:cs="Times New Roman"/>
          <w:lang w:val="en-US"/>
        </w:rPr>
        <w:t>. The FMAT cited and applied the British Columbia Court of Appeal’s decision in</w:t>
      </w:r>
      <w:r w:rsidRPr="00453883">
        <w:rPr>
          <w:rFonts w:cs="Times New Roman"/>
          <w:i/>
          <w:lang w:val="en-US"/>
        </w:rPr>
        <w:t xml:space="preserve"> McCabe v. British Columbia (Securities Commission)</w:t>
      </w:r>
      <w:r w:rsidRPr="00453883">
        <w:rPr>
          <w:rFonts w:cs="Times New Roman"/>
          <w:lang w:val="en-US"/>
        </w:rPr>
        <w:t>, 2016 BCCA 7</w:t>
      </w:r>
      <w:r w:rsidRPr="00453883">
        <w:rPr>
          <w:rFonts w:cs="Times New Roman"/>
        </w:rPr>
        <w:t>, 394 D.L.R. (4th) 197</w:t>
      </w:r>
      <w:r w:rsidRPr="00453883">
        <w:rPr>
          <w:rFonts w:cs="Times New Roman"/>
          <w:lang w:val="en-US"/>
        </w:rPr>
        <w:t>, at paras. 34</w:t>
      </w:r>
      <w:r w:rsidRPr="00453883">
        <w:rPr>
          <w:rFonts w:cs="Times New Roman"/>
          <w:lang w:val="en-US"/>
        </w:rPr>
        <w:noBreakHyphen/>
        <w:t xml:space="preserve">37 and 47, on the “sufficient connection” required to apply provincial securities legislation in an enforcement proceeding with transnational elements, which in turn had cited and applied this Court’s decision in </w:t>
      </w:r>
      <w:r w:rsidRPr="00453883">
        <w:rPr>
          <w:rFonts w:cs="Times New Roman"/>
          <w:i/>
          <w:lang w:val="en-US"/>
        </w:rPr>
        <w:t>Unifund</w:t>
      </w:r>
      <w:r w:rsidRPr="00453883">
        <w:rPr>
          <w:rFonts w:cs="Times New Roman"/>
          <w:lang w:val="en-US"/>
        </w:rPr>
        <w:t>. There was a real and substantial connection between the appellants’ alleged securities contraventions and Quebec because the appellants participated and profited from a pump-and-dump scheme with several links to Quebec: (1) Solo was a reporting issuer in Quebec with a business office in Montréal, (2) Solo’s president, Plante, was a Quebec resident, and (3) Solo’s misleading press releases and online promotions were provided to Quebec investors, some of whom were defrauded. The FMAT said that even though the appellants were out-of-province residents and allegedly participated in the scheme through offshore entities, it could not ignore the contemporary reality of global and interconnected markets. This reality enhances the opportunities for market manipulation linked to more than one jurisdiction, and challenges regulators in detecting and investigating securities offences.</w:t>
      </w:r>
    </w:p>
    <w:p w14:paraId="138D341A" w14:textId="77777777" w:rsidR="00453883" w:rsidRPr="00453883" w:rsidRDefault="00453883" w:rsidP="00453883">
      <w:pPr>
        <w:pStyle w:val="ParaNoNdepar-AltN"/>
        <w:rPr>
          <w:rFonts w:cs="Times New Roman"/>
          <w:lang w:val="en-US"/>
        </w:rPr>
      </w:pPr>
      <w:r w:rsidRPr="00453883">
        <w:rPr>
          <w:rFonts w:cs="Times New Roman"/>
        </w:rPr>
        <w:t xml:space="preserve">The FMAT also dismissed the appellants’ argument that Quebec is </w:t>
      </w:r>
      <w:r w:rsidRPr="00453883">
        <w:rPr>
          <w:rFonts w:cs="Times New Roman"/>
          <w:i/>
        </w:rPr>
        <w:t xml:space="preserve">forum non conveniens </w:t>
      </w:r>
      <w:r w:rsidRPr="00453883">
        <w:rPr>
          <w:rFonts w:cs="Times New Roman"/>
        </w:rPr>
        <w:t xml:space="preserve">under art. 3135 </w:t>
      </w:r>
      <w:r w:rsidRPr="00453883">
        <w:rPr>
          <w:rFonts w:cs="Times New Roman"/>
          <w:i/>
        </w:rPr>
        <w:t>C.C.Q.</w:t>
      </w:r>
      <w:r w:rsidRPr="00453883">
        <w:rPr>
          <w:rFonts w:cs="Times New Roman"/>
        </w:rPr>
        <w:t xml:space="preserve"> It found insufficient evidence to conclude that another forum would be better placed to decide the matter and determined that it would not be in the public interest to decline jurisdiction. The FMAT thus dismissed the appellants’ motions for a declinatory exception.</w:t>
      </w:r>
    </w:p>
    <w:p w14:paraId="2B14895C" w14:textId="77777777" w:rsidR="00453883" w:rsidRPr="00453883" w:rsidRDefault="00453883" w:rsidP="00453883">
      <w:pPr>
        <w:pStyle w:val="Title2LevelTitre2Niveau"/>
        <w:numPr>
          <w:ilvl w:val="1"/>
          <w:numId w:val="8"/>
        </w:numPr>
        <w:jc w:val="both"/>
        <w:rPr>
          <w:rFonts w:cs="Times New Roman"/>
        </w:rPr>
      </w:pPr>
      <w:r w:rsidRPr="00453883">
        <w:rPr>
          <w:rFonts w:cs="Times New Roman"/>
        </w:rPr>
        <w:t>Superior Court of Quebec, 2019 QCCS 94 (Collier J.)</w:t>
      </w:r>
    </w:p>
    <w:p w14:paraId="4DE665F0" w14:textId="77777777" w:rsidR="00453883" w:rsidRPr="00453883" w:rsidRDefault="00453883" w:rsidP="00453883">
      <w:pPr>
        <w:pStyle w:val="ParaNoNdepar-AltN"/>
        <w:rPr>
          <w:rFonts w:cs="Times New Roman"/>
        </w:rPr>
      </w:pPr>
      <w:r w:rsidRPr="00453883">
        <w:rPr>
          <w:rFonts w:cs="Times New Roman"/>
        </w:rPr>
        <w:t>The Superior Court of Quebec dismissed the appellants’ applications for judicial review and held that the FMAT properly assumed jurisdiction. The court ruled that since the FMAT’s decision was both reasonable and correct, it did not need to determine the applicable standard of review (para. 30 (CanLII)).</w:t>
      </w:r>
    </w:p>
    <w:p w14:paraId="1AE18806" w14:textId="77777777" w:rsidR="00453883" w:rsidRPr="00453883" w:rsidRDefault="00453883" w:rsidP="00453883">
      <w:pPr>
        <w:pStyle w:val="ParaNoNdepar-AltN"/>
        <w:rPr>
          <w:rFonts w:cs="Times New Roman"/>
        </w:rPr>
      </w:pPr>
      <w:r w:rsidRPr="00453883">
        <w:rPr>
          <w:rFonts w:cs="Times New Roman"/>
        </w:rPr>
        <w:t xml:space="preserve">The court stated (at para. 36) that the FMAT correctly recognized the limits of its extraterritorial reach by applying the “real and substantial connection” test, which the court noted was addressed in </w:t>
      </w:r>
      <w:r w:rsidRPr="00453883">
        <w:rPr>
          <w:rFonts w:cs="Times New Roman"/>
          <w:i/>
        </w:rPr>
        <w:t>Club Resorts Ltd. v. Van Breda</w:t>
      </w:r>
      <w:r w:rsidRPr="00453883">
        <w:rPr>
          <w:rFonts w:cs="Times New Roman"/>
        </w:rPr>
        <w:t xml:space="preserve">, 2012 SCC 17, [2012] 1 S.C.R. 572. The court also ruled that the FMAT correctly applied the </w:t>
      </w:r>
      <w:r w:rsidRPr="00453883">
        <w:rPr>
          <w:rFonts w:cs="Times New Roman"/>
          <w:i/>
        </w:rPr>
        <w:t>Unifund</w:t>
      </w:r>
      <w:r w:rsidRPr="00453883">
        <w:rPr>
          <w:rFonts w:cs="Times New Roman"/>
        </w:rPr>
        <w:t xml:space="preserve"> test for the constitutional applicability of provincial legislation (paras. 39-43). The FMAT recognized the limits of its territorial reach and was correct in finding a real and substantial connection between Quebec and the facts alleged against the appellants.</w:t>
      </w:r>
    </w:p>
    <w:p w14:paraId="592C0DDE" w14:textId="77777777" w:rsidR="00453883" w:rsidRPr="00453883" w:rsidRDefault="00453883" w:rsidP="00453883">
      <w:pPr>
        <w:pStyle w:val="ParaNoNdepar-AltN"/>
        <w:rPr>
          <w:rFonts w:cs="Times New Roman"/>
        </w:rPr>
      </w:pPr>
      <w:r w:rsidRPr="00453883">
        <w:rPr>
          <w:rFonts w:cs="Times New Roman"/>
        </w:rPr>
        <w:t xml:space="preserve">The court also stated that the private international law rules in the </w:t>
      </w:r>
      <w:r w:rsidRPr="00453883">
        <w:rPr>
          <w:rFonts w:cs="Times New Roman"/>
          <w:i/>
        </w:rPr>
        <w:t xml:space="preserve">C.C.Q. </w:t>
      </w:r>
      <w:r w:rsidRPr="00453883">
        <w:rPr>
          <w:rFonts w:cs="Times New Roman"/>
        </w:rPr>
        <w:t xml:space="preserve">reinforced its conclusion (para. 44). The publication of misleading press releases could constitute a fault in Quebec that injured Quebec investors. Under art. 3148 para. 1(3) </w:t>
      </w:r>
      <w:r w:rsidRPr="00453883">
        <w:rPr>
          <w:rFonts w:cs="Times New Roman"/>
          <w:i/>
        </w:rPr>
        <w:t>C.C.Q.</w:t>
      </w:r>
      <w:r w:rsidRPr="00453883">
        <w:rPr>
          <w:rFonts w:cs="Times New Roman"/>
        </w:rPr>
        <w:t>, the fault or injury would provide Quebec authorities with jurisdiction in matters of a personal and patrimonial nature. While the court was of the view that the matter lay within the “public regulatory sphere” (para. 44), the alleged fault and injury in Quebec, including harm to the Quebec securities market by undermining investor confidence, supported the real and substantial connection between Quebec and the appellants.</w:t>
      </w:r>
    </w:p>
    <w:p w14:paraId="0A1CE6A0" w14:textId="77777777" w:rsidR="00453883" w:rsidRPr="00453883" w:rsidRDefault="00453883" w:rsidP="00453883">
      <w:pPr>
        <w:pStyle w:val="Title2LevelTitre2Niveau"/>
        <w:numPr>
          <w:ilvl w:val="1"/>
          <w:numId w:val="8"/>
        </w:numPr>
        <w:jc w:val="both"/>
        <w:rPr>
          <w:rFonts w:cs="Times New Roman"/>
        </w:rPr>
      </w:pPr>
      <w:r w:rsidRPr="00453883">
        <w:rPr>
          <w:rFonts w:cs="Times New Roman"/>
        </w:rPr>
        <w:t xml:space="preserve">Court of Appeal of Quebec, 2021 QCCA 1364, </w:t>
      </w:r>
      <w:r w:rsidRPr="00453883">
        <w:rPr>
          <w:rFonts w:cs="Times New Roman"/>
          <w:lang w:val="en-US"/>
        </w:rPr>
        <w:t>90 Admin. L.R. (6th) 25</w:t>
      </w:r>
      <w:r w:rsidRPr="00453883">
        <w:rPr>
          <w:rFonts w:cs="Times New Roman"/>
        </w:rPr>
        <w:t xml:space="preserve"> (Marcotte and Moore JJ.A.</w:t>
      </w:r>
      <w:r w:rsidRPr="00453883">
        <w:rPr>
          <w:rFonts w:cs="Times New Roman"/>
          <w:i w:val="0"/>
        </w:rPr>
        <w:t>,</w:t>
      </w:r>
      <w:r w:rsidRPr="00453883">
        <w:rPr>
          <w:rFonts w:cs="Times New Roman"/>
        </w:rPr>
        <w:t xml:space="preserve"> Mainville J.A. Concurring)</w:t>
      </w:r>
    </w:p>
    <w:p w14:paraId="11C84DF6" w14:textId="77777777" w:rsidR="00453883" w:rsidRPr="00453883" w:rsidRDefault="00453883" w:rsidP="00453883">
      <w:pPr>
        <w:pStyle w:val="Title3LevelTitre3Niveau"/>
        <w:numPr>
          <w:ilvl w:val="2"/>
          <w:numId w:val="8"/>
        </w:numPr>
        <w:jc w:val="both"/>
        <w:rPr>
          <w:rFonts w:cs="Times New Roman"/>
        </w:rPr>
      </w:pPr>
      <w:r w:rsidRPr="00453883">
        <w:rPr>
          <w:rFonts w:cs="Times New Roman"/>
        </w:rPr>
        <w:t>Majority</w:t>
      </w:r>
    </w:p>
    <w:p w14:paraId="4C6394EF" w14:textId="77777777" w:rsidR="00453883" w:rsidRPr="00453883" w:rsidRDefault="00453883" w:rsidP="00453883">
      <w:pPr>
        <w:pStyle w:val="ParaNoNdepar-AltN"/>
        <w:tabs>
          <w:tab w:val="clear" w:pos="1152"/>
          <w:tab w:val="left" w:pos="1166"/>
        </w:tabs>
        <w:rPr>
          <w:rFonts w:cs="Times New Roman"/>
        </w:rPr>
      </w:pPr>
      <w:r w:rsidRPr="00453883">
        <w:rPr>
          <w:rFonts w:cs="Times New Roman"/>
        </w:rPr>
        <w:t xml:space="preserve">Writing for the majority of the Court of Appeal of Quebec, Marcotte J.A. dismissed the appeal and affirmed the FMAT’s jurisdiction over the appellants. The majority identified the standard of review as correctness (paras. 45-47). The question of whether the FMAT has jurisdiction over the </w:t>
      </w:r>
      <w:proofErr w:type="gramStart"/>
      <w:r w:rsidRPr="00453883">
        <w:rPr>
          <w:rFonts w:cs="Times New Roman"/>
        </w:rPr>
        <w:t>appellants</w:t>
      </w:r>
      <w:proofErr w:type="gramEnd"/>
      <w:r w:rsidRPr="00453883">
        <w:rPr>
          <w:rFonts w:cs="Times New Roman"/>
        </w:rPr>
        <w:t xml:space="preserve"> raises a constitutional issue. The test in </w:t>
      </w:r>
      <w:r w:rsidRPr="00453883">
        <w:rPr>
          <w:rFonts w:cs="Times New Roman"/>
          <w:i/>
        </w:rPr>
        <w:t>Unifund</w:t>
      </w:r>
      <w:r w:rsidRPr="00453883">
        <w:rPr>
          <w:rFonts w:cs="Times New Roman"/>
        </w:rPr>
        <w:t xml:space="preserve"> addresses the constitutional applicability of the Quebec securities scheme to non-residents who allegedly engaged in a securities manipulation scheme with connections to Quebec. The majority added that insofar as the appellants assert for the first time on appeal that the FMAT failed to consider the private international law rules of the </w:t>
      </w:r>
      <w:r w:rsidRPr="00453883">
        <w:rPr>
          <w:rFonts w:cs="Times New Roman"/>
          <w:i/>
        </w:rPr>
        <w:t>C.C.Q.</w:t>
      </w:r>
      <w:r w:rsidRPr="00453883">
        <w:rPr>
          <w:rFonts w:cs="Times New Roman"/>
        </w:rPr>
        <w:t>, the applicability of those rules raises an issue of central importance to the legal system, and is therefore also reviewable for correctness (para. 48).</w:t>
      </w:r>
    </w:p>
    <w:p w14:paraId="23556201" w14:textId="77777777" w:rsidR="00453883" w:rsidRPr="00453883" w:rsidRDefault="00453883" w:rsidP="00453883">
      <w:pPr>
        <w:pStyle w:val="ParaNoNdepar-AltN"/>
        <w:tabs>
          <w:tab w:val="clear" w:pos="1152"/>
          <w:tab w:val="left" w:pos="1166"/>
        </w:tabs>
        <w:rPr>
          <w:rFonts w:cs="Times New Roman"/>
        </w:rPr>
      </w:pPr>
      <w:r w:rsidRPr="00453883">
        <w:rPr>
          <w:rFonts w:cs="Times New Roman"/>
        </w:rPr>
        <w:t>The majority noted that although none of the applicable provisions of the Quebec securities scheme expressly places limits upon territorial reach, all are presumed to apply within the province (para. 56). In the majority’s view, there is no extraterritorial jurisdiction of the FMAT at issue (para. 57). The only issue is whether the FMAT has territorial jurisdiction over the out-of-province appellants for alleged conduct sufficiently connected to Quebec (paras. 87-88).</w:t>
      </w:r>
    </w:p>
    <w:p w14:paraId="1D9D774A" w14:textId="77777777" w:rsidR="00453883" w:rsidRPr="00453883" w:rsidRDefault="00453883" w:rsidP="00453883">
      <w:pPr>
        <w:pStyle w:val="ParaNoNdepar-AltN"/>
        <w:tabs>
          <w:tab w:val="clear" w:pos="1152"/>
          <w:tab w:val="left" w:pos="1166"/>
        </w:tabs>
        <w:rPr>
          <w:rFonts w:cs="Times New Roman"/>
        </w:rPr>
      </w:pPr>
      <w:r w:rsidRPr="00453883">
        <w:rPr>
          <w:rFonts w:cs="Times New Roman"/>
        </w:rPr>
        <w:t xml:space="preserve">The majority rejected the appellants’ argument that the private international law rules in Book Ten of the </w:t>
      </w:r>
      <w:r w:rsidRPr="00453883">
        <w:rPr>
          <w:rFonts w:cs="Times New Roman"/>
          <w:i/>
        </w:rPr>
        <w:t>C.C.Q.</w:t>
      </w:r>
      <w:r w:rsidRPr="00453883">
        <w:rPr>
          <w:rFonts w:cs="Times New Roman"/>
        </w:rPr>
        <w:t xml:space="preserve"> exhaustively determine whether a Quebec authority such as the FMAT has jurisdiction over out-of-province parties (paras. 65-92). The majority ruled that although the </w:t>
      </w:r>
      <w:r w:rsidRPr="00453883">
        <w:rPr>
          <w:rFonts w:cs="Times New Roman"/>
          <w:i/>
        </w:rPr>
        <w:t>C.C.Q.</w:t>
      </w:r>
      <w:r w:rsidRPr="00453883">
        <w:rPr>
          <w:rFonts w:cs="Times New Roman"/>
        </w:rPr>
        <w:t xml:space="preserve"> acts as suppletive law for many matters, including certain aspects of public law, the private international law rules in Book Ten of the </w:t>
      </w:r>
      <w:r w:rsidRPr="00453883">
        <w:rPr>
          <w:rFonts w:cs="Times New Roman"/>
          <w:i/>
        </w:rPr>
        <w:t>C.C.Q.</w:t>
      </w:r>
      <w:r w:rsidRPr="00453883">
        <w:rPr>
          <w:rFonts w:cs="Times New Roman"/>
        </w:rPr>
        <w:t xml:space="preserve"> do not apply when no private rights are at issue (para. 70). Book Ten of the </w:t>
      </w:r>
      <w:r w:rsidRPr="00453883">
        <w:rPr>
          <w:rFonts w:cs="Times New Roman"/>
          <w:i/>
        </w:rPr>
        <w:t>C.C.Q.</w:t>
      </w:r>
      <w:r w:rsidRPr="00453883">
        <w:rPr>
          <w:rFonts w:cs="Times New Roman"/>
        </w:rPr>
        <w:t xml:space="preserve"> does not determine jurisdiction in matters of public or criminal law where the primary basis of jurisdiction is neither personal nor real but territorial, such as in this case (para. 71). The majority saw no conflict of jurisdiction or any conflict of laws that would require the application of private international law rules to this case (paras. 63 and 78). Instead, the FMAT simply seeks to exercise its jurisdiction to make determinations under the </w:t>
      </w:r>
      <w:r w:rsidRPr="00453883">
        <w:rPr>
          <w:rFonts w:cs="Times New Roman"/>
          <w:i/>
        </w:rPr>
        <w:t>Securities Act</w:t>
      </w:r>
      <w:r w:rsidRPr="00453883">
        <w:rPr>
          <w:rFonts w:cs="Times New Roman"/>
        </w:rPr>
        <w:t xml:space="preserve">, pursuant to the </w:t>
      </w:r>
      <w:r w:rsidRPr="00453883">
        <w:rPr>
          <w:rFonts w:cs="Times New Roman"/>
          <w:i/>
        </w:rPr>
        <w:t>Act respecting the Autorité des marchés financiers</w:t>
      </w:r>
      <w:r w:rsidRPr="00453883">
        <w:rPr>
          <w:rFonts w:cs="Times New Roman"/>
        </w:rPr>
        <w:t xml:space="preserve"> (para. 78).</w:t>
      </w:r>
    </w:p>
    <w:p w14:paraId="3CF60AD4" w14:textId="77777777" w:rsidR="00453883" w:rsidRPr="00453883" w:rsidRDefault="00453883" w:rsidP="00453883">
      <w:pPr>
        <w:pStyle w:val="ParaNoNdepar-AltN"/>
        <w:tabs>
          <w:tab w:val="clear" w:pos="1152"/>
          <w:tab w:val="left" w:pos="1166"/>
        </w:tabs>
        <w:rPr>
          <w:rFonts w:cs="Times New Roman"/>
        </w:rPr>
      </w:pPr>
      <w:r w:rsidRPr="00453883">
        <w:rPr>
          <w:rFonts w:cs="Times New Roman"/>
        </w:rPr>
        <w:t xml:space="preserve">The majority ruled (at paras. 94-117) that the FMAT correctly concluded there is a real and substantial connection between Quebec and the appellants under the sufficient connection test in </w:t>
      </w:r>
      <w:r w:rsidRPr="00453883">
        <w:rPr>
          <w:rFonts w:cs="Times New Roman"/>
          <w:i/>
        </w:rPr>
        <w:t>Unifund</w:t>
      </w:r>
      <w:r w:rsidRPr="00453883">
        <w:rPr>
          <w:rFonts w:cs="Times New Roman"/>
        </w:rPr>
        <w:t>. The appellants used Quebec as the “face” of their pump-and-dump scheme, a large part of which occurred in Quebec through misleading press releases allowing them to manipulate the stock price of a Quebec-based corporation holding mining claims in the province (paras. 113-14). Given these allegations and in view of the modern reality of global and interconnected securities markets, the greater opportunities for market manipulation in such a context, and the public interest, the FMAT properly assumed jurisdiction (paras. 115-16).</w:t>
      </w:r>
    </w:p>
    <w:p w14:paraId="460A42A7" w14:textId="77777777" w:rsidR="00453883" w:rsidRPr="00453883" w:rsidRDefault="00453883" w:rsidP="00453883">
      <w:pPr>
        <w:pStyle w:val="Title3LevelTitre3Niveau"/>
        <w:numPr>
          <w:ilvl w:val="2"/>
          <w:numId w:val="8"/>
        </w:numPr>
        <w:jc w:val="both"/>
        <w:rPr>
          <w:rFonts w:cs="Times New Roman"/>
        </w:rPr>
      </w:pPr>
      <w:r w:rsidRPr="00453883">
        <w:rPr>
          <w:rFonts w:cs="Times New Roman"/>
        </w:rPr>
        <w:t>Concurrence</w:t>
      </w:r>
    </w:p>
    <w:p w14:paraId="12ABE021" w14:textId="77777777" w:rsidR="00453883" w:rsidRPr="00453883" w:rsidRDefault="00453883" w:rsidP="00453883">
      <w:pPr>
        <w:pStyle w:val="ParaNoNdepar-AltN"/>
        <w:rPr>
          <w:rFonts w:cs="Times New Roman"/>
        </w:rPr>
      </w:pPr>
      <w:r w:rsidRPr="00453883">
        <w:rPr>
          <w:rFonts w:cs="Times New Roman"/>
        </w:rPr>
        <w:t xml:space="preserve">Mainville J.A. concurred with the majority in the result, but he disagreed with the majority’s conclusion that the private international law rules in Title Three of Book Ten of the </w:t>
      </w:r>
      <w:r w:rsidRPr="00453883">
        <w:rPr>
          <w:rFonts w:cs="Times New Roman"/>
          <w:i/>
        </w:rPr>
        <w:t>C.C.Q.</w:t>
      </w:r>
      <w:r w:rsidRPr="00453883">
        <w:rPr>
          <w:rFonts w:cs="Times New Roman"/>
        </w:rPr>
        <w:t xml:space="preserve"> for the international jurisdiction of Quebec authorities are neither relevant nor applicable (para. 120). Those rules apply to “Québec Authorities”, which include administrative tribunals such as the FMAT, and apply whether or not there is a conflict of jurisdiction (paras. 135-37).</w:t>
      </w:r>
    </w:p>
    <w:p w14:paraId="66C21532" w14:textId="77777777" w:rsidR="00453883" w:rsidRPr="00453883" w:rsidRDefault="00453883" w:rsidP="00453883">
      <w:pPr>
        <w:pStyle w:val="ParaNoNdepar-AltN"/>
        <w:rPr>
          <w:rFonts w:cs="Times New Roman"/>
        </w:rPr>
      </w:pPr>
      <w:r w:rsidRPr="00453883">
        <w:rPr>
          <w:rFonts w:cs="Times New Roman"/>
        </w:rPr>
        <w:t xml:space="preserve">Mainville J.A. stated that </w:t>
      </w:r>
      <w:r w:rsidRPr="00453883">
        <w:rPr>
          <w:rFonts w:cs="Times New Roman"/>
          <w:i/>
        </w:rPr>
        <w:t>Unifund</w:t>
      </w:r>
      <w:r w:rsidRPr="00453883">
        <w:rPr>
          <w:rFonts w:cs="Times New Roman"/>
        </w:rPr>
        <w:t xml:space="preserve"> highlighted that the “sufficient connection” test for the constitutional applicability of a provincial law is not necessarily subsumed in the common law “real and substantial connection” test for the court of a province to take jurisdiction over a dispute, which is a rule of private international law (para. 125). He noted that this case raises both (1) the question of the constitutional applicability of the </w:t>
      </w:r>
      <w:r w:rsidRPr="00453883">
        <w:rPr>
          <w:rFonts w:cs="Times New Roman"/>
          <w:i/>
        </w:rPr>
        <w:t>Securities Act</w:t>
      </w:r>
      <w:r w:rsidRPr="00453883">
        <w:rPr>
          <w:rFonts w:cs="Times New Roman"/>
        </w:rPr>
        <w:t xml:space="preserve">, and (2) whether the FMAT has jurisdiction over the out-of-province appellants under the rules of private international law, which is addressed mainly, if not exclusively, by Title Three of Book Ten of the </w:t>
      </w:r>
      <w:r w:rsidRPr="00453883">
        <w:rPr>
          <w:rFonts w:cs="Times New Roman"/>
          <w:i/>
        </w:rPr>
        <w:t>C.C.Q.</w:t>
      </w:r>
      <w:r w:rsidRPr="00453883">
        <w:rPr>
          <w:rFonts w:cs="Times New Roman"/>
        </w:rPr>
        <w:t xml:space="preserve"> (para. 126).</w:t>
      </w:r>
    </w:p>
    <w:p w14:paraId="3EB41CBF" w14:textId="77777777" w:rsidR="00453883" w:rsidRPr="00453883" w:rsidRDefault="00453883" w:rsidP="00453883">
      <w:pPr>
        <w:pStyle w:val="ParaNoNdepar-AltN"/>
        <w:rPr>
          <w:rFonts w:cs="Times New Roman"/>
        </w:rPr>
      </w:pPr>
      <w:r w:rsidRPr="00453883">
        <w:rPr>
          <w:rFonts w:cs="Times New Roman"/>
          <w:lang w:val="en-US"/>
        </w:rPr>
        <w:t xml:space="preserve">In Mainville J.A.’s view, the FMAT has jurisdiction over the appellants under art. 3148 para. 1(3) </w:t>
      </w:r>
      <w:r w:rsidRPr="00453883">
        <w:rPr>
          <w:rFonts w:cs="Times New Roman"/>
          <w:i/>
          <w:lang w:val="en-US"/>
        </w:rPr>
        <w:t>C.C.Q.</w:t>
      </w:r>
      <w:r w:rsidRPr="00453883">
        <w:rPr>
          <w:rFonts w:cs="Times New Roman"/>
          <w:lang w:val="en-US"/>
        </w:rPr>
        <w:t>, which provides that Quebec authorities have jurisdiction in personal actions of a patrimonial nature when a fault was committed in Quebec, an injurious act or omission occurred in Quebec, or injury was suffered in Quebec (para. 144). He determined that this provision applies by analogy because this action</w:t>
      </w:r>
      <w:r w:rsidRPr="00453883">
        <w:rPr>
          <w:rFonts w:cs="Times New Roman"/>
        </w:rPr>
        <w:t xml:space="preserve"> resembles a personal action of a patrimonial nature. The fault requirement would be met by the allegation that misleading press releases were published in Quebec and the injury requirement would be met by the allegations that investors incurred harm in Quebec.</w:t>
      </w:r>
    </w:p>
    <w:p w14:paraId="1EBF8F59" w14:textId="77777777" w:rsidR="00453883" w:rsidRPr="00453883" w:rsidRDefault="00453883" w:rsidP="00453883">
      <w:pPr>
        <w:pStyle w:val="ParaNoNdepar-AltN"/>
        <w:rPr>
          <w:rFonts w:cs="Times New Roman"/>
        </w:rPr>
      </w:pPr>
      <w:r w:rsidRPr="00453883">
        <w:rPr>
          <w:rFonts w:cs="Times New Roman"/>
        </w:rPr>
        <w:t xml:space="preserve">Alternatively, Mainville J.A. would have affirmed the FMAT’s jurisdiction over the appellants under art. 3136 </w:t>
      </w:r>
      <w:r w:rsidRPr="00453883">
        <w:rPr>
          <w:rFonts w:cs="Times New Roman"/>
          <w:i/>
        </w:rPr>
        <w:t>C.C.Q.</w:t>
      </w:r>
      <w:r w:rsidRPr="00453883">
        <w:rPr>
          <w:rFonts w:cs="Times New Roman"/>
        </w:rPr>
        <w:t xml:space="preserve">, which provides that even though a Quebec authority has no jurisdiction to hear a dispute, it may nevertheless hear it provided the dispute has a sufficient connection with Quebec and if proceedings abroad prove impossible or cannot be reasonably required (paras. 152-56). In Mainville J.A.’s view, this case meets the sufficient connection requirement of both art. 3136 </w:t>
      </w:r>
      <w:r w:rsidRPr="00453883">
        <w:rPr>
          <w:rFonts w:cs="Times New Roman"/>
          <w:i/>
        </w:rPr>
        <w:t>C.C.Q.</w:t>
      </w:r>
      <w:r w:rsidRPr="00453883">
        <w:rPr>
          <w:rFonts w:cs="Times New Roman"/>
        </w:rPr>
        <w:t xml:space="preserve"> and the Constitution because of the connections between the pump-and-dump scheme and Quebec (para. 156). The second condition of art. 3136 </w:t>
      </w:r>
      <w:r w:rsidRPr="00453883">
        <w:rPr>
          <w:rFonts w:cs="Times New Roman"/>
          <w:i/>
        </w:rPr>
        <w:t>C.C.Q.</w:t>
      </w:r>
      <w:r w:rsidRPr="00453883">
        <w:rPr>
          <w:rFonts w:cs="Times New Roman"/>
        </w:rPr>
        <w:t xml:space="preserve"> is also met, because there was no evidence that authorities of another state could make a decision in this case (paras. 157-59).</w:t>
      </w:r>
    </w:p>
    <w:p w14:paraId="35EB1982" w14:textId="77777777" w:rsidR="00453883" w:rsidRPr="00453883" w:rsidRDefault="00453883" w:rsidP="00453883">
      <w:pPr>
        <w:pStyle w:val="Title1LevelTitre1Niveau-AltL"/>
        <w:jc w:val="both"/>
        <w:rPr>
          <w:rFonts w:cs="Times New Roman"/>
        </w:rPr>
      </w:pPr>
      <w:r w:rsidRPr="00453883">
        <w:rPr>
          <w:rFonts w:cs="Times New Roman"/>
        </w:rPr>
        <w:t>Issues</w:t>
      </w:r>
    </w:p>
    <w:p w14:paraId="173E5158" w14:textId="77777777" w:rsidR="00453883" w:rsidRPr="00453883" w:rsidRDefault="00453883" w:rsidP="00453883">
      <w:pPr>
        <w:pStyle w:val="ParaNoNdepar-AltN"/>
        <w:rPr>
          <w:rFonts w:cs="Times New Roman"/>
        </w:rPr>
      </w:pPr>
      <w:r w:rsidRPr="00453883">
        <w:rPr>
          <w:rFonts w:cs="Times New Roman"/>
        </w:rPr>
        <w:t>The main issues in these appeals are (1) the standard of review of the FMAT’s decision that it has jurisdiction over the appellants and (2) whether the FMAT properly assumed jurisdiction.</w:t>
      </w:r>
    </w:p>
    <w:p w14:paraId="4CC34A86" w14:textId="77777777" w:rsidR="00453883" w:rsidRPr="00453883" w:rsidRDefault="00453883" w:rsidP="00453883">
      <w:pPr>
        <w:pStyle w:val="Title1LevelTitre1Niveau-AltL"/>
        <w:numPr>
          <w:ilvl w:val="0"/>
          <w:numId w:val="8"/>
        </w:numPr>
        <w:jc w:val="both"/>
        <w:rPr>
          <w:rFonts w:cs="Times New Roman"/>
        </w:rPr>
      </w:pPr>
      <w:r w:rsidRPr="00453883">
        <w:rPr>
          <w:rFonts w:cs="Times New Roman"/>
        </w:rPr>
        <w:t>Analysis</w:t>
      </w:r>
    </w:p>
    <w:p w14:paraId="7B0EE14D" w14:textId="77777777" w:rsidR="00453883" w:rsidRPr="00453883" w:rsidRDefault="00453883" w:rsidP="00453883">
      <w:pPr>
        <w:pStyle w:val="Title2LevelTitre2Niveau"/>
        <w:numPr>
          <w:ilvl w:val="1"/>
          <w:numId w:val="8"/>
        </w:numPr>
        <w:jc w:val="both"/>
        <w:rPr>
          <w:rFonts w:cs="Times New Roman"/>
        </w:rPr>
      </w:pPr>
      <w:r w:rsidRPr="00453883">
        <w:rPr>
          <w:rFonts w:cs="Times New Roman"/>
        </w:rPr>
        <w:t>The Standard of Review</w:t>
      </w:r>
    </w:p>
    <w:p w14:paraId="04E63306" w14:textId="77777777" w:rsidR="00453883" w:rsidRPr="00453883" w:rsidRDefault="00453883" w:rsidP="00453883">
      <w:pPr>
        <w:pStyle w:val="ParaNoNdepar-AltN"/>
        <w:rPr>
          <w:rFonts w:cs="Times New Roman"/>
        </w:rPr>
      </w:pPr>
      <w:r w:rsidRPr="00453883">
        <w:rPr>
          <w:rFonts w:cs="Times New Roman"/>
        </w:rPr>
        <w:t xml:space="preserve">The parties agree that under the framework established by this Court in </w:t>
      </w:r>
      <w:r w:rsidRPr="00453883">
        <w:rPr>
          <w:rFonts w:cs="Times New Roman"/>
          <w:i/>
        </w:rPr>
        <w:t>Canada (Minister of Citizenship and Immigration) v. Vavilov</w:t>
      </w:r>
      <w:r w:rsidRPr="00453883">
        <w:rPr>
          <w:rFonts w:cs="Times New Roman"/>
        </w:rPr>
        <w:t>, 2019 SCC 65, [2019] 4 S.C.R. 653, the standard of review of the FMAT’s decision is correctness.</w:t>
      </w:r>
    </w:p>
    <w:p w14:paraId="0E401DF6" w14:textId="77777777" w:rsidR="00453883" w:rsidRPr="00453883" w:rsidRDefault="00453883" w:rsidP="00453883">
      <w:pPr>
        <w:pStyle w:val="ParaNoNdepar-AltN"/>
        <w:rPr>
          <w:rFonts w:cs="Times New Roman"/>
        </w:rPr>
      </w:pPr>
      <w:r w:rsidRPr="00453883">
        <w:rPr>
          <w:rFonts w:cs="Times New Roman"/>
        </w:rPr>
        <w:t>Although presumptively the standard of review when a court reviews the merits of an administrative decision is reasonableness, this presumption is rebutted when the legislature explicitly prescribes the applicable standard of review or when the rule of law requires that the standard of correctness be applied (</w:t>
      </w:r>
      <w:r w:rsidRPr="00453883">
        <w:rPr>
          <w:rFonts w:cs="Times New Roman"/>
          <w:i/>
        </w:rPr>
        <w:t>Vavilov</w:t>
      </w:r>
      <w:r w:rsidRPr="00453883">
        <w:rPr>
          <w:rFonts w:cs="Times New Roman"/>
        </w:rPr>
        <w:t>, at paras. 16</w:t>
      </w:r>
      <w:r w:rsidRPr="00453883">
        <w:rPr>
          <w:rFonts w:cs="Times New Roman"/>
        </w:rPr>
        <w:noBreakHyphen/>
        <w:t xml:space="preserve">17; </w:t>
      </w:r>
      <w:r w:rsidRPr="00453883">
        <w:rPr>
          <w:rFonts w:cs="Times New Roman"/>
          <w:i/>
        </w:rPr>
        <w:t>Canada Post Corp. v. Canadian Union of Postal Workers</w:t>
      </w:r>
      <w:r w:rsidRPr="00453883">
        <w:rPr>
          <w:rFonts w:cs="Times New Roman"/>
        </w:rPr>
        <w:t>, 2019 SCC 67, [2019] 4 S.C.R. 900, at para. 27). The rule of law is implicated in cases involving constitutional questions, general questions of law of central importance to the legal system as a whole, and questions related to the jurisdictional boundaries between two or more administrative bodies (</w:t>
      </w:r>
      <w:r w:rsidRPr="00453883">
        <w:rPr>
          <w:rFonts w:cs="Times New Roman"/>
          <w:i/>
        </w:rPr>
        <w:t>Vavilov</w:t>
      </w:r>
      <w:r w:rsidRPr="00453883">
        <w:rPr>
          <w:rFonts w:cs="Times New Roman"/>
        </w:rPr>
        <w:t>, at para. 17). The standard of correctness also applies “when courts and administrative bodies have concurrent first instance jurisdiction over a legal issue in a statute” (</w:t>
      </w:r>
      <w:r w:rsidRPr="00453883">
        <w:rPr>
          <w:rFonts w:cs="Times New Roman"/>
          <w:i/>
        </w:rPr>
        <w:t>Society of Composers, Authors and Music Publishers of Canada v. Entertainment Software Association</w:t>
      </w:r>
      <w:r w:rsidRPr="00453883">
        <w:rPr>
          <w:rFonts w:cs="Times New Roman"/>
        </w:rPr>
        <w:t>, 2022 SCC 30, at para. 28).</w:t>
      </w:r>
    </w:p>
    <w:p w14:paraId="4CCA235C" w14:textId="77777777" w:rsidR="00453883" w:rsidRPr="00453883" w:rsidRDefault="00453883" w:rsidP="00453883">
      <w:pPr>
        <w:pStyle w:val="ParaNoNdepar-AltN"/>
        <w:rPr>
          <w:rFonts w:cs="Times New Roman"/>
        </w:rPr>
      </w:pPr>
      <w:r w:rsidRPr="00453883">
        <w:rPr>
          <w:rFonts w:cs="Times New Roman"/>
        </w:rPr>
        <w:t xml:space="preserve">Here, the FMAT’s jurisdiction over the out-of-province appellants raises a constitutional issue regarding the territorial reach of provincial legislation. The FMAT addressed its jurisdiction by examining whether the securities scheme constitutionally applies to the appellants under the test in </w:t>
      </w:r>
      <w:r w:rsidRPr="00453883">
        <w:rPr>
          <w:rFonts w:cs="Times New Roman"/>
          <w:i/>
        </w:rPr>
        <w:t>Unifund</w:t>
      </w:r>
      <w:r w:rsidRPr="00453883">
        <w:rPr>
          <w:rFonts w:cs="Times New Roman"/>
        </w:rPr>
        <w:t xml:space="preserve">, which asks whether there is a “sufficient connection” between Quebec and the appellants to support the application of Quebec’s securities regulatory scheme (paras. 55-56). This constitutional question is reviewable for correctness under the </w:t>
      </w:r>
      <w:r w:rsidRPr="00453883">
        <w:rPr>
          <w:rFonts w:cs="Times New Roman"/>
          <w:i/>
        </w:rPr>
        <w:t>Vavilov</w:t>
      </w:r>
      <w:r w:rsidRPr="00453883">
        <w:rPr>
          <w:rFonts w:cs="Times New Roman"/>
        </w:rPr>
        <w:t xml:space="preserve"> framework.</w:t>
      </w:r>
      <w:r w:rsidRPr="001C2DEE">
        <w:rPr>
          <w:rStyle w:val="Hyperlink"/>
          <w:vertAlign w:val="superscript"/>
        </w:rPr>
        <w:footnoteReference w:id="3"/>
      </w:r>
    </w:p>
    <w:p w14:paraId="01BB54B8" w14:textId="77777777" w:rsidR="00453883" w:rsidRPr="00453883" w:rsidRDefault="00453883" w:rsidP="00453883">
      <w:pPr>
        <w:pStyle w:val="ParaNoNdepar-AltN"/>
        <w:rPr>
          <w:rFonts w:cs="Times New Roman"/>
        </w:rPr>
      </w:pPr>
      <w:r w:rsidRPr="00453883">
        <w:rPr>
          <w:rFonts w:cs="Times New Roman"/>
        </w:rPr>
        <w:t xml:space="preserve">Even assuming, as the appellants contend, that the question of the FMAT’s jurisdiction over out-of-province parties is to be resolved by applying Title Three of Book Ten of the </w:t>
      </w:r>
      <w:r w:rsidRPr="00453883">
        <w:rPr>
          <w:rFonts w:cs="Times New Roman"/>
          <w:i/>
        </w:rPr>
        <w:t>C.C.Q.</w:t>
      </w:r>
      <w:r w:rsidRPr="00453883">
        <w:rPr>
          <w:rFonts w:cs="Times New Roman"/>
        </w:rPr>
        <w:t xml:space="preserve"> — an argument raised for the first time before the Quebec Court of Appeal — that question is still reviewable for correctness because it raises a general question of law of central importance to the legal system as a whole. Whether the </w:t>
      </w:r>
      <w:r w:rsidRPr="00453883">
        <w:rPr>
          <w:rFonts w:cs="Times New Roman"/>
          <w:i/>
        </w:rPr>
        <w:t>C.C.Q.</w:t>
      </w:r>
      <w:r w:rsidRPr="00453883">
        <w:rPr>
          <w:rFonts w:cs="Times New Roman"/>
        </w:rPr>
        <w:t xml:space="preserve"> grants the FMAT jurisdiction over out-of-province parties in the circumstances involves the methodology for determining the relationship between the </w:t>
      </w:r>
      <w:r w:rsidRPr="00453883">
        <w:rPr>
          <w:rFonts w:cs="Times New Roman"/>
          <w:i/>
        </w:rPr>
        <w:t>C.C.Q.</w:t>
      </w:r>
      <w:r w:rsidRPr="00453883">
        <w:rPr>
          <w:rFonts w:cs="Times New Roman"/>
        </w:rPr>
        <w:t xml:space="preserve"> as the </w:t>
      </w:r>
      <w:r w:rsidRPr="00453883">
        <w:rPr>
          <w:rFonts w:cs="Times New Roman"/>
          <w:i/>
        </w:rPr>
        <w:t>jus commune</w:t>
      </w:r>
      <w:r w:rsidRPr="00453883">
        <w:rPr>
          <w:rFonts w:cs="Times New Roman"/>
        </w:rPr>
        <w:t>, or general law, and special statutes in Quebec. This is a general question of law that requires a uniform and consistent answer because it has implications for many other statutes (</w:t>
      </w:r>
      <w:r w:rsidRPr="00453883">
        <w:rPr>
          <w:rFonts w:cs="Times New Roman"/>
          <w:i/>
        </w:rPr>
        <w:t>Vavilov</w:t>
      </w:r>
      <w:r w:rsidRPr="00453883">
        <w:rPr>
          <w:rFonts w:cs="Times New Roman"/>
        </w:rPr>
        <w:t>, at paras. 59-62). We address that issue next.</w:t>
      </w:r>
    </w:p>
    <w:p w14:paraId="0AADD796" w14:textId="77777777" w:rsidR="00453883" w:rsidRPr="00453883" w:rsidRDefault="00453883" w:rsidP="00453883">
      <w:pPr>
        <w:pStyle w:val="Title2LevelTitre2Niveau"/>
        <w:numPr>
          <w:ilvl w:val="1"/>
          <w:numId w:val="8"/>
        </w:numPr>
        <w:jc w:val="both"/>
        <w:rPr>
          <w:rFonts w:cs="Times New Roman"/>
          <w:i w:val="0"/>
        </w:rPr>
      </w:pPr>
      <w:r w:rsidRPr="00453883">
        <w:rPr>
          <w:rFonts w:cs="Times New Roman"/>
        </w:rPr>
        <w:t>The Relationship Between the C.C.Q. and Special Statutes</w:t>
      </w:r>
    </w:p>
    <w:p w14:paraId="4A344693" w14:textId="77777777" w:rsidR="00453883" w:rsidRPr="00453883" w:rsidRDefault="00453883" w:rsidP="00453883">
      <w:pPr>
        <w:pStyle w:val="ParaNoNdepar-AltN"/>
        <w:rPr>
          <w:rFonts w:cs="Times New Roman"/>
        </w:rPr>
      </w:pPr>
      <w:r w:rsidRPr="00453883">
        <w:rPr>
          <w:rFonts w:cs="Times New Roman"/>
        </w:rPr>
        <w:t xml:space="preserve">The majority and concurring reasons in the Quebec Court of Appeal reflect different methodologies for determining when the </w:t>
      </w:r>
      <w:r w:rsidRPr="00453883">
        <w:rPr>
          <w:rFonts w:cs="Times New Roman"/>
          <w:i/>
        </w:rPr>
        <w:t>C.C.Q.</w:t>
      </w:r>
      <w:r w:rsidRPr="00453883">
        <w:rPr>
          <w:rFonts w:cs="Times New Roman"/>
        </w:rPr>
        <w:t xml:space="preserve"> establishes the international jurisdiction of an administrative tribunal over out-of-province defendants. More generally, they articulate different conceptions of the relationship between the </w:t>
      </w:r>
      <w:r w:rsidRPr="00453883">
        <w:rPr>
          <w:rFonts w:cs="Times New Roman"/>
          <w:i/>
        </w:rPr>
        <w:t>C.C.Q.</w:t>
      </w:r>
      <w:r w:rsidRPr="00453883">
        <w:rPr>
          <w:rFonts w:cs="Times New Roman"/>
        </w:rPr>
        <w:t xml:space="preserve">, as the </w:t>
      </w:r>
      <w:r w:rsidRPr="00453883">
        <w:rPr>
          <w:rFonts w:cs="Times New Roman"/>
          <w:i/>
        </w:rPr>
        <w:t>jus commune</w:t>
      </w:r>
      <w:r w:rsidRPr="00453883">
        <w:rPr>
          <w:rFonts w:cs="Times New Roman"/>
        </w:rPr>
        <w:t xml:space="preserve">, and special statutes targeting particular subjects relating to private international law. The majority reasoned that the question before the court concerns the constitutional applicability of the Quebec securities scheme to out-of-province parties, rather than private international law, and thus the FMAT’s jurisdiction should be determined by applying the real and substantial connection test in </w:t>
      </w:r>
      <w:r w:rsidRPr="00453883">
        <w:rPr>
          <w:rFonts w:cs="Times New Roman"/>
          <w:i/>
        </w:rPr>
        <w:t xml:space="preserve">Unifund </w:t>
      </w:r>
      <w:r w:rsidRPr="00453883">
        <w:rPr>
          <w:rFonts w:cs="Times New Roman"/>
        </w:rPr>
        <w:t xml:space="preserve">(paras. 63 and 90-91). The majority also concluded that the private international law rules of Title Three of Book Ten of the </w:t>
      </w:r>
      <w:r w:rsidRPr="00453883">
        <w:rPr>
          <w:rFonts w:cs="Times New Roman"/>
          <w:i/>
        </w:rPr>
        <w:t>C.C.Q.</w:t>
      </w:r>
      <w:r w:rsidRPr="00453883">
        <w:rPr>
          <w:rFonts w:cs="Times New Roman"/>
        </w:rPr>
        <w:t xml:space="preserve"> do not apply to determine the FMAT’s jurisdiction because (1) no private rights are at issue before the FMAT (paras. 70-71), and (2) there is no conflict of jurisdiction or any conflict of law that calls for applying private international law rules (para. 78). By contrast, the concurrence concluded that (1) the rules in Title Three of Book Ten of the </w:t>
      </w:r>
      <w:r w:rsidRPr="00453883">
        <w:rPr>
          <w:rFonts w:cs="Times New Roman"/>
          <w:i/>
        </w:rPr>
        <w:t>C.C.Q.</w:t>
      </w:r>
      <w:r w:rsidRPr="00453883">
        <w:rPr>
          <w:rFonts w:cs="Times New Roman"/>
        </w:rPr>
        <w:t xml:space="preserve"> apply to all “Québec Authorities”, including administrative tribunals such as the FMAT in respect of actions pertaining to Quebec’s constitutional jurisdiction over property and civil rights (paras. 135-36), (2) whether or not there is a conflict of jurisdiction (para. 137), and (3) whether or not an action pertains to matters in the </w:t>
      </w:r>
      <w:r w:rsidRPr="00453883">
        <w:rPr>
          <w:rFonts w:cs="Times New Roman"/>
          <w:i/>
        </w:rPr>
        <w:t xml:space="preserve">C.C.Q. </w:t>
      </w:r>
      <w:r w:rsidRPr="00453883">
        <w:rPr>
          <w:rFonts w:cs="Times New Roman"/>
        </w:rPr>
        <w:t>(para. 142).</w:t>
      </w:r>
    </w:p>
    <w:p w14:paraId="52843EE6" w14:textId="77777777" w:rsidR="00453883" w:rsidRPr="00453883" w:rsidRDefault="00453883" w:rsidP="00453883">
      <w:pPr>
        <w:pStyle w:val="ParaNoNdepar-AltN"/>
        <w:rPr>
          <w:rFonts w:cs="Times New Roman"/>
        </w:rPr>
      </w:pPr>
      <w:r w:rsidRPr="00453883">
        <w:rPr>
          <w:rFonts w:cs="Times New Roman"/>
        </w:rPr>
        <w:t xml:space="preserve">This section addresses this methodological debate by considering the relationship between the </w:t>
      </w:r>
      <w:r w:rsidRPr="00453883">
        <w:rPr>
          <w:rFonts w:cs="Times New Roman"/>
          <w:i/>
        </w:rPr>
        <w:t>C.C.Q.</w:t>
      </w:r>
      <w:r w:rsidRPr="00453883">
        <w:rPr>
          <w:rFonts w:cs="Times New Roman"/>
        </w:rPr>
        <w:t xml:space="preserve"> and special statutes. As will be elaborated, the </w:t>
      </w:r>
      <w:r w:rsidRPr="00453883">
        <w:rPr>
          <w:rFonts w:cs="Times New Roman"/>
          <w:i/>
        </w:rPr>
        <w:t>C.C.Q.</w:t>
      </w:r>
      <w:r w:rsidRPr="00453883">
        <w:rPr>
          <w:rFonts w:cs="Times New Roman"/>
        </w:rPr>
        <w:t>,</w:t>
      </w:r>
      <w:r w:rsidRPr="00453883">
        <w:rPr>
          <w:rFonts w:cs="Times New Roman"/>
          <w:i/>
        </w:rPr>
        <w:t xml:space="preserve"> </w:t>
      </w:r>
      <w:r w:rsidRPr="00453883">
        <w:rPr>
          <w:rFonts w:cs="Times New Roman"/>
        </w:rPr>
        <w:t xml:space="preserve">as stated in the preliminary provision, “lays down the </w:t>
      </w:r>
      <w:r w:rsidRPr="00453883">
        <w:rPr>
          <w:rFonts w:cs="Times New Roman"/>
          <w:i/>
        </w:rPr>
        <w:t>jus commune</w:t>
      </w:r>
      <w:r w:rsidRPr="00453883">
        <w:rPr>
          <w:rFonts w:cs="Times New Roman"/>
        </w:rPr>
        <w:t xml:space="preserve">”, or law of general application, “in all matters within the letter, spirit or object of its provisions” which mainly govern “persons, relations between persons, and property”. For these matters, the </w:t>
      </w:r>
      <w:r w:rsidRPr="00453883">
        <w:rPr>
          <w:rFonts w:cs="Times New Roman"/>
          <w:i/>
        </w:rPr>
        <w:t>C.C.Q.</w:t>
      </w:r>
      <w:r w:rsidRPr="00453883">
        <w:rPr>
          <w:rFonts w:cs="Times New Roman"/>
        </w:rPr>
        <w:t xml:space="preserve"> is the “foundation of all other laws”. Accordingly, for such matters, interpretive exercises must begin with the </w:t>
      </w:r>
      <w:r w:rsidRPr="00453883">
        <w:rPr>
          <w:rFonts w:cs="Times New Roman"/>
          <w:i/>
        </w:rPr>
        <w:t>C.C.Q.</w:t>
      </w:r>
      <w:r w:rsidRPr="00453883">
        <w:rPr>
          <w:rFonts w:cs="Times New Roman"/>
        </w:rPr>
        <w:t xml:space="preserve">, although special legislation can derogate from the </w:t>
      </w:r>
      <w:r w:rsidRPr="00453883">
        <w:rPr>
          <w:rFonts w:cs="Times New Roman"/>
          <w:i/>
        </w:rPr>
        <w:t>C.C.Q.</w:t>
      </w:r>
      <w:r w:rsidRPr="00453883">
        <w:rPr>
          <w:rFonts w:cs="Times New Roman"/>
        </w:rPr>
        <w:t xml:space="preserve"> when the legislature expresses its intention to do so and, of course, some of the law of general application may be found outside the </w:t>
      </w:r>
      <w:r w:rsidRPr="00453883">
        <w:rPr>
          <w:rFonts w:cs="Times New Roman"/>
          <w:i/>
        </w:rPr>
        <w:t>C.C.Q.</w:t>
      </w:r>
      <w:r w:rsidRPr="00453883">
        <w:rPr>
          <w:rFonts w:cs="Times New Roman"/>
        </w:rPr>
        <w:t xml:space="preserve"> in general principles of law. Contrary to the conclusion of the majority of the Court of Appeal, provisions of Title Three of Book Ten of the </w:t>
      </w:r>
      <w:r w:rsidRPr="00453883">
        <w:rPr>
          <w:rFonts w:cs="Times New Roman"/>
          <w:i/>
        </w:rPr>
        <w:t>C.C.Q.</w:t>
      </w:r>
      <w:r w:rsidRPr="00453883">
        <w:rPr>
          <w:rFonts w:cs="Times New Roman"/>
        </w:rPr>
        <w:t xml:space="preserve"> can, in principle, apply to an administrative tribunal like the FMAT, even if no private right is in issue and even if no conflict of jurisdiction arises, as long as these parameters of the </w:t>
      </w:r>
      <w:r w:rsidRPr="00453883">
        <w:rPr>
          <w:rFonts w:cs="Times New Roman"/>
          <w:i/>
        </w:rPr>
        <w:t>jus commune</w:t>
      </w:r>
      <w:r w:rsidRPr="00453883">
        <w:rPr>
          <w:rFonts w:cs="Times New Roman"/>
        </w:rPr>
        <w:t xml:space="preserve"> alluded to in the preliminary provision are met. However, as we elaborate in later sections, while the </w:t>
      </w:r>
      <w:r w:rsidRPr="00453883">
        <w:rPr>
          <w:rFonts w:cs="Times New Roman"/>
          <w:i/>
        </w:rPr>
        <w:t>C.C.Q.</w:t>
      </w:r>
      <w:r w:rsidRPr="00453883">
        <w:rPr>
          <w:rFonts w:cs="Times New Roman"/>
        </w:rPr>
        <w:t xml:space="preserve"> does not grant the FMAT jurisdiction over the out-of-province appellants in this case, the jurisdictional provisions of the special securities scheme, properly interpreted in light of </w:t>
      </w:r>
      <w:r w:rsidRPr="00453883">
        <w:rPr>
          <w:rFonts w:cs="Times New Roman"/>
          <w:i/>
        </w:rPr>
        <w:t>Unifund</w:t>
      </w:r>
      <w:r w:rsidRPr="00453883">
        <w:rPr>
          <w:rFonts w:cs="Times New Roman"/>
        </w:rPr>
        <w:t>, do grant jurisdiction because the appellants, and their alleged contraventions, have a sufficient connection to Quebec.</w:t>
      </w:r>
    </w:p>
    <w:p w14:paraId="366DCF61" w14:textId="77777777" w:rsidR="00453883" w:rsidRPr="00453883" w:rsidRDefault="00453883" w:rsidP="00453883">
      <w:pPr>
        <w:pStyle w:val="Title3LevelTitre3Niveau"/>
        <w:numPr>
          <w:ilvl w:val="2"/>
          <w:numId w:val="8"/>
        </w:numPr>
        <w:rPr>
          <w:rFonts w:cs="Times New Roman"/>
        </w:rPr>
      </w:pPr>
      <w:r w:rsidRPr="00453883">
        <w:rPr>
          <w:rFonts w:cs="Times New Roman"/>
        </w:rPr>
        <w:t xml:space="preserve">The Preliminary Provision of the </w:t>
      </w:r>
      <w:r w:rsidRPr="00453883">
        <w:rPr>
          <w:rFonts w:cs="Times New Roman"/>
          <w:i/>
        </w:rPr>
        <w:t>C.C.Q.</w:t>
      </w:r>
    </w:p>
    <w:p w14:paraId="2DB97D34" w14:textId="77777777" w:rsidR="00453883" w:rsidRPr="00453883" w:rsidRDefault="00453883" w:rsidP="00453883">
      <w:pPr>
        <w:pStyle w:val="ParaNoNdepar-AltN"/>
        <w:rPr>
          <w:rFonts w:cs="Times New Roman"/>
        </w:rPr>
      </w:pPr>
      <w:r w:rsidRPr="00453883">
        <w:rPr>
          <w:rFonts w:cs="Times New Roman"/>
        </w:rPr>
        <w:t xml:space="preserve">The starting point for understanding the relationship between the </w:t>
      </w:r>
      <w:r w:rsidRPr="00453883">
        <w:rPr>
          <w:rFonts w:cs="Times New Roman"/>
          <w:i/>
        </w:rPr>
        <w:t>C.C.Q.</w:t>
      </w:r>
      <w:r w:rsidRPr="00453883">
        <w:rPr>
          <w:rFonts w:cs="Times New Roman"/>
        </w:rPr>
        <w:t xml:space="preserve"> and special statutes is the preliminary provision of the </w:t>
      </w:r>
      <w:r w:rsidRPr="00453883">
        <w:rPr>
          <w:rFonts w:cs="Times New Roman"/>
          <w:i/>
        </w:rPr>
        <w:t>C.C.Q.</w:t>
      </w:r>
      <w:r w:rsidRPr="00453883">
        <w:rPr>
          <w:rFonts w:cs="Times New Roman"/>
        </w:rPr>
        <w:t xml:space="preserve">: </w:t>
      </w:r>
    </w:p>
    <w:p w14:paraId="4004F9E0" w14:textId="77777777" w:rsidR="00453883" w:rsidRPr="00453883" w:rsidRDefault="00453883" w:rsidP="00453883">
      <w:pPr>
        <w:pStyle w:val="Citation-AltC"/>
      </w:pPr>
      <w:r w:rsidRPr="00453883">
        <w:t xml:space="preserve">The Civil Code of Québec, in harmony </w:t>
      </w:r>
      <w:proofErr w:type="gramStart"/>
      <w:r w:rsidRPr="00453883">
        <w:t>with .</w:t>
      </w:r>
      <w:proofErr w:type="gramEnd"/>
      <w:r w:rsidRPr="00453883">
        <w:t> . . the Charter of human rights and freedoms . . . and the general principles of law, governs persons, relations between persons, and property.</w:t>
      </w:r>
    </w:p>
    <w:p w14:paraId="19F2D2E1" w14:textId="77777777" w:rsidR="00453883" w:rsidRPr="00453883" w:rsidRDefault="00453883" w:rsidP="00453883">
      <w:pPr>
        <w:pStyle w:val="Citation-AltC"/>
      </w:pPr>
    </w:p>
    <w:p w14:paraId="1390C6AD" w14:textId="77777777" w:rsidR="00453883" w:rsidRPr="00453883" w:rsidRDefault="00453883" w:rsidP="00453883">
      <w:pPr>
        <w:pStyle w:val="Citation-AltC"/>
      </w:pPr>
      <w:r w:rsidRPr="00453883">
        <w:t xml:space="preserve">The Civil Code comprises a body of rules which, in all matters within the letter, spirit or object of its provisions, lays down the </w:t>
      </w:r>
      <w:r w:rsidRPr="00453883">
        <w:rPr>
          <w:i/>
        </w:rPr>
        <w:t>jus commune</w:t>
      </w:r>
      <w:r w:rsidRPr="00453883">
        <w:t>, expressly or by implication. In these matters, the Code is the foundation of all other laws, although other laws may complement the Code or make exceptions to it.</w:t>
      </w:r>
      <w:r w:rsidRPr="001C2DEE">
        <w:rPr>
          <w:rStyle w:val="Hyperlink"/>
          <w:vertAlign w:val="superscript"/>
        </w:rPr>
        <w:footnoteReference w:id="4"/>
      </w:r>
    </w:p>
    <w:p w14:paraId="34229285" w14:textId="77777777" w:rsidR="00453883" w:rsidRPr="00453883" w:rsidRDefault="00453883" w:rsidP="00453883">
      <w:pPr>
        <w:pStyle w:val="ParaNoNdepar-AltN"/>
        <w:rPr>
          <w:rFonts w:cs="Times New Roman"/>
          <w:u w:val="single"/>
          <w:lang w:val="en-US"/>
        </w:rPr>
      </w:pPr>
      <w:r w:rsidRPr="00453883">
        <w:rPr>
          <w:rFonts w:cs="Times New Roman"/>
        </w:rPr>
        <w:t xml:space="preserve">Several aspects of the preliminary provision elucidate the relationship between the </w:t>
      </w:r>
      <w:r w:rsidRPr="00453883">
        <w:rPr>
          <w:rFonts w:cs="Times New Roman"/>
          <w:i/>
        </w:rPr>
        <w:t>C.C.Q.</w:t>
      </w:r>
      <w:r w:rsidRPr="00453883">
        <w:rPr>
          <w:rFonts w:cs="Times New Roman"/>
        </w:rPr>
        <w:t xml:space="preserve"> and special statutes.</w:t>
      </w:r>
    </w:p>
    <w:p w14:paraId="2D5BD095" w14:textId="77777777" w:rsidR="00453883" w:rsidRPr="00453883" w:rsidRDefault="00453883" w:rsidP="00453883">
      <w:pPr>
        <w:pStyle w:val="Title4LevelTitre4Niveau"/>
        <w:numPr>
          <w:ilvl w:val="3"/>
          <w:numId w:val="8"/>
        </w:numPr>
        <w:tabs>
          <w:tab w:val="num" w:pos="1260"/>
        </w:tabs>
        <w:jc w:val="both"/>
        <w:rPr>
          <w:rFonts w:cs="Times New Roman"/>
          <w:lang w:val="en-US"/>
        </w:rPr>
      </w:pPr>
      <w:r w:rsidRPr="00453883">
        <w:rPr>
          <w:rFonts w:cs="Times New Roman"/>
          <w:lang w:val="en-US"/>
        </w:rPr>
        <w:t>The C.C.Q. Lays Down the Jus Commune</w:t>
      </w:r>
    </w:p>
    <w:p w14:paraId="365DBCEB" w14:textId="77777777" w:rsidR="00453883" w:rsidRPr="00453883" w:rsidRDefault="00453883" w:rsidP="00453883">
      <w:pPr>
        <w:pStyle w:val="ParaNoNdepar-AltN"/>
        <w:rPr>
          <w:rFonts w:cs="Times New Roman"/>
          <w:u w:val="single"/>
          <w:lang w:val="en-US"/>
        </w:rPr>
      </w:pPr>
      <w:r w:rsidRPr="00453883">
        <w:rPr>
          <w:rFonts w:cs="Times New Roman"/>
          <w:lang w:val="en-US"/>
        </w:rPr>
        <w:t xml:space="preserve">First, the preliminary provision announces that the </w:t>
      </w:r>
      <w:r w:rsidRPr="00453883">
        <w:rPr>
          <w:rFonts w:cs="Times New Roman"/>
          <w:i/>
          <w:lang w:val="en-US"/>
        </w:rPr>
        <w:t>C.C.Q.</w:t>
      </w:r>
      <w:r w:rsidRPr="00453883">
        <w:rPr>
          <w:rFonts w:cs="Times New Roman"/>
          <w:lang w:val="en-US"/>
        </w:rPr>
        <w:t xml:space="preserve"> “lays down the </w:t>
      </w:r>
      <w:r w:rsidRPr="00453883">
        <w:rPr>
          <w:rFonts w:cs="Times New Roman"/>
          <w:i/>
          <w:lang w:val="en-US"/>
        </w:rPr>
        <w:t>jus commune</w:t>
      </w:r>
      <w:r w:rsidRPr="00453883">
        <w:rPr>
          <w:rFonts w:cs="Times New Roman"/>
          <w:lang w:val="en-US"/>
        </w:rPr>
        <w:t xml:space="preserve">”, or the law of general application, of Quebec “in all matters within the letter, spirit or object of its provisions”, which mainly govern “persons, relations between persons, and property” (see also </w:t>
      </w:r>
      <w:r w:rsidRPr="00453883">
        <w:rPr>
          <w:rFonts w:cs="Times New Roman"/>
          <w:i/>
          <w:lang w:val="en-US"/>
        </w:rPr>
        <w:t>Fédération des producteurs acéricoles du Québec v. Regroupement pour la commercialisation des produits de l’érable inc.</w:t>
      </w:r>
      <w:r w:rsidRPr="00453883">
        <w:rPr>
          <w:rFonts w:cs="Times New Roman"/>
          <w:lang w:val="en-US"/>
        </w:rPr>
        <w:t>, 2006 SCC 50, [2006] 2 S.C.R. 591, at para. </w:t>
      </w:r>
      <w:r w:rsidRPr="00453883">
        <w:rPr>
          <w:rFonts w:cs="Times New Roman"/>
          <w:lang w:val="fr-CA"/>
        </w:rPr>
        <w:t xml:space="preserve">10; </w:t>
      </w:r>
      <w:r w:rsidRPr="00453883">
        <w:rPr>
          <w:rFonts w:cs="Times New Roman"/>
          <w:i/>
          <w:lang w:val="fr-CA"/>
        </w:rPr>
        <w:t>Gilles E. Néron Communication Marketing Inc. v. Chambre des notaires du Québec</w:t>
      </w:r>
      <w:r w:rsidRPr="00453883">
        <w:rPr>
          <w:rFonts w:cs="Times New Roman"/>
          <w:lang w:val="fr-CA"/>
        </w:rPr>
        <w:t xml:space="preserve">, 2004 SCC 53, [2004] 3 S.C.R. 95, at para. 56; </w:t>
      </w:r>
      <w:r w:rsidRPr="00453883">
        <w:rPr>
          <w:rFonts w:cs="Times New Roman"/>
          <w:i/>
          <w:lang w:val="fr-CA"/>
        </w:rPr>
        <w:t>Finney v. Barreau du Québec</w:t>
      </w:r>
      <w:r w:rsidRPr="00453883">
        <w:rPr>
          <w:rFonts w:cs="Times New Roman"/>
          <w:lang w:val="fr-CA"/>
        </w:rPr>
        <w:t xml:space="preserve">, 2004 SCC 36, [2004] 2 S.C.R. 17, at para. 26; see also J.-M. Brisson, “Le Code civil, droit commun?”, in </w:t>
      </w:r>
      <w:r w:rsidRPr="00453883">
        <w:rPr>
          <w:rFonts w:cs="Times New Roman"/>
          <w:i/>
          <w:lang w:val="fr-CA"/>
        </w:rPr>
        <w:t>Le nouveau Code civil: interprétation et application — Les journées Maximilien-Caron 1992</w:t>
      </w:r>
      <w:r w:rsidRPr="00453883">
        <w:rPr>
          <w:rFonts w:cs="Times New Roman"/>
          <w:lang w:val="fr-CA"/>
        </w:rPr>
        <w:t xml:space="preserve"> (1993), 292, at pp. 308-15). </w:t>
      </w:r>
      <w:r w:rsidRPr="00453883">
        <w:rPr>
          <w:rFonts w:cs="Times New Roman"/>
          <w:lang w:val="en-US"/>
        </w:rPr>
        <w:t xml:space="preserve">Thus, the </w:t>
      </w:r>
      <w:r w:rsidRPr="00453883">
        <w:rPr>
          <w:rFonts w:cs="Times New Roman"/>
          <w:i/>
          <w:lang w:val="en-US"/>
        </w:rPr>
        <w:t>C.C.Q.</w:t>
      </w:r>
      <w:r w:rsidRPr="00453883">
        <w:rPr>
          <w:rFonts w:cs="Times New Roman"/>
          <w:lang w:val="en-US"/>
        </w:rPr>
        <w:t xml:space="preserve"> does not simply lay down rules of private law on a narrow compass (</w:t>
      </w:r>
      <w:r w:rsidRPr="00453883">
        <w:rPr>
          <w:rFonts w:cs="Times New Roman"/>
          <w:i/>
          <w:lang w:val="en-US"/>
        </w:rPr>
        <w:t>Prud’homme</w:t>
      </w:r>
      <w:r w:rsidRPr="00453883">
        <w:rPr>
          <w:rFonts w:cs="Times New Roman"/>
          <w:i/>
        </w:rPr>
        <w:t xml:space="preserve"> v. Prud’homme</w:t>
      </w:r>
      <w:r w:rsidRPr="00453883">
        <w:rPr>
          <w:rFonts w:cs="Times New Roman"/>
        </w:rPr>
        <w:t>, 2002 SCC 85, [2002] 4 S.C.R. 663</w:t>
      </w:r>
      <w:r w:rsidRPr="00453883">
        <w:rPr>
          <w:rFonts w:cs="Times New Roman"/>
          <w:lang w:val="en-US"/>
        </w:rPr>
        <w:t xml:space="preserve">, at para. 28). </w:t>
      </w:r>
    </w:p>
    <w:p w14:paraId="45256693" w14:textId="77777777" w:rsidR="00453883" w:rsidRPr="00453883" w:rsidRDefault="00453883" w:rsidP="00453883">
      <w:pPr>
        <w:pStyle w:val="Title4LevelTitre4Niveau"/>
        <w:numPr>
          <w:ilvl w:val="3"/>
          <w:numId w:val="8"/>
        </w:numPr>
        <w:jc w:val="both"/>
        <w:rPr>
          <w:rFonts w:cs="Times New Roman"/>
          <w:lang w:val="en-US"/>
        </w:rPr>
      </w:pPr>
      <w:r w:rsidRPr="00453883">
        <w:rPr>
          <w:rFonts w:cs="Times New Roman"/>
          <w:lang w:val="en-US"/>
        </w:rPr>
        <w:t>The C.C.Q. Has a Suppletive Role</w:t>
      </w:r>
    </w:p>
    <w:p w14:paraId="46DD0220" w14:textId="77777777" w:rsidR="00453883" w:rsidRPr="00453883" w:rsidRDefault="00453883" w:rsidP="00453883">
      <w:pPr>
        <w:pStyle w:val="ParaNoNdepar-AltN"/>
        <w:rPr>
          <w:rFonts w:cs="Times New Roman"/>
          <w:u w:val="single"/>
          <w:lang w:val="en-US"/>
        </w:rPr>
      </w:pPr>
      <w:r w:rsidRPr="00453883">
        <w:rPr>
          <w:rFonts w:cs="Times New Roman"/>
          <w:lang w:val="en-US"/>
        </w:rPr>
        <w:t xml:space="preserve">Second, as the </w:t>
      </w:r>
      <w:r w:rsidRPr="00453883">
        <w:rPr>
          <w:rFonts w:cs="Times New Roman"/>
          <w:i/>
          <w:lang w:val="en-US"/>
        </w:rPr>
        <w:t>jus commune</w:t>
      </w:r>
      <w:r w:rsidRPr="00453883">
        <w:rPr>
          <w:rFonts w:cs="Times New Roman"/>
          <w:lang w:val="en-US"/>
        </w:rPr>
        <w:t xml:space="preserve">, the </w:t>
      </w:r>
      <w:r w:rsidRPr="00453883">
        <w:rPr>
          <w:rFonts w:cs="Times New Roman"/>
          <w:i/>
          <w:lang w:val="en-US"/>
        </w:rPr>
        <w:t>C.C.Q.</w:t>
      </w:r>
      <w:r w:rsidRPr="00453883">
        <w:rPr>
          <w:rFonts w:cs="Times New Roman"/>
          <w:lang w:val="en-US"/>
        </w:rPr>
        <w:t xml:space="preserve"> “is the foundation of all other laws, although other laws may complement the [</w:t>
      </w:r>
      <w:r w:rsidRPr="00453883">
        <w:rPr>
          <w:rFonts w:cs="Times New Roman"/>
          <w:i/>
          <w:lang w:val="en-US"/>
        </w:rPr>
        <w:t>C.C.Q.</w:t>
      </w:r>
      <w:r w:rsidRPr="00453883">
        <w:rPr>
          <w:rFonts w:cs="Times New Roman"/>
          <w:lang w:val="en-US"/>
        </w:rPr>
        <w:t xml:space="preserve">] or make exceptions to it”. The </w:t>
      </w:r>
      <w:r w:rsidRPr="00453883">
        <w:rPr>
          <w:rFonts w:cs="Times New Roman"/>
          <w:i/>
          <w:lang w:val="en-US"/>
        </w:rPr>
        <w:t>C.C.Q.</w:t>
      </w:r>
      <w:r w:rsidRPr="00453883">
        <w:rPr>
          <w:rFonts w:cs="Times New Roman"/>
          <w:lang w:val="en-US"/>
        </w:rPr>
        <w:t xml:space="preserve"> has a suppletive role and can fill gaps in special statutes to the extent that legislation is silent on a given matter, thus preventing a legal vacuum (</w:t>
      </w:r>
      <w:r w:rsidRPr="00453883">
        <w:rPr>
          <w:rFonts w:cs="Times New Roman"/>
          <w:i/>
        </w:rPr>
        <w:t>Fédération des producteurs</w:t>
      </w:r>
      <w:r w:rsidRPr="00453883">
        <w:rPr>
          <w:rFonts w:cs="Times New Roman"/>
        </w:rPr>
        <w:t xml:space="preserve">, at paras. 10 and 29; see also </w:t>
      </w:r>
      <w:r w:rsidRPr="00453883">
        <w:rPr>
          <w:rFonts w:cs="Times New Roman"/>
          <w:i/>
        </w:rPr>
        <w:t>Doré v. Verdun (City)</w:t>
      </w:r>
      <w:r w:rsidRPr="00453883">
        <w:rPr>
          <w:rFonts w:cs="Times New Roman"/>
        </w:rPr>
        <w:t>, [1997] 2 S.C.R. 862, at para. </w:t>
      </w:r>
      <w:r w:rsidRPr="00453883">
        <w:rPr>
          <w:rFonts w:cs="Times New Roman"/>
          <w:lang w:val="fr-CA"/>
        </w:rPr>
        <w:t xml:space="preserve">18; </w:t>
      </w:r>
      <w:r w:rsidRPr="00453883">
        <w:rPr>
          <w:rFonts w:cs="Times New Roman"/>
          <w:i/>
          <w:lang w:val="fr-CA"/>
        </w:rPr>
        <w:t>Montréal (City) v. Octane Stratégie inc.</w:t>
      </w:r>
      <w:r w:rsidRPr="00453883">
        <w:rPr>
          <w:rFonts w:cs="Times New Roman"/>
          <w:lang w:val="fr-CA"/>
        </w:rPr>
        <w:t xml:space="preserve">, 2019 SCC 57, [2019] 4 S.C.R. 138, at para. 36; A.-F. Bisson, “La Disposition préliminaire du </w:t>
      </w:r>
      <w:r w:rsidRPr="00453883">
        <w:rPr>
          <w:rFonts w:cs="Times New Roman"/>
          <w:i/>
          <w:lang w:val="fr-CA"/>
        </w:rPr>
        <w:t>Code civil du Québec</w:t>
      </w:r>
      <w:r w:rsidRPr="00453883">
        <w:rPr>
          <w:rFonts w:cs="Times New Roman"/>
          <w:lang w:val="fr-CA"/>
        </w:rPr>
        <w:t xml:space="preserve">” (1999), 44 </w:t>
      </w:r>
      <w:r w:rsidRPr="00453883">
        <w:rPr>
          <w:rFonts w:cs="Times New Roman"/>
          <w:i/>
          <w:lang w:val="fr-CA"/>
        </w:rPr>
        <w:t>McGill L.J.</w:t>
      </w:r>
      <w:r w:rsidRPr="00453883">
        <w:rPr>
          <w:rFonts w:cs="Times New Roman"/>
          <w:lang w:val="fr-CA"/>
        </w:rPr>
        <w:t xml:space="preserve"> 539, at p. 558; H. P. Glenn, “La Disposition préliminaire du </w:t>
      </w:r>
      <w:r w:rsidRPr="00453883">
        <w:rPr>
          <w:rFonts w:cs="Times New Roman"/>
          <w:i/>
          <w:lang w:val="fr-CA"/>
        </w:rPr>
        <w:t>Code civil du Québec</w:t>
      </w:r>
      <w:r w:rsidRPr="00453883">
        <w:rPr>
          <w:rFonts w:cs="Times New Roman"/>
          <w:lang w:val="fr-CA"/>
        </w:rPr>
        <w:t xml:space="preserve">, le droit commun et les principes généraux du droit” (2005), 46 </w:t>
      </w:r>
      <w:r w:rsidRPr="00453883">
        <w:rPr>
          <w:rFonts w:cs="Times New Roman"/>
          <w:i/>
          <w:lang w:val="fr-CA"/>
        </w:rPr>
        <w:t>C. de D.</w:t>
      </w:r>
      <w:r w:rsidRPr="00453883">
        <w:rPr>
          <w:rFonts w:cs="Times New Roman"/>
          <w:lang w:val="fr-CA"/>
        </w:rPr>
        <w:t xml:space="preserve"> 339, at p. 349). </w:t>
      </w:r>
      <w:r w:rsidRPr="00453883">
        <w:rPr>
          <w:rFonts w:cs="Times New Roman"/>
          <w:lang w:val="en-US"/>
        </w:rPr>
        <w:t xml:space="preserve">The suppletive nature of the </w:t>
      </w:r>
      <w:r w:rsidRPr="00453883">
        <w:rPr>
          <w:rFonts w:cs="Times New Roman"/>
          <w:i/>
          <w:lang w:val="en-US"/>
        </w:rPr>
        <w:t xml:space="preserve">C.C.Q. </w:t>
      </w:r>
      <w:r w:rsidRPr="00453883">
        <w:rPr>
          <w:rFonts w:cs="Times New Roman"/>
          <w:lang w:val="en-US"/>
        </w:rPr>
        <w:t xml:space="preserve">flows from its foundational character, as confirmed by the preliminary provision. </w:t>
      </w:r>
      <w:r w:rsidRPr="00453883">
        <w:rPr>
          <w:rFonts w:cs="Times New Roman"/>
          <w:lang w:val="fr-CA"/>
        </w:rPr>
        <w:t xml:space="preserve">As elucidated by the Ministère de la Justice, </w:t>
      </w:r>
      <w:r w:rsidRPr="00453883">
        <w:rPr>
          <w:rFonts w:cs="Times New Roman"/>
          <w:i/>
          <w:lang w:val="fr-CA"/>
        </w:rPr>
        <w:t>Commentaires du ministre de la Justice</w:t>
      </w:r>
      <w:r w:rsidRPr="00453883">
        <w:rPr>
          <w:rFonts w:cs="Times New Roman"/>
          <w:lang w:val="fr-CA"/>
        </w:rPr>
        <w:t>,</w:t>
      </w:r>
      <w:r w:rsidRPr="00453883">
        <w:rPr>
          <w:rFonts w:cs="Times New Roman"/>
          <w:i/>
          <w:lang w:val="fr-CA"/>
        </w:rPr>
        <w:t xml:space="preserve"> </w:t>
      </w:r>
      <w:r w:rsidRPr="00453883">
        <w:rPr>
          <w:rFonts w:cs="Times New Roman"/>
          <w:lang w:val="fr-CA"/>
        </w:rPr>
        <w:t>vol. </w:t>
      </w:r>
      <w:r w:rsidRPr="00453883">
        <w:rPr>
          <w:rFonts w:cs="Times New Roman"/>
          <w:lang w:val="en-US"/>
        </w:rPr>
        <w:t xml:space="preserve">I, </w:t>
      </w:r>
      <w:r w:rsidRPr="00453883">
        <w:rPr>
          <w:rFonts w:cs="Times New Roman"/>
          <w:i/>
          <w:lang w:val="en-US"/>
        </w:rPr>
        <w:t>Le Code civil du Québec</w:t>
      </w:r>
      <w:r w:rsidRPr="00453883">
        <w:rPr>
          <w:rFonts w:cs="Times New Roman"/>
          <w:i/>
          <w:iCs/>
          <w:lang w:val="en-US"/>
        </w:rPr>
        <w:t xml:space="preserve"> — Un mouvement de société</w:t>
      </w:r>
      <w:r w:rsidRPr="00453883">
        <w:rPr>
          <w:rFonts w:cs="Times New Roman"/>
          <w:lang w:val="en-US"/>
        </w:rPr>
        <w:t xml:space="preserve"> (1993), at p. 1, one objective of the second paragraph of the preliminary provision </w:t>
      </w:r>
      <w:r w:rsidRPr="00453883">
        <w:rPr>
          <w:rFonts w:cs="Times New Roman"/>
          <w:szCs w:val="24"/>
          <w:lang w:val="en-US"/>
        </w:rPr>
        <w:t>[</w:t>
      </w:r>
      <w:r w:rsidRPr="00453883">
        <w:rPr>
          <w:rFonts w:cs="Times New Roman"/>
          <w:smallCaps/>
          <w:szCs w:val="24"/>
          <w:lang w:val="en-US"/>
        </w:rPr>
        <w:t>translation</w:t>
      </w:r>
      <w:r w:rsidRPr="00453883">
        <w:rPr>
          <w:rFonts w:cs="Times New Roman"/>
          <w:szCs w:val="24"/>
          <w:lang w:val="en-US"/>
        </w:rPr>
        <w:t>]</w:t>
      </w:r>
      <w:r w:rsidRPr="00453883" w:rsidDel="003E198D">
        <w:rPr>
          <w:rFonts w:cs="Times New Roman"/>
          <w:lang w:val="en-US"/>
        </w:rPr>
        <w:t xml:space="preserve"> </w:t>
      </w:r>
      <w:r w:rsidRPr="00453883">
        <w:rPr>
          <w:rFonts w:cs="Times New Roman"/>
          <w:lang w:val="en-US"/>
        </w:rPr>
        <w:t>“</w:t>
      </w:r>
      <w:r w:rsidRPr="00453883">
        <w:rPr>
          <w:rFonts w:cs="Times New Roman"/>
        </w:rPr>
        <w:t>is to promote a dynamic interpretation of the Civil Code and encourage the use of its provisions to interpret and apply other legislation and fill any gaps in that legislation, where it relates to matters or makes use of concepts or institutions that come under the Civil Code.</w:t>
      </w:r>
      <w:r w:rsidRPr="00453883">
        <w:rPr>
          <w:rFonts w:cs="Times New Roman"/>
          <w:lang w:val="en-US"/>
        </w:rPr>
        <w:t>”</w:t>
      </w:r>
    </w:p>
    <w:p w14:paraId="27A74E9B" w14:textId="77777777" w:rsidR="00453883" w:rsidRPr="00453883" w:rsidRDefault="00453883" w:rsidP="00453883">
      <w:pPr>
        <w:pStyle w:val="ParaNoNdepar-AltN"/>
        <w:rPr>
          <w:rFonts w:cs="Times New Roman"/>
          <w:u w:val="single"/>
          <w:lang w:val="en-US"/>
        </w:rPr>
      </w:pPr>
      <w:r w:rsidRPr="00453883">
        <w:rPr>
          <w:rFonts w:cs="Times New Roman"/>
          <w:lang w:val="en-US"/>
        </w:rPr>
        <w:t xml:space="preserve">For example, the </w:t>
      </w:r>
      <w:r w:rsidRPr="00453883">
        <w:rPr>
          <w:rFonts w:cs="Times New Roman"/>
          <w:i/>
          <w:lang w:val="en-US"/>
        </w:rPr>
        <w:t>C.C.Q.</w:t>
      </w:r>
      <w:r w:rsidRPr="00453883">
        <w:rPr>
          <w:rFonts w:cs="Times New Roman"/>
          <w:lang w:val="en-US"/>
        </w:rPr>
        <w:t xml:space="preserve"> plays a suppletive role in the domains of corporate law (</w:t>
      </w:r>
      <w:r w:rsidRPr="00453883">
        <w:rPr>
          <w:rFonts w:cs="Times New Roman"/>
          <w:i/>
          <w:lang w:val="en-US"/>
        </w:rPr>
        <w:t>Peoples Department Stores Inc. (Trustee of) v. Wise</w:t>
      </w:r>
      <w:r w:rsidRPr="00453883">
        <w:rPr>
          <w:rFonts w:cs="Times New Roman"/>
          <w:lang w:val="en-US"/>
        </w:rPr>
        <w:t>, 2004 SCC 68, [2004] 3 S.C.R. 461, at paras. 29 and 54), insolvency law (</w:t>
      </w:r>
      <w:r w:rsidRPr="00453883">
        <w:rPr>
          <w:rFonts w:cs="Times New Roman"/>
          <w:i/>
          <w:lang w:val="en-US"/>
        </w:rPr>
        <w:t>Lefebvre (Trustee of)</w:t>
      </w:r>
      <w:r w:rsidRPr="00453883">
        <w:rPr>
          <w:rFonts w:cs="Times New Roman"/>
          <w:lang w:val="en-US"/>
        </w:rPr>
        <w:t>, 2004 SCC 63, [2004] 3 S.C.R. 326, at para. </w:t>
      </w:r>
      <w:r w:rsidRPr="00453883">
        <w:rPr>
          <w:rFonts w:cs="Times New Roman"/>
          <w:lang w:val="fr-CA"/>
        </w:rPr>
        <w:t>16), and employment law (</w:t>
      </w:r>
      <w:r w:rsidRPr="00453883">
        <w:rPr>
          <w:rFonts w:cs="Times New Roman"/>
          <w:i/>
          <w:lang w:val="fr-CA"/>
        </w:rPr>
        <w:t>Quebec (Commission des normes du travail) v. Asphalte Desjardins inc.</w:t>
      </w:r>
      <w:r w:rsidRPr="00453883">
        <w:rPr>
          <w:rFonts w:cs="Times New Roman"/>
          <w:lang w:val="fr-CA"/>
        </w:rPr>
        <w:t>, 2014 SCC 51, [2014] 2 S.C.R. 514, at paras. </w:t>
      </w:r>
      <w:r w:rsidRPr="00453883">
        <w:rPr>
          <w:rFonts w:cs="Times New Roman"/>
          <w:lang w:val="en-US"/>
        </w:rPr>
        <w:t>28-32), among other areas. Such suppletive rules apply absent a legislative intention to exclude them (J. E. C. Brierley, “Quebec’s ‘Common Laws’ (</w:t>
      </w:r>
      <w:r w:rsidRPr="00453883">
        <w:rPr>
          <w:rFonts w:cs="Times New Roman"/>
          <w:i/>
          <w:lang w:val="en-US"/>
        </w:rPr>
        <w:t>Droits Communs</w:t>
      </w:r>
      <w:r w:rsidRPr="00453883">
        <w:rPr>
          <w:rFonts w:cs="Times New Roman"/>
          <w:lang w:val="en-US"/>
        </w:rPr>
        <w:t xml:space="preserve">): How Many Are There?”, in </w:t>
      </w:r>
      <w:r w:rsidRPr="00453883">
        <w:rPr>
          <w:rFonts w:cs="Times New Roman"/>
        </w:rPr>
        <w:t xml:space="preserve">E. Caparros et al., eds., </w:t>
      </w:r>
      <w:r w:rsidRPr="00453883">
        <w:rPr>
          <w:rFonts w:cs="Times New Roman"/>
          <w:i/>
          <w:lang w:val="en-US"/>
        </w:rPr>
        <w:t>Mélanges Louis</w:t>
      </w:r>
      <w:r w:rsidRPr="00453883">
        <w:rPr>
          <w:rFonts w:cs="Times New Roman"/>
          <w:i/>
          <w:lang w:val="en-US"/>
        </w:rPr>
        <w:noBreakHyphen/>
        <w:t>Philippe Pigeon</w:t>
      </w:r>
      <w:r w:rsidRPr="00453883">
        <w:rPr>
          <w:rFonts w:cs="Times New Roman"/>
          <w:lang w:val="en-US"/>
        </w:rPr>
        <w:t xml:space="preserve"> (1989), 109, at p. 126; R. A. Macdonald, “Encoding </w:t>
      </w:r>
      <w:r w:rsidRPr="00453883">
        <w:rPr>
          <w:rFonts w:cs="Times New Roman"/>
          <w:i/>
          <w:lang w:val="en-US"/>
        </w:rPr>
        <w:t>Canadian</w:t>
      </w:r>
      <w:r w:rsidRPr="00453883">
        <w:rPr>
          <w:rFonts w:cs="Times New Roman"/>
          <w:lang w:val="en-US"/>
        </w:rPr>
        <w:t xml:space="preserve"> Civil Law”, in </w:t>
      </w:r>
      <w:r w:rsidRPr="00453883">
        <w:rPr>
          <w:rFonts w:cs="Times New Roman"/>
          <w:i/>
          <w:lang w:val="en-US"/>
        </w:rPr>
        <w:t>Mélanges Paul-André Crépeau</w:t>
      </w:r>
      <w:r w:rsidRPr="00453883">
        <w:rPr>
          <w:rFonts w:cs="Times New Roman"/>
          <w:lang w:val="en-US"/>
        </w:rPr>
        <w:t xml:space="preserve"> (1997), 579, at pp. 595-96 and 599).</w:t>
      </w:r>
    </w:p>
    <w:p w14:paraId="587F6700" w14:textId="77777777" w:rsidR="00453883" w:rsidRPr="00453883" w:rsidRDefault="00453883" w:rsidP="00453883">
      <w:pPr>
        <w:pStyle w:val="Title4LevelTitre4Niveau"/>
        <w:numPr>
          <w:ilvl w:val="3"/>
          <w:numId w:val="8"/>
        </w:numPr>
        <w:jc w:val="both"/>
        <w:rPr>
          <w:rFonts w:cs="Times New Roman"/>
          <w:lang w:val="en-US"/>
        </w:rPr>
      </w:pPr>
      <w:r w:rsidRPr="00453883">
        <w:rPr>
          <w:rFonts w:cs="Times New Roman"/>
          <w:lang w:val="en-US"/>
        </w:rPr>
        <w:t>All Interpretive Exercises of Laws Governing Persons, Relations Between Persons, and Property Must Begin With the C.C.Q.</w:t>
      </w:r>
    </w:p>
    <w:p w14:paraId="2A9F4AE9" w14:textId="77777777" w:rsidR="00453883" w:rsidRPr="00453883" w:rsidRDefault="00453883" w:rsidP="00453883">
      <w:pPr>
        <w:pStyle w:val="ParaNoNdepar-AltN"/>
        <w:rPr>
          <w:rFonts w:cs="Times New Roman"/>
          <w:u w:val="single"/>
          <w:lang w:val="en-US"/>
        </w:rPr>
      </w:pPr>
      <w:r w:rsidRPr="00453883">
        <w:rPr>
          <w:rFonts w:cs="Times New Roman"/>
          <w:lang w:val="en-US"/>
        </w:rPr>
        <w:t xml:space="preserve">Third, as the </w:t>
      </w:r>
      <w:r w:rsidRPr="00453883">
        <w:rPr>
          <w:rFonts w:cs="Times New Roman"/>
          <w:i/>
          <w:lang w:val="en-US"/>
        </w:rPr>
        <w:t>jus commune</w:t>
      </w:r>
      <w:r w:rsidRPr="00453883">
        <w:rPr>
          <w:rFonts w:cs="Times New Roman"/>
          <w:lang w:val="en-US"/>
        </w:rPr>
        <w:t xml:space="preserve"> and the foundation of all other Quebec laws, the </w:t>
      </w:r>
      <w:r w:rsidRPr="00453883">
        <w:rPr>
          <w:rFonts w:cs="Times New Roman"/>
          <w:i/>
          <w:lang w:val="en-US"/>
        </w:rPr>
        <w:t>C.C.Q.</w:t>
      </w:r>
      <w:r w:rsidRPr="00453883">
        <w:rPr>
          <w:rFonts w:cs="Times New Roman"/>
          <w:lang w:val="en-US"/>
        </w:rPr>
        <w:t xml:space="preserve"> is the primary source of </w:t>
      </w:r>
      <w:r w:rsidRPr="00453883">
        <w:rPr>
          <w:rFonts w:cs="Times New Roman"/>
        </w:rPr>
        <w:t>Quebec civil law and serves as the starting point in any interpretive exercise involving a special statute</w:t>
      </w:r>
      <w:r w:rsidRPr="00453883">
        <w:rPr>
          <w:rFonts w:cs="Times New Roman"/>
          <w:lang w:val="en-US"/>
        </w:rPr>
        <w:t xml:space="preserve"> in matters </w:t>
      </w:r>
      <w:r w:rsidRPr="00453883">
        <w:rPr>
          <w:rStyle w:val="ui-provider"/>
          <w:rFonts w:cs="Times New Roman"/>
        </w:rPr>
        <w:t xml:space="preserve">within the letter, spirit, or object of the </w:t>
      </w:r>
      <w:r w:rsidRPr="00AF6C9B">
        <w:rPr>
          <w:rStyle w:val="ui-provider"/>
          <w:rFonts w:cs="Times New Roman"/>
          <w:i/>
        </w:rPr>
        <w:t>C.C.Q.</w:t>
      </w:r>
      <w:r w:rsidRPr="00453883">
        <w:rPr>
          <w:rStyle w:val="ui-provider"/>
          <w:rFonts w:cs="Times New Roman"/>
        </w:rPr>
        <w:t>’s provisions</w:t>
      </w:r>
      <w:r w:rsidRPr="00453883">
        <w:rPr>
          <w:rFonts w:cs="Times New Roman"/>
        </w:rPr>
        <w:t xml:space="preserve">. The preliminary provision of the </w:t>
      </w:r>
      <w:r w:rsidRPr="00453883">
        <w:rPr>
          <w:rFonts w:cs="Times New Roman"/>
          <w:i/>
        </w:rPr>
        <w:t>C.C.Q.</w:t>
      </w:r>
      <w:r w:rsidRPr="00453883">
        <w:rPr>
          <w:rFonts w:cs="Times New Roman"/>
        </w:rPr>
        <w:t xml:space="preserve"> established “the new position assigned to the </w:t>
      </w:r>
      <w:r w:rsidRPr="00453883">
        <w:rPr>
          <w:rFonts w:cs="Times New Roman"/>
          <w:i/>
        </w:rPr>
        <w:t>Civil Code</w:t>
      </w:r>
      <w:r w:rsidRPr="00453883">
        <w:rPr>
          <w:rFonts w:cs="Times New Roman"/>
        </w:rPr>
        <w:t xml:space="preserve"> in the hierarchy of the sources of law in matters within the legislative jurisdiction of the Quebec National Assembly” (</w:t>
      </w:r>
      <w:r w:rsidRPr="00453883">
        <w:rPr>
          <w:rFonts w:cs="Times New Roman"/>
          <w:i/>
        </w:rPr>
        <w:t>Finney</w:t>
      </w:r>
      <w:r w:rsidRPr="00453883">
        <w:rPr>
          <w:rFonts w:cs="Times New Roman"/>
        </w:rPr>
        <w:t>, at para. </w:t>
      </w:r>
      <w:r w:rsidRPr="00453883">
        <w:rPr>
          <w:rFonts w:cs="Times New Roman"/>
          <w:lang w:val="en-US"/>
        </w:rPr>
        <w:t xml:space="preserve">26; see also D. Lemieux, “The Role of the </w:t>
      </w:r>
      <w:r w:rsidRPr="00453883">
        <w:rPr>
          <w:rFonts w:cs="Times New Roman"/>
          <w:i/>
          <w:lang w:val="en-US"/>
        </w:rPr>
        <w:t>Civil Code of Québec</w:t>
      </w:r>
      <w:r w:rsidRPr="00453883">
        <w:rPr>
          <w:rFonts w:cs="Times New Roman"/>
          <w:lang w:val="en-US"/>
        </w:rPr>
        <w:t xml:space="preserve"> in Administrative Law” (2005), 18 </w:t>
      </w:r>
      <w:r w:rsidRPr="00453883">
        <w:rPr>
          <w:rFonts w:cs="Times New Roman"/>
          <w:i/>
          <w:lang w:val="en-US"/>
        </w:rPr>
        <w:t>C.J.A.L.P.</w:t>
      </w:r>
      <w:r w:rsidRPr="00453883">
        <w:rPr>
          <w:rFonts w:cs="Times New Roman"/>
          <w:lang w:val="en-US"/>
        </w:rPr>
        <w:t xml:space="preserve"> 143, at p. 147; </w:t>
      </w:r>
      <w:r w:rsidRPr="00453883">
        <w:rPr>
          <w:rFonts w:cs="Times New Roman"/>
          <w:i/>
          <w:lang w:val="en-US"/>
        </w:rPr>
        <w:t>Commentaires du ministre de la Justice</w:t>
      </w:r>
      <w:r w:rsidRPr="00453883">
        <w:rPr>
          <w:rFonts w:cs="Times New Roman"/>
          <w:lang w:val="en-US"/>
        </w:rPr>
        <w:t>, vol. I, at p. 1 (</w:t>
      </w:r>
      <w:r w:rsidRPr="00453883">
        <w:rPr>
          <w:rFonts w:cs="Times New Roman"/>
          <w:szCs w:val="24"/>
          <w:lang w:val="en-US"/>
        </w:rPr>
        <w:t>[</w:t>
      </w:r>
      <w:r w:rsidRPr="00453883">
        <w:rPr>
          <w:rFonts w:cs="Times New Roman"/>
          <w:smallCaps/>
          <w:szCs w:val="24"/>
          <w:lang w:val="en-US"/>
        </w:rPr>
        <w:t>translation</w:t>
      </w:r>
      <w:r w:rsidRPr="00453883">
        <w:rPr>
          <w:rFonts w:cs="Times New Roman"/>
          <w:szCs w:val="24"/>
          <w:lang w:val="en-US"/>
        </w:rPr>
        <w:t xml:space="preserve">] </w:t>
      </w:r>
      <w:r w:rsidRPr="00453883">
        <w:rPr>
          <w:rFonts w:cs="Times New Roman"/>
          <w:lang w:val="en-US"/>
        </w:rPr>
        <w:t>“</w:t>
      </w:r>
      <w:r w:rsidRPr="00453883">
        <w:rPr>
          <w:rFonts w:cs="Times New Roman"/>
        </w:rPr>
        <w:t>its privileged position in our legislative system as a whole</w:t>
      </w:r>
      <w:r w:rsidRPr="00453883">
        <w:rPr>
          <w:rFonts w:cs="Times New Roman"/>
          <w:lang w:val="en-US"/>
        </w:rPr>
        <w:t>”)).</w:t>
      </w:r>
    </w:p>
    <w:p w14:paraId="3C09934D" w14:textId="77777777" w:rsidR="00453883" w:rsidRPr="00453883" w:rsidRDefault="00453883" w:rsidP="00453883">
      <w:pPr>
        <w:pStyle w:val="ParaNoNdepar-AltN"/>
        <w:rPr>
          <w:rFonts w:cs="Times New Roman"/>
          <w:u w:val="single"/>
          <w:lang w:val="en-US"/>
        </w:rPr>
      </w:pPr>
      <w:r w:rsidRPr="00453883">
        <w:rPr>
          <w:rFonts w:cs="Times New Roman"/>
        </w:rPr>
        <w:t xml:space="preserve">Writing on the </w:t>
      </w:r>
      <w:r w:rsidRPr="00453883">
        <w:rPr>
          <w:rFonts w:cs="Times New Roman"/>
          <w:i/>
        </w:rPr>
        <w:t>Civil Code of Lower Canada</w:t>
      </w:r>
      <w:r w:rsidRPr="00453883">
        <w:rPr>
          <w:rFonts w:cs="Times New Roman"/>
        </w:rPr>
        <w:t>, Professors John E. C. Brierley and Roderick A. Macdonald have observed that, “[f]rom the dual perspective of the actual operation of the Code as a living structure of written legal rules and of its own underlying logic, the Code is intellectually pre</w:t>
      </w:r>
      <w:r w:rsidRPr="00453883">
        <w:rPr>
          <w:rFonts w:cs="Times New Roman"/>
        </w:rPr>
        <w:noBreakHyphen/>
        <w:t>eminent” (</w:t>
      </w:r>
      <w:r w:rsidRPr="00453883">
        <w:rPr>
          <w:rFonts w:cs="Times New Roman"/>
          <w:i/>
        </w:rPr>
        <w:t xml:space="preserve">Quebec Civil Law: An Introduction to Quebec Private Law </w:t>
      </w:r>
      <w:r w:rsidRPr="00453883">
        <w:rPr>
          <w:rFonts w:cs="Times New Roman"/>
        </w:rPr>
        <w:t xml:space="preserve">(1993), at pp. 134-35). They add that “[b]y virtue of its vocation to state the general law, [the Code] claims the centre ground of the Civil law. By virtue of its being written, it provides a textual referent by which or through which all other sources of law are understood to pass” (p. 135). Given this primacy, “other sources (including other legislative sources such as statutes) are viewed as vehicles of interpretation, and all interpretive exercises must necessarily begin with the Code” (p. 135). </w:t>
      </w:r>
    </w:p>
    <w:p w14:paraId="5664D5D3" w14:textId="77777777" w:rsidR="00453883" w:rsidRPr="00453883" w:rsidRDefault="00453883" w:rsidP="00453883">
      <w:pPr>
        <w:pStyle w:val="ParaNoNdepar-AltN"/>
        <w:rPr>
          <w:rFonts w:cs="Times New Roman"/>
          <w:u w:val="single"/>
          <w:lang w:val="en-US"/>
        </w:rPr>
      </w:pPr>
      <w:r w:rsidRPr="00453883">
        <w:rPr>
          <w:rFonts w:cs="Times New Roman"/>
          <w:lang w:val="en-US"/>
        </w:rPr>
        <w:t xml:space="preserve">This Court has regularly applied this methodology. For example, in </w:t>
      </w:r>
      <w:r w:rsidRPr="00453883">
        <w:rPr>
          <w:rFonts w:cs="Times New Roman"/>
          <w:i/>
          <w:lang w:val="en-US"/>
        </w:rPr>
        <w:t>Finney</w:t>
      </w:r>
      <w:r w:rsidRPr="00453883">
        <w:rPr>
          <w:rFonts w:cs="Times New Roman"/>
          <w:lang w:val="en-US"/>
        </w:rPr>
        <w:t xml:space="preserve">, this Court explained that “examination of the liability of governments begins with the application of the rules of liability established by the </w:t>
      </w:r>
      <w:r w:rsidRPr="00453883">
        <w:rPr>
          <w:rFonts w:cs="Times New Roman"/>
          <w:i/>
          <w:lang w:val="en-US"/>
        </w:rPr>
        <w:t>Civil Code of Québec</w:t>
      </w:r>
      <w:r w:rsidRPr="00453883">
        <w:rPr>
          <w:rFonts w:cs="Times New Roman"/>
          <w:lang w:val="en-US"/>
        </w:rPr>
        <w:t xml:space="preserve">” (para. 27). In </w:t>
      </w:r>
      <w:r w:rsidRPr="00453883">
        <w:rPr>
          <w:rFonts w:cs="Times New Roman"/>
          <w:i/>
          <w:lang w:val="en-US"/>
        </w:rPr>
        <w:t>Gilles E. Néron Communication Marketing</w:t>
      </w:r>
      <w:r w:rsidRPr="00453883">
        <w:rPr>
          <w:rFonts w:cs="Times New Roman"/>
          <w:lang w:val="en-US"/>
        </w:rPr>
        <w:t xml:space="preserve">, this Court indicated that </w:t>
      </w:r>
      <w:r w:rsidRPr="00453883">
        <w:rPr>
          <w:rFonts w:cs="Times New Roman"/>
        </w:rPr>
        <w:t xml:space="preserve">under the Quebec law of civil liability for defamation, “[t]he starting point is not the common law but the </w:t>
      </w:r>
      <w:r w:rsidRPr="00453883">
        <w:rPr>
          <w:rFonts w:cs="Times New Roman"/>
          <w:i/>
        </w:rPr>
        <w:t>Civil Code of Québec</w:t>
      </w:r>
      <w:r w:rsidRPr="00453883">
        <w:rPr>
          <w:rFonts w:cs="Times New Roman"/>
        </w:rPr>
        <w:t xml:space="preserve">, which is the basic general law in Quebec, as provided for in the preliminary provision of the </w:t>
      </w:r>
      <w:r w:rsidRPr="00453883">
        <w:rPr>
          <w:rFonts w:cs="Times New Roman"/>
          <w:i/>
        </w:rPr>
        <w:t>Civil Code</w:t>
      </w:r>
      <w:r w:rsidRPr="00453883">
        <w:rPr>
          <w:rFonts w:cs="Times New Roman"/>
        </w:rPr>
        <w:t xml:space="preserve">” (para. 56). </w:t>
      </w:r>
      <w:r w:rsidRPr="00453883">
        <w:rPr>
          <w:rFonts w:cs="Times New Roman"/>
          <w:lang w:val="en-US"/>
        </w:rPr>
        <w:t xml:space="preserve">Similarly, Professor Macdonald has explained that “a civil code ordains the modes of legal analysis and interpretation” (p. 599). For his part, Professor Brierley has observed that “[t]he Civil Code </w:t>
      </w:r>
      <w:proofErr w:type="gramStart"/>
      <w:r w:rsidRPr="00453883">
        <w:rPr>
          <w:rFonts w:cs="Times New Roman"/>
          <w:lang w:val="en-US"/>
        </w:rPr>
        <w:t>is .</w:t>
      </w:r>
      <w:proofErr w:type="gramEnd"/>
      <w:r w:rsidRPr="00453883">
        <w:rPr>
          <w:rFonts w:cs="Times New Roman"/>
          <w:lang w:val="en-US"/>
        </w:rPr>
        <w:t xml:space="preserve"> . . </w:t>
      </w:r>
      <w:r w:rsidRPr="00453883">
        <w:rPr>
          <w:rFonts w:cs="Times New Roman"/>
          <w:i/>
          <w:lang w:val="en-US"/>
        </w:rPr>
        <w:t>droit commun</w:t>
      </w:r>
      <w:r w:rsidRPr="00453883">
        <w:rPr>
          <w:rFonts w:cs="Times New Roman"/>
          <w:lang w:val="en-US"/>
        </w:rPr>
        <w:t xml:space="preserve"> in relation to other enactment[s] because it is the fundamental reference point from which such other legislation proceeds” (p. 123).</w:t>
      </w:r>
    </w:p>
    <w:p w14:paraId="756BEC38" w14:textId="77777777" w:rsidR="00453883" w:rsidRPr="00453883" w:rsidRDefault="00453883" w:rsidP="00453883">
      <w:pPr>
        <w:pStyle w:val="Title4LevelTitre4Niveau"/>
        <w:numPr>
          <w:ilvl w:val="3"/>
          <w:numId w:val="8"/>
        </w:numPr>
        <w:jc w:val="both"/>
        <w:rPr>
          <w:rFonts w:cs="Times New Roman"/>
        </w:rPr>
      </w:pPr>
      <w:r w:rsidRPr="00453883">
        <w:rPr>
          <w:rFonts w:cs="Times New Roman"/>
        </w:rPr>
        <w:t>The Preliminary Provision of the C.C.Q. Has Normative Force</w:t>
      </w:r>
    </w:p>
    <w:p w14:paraId="4852281D" w14:textId="77777777" w:rsidR="00453883" w:rsidRPr="00453883" w:rsidRDefault="00453883" w:rsidP="00453883">
      <w:pPr>
        <w:pStyle w:val="ParaNoNdepar-AltN"/>
        <w:rPr>
          <w:rFonts w:cs="Times New Roman"/>
        </w:rPr>
      </w:pPr>
      <w:r w:rsidRPr="00453883">
        <w:rPr>
          <w:rFonts w:cs="Times New Roman"/>
          <w:lang w:val="en-US"/>
        </w:rPr>
        <w:t xml:space="preserve">Fourth, given that the preliminary provision establishes the hierarchy of sources in Quebec civil law and the </w:t>
      </w:r>
      <w:r w:rsidRPr="00453883">
        <w:rPr>
          <w:rFonts w:cs="Times New Roman"/>
          <w:i/>
          <w:lang w:val="en-US"/>
        </w:rPr>
        <w:t>C.C.Q.</w:t>
      </w:r>
      <w:r w:rsidRPr="00453883">
        <w:rPr>
          <w:rFonts w:cs="Times New Roman"/>
          <w:lang w:val="en-US"/>
        </w:rPr>
        <w:t xml:space="preserve"> has a suppletive role, the </w:t>
      </w:r>
      <w:r w:rsidRPr="00453883">
        <w:rPr>
          <w:rFonts w:cs="Times New Roman"/>
        </w:rPr>
        <w:t>preliminary provision has normative force of law (</w:t>
      </w:r>
      <w:r w:rsidRPr="00453883">
        <w:rPr>
          <w:rFonts w:cs="Times New Roman"/>
          <w:i/>
        </w:rPr>
        <w:t>Prud’homme</w:t>
      </w:r>
      <w:r w:rsidRPr="00453883">
        <w:rPr>
          <w:rFonts w:cs="Times New Roman"/>
        </w:rPr>
        <w:t xml:space="preserve">, at para. 30, citing </w:t>
      </w:r>
      <w:r w:rsidRPr="00453883">
        <w:rPr>
          <w:rFonts w:cs="Times New Roman"/>
          <w:i/>
        </w:rPr>
        <w:t>Doré</w:t>
      </w:r>
      <w:r w:rsidRPr="00453883">
        <w:rPr>
          <w:rFonts w:cs="Times New Roman"/>
        </w:rPr>
        <w:t xml:space="preserve">). It is not a mere preamble; rather, it has the force of law of an enactment and establishes the </w:t>
      </w:r>
      <w:r w:rsidRPr="00453883">
        <w:rPr>
          <w:rFonts w:cs="Times New Roman"/>
          <w:i/>
        </w:rPr>
        <w:t>C.C.Q.</w:t>
      </w:r>
      <w:r w:rsidRPr="00453883">
        <w:rPr>
          <w:rFonts w:cs="Times New Roman"/>
        </w:rPr>
        <w:t>’s foundational role in Quebec civil law (Bisson, at p. 552; Lemieux (2005), at p. 147).</w:t>
      </w:r>
    </w:p>
    <w:p w14:paraId="12D9BF79" w14:textId="77777777" w:rsidR="00453883" w:rsidRPr="00453883" w:rsidRDefault="00453883" w:rsidP="00453883">
      <w:pPr>
        <w:pStyle w:val="Title3LevelTitre3Niveau"/>
        <w:numPr>
          <w:ilvl w:val="2"/>
          <w:numId w:val="8"/>
        </w:numPr>
        <w:jc w:val="both"/>
        <w:rPr>
          <w:rFonts w:cs="Times New Roman"/>
          <w:i/>
        </w:rPr>
      </w:pPr>
      <w:r w:rsidRPr="00453883">
        <w:rPr>
          <w:rFonts w:cs="Times New Roman"/>
        </w:rPr>
        <w:t xml:space="preserve">Special Laws May Complement or Derogate From the </w:t>
      </w:r>
      <w:r w:rsidRPr="00453883">
        <w:rPr>
          <w:rFonts w:cs="Times New Roman"/>
          <w:i/>
        </w:rPr>
        <w:t>C.C.Q.</w:t>
      </w:r>
    </w:p>
    <w:p w14:paraId="46933DC1" w14:textId="77777777" w:rsidR="00453883" w:rsidRPr="00453883" w:rsidRDefault="00453883" w:rsidP="00453883">
      <w:pPr>
        <w:pStyle w:val="ParaNoNdepar-AltN"/>
        <w:rPr>
          <w:rFonts w:cs="Times New Roman"/>
          <w:lang w:val="en-US"/>
        </w:rPr>
      </w:pPr>
      <w:r w:rsidRPr="00453883">
        <w:rPr>
          <w:rFonts w:cs="Times New Roman"/>
        </w:rPr>
        <w:t xml:space="preserve">The preliminary provision of the </w:t>
      </w:r>
      <w:r w:rsidRPr="00453883">
        <w:rPr>
          <w:rFonts w:cs="Times New Roman"/>
          <w:i/>
        </w:rPr>
        <w:t>C.C.Q.</w:t>
      </w:r>
      <w:r w:rsidRPr="00453883">
        <w:rPr>
          <w:rFonts w:cs="Times New Roman"/>
        </w:rPr>
        <w:t xml:space="preserve"> states that other laws “may complement the [</w:t>
      </w:r>
      <w:r w:rsidRPr="00453883">
        <w:rPr>
          <w:rFonts w:cs="Times New Roman"/>
          <w:i/>
        </w:rPr>
        <w:t>C.C.Q.</w:t>
      </w:r>
      <w:r w:rsidRPr="00453883">
        <w:rPr>
          <w:rFonts w:cs="Times New Roman"/>
        </w:rPr>
        <w:t xml:space="preserve">] or make exceptions to it”. It is sometimes difficult to distinguish between special laws that </w:t>
      </w:r>
      <w:r w:rsidRPr="00453883">
        <w:rPr>
          <w:rFonts w:cs="Times New Roman"/>
          <w:i/>
        </w:rPr>
        <w:t>complement</w:t>
      </w:r>
      <w:r w:rsidRPr="00453883">
        <w:rPr>
          <w:rFonts w:cs="Times New Roman"/>
        </w:rPr>
        <w:t xml:space="preserve"> the </w:t>
      </w:r>
      <w:r w:rsidRPr="00453883">
        <w:rPr>
          <w:rFonts w:cs="Times New Roman"/>
          <w:i/>
        </w:rPr>
        <w:t>C.C.Q.</w:t>
      </w:r>
      <w:r w:rsidRPr="00453883">
        <w:rPr>
          <w:rFonts w:cs="Times New Roman"/>
        </w:rPr>
        <w:t xml:space="preserve"> and those that </w:t>
      </w:r>
      <w:r w:rsidRPr="00453883">
        <w:rPr>
          <w:rFonts w:cs="Times New Roman"/>
          <w:i/>
        </w:rPr>
        <w:t>derogate</w:t>
      </w:r>
      <w:r w:rsidRPr="00453883">
        <w:rPr>
          <w:rFonts w:cs="Times New Roman"/>
        </w:rPr>
        <w:t xml:space="preserve"> from or make exceptions to it (C. </w:t>
      </w:r>
      <w:r w:rsidRPr="00453883">
        <w:rPr>
          <w:rFonts w:cs="Times New Roman"/>
          <w:lang w:val="en-US"/>
        </w:rPr>
        <w:t xml:space="preserve">Lemieux, “Éléments d’interprétation en droit civil” (1994), 24 </w:t>
      </w:r>
      <w:r w:rsidRPr="00453883">
        <w:rPr>
          <w:rFonts w:cs="Times New Roman"/>
          <w:i/>
          <w:lang w:val="en-US"/>
        </w:rPr>
        <w:t>R.D.U.S.</w:t>
      </w:r>
      <w:r w:rsidRPr="00453883">
        <w:rPr>
          <w:rFonts w:cs="Times New Roman"/>
          <w:lang w:val="en-US"/>
        </w:rPr>
        <w:t xml:space="preserve"> 221, at p. 234). </w:t>
      </w:r>
    </w:p>
    <w:p w14:paraId="19B4E2D1" w14:textId="77777777" w:rsidR="00453883" w:rsidRPr="00453883" w:rsidRDefault="00453883" w:rsidP="00453883">
      <w:pPr>
        <w:pStyle w:val="ParaNoNdepar-AltN"/>
        <w:rPr>
          <w:rFonts w:cs="Times New Roman"/>
          <w:lang w:val="en-US"/>
        </w:rPr>
      </w:pPr>
      <w:r w:rsidRPr="00453883">
        <w:rPr>
          <w:rFonts w:cs="Times New Roman"/>
          <w:lang w:val="en-US"/>
        </w:rPr>
        <w:t xml:space="preserve">As Professors Pierre-André Côté and Mathieu Devinat have noted, this </w:t>
      </w:r>
      <w:r w:rsidRPr="00453883">
        <w:rPr>
          <w:rFonts w:cs="Times New Roman"/>
        </w:rPr>
        <w:t xml:space="preserve">Court has recognized many examples in which the </w:t>
      </w:r>
      <w:r w:rsidRPr="00453883">
        <w:rPr>
          <w:rFonts w:cs="Times New Roman"/>
          <w:i/>
        </w:rPr>
        <w:t>C.C.Q.</w:t>
      </w:r>
      <w:r w:rsidRPr="00453883">
        <w:rPr>
          <w:rFonts w:cs="Times New Roman"/>
        </w:rPr>
        <w:t xml:space="preserve"> </w:t>
      </w:r>
      <w:r w:rsidRPr="00453883">
        <w:rPr>
          <w:rFonts w:cs="Times New Roman"/>
          <w:i/>
        </w:rPr>
        <w:t>complements</w:t>
      </w:r>
      <w:r w:rsidRPr="00453883">
        <w:rPr>
          <w:rFonts w:cs="Times New Roman"/>
        </w:rPr>
        <w:t xml:space="preserve"> the legal regimes established by special statutes, such as by providing rules on prescription (</w:t>
      </w:r>
      <w:r w:rsidRPr="00453883">
        <w:rPr>
          <w:rFonts w:cs="Times New Roman"/>
          <w:i/>
        </w:rPr>
        <w:t>Doré</w:t>
      </w:r>
      <w:r w:rsidRPr="00453883">
        <w:rPr>
          <w:rFonts w:cs="Times New Roman"/>
        </w:rPr>
        <w:t xml:space="preserve">, at paras. 18 and 20); civil liability based on a breach of the Quebec </w:t>
      </w:r>
      <w:r w:rsidRPr="00453883">
        <w:rPr>
          <w:rFonts w:cs="Times New Roman"/>
          <w:i/>
        </w:rPr>
        <w:t>Charter of human rights and freedoms</w:t>
      </w:r>
      <w:r w:rsidRPr="00453883">
        <w:rPr>
          <w:rFonts w:cs="Times New Roman"/>
        </w:rPr>
        <w:t>, CQLR, c. C-12 (</w:t>
      </w:r>
      <w:r w:rsidRPr="00453883">
        <w:rPr>
          <w:rFonts w:cs="Times New Roman"/>
          <w:i/>
        </w:rPr>
        <w:t>Béliveau St-Jacques v. Fédération des employées et employés de services publics inc.</w:t>
      </w:r>
      <w:r w:rsidRPr="00453883">
        <w:rPr>
          <w:rFonts w:cs="Times New Roman"/>
        </w:rPr>
        <w:t>, [1996] 2 S.C.R. 345, at pp. 403-6); and evidence (</w:t>
      </w:r>
      <w:r w:rsidRPr="00453883">
        <w:rPr>
          <w:rFonts w:cs="Times New Roman"/>
          <w:i/>
        </w:rPr>
        <w:t>Quebec (Public Curator) v. Syndicat national des employés de l’hôpital St-Ferdinand</w:t>
      </w:r>
      <w:r w:rsidRPr="00453883">
        <w:rPr>
          <w:rFonts w:cs="Times New Roman"/>
        </w:rPr>
        <w:t xml:space="preserve">, [1996] 3 S.C.R. 211, at pp. 228-29) (see P.-A. Côté and M. Devinat, </w:t>
      </w:r>
      <w:r w:rsidRPr="00453883">
        <w:rPr>
          <w:rFonts w:cs="Times New Roman"/>
          <w:i/>
        </w:rPr>
        <w:t xml:space="preserve">Interprétation des </w:t>
      </w:r>
      <w:proofErr w:type="gramStart"/>
      <w:r w:rsidRPr="00453883">
        <w:rPr>
          <w:rFonts w:cs="Times New Roman"/>
          <w:i/>
        </w:rPr>
        <w:t>lois</w:t>
      </w:r>
      <w:proofErr w:type="gramEnd"/>
      <w:r w:rsidRPr="00453883">
        <w:rPr>
          <w:rFonts w:cs="Times New Roman"/>
        </w:rPr>
        <w:t xml:space="preserve"> (5th ed. 2021), at p. 388, fn. 256). </w:t>
      </w:r>
      <w:r w:rsidRPr="00453883">
        <w:rPr>
          <w:rFonts w:cs="Times New Roman"/>
          <w:lang w:val="en-US"/>
        </w:rPr>
        <w:t xml:space="preserve">In such cases, the </w:t>
      </w:r>
      <w:r w:rsidRPr="00453883">
        <w:rPr>
          <w:rFonts w:cs="Times New Roman"/>
          <w:i/>
          <w:lang w:val="en-US"/>
        </w:rPr>
        <w:t>C.C.Q.</w:t>
      </w:r>
      <w:r w:rsidRPr="00453883">
        <w:rPr>
          <w:rFonts w:cs="Times New Roman"/>
          <w:lang w:val="en-US"/>
        </w:rPr>
        <w:t xml:space="preserve"> </w:t>
      </w:r>
      <w:r w:rsidRPr="00453883">
        <w:rPr>
          <w:rFonts w:cs="Times New Roman"/>
          <w:szCs w:val="24"/>
          <w:lang w:val="en-US"/>
        </w:rPr>
        <w:t>[</w:t>
      </w:r>
      <w:r w:rsidRPr="00453883">
        <w:rPr>
          <w:rFonts w:cs="Times New Roman"/>
          <w:smallCaps/>
          <w:szCs w:val="24"/>
          <w:lang w:val="en-US"/>
        </w:rPr>
        <w:t>translation</w:t>
      </w:r>
      <w:r w:rsidRPr="00453883">
        <w:rPr>
          <w:rFonts w:cs="Times New Roman"/>
          <w:szCs w:val="24"/>
          <w:lang w:val="en-US"/>
        </w:rPr>
        <w:t xml:space="preserve">] </w:t>
      </w:r>
      <w:r w:rsidRPr="00453883">
        <w:rPr>
          <w:rFonts w:cs="Times New Roman"/>
          <w:lang w:val="en-US"/>
        </w:rPr>
        <w:t>“</w:t>
      </w:r>
      <w:r w:rsidRPr="00453883">
        <w:rPr>
          <w:rFonts w:cs="Times New Roman"/>
        </w:rPr>
        <w:t>is not only a conceptual reservoir for special statutes, but also their normative complement</w:t>
      </w:r>
      <w:r w:rsidRPr="00453883">
        <w:rPr>
          <w:rFonts w:cs="Times New Roman"/>
          <w:lang w:val="en-US"/>
        </w:rPr>
        <w:t>” (Côté and Devinat, at p. 388).</w:t>
      </w:r>
    </w:p>
    <w:p w14:paraId="4B6E2D43" w14:textId="77777777" w:rsidR="00453883" w:rsidRPr="00453883" w:rsidRDefault="00453883" w:rsidP="00453883">
      <w:pPr>
        <w:pStyle w:val="ParaNoNdepar-AltN"/>
        <w:rPr>
          <w:rFonts w:cs="Times New Roman"/>
          <w:lang w:val="en-US"/>
        </w:rPr>
      </w:pPr>
      <w:r w:rsidRPr="00453883">
        <w:rPr>
          <w:rFonts w:cs="Times New Roman"/>
        </w:rPr>
        <w:t xml:space="preserve">In addition, a special statute may </w:t>
      </w:r>
      <w:r w:rsidRPr="00453883">
        <w:rPr>
          <w:rFonts w:cs="Times New Roman"/>
          <w:i/>
        </w:rPr>
        <w:t>derogate</w:t>
      </w:r>
      <w:r w:rsidRPr="00453883">
        <w:rPr>
          <w:rFonts w:cs="Times New Roman"/>
        </w:rPr>
        <w:t xml:space="preserve"> from the </w:t>
      </w:r>
      <w:r w:rsidRPr="00453883">
        <w:rPr>
          <w:rFonts w:cs="Times New Roman"/>
          <w:i/>
        </w:rPr>
        <w:t>C.C.Q.</w:t>
      </w:r>
      <w:r w:rsidRPr="00453883">
        <w:rPr>
          <w:rFonts w:cs="Times New Roman"/>
        </w:rPr>
        <w:t xml:space="preserve">, either expressly or by implication (see </w:t>
      </w:r>
      <w:r w:rsidRPr="00453883">
        <w:rPr>
          <w:rFonts w:cs="Times New Roman"/>
          <w:i/>
        </w:rPr>
        <w:t>Octane</w:t>
      </w:r>
      <w:r w:rsidRPr="00453883">
        <w:rPr>
          <w:rFonts w:cs="Times New Roman"/>
        </w:rPr>
        <w:t xml:space="preserve">, at para. 39; Brierley, at p. 125). The </w:t>
      </w:r>
      <w:r w:rsidRPr="00453883">
        <w:rPr>
          <w:rFonts w:cs="Times New Roman"/>
          <w:i/>
        </w:rPr>
        <w:t>C.C.Q.</w:t>
      </w:r>
      <w:r w:rsidRPr="00453883">
        <w:rPr>
          <w:rFonts w:cs="Times New Roman"/>
        </w:rPr>
        <w:t xml:space="preserve"> will apply as suppletive law unless special legislation clearly derogates from it (Lemieux (2005), at p. 148). </w:t>
      </w:r>
      <w:r w:rsidRPr="00453883">
        <w:rPr>
          <w:rFonts w:cs="Times New Roman"/>
          <w:lang w:val="en-US"/>
        </w:rPr>
        <w:t xml:space="preserve">This reflects </w:t>
      </w:r>
      <w:r w:rsidRPr="00453883">
        <w:rPr>
          <w:rFonts w:cs="Times New Roman"/>
          <w:szCs w:val="24"/>
          <w:lang w:val="en-US"/>
        </w:rPr>
        <w:t>[</w:t>
      </w:r>
      <w:r w:rsidRPr="00453883">
        <w:rPr>
          <w:rFonts w:cs="Times New Roman"/>
          <w:smallCaps/>
          <w:szCs w:val="24"/>
          <w:lang w:val="en-US"/>
        </w:rPr>
        <w:t>translation</w:t>
      </w:r>
      <w:r w:rsidRPr="00453883">
        <w:rPr>
          <w:rFonts w:cs="Times New Roman"/>
          <w:szCs w:val="24"/>
          <w:lang w:val="en-US"/>
        </w:rPr>
        <w:t xml:space="preserve">] </w:t>
      </w:r>
      <w:r w:rsidRPr="00453883">
        <w:rPr>
          <w:rFonts w:cs="Times New Roman"/>
          <w:lang w:val="en-US"/>
        </w:rPr>
        <w:t>“</w:t>
      </w:r>
      <w:r w:rsidRPr="00453883">
        <w:rPr>
          <w:rFonts w:cs="Times New Roman"/>
        </w:rPr>
        <w:t>a general principle of predominance of special legislation</w:t>
      </w:r>
      <w:r w:rsidRPr="00453883">
        <w:rPr>
          <w:rFonts w:cs="Times New Roman"/>
          <w:lang w:val="en-US"/>
        </w:rPr>
        <w:t xml:space="preserve">” (Côté and Devinat, at p. 410); that is, </w:t>
      </w:r>
      <w:r w:rsidRPr="00453883">
        <w:rPr>
          <w:rFonts w:cs="Times New Roman"/>
          <w:i/>
          <w:lang w:val="en-US"/>
        </w:rPr>
        <w:t>specialia generalibus derogant</w:t>
      </w:r>
      <w:r w:rsidRPr="00453883">
        <w:rPr>
          <w:rFonts w:cs="Times New Roman"/>
          <w:lang w:val="en-US"/>
        </w:rPr>
        <w:t xml:space="preserve">, which means that special legislation derogates from contrary general legislation (A. Mayrand, </w:t>
      </w:r>
      <w:r w:rsidRPr="00453883">
        <w:rPr>
          <w:rFonts w:cs="Times New Roman"/>
          <w:i/>
          <w:lang w:val="en-US"/>
        </w:rPr>
        <w:t>Dictionnaire de maximes et locutions latines utilisées en droit</w:t>
      </w:r>
      <w:r w:rsidRPr="00453883">
        <w:rPr>
          <w:rFonts w:cs="Times New Roman"/>
          <w:lang w:val="en-US"/>
        </w:rPr>
        <w:t xml:space="preserve"> (4th ed. 2007), at p. 572; see also </w:t>
      </w:r>
      <w:r w:rsidRPr="00453883">
        <w:rPr>
          <w:rFonts w:cs="Times New Roman"/>
          <w:i/>
          <w:lang w:val="en-US"/>
        </w:rPr>
        <w:t>Doré</w:t>
      </w:r>
      <w:r w:rsidRPr="00453883">
        <w:rPr>
          <w:rFonts w:cs="Times New Roman"/>
          <w:lang w:val="en-US"/>
        </w:rPr>
        <w:t xml:space="preserve">, at para. 41). As Professor H. Patrick Glenn noted, </w:t>
      </w:r>
      <w:r w:rsidRPr="00453883">
        <w:rPr>
          <w:rFonts w:cs="Times New Roman"/>
          <w:szCs w:val="24"/>
          <w:lang w:val="en-US"/>
        </w:rPr>
        <w:t>[</w:t>
      </w:r>
      <w:r w:rsidRPr="00453883">
        <w:rPr>
          <w:rFonts w:cs="Times New Roman"/>
          <w:smallCaps/>
          <w:szCs w:val="24"/>
          <w:lang w:val="en-US"/>
        </w:rPr>
        <w:t>translation</w:t>
      </w:r>
      <w:r w:rsidRPr="00453883">
        <w:rPr>
          <w:rFonts w:cs="Times New Roman"/>
          <w:szCs w:val="24"/>
          <w:lang w:val="en-US"/>
        </w:rPr>
        <w:t>]</w:t>
      </w:r>
      <w:r w:rsidRPr="00453883" w:rsidDel="003E198D">
        <w:rPr>
          <w:rFonts w:cs="Times New Roman"/>
          <w:lang w:val="en-US"/>
        </w:rPr>
        <w:t xml:space="preserve"> </w:t>
      </w:r>
      <w:r w:rsidRPr="00453883">
        <w:rPr>
          <w:rFonts w:cs="Times New Roman"/>
          <w:lang w:val="en-US"/>
        </w:rPr>
        <w:t>“</w:t>
      </w:r>
      <w:r w:rsidRPr="00453883">
        <w:rPr>
          <w:rFonts w:cs="Times New Roman"/>
        </w:rPr>
        <w:t>[l]</w:t>
      </w:r>
      <w:proofErr w:type="gramStart"/>
      <w:r w:rsidRPr="00453883">
        <w:rPr>
          <w:rFonts w:cs="Times New Roman"/>
        </w:rPr>
        <w:t>ike</w:t>
      </w:r>
      <w:proofErr w:type="gramEnd"/>
      <w:r w:rsidRPr="00453883">
        <w:rPr>
          <w:rFonts w:cs="Times New Roman"/>
        </w:rPr>
        <w:t xml:space="preserve"> all suppletive general law, [the </w:t>
      </w:r>
      <w:r w:rsidRPr="00453883">
        <w:rPr>
          <w:rFonts w:cs="Times New Roman"/>
          <w:i/>
        </w:rPr>
        <w:t>C.C.Q.</w:t>
      </w:r>
      <w:r w:rsidRPr="00453883">
        <w:rPr>
          <w:rFonts w:cs="Times New Roman"/>
        </w:rPr>
        <w:t xml:space="preserve">] therefore yields to sources that are more specific, more imperative, which is also contemplated by the </w:t>
      </w:r>
      <w:r w:rsidRPr="00453883">
        <w:rPr>
          <w:rFonts w:cs="Times New Roman"/>
          <w:lang w:val="en-US"/>
        </w:rPr>
        <w:t>[Preliminary]</w:t>
      </w:r>
      <w:r w:rsidRPr="00453883">
        <w:rPr>
          <w:rFonts w:cs="Times New Roman"/>
        </w:rPr>
        <w:t xml:space="preserve"> Provision</w:t>
      </w:r>
      <w:r w:rsidRPr="00453883">
        <w:rPr>
          <w:rFonts w:cs="Times New Roman"/>
          <w:lang w:val="en-US"/>
        </w:rPr>
        <w:t>” (p. 349).</w:t>
      </w:r>
    </w:p>
    <w:p w14:paraId="5CCB4C2A" w14:textId="77777777" w:rsidR="00453883" w:rsidRPr="00453883" w:rsidRDefault="00453883" w:rsidP="00453883">
      <w:pPr>
        <w:pStyle w:val="ParaNoNdepar-AltN"/>
        <w:rPr>
          <w:rFonts w:cs="Times New Roman"/>
          <w:lang w:val="en-US"/>
        </w:rPr>
      </w:pPr>
      <w:r w:rsidRPr="00453883">
        <w:rPr>
          <w:rFonts w:cs="Times New Roman"/>
          <w:lang w:val="en-US"/>
        </w:rPr>
        <w:t>For</w:t>
      </w:r>
      <w:r w:rsidRPr="00453883">
        <w:rPr>
          <w:rFonts w:cs="Times New Roman"/>
        </w:rPr>
        <w:t xml:space="preserve"> example, a special statute may derogate from the </w:t>
      </w:r>
      <w:r w:rsidRPr="00453883">
        <w:rPr>
          <w:rFonts w:cs="Times New Roman"/>
          <w:i/>
        </w:rPr>
        <w:t>C.C.Q.</w:t>
      </w:r>
      <w:r w:rsidRPr="00453883">
        <w:rPr>
          <w:rFonts w:cs="Times New Roman"/>
        </w:rPr>
        <w:t xml:space="preserve"> if the legislature provides sufficiently detailed and specific statutory language suggesting that it did not intend the general provisions of the </w:t>
      </w:r>
      <w:r w:rsidRPr="00453883">
        <w:rPr>
          <w:rFonts w:cs="Times New Roman"/>
          <w:i/>
        </w:rPr>
        <w:t xml:space="preserve">C.C.Q. </w:t>
      </w:r>
      <w:r w:rsidRPr="00453883">
        <w:rPr>
          <w:rFonts w:cs="Times New Roman"/>
        </w:rPr>
        <w:t>to override the special statute (</w:t>
      </w:r>
      <w:r w:rsidRPr="00453883">
        <w:rPr>
          <w:rFonts w:cs="Times New Roman"/>
          <w:i/>
          <w:lang w:val="en-US"/>
        </w:rPr>
        <w:t>Compagnie d’immeubles Yale ltée v. Kirkland (Ville de)</w:t>
      </w:r>
      <w:r w:rsidRPr="00453883">
        <w:rPr>
          <w:rFonts w:cs="Times New Roman"/>
          <w:lang w:val="en-US"/>
        </w:rPr>
        <w:t xml:space="preserve">, [1996] R.J.Q. 502 (C.Q.), at p. 507; </w:t>
      </w:r>
      <w:r w:rsidRPr="00453883">
        <w:rPr>
          <w:rFonts w:cs="Times New Roman"/>
          <w:i/>
          <w:szCs w:val="24"/>
          <w:lang w:val="en-US"/>
        </w:rPr>
        <w:t>Dionne v. Commission scolaire des Patriotes</w:t>
      </w:r>
      <w:r w:rsidRPr="00453883">
        <w:rPr>
          <w:rFonts w:cs="Times New Roman"/>
          <w:szCs w:val="24"/>
          <w:lang w:val="en-US"/>
        </w:rPr>
        <w:t>, 2014 SCC 33, [2014] 1 S.C.R. 765, at para. 37</w:t>
      </w:r>
      <w:r w:rsidRPr="00453883">
        <w:rPr>
          <w:rFonts w:cs="Times New Roman"/>
          <w:lang w:val="en-US"/>
        </w:rPr>
        <w:t xml:space="preserve">). Similarly, if </w:t>
      </w:r>
      <w:r w:rsidRPr="00453883">
        <w:rPr>
          <w:rFonts w:cs="Times New Roman"/>
        </w:rPr>
        <w:t xml:space="preserve">the special statute provides a complete rule on a matter, and is neither silent nor insufficient on an essential element, the special statute applies instead of the general law in the </w:t>
      </w:r>
      <w:r w:rsidRPr="00453883">
        <w:rPr>
          <w:rFonts w:cs="Times New Roman"/>
          <w:i/>
        </w:rPr>
        <w:t>C.C.Q.</w:t>
      </w:r>
      <w:r w:rsidRPr="00453883">
        <w:rPr>
          <w:rFonts w:cs="Times New Roman"/>
        </w:rPr>
        <w:t>, unless the legislature provides otherwise (</w:t>
      </w:r>
      <w:r w:rsidRPr="00453883">
        <w:rPr>
          <w:rFonts w:cs="Times New Roman"/>
          <w:i/>
        </w:rPr>
        <w:t>Lalonde v. Sun Life Assurance Co. of Canada</w:t>
      </w:r>
      <w:r w:rsidRPr="00453883">
        <w:rPr>
          <w:rFonts w:cs="Times New Roman"/>
        </w:rPr>
        <w:t xml:space="preserve">, [1992] 3 S.C.R. 261, at pp. 278-79, citing </w:t>
      </w:r>
      <w:r w:rsidRPr="00453883">
        <w:rPr>
          <w:rFonts w:cs="Times New Roman"/>
          <w:i/>
        </w:rPr>
        <w:t>City of Ottawa v. Town of Eastview</w:t>
      </w:r>
      <w:r w:rsidRPr="00453883">
        <w:rPr>
          <w:rFonts w:cs="Times New Roman"/>
        </w:rPr>
        <w:t xml:space="preserve">, [1941] S.C.R. 448, at p. 462; see also </w:t>
      </w:r>
      <w:r w:rsidRPr="00453883">
        <w:rPr>
          <w:rFonts w:cs="Times New Roman"/>
          <w:i/>
        </w:rPr>
        <w:t>Gignac v. Gauvin</w:t>
      </w:r>
      <w:r w:rsidRPr="00453883">
        <w:rPr>
          <w:rFonts w:cs="Times New Roman"/>
        </w:rPr>
        <w:t>, 2009 QCCS 524, 73 C.C.P.B. 47, at para. 54).</w:t>
      </w:r>
    </w:p>
    <w:p w14:paraId="7E35C584" w14:textId="77777777" w:rsidR="00453883" w:rsidRPr="00453883" w:rsidRDefault="00453883" w:rsidP="00453883">
      <w:pPr>
        <w:pStyle w:val="Title3LevelTitre3Niveau"/>
        <w:numPr>
          <w:ilvl w:val="2"/>
          <w:numId w:val="8"/>
        </w:numPr>
        <w:jc w:val="both"/>
        <w:rPr>
          <w:rFonts w:cs="Times New Roman"/>
        </w:rPr>
      </w:pPr>
      <w:r w:rsidRPr="00453883">
        <w:rPr>
          <w:rFonts w:cs="Times New Roman"/>
        </w:rPr>
        <w:t xml:space="preserve">The Court of Appeal Erred in Its Methodology for Determining When the </w:t>
      </w:r>
      <w:r w:rsidRPr="00453883">
        <w:rPr>
          <w:rFonts w:cs="Times New Roman"/>
          <w:i/>
        </w:rPr>
        <w:t>C.C.Q.</w:t>
      </w:r>
      <w:r w:rsidRPr="00453883">
        <w:rPr>
          <w:rFonts w:cs="Times New Roman"/>
        </w:rPr>
        <w:t xml:space="preserve"> Applies</w:t>
      </w:r>
    </w:p>
    <w:p w14:paraId="6FE7461F" w14:textId="77777777" w:rsidR="00453883" w:rsidRPr="00453883" w:rsidRDefault="00453883" w:rsidP="00453883">
      <w:pPr>
        <w:pStyle w:val="ParaNoNdepar-AltN"/>
        <w:rPr>
          <w:rStyle w:val="ui-provider"/>
          <w:rFonts w:cs="Times New Roman"/>
          <w:szCs w:val="24"/>
          <w:lang w:eastAsia="en-CA"/>
        </w:rPr>
      </w:pPr>
      <w:r w:rsidRPr="00453883">
        <w:rPr>
          <w:rFonts w:cs="Times New Roman"/>
        </w:rPr>
        <w:t xml:space="preserve">The proper interpretive methodology in determining the relationship between the </w:t>
      </w:r>
      <w:r w:rsidRPr="00453883">
        <w:rPr>
          <w:rFonts w:cs="Times New Roman"/>
          <w:i/>
        </w:rPr>
        <w:t>C.C.Q.</w:t>
      </w:r>
      <w:r w:rsidRPr="00453883">
        <w:rPr>
          <w:rFonts w:cs="Times New Roman"/>
        </w:rPr>
        <w:t xml:space="preserve"> and a special statute is to start with the </w:t>
      </w:r>
      <w:r w:rsidRPr="00453883">
        <w:rPr>
          <w:rFonts w:cs="Times New Roman"/>
          <w:i/>
        </w:rPr>
        <w:t>jus commune</w:t>
      </w:r>
      <w:r w:rsidRPr="00453883">
        <w:rPr>
          <w:rFonts w:cs="Times New Roman"/>
        </w:rPr>
        <w:t xml:space="preserve"> in the </w:t>
      </w:r>
      <w:r w:rsidRPr="00453883">
        <w:rPr>
          <w:rFonts w:cs="Times New Roman"/>
          <w:i/>
        </w:rPr>
        <w:t>C.C.Q.</w:t>
      </w:r>
      <w:r w:rsidRPr="00453883">
        <w:rPr>
          <w:rFonts w:cs="Times New Roman"/>
        </w:rPr>
        <w:t xml:space="preserve">, and then to ask whether the special statute complements or derogates from the </w:t>
      </w:r>
      <w:r w:rsidRPr="00453883">
        <w:rPr>
          <w:rFonts w:cs="Times New Roman"/>
          <w:i/>
        </w:rPr>
        <w:t xml:space="preserve">jus commune </w:t>
      </w:r>
      <w:r w:rsidRPr="00453883">
        <w:rPr>
          <w:rStyle w:val="ui-provider"/>
          <w:rFonts w:cs="Times New Roman"/>
        </w:rPr>
        <w:t>(see generally Doré, at paras. 15-21; see also paras. </w:t>
      </w:r>
      <w:r w:rsidRPr="00453883">
        <w:rPr>
          <w:rFonts w:cs="Times New Roman"/>
        </w:rPr>
        <w:t>40-41; Brierley, at p. 125-26</w:t>
      </w:r>
      <w:r w:rsidRPr="00453883">
        <w:rPr>
          <w:rStyle w:val="ui-provider"/>
          <w:rFonts w:cs="Times New Roman"/>
        </w:rPr>
        <w:t xml:space="preserve">). </w:t>
      </w:r>
      <w:r w:rsidRPr="00453883">
        <w:rPr>
          <w:rFonts w:cs="Times New Roman"/>
        </w:rPr>
        <w:t xml:space="preserve">Often, the answer to this question will be obvious and will not require an extensive interpretation exercise. In this case, the </w:t>
      </w:r>
      <w:r w:rsidRPr="00453883">
        <w:rPr>
          <w:rStyle w:val="ui-provider"/>
          <w:rFonts w:cs="Times New Roman"/>
        </w:rPr>
        <w:t xml:space="preserve">majority erred with respect to each of the two reasons it gave for concluding that the </w:t>
      </w:r>
      <w:r w:rsidRPr="006603E2">
        <w:rPr>
          <w:rStyle w:val="ui-provider"/>
          <w:rFonts w:cs="Times New Roman"/>
          <w:i/>
        </w:rPr>
        <w:t>C.C.Q.</w:t>
      </w:r>
      <w:r w:rsidRPr="00453883">
        <w:rPr>
          <w:rStyle w:val="ui-provider"/>
          <w:rFonts w:cs="Times New Roman"/>
        </w:rPr>
        <w:t xml:space="preserve"> does not apply in the circumstances, even though, as will be explained, the court was correct that the FMAT has jurisdiction over the out-of-province appellants under the special statutes.</w:t>
      </w:r>
    </w:p>
    <w:p w14:paraId="167A0621" w14:textId="77777777" w:rsidR="00453883" w:rsidRPr="00453883" w:rsidRDefault="00453883" w:rsidP="00453883">
      <w:pPr>
        <w:pStyle w:val="Title4LevelTitre4Niveau"/>
        <w:numPr>
          <w:ilvl w:val="3"/>
          <w:numId w:val="8"/>
        </w:numPr>
        <w:jc w:val="both"/>
        <w:rPr>
          <w:rStyle w:val="ui-provider"/>
          <w:rFonts w:eastAsiaTheme="minorEastAsia" w:cs="Times New Roman"/>
          <w:i w:val="0"/>
        </w:rPr>
      </w:pPr>
      <w:r w:rsidRPr="00453883">
        <w:rPr>
          <w:rStyle w:val="ui-provider"/>
          <w:rFonts w:cs="Times New Roman"/>
        </w:rPr>
        <w:t>Book Ten of the C.C.Q. Can Apply to Administrative Tribunals Even if Private Rights Are Not at Issue</w:t>
      </w:r>
    </w:p>
    <w:p w14:paraId="6249E4FF" w14:textId="77777777" w:rsidR="00453883" w:rsidRPr="00453883" w:rsidRDefault="00453883" w:rsidP="00453883">
      <w:pPr>
        <w:pStyle w:val="ParaNoNdepar-AltN"/>
        <w:rPr>
          <w:rStyle w:val="ui-provider"/>
          <w:rFonts w:cs="Times New Roman"/>
        </w:rPr>
      </w:pPr>
      <w:r w:rsidRPr="00453883">
        <w:rPr>
          <w:rStyle w:val="ui-provider"/>
          <w:rFonts w:cs="Times New Roman"/>
        </w:rPr>
        <w:t xml:space="preserve">First, the majority concluded that although the private international law rules of Title Three of Book Ten of the </w:t>
      </w:r>
      <w:r w:rsidRPr="006603E2">
        <w:rPr>
          <w:rStyle w:val="ui-provider"/>
          <w:rFonts w:cs="Times New Roman"/>
          <w:i/>
        </w:rPr>
        <w:t>C.C.Q.</w:t>
      </w:r>
      <w:r w:rsidRPr="00453883">
        <w:rPr>
          <w:rStyle w:val="ui-provider"/>
          <w:rFonts w:cs="Times New Roman"/>
        </w:rPr>
        <w:t xml:space="preserve"> apply to all Quebec authorities, including judicial and administrative tribunals, they do not determine the FMAT’s jurisdiction because no “private rights” (para. 70) are at issue in a proceeding before the FMAT.</w:t>
      </w:r>
      <w:r w:rsidRPr="00453883">
        <w:rPr>
          <w:rFonts w:cs="Times New Roman"/>
          <w:lang w:val="en-US"/>
        </w:rPr>
        <w:t xml:space="preserve"> </w:t>
      </w:r>
      <w:r w:rsidRPr="00453883">
        <w:rPr>
          <w:rStyle w:val="ui-provider"/>
          <w:rFonts w:cs="Times New Roman"/>
        </w:rPr>
        <w:t xml:space="preserve">While the majority rightly recognized that the </w:t>
      </w:r>
      <w:r w:rsidRPr="006603E2">
        <w:rPr>
          <w:rStyle w:val="ui-provider"/>
          <w:rFonts w:cs="Times New Roman"/>
          <w:i/>
        </w:rPr>
        <w:t>C.C.Q.</w:t>
      </w:r>
      <w:r w:rsidRPr="00453883">
        <w:rPr>
          <w:rFonts w:cs="Times New Roman"/>
          <w:lang w:val="en-US"/>
        </w:rPr>
        <w:t xml:space="preserve"> acts as suppletive law in a wide range of circumstances, “including certain aspects of public law”</w:t>
      </w:r>
      <w:r w:rsidRPr="00453883">
        <w:rPr>
          <w:rStyle w:val="ui-provider"/>
          <w:rFonts w:cs="Times New Roman"/>
        </w:rPr>
        <w:t xml:space="preserve"> (para. 70)</w:t>
      </w:r>
      <w:r w:rsidRPr="00453883">
        <w:rPr>
          <w:rFonts w:cs="Times New Roman"/>
          <w:lang w:val="en-US"/>
        </w:rPr>
        <w:t xml:space="preserve">, they narrowed the compass of the </w:t>
      </w:r>
      <w:r w:rsidRPr="00453883">
        <w:rPr>
          <w:rFonts w:cs="Times New Roman"/>
          <w:i/>
          <w:lang w:val="en-US"/>
        </w:rPr>
        <w:t>jus commune</w:t>
      </w:r>
      <w:r w:rsidRPr="00453883">
        <w:rPr>
          <w:rFonts w:cs="Times New Roman"/>
          <w:lang w:val="en-US"/>
        </w:rPr>
        <w:t xml:space="preserve"> by implying that private rights must be in issue. The majority’s methodology erroneously suggested that whether Book Ten of the </w:t>
      </w:r>
      <w:r w:rsidRPr="00453883">
        <w:rPr>
          <w:rFonts w:cs="Times New Roman"/>
          <w:i/>
          <w:lang w:val="en-US"/>
        </w:rPr>
        <w:t>C.C.Q.</w:t>
      </w:r>
      <w:r w:rsidRPr="00453883">
        <w:rPr>
          <w:rFonts w:cs="Times New Roman"/>
          <w:lang w:val="en-US"/>
        </w:rPr>
        <w:t xml:space="preserve"> applies depends on characterizing the issue before the court, seemingly limiting its scope to matters of private law. </w:t>
      </w:r>
      <w:r w:rsidRPr="00453883">
        <w:rPr>
          <w:rStyle w:val="ui-provider"/>
          <w:rFonts w:cs="Times New Roman"/>
        </w:rPr>
        <w:t xml:space="preserve">However, the </w:t>
      </w:r>
      <w:r w:rsidRPr="006603E2">
        <w:rPr>
          <w:rStyle w:val="ui-provider"/>
          <w:rFonts w:cs="Times New Roman"/>
          <w:i/>
        </w:rPr>
        <w:t>jus commune</w:t>
      </w:r>
      <w:r w:rsidRPr="00453883">
        <w:rPr>
          <w:rStyle w:val="ui-provider"/>
          <w:rFonts w:cs="Times New Roman"/>
        </w:rPr>
        <w:t xml:space="preserve">, including Book Ten, is not limited to matters of private rights, but rather extends to “all matters within the letter, spirit or object” of the </w:t>
      </w:r>
      <w:r w:rsidRPr="006603E2">
        <w:rPr>
          <w:rStyle w:val="ui-provider"/>
          <w:rFonts w:cs="Times New Roman"/>
          <w:i/>
        </w:rPr>
        <w:t>C.C.Q.</w:t>
      </w:r>
      <w:r w:rsidRPr="00453883">
        <w:rPr>
          <w:rStyle w:val="ui-provider"/>
          <w:rFonts w:cs="Times New Roman"/>
        </w:rPr>
        <w:t>’s provisions.</w:t>
      </w:r>
    </w:p>
    <w:p w14:paraId="47E2EFA4" w14:textId="77777777" w:rsidR="00453883" w:rsidRPr="00453883" w:rsidRDefault="00453883" w:rsidP="00453883">
      <w:pPr>
        <w:pStyle w:val="ParaNoNdepar-AltN"/>
        <w:rPr>
          <w:rFonts w:cs="Times New Roman"/>
        </w:rPr>
      </w:pPr>
      <w:r w:rsidRPr="00453883">
        <w:rPr>
          <w:rStyle w:val="ui-provider"/>
          <w:rFonts w:cs="Times New Roman"/>
        </w:rPr>
        <w:t xml:space="preserve">In reaching its conclusion, the majority noted that the respondent had cited the Quebec Court of Appeal’s decision in </w:t>
      </w:r>
      <w:r w:rsidRPr="00453883">
        <w:rPr>
          <w:rFonts w:cs="Times New Roman"/>
          <w:i/>
        </w:rPr>
        <w:t>Donaldson v. Autorité des marchés financiers</w:t>
      </w:r>
      <w:r w:rsidRPr="00453883">
        <w:rPr>
          <w:rFonts w:cs="Times New Roman"/>
        </w:rPr>
        <w:t xml:space="preserve">, 2020 QCCA 401, in support of its position that the </w:t>
      </w:r>
      <w:r w:rsidRPr="00453883">
        <w:rPr>
          <w:rFonts w:cs="Times New Roman"/>
          <w:i/>
        </w:rPr>
        <w:t xml:space="preserve">C.C.Q. </w:t>
      </w:r>
      <w:r w:rsidRPr="00453883">
        <w:rPr>
          <w:rFonts w:cs="Times New Roman"/>
        </w:rPr>
        <w:t xml:space="preserve">does not apply to proceedings before the FMAT. In </w:t>
      </w:r>
      <w:r w:rsidRPr="00453883">
        <w:rPr>
          <w:rFonts w:cs="Times New Roman"/>
          <w:i/>
        </w:rPr>
        <w:t>Donaldson</w:t>
      </w:r>
      <w:r w:rsidRPr="00453883">
        <w:rPr>
          <w:rFonts w:cs="Times New Roman"/>
        </w:rPr>
        <w:t>, the Court of Appeal held that the</w:t>
      </w:r>
      <w:r w:rsidRPr="00453883">
        <w:rPr>
          <w:rFonts w:cs="Times New Roman"/>
          <w:i/>
        </w:rPr>
        <w:t xml:space="preserve"> </w:t>
      </w:r>
      <w:r w:rsidRPr="00453883">
        <w:rPr>
          <w:rFonts w:cs="Times New Roman"/>
        </w:rPr>
        <w:t xml:space="preserve">three-year prescription period under art. 2925 </w:t>
      </w:r>
      <w:r w:rsidRPr="00453883">
        <w:rPr>
          <w:rFonts w:cs="Times New Roman"/>
          <w:i/>
        </w:rPr>
        <w:t xml:space="preserve">C.C.Q. </w:t>
      </w:r>
      <w:r w:rsidRPr="00453883">
        <w:rPr>
          <w:rFonts w:cs="Times New Roman"/>
        </w:rPr>
        <w:t xml:space="preserve">did not apply to administrative proceedings brought by the AMF before the FMAT to impose an administrative monetary penalty under s. 273.1 of the </w:t>
      </w:r>
      <w:r w:rsidRPr="00453883">
        <w:rPr>
          <w:rFonts w:cs="Times New Roman"/>
          <w:i/>
        </w:rPr>
        <w:t>Securities Act</w:t>
      </w:r>
      <w:r w:rsidRPr="00453883">
        <w:rPr>
          <w:rFonts w:cs="Times New Roman"/>
        </w:rPr>
        <w:t xml:space="preserve"> for contravention of the Act or a regulation made under its authority. One reason the court in </w:t>
      </w:r>
      <w:r w:rsidRPr="00453883">
        <w:rPr>
          <w:rFonts w:cs="Times New Roman"/>
          <w:i/>
        </w:rPr>
        <w:t xml:space="preserve">Donaldson </w:t>
      </w:r>
      <w:r w:rsidRPr="00453883">
        <w:rPr>
          <w:rFonts w:cs="Times New Roman"/>
        </w:rPr>
        <w:t xml:space="preserve">ruled that the </w:t>
      </w:r>
      <w:r w:rsidRPr="00453883">
        <w:rPr>
          <w:rFonts w:cs="Times New Roman"/>
          <w:i/>
        </w:rPr>
        <w:t xml:space="preserve">C.C.Q. </w:t>
      </w:r>
      <w:r w:rsidRPr="00453883">
        <w:rPr>
          <w:rFonts w:cs="Times New Roman"/>
        </w:rPr>
        <w:t xml:space="preserve">did not apply is because the </w:t>
      </w:r>
      <w:r w:rsidRPr="00453883">
        <w:rPr>
          <w:rFonts w:cs="Times New Roman"/>
          <w:i/>
        </w:rPr>
        <w:t xml:space="preserve">C.C.Q. </w:t>
      </w:r>
      <w:r w:rsidRPr="00453883">
        <w:rPr>
          <w:rFonts w:cs="Times New Roman"/>
        </w:rPr>
        <w:t xml:space="preserve">establishes the </w:t>
      </w:r>
      <w:r w:rsidRPr="00453883">
        <w:rPr>
          <w:rFonts w:cs="Times New Roman"/>
          <w:i/>
        </w:rPr>
        <w:t xml:space="preserve">jus commune </w:t>
      </w:r>
      <w:r w:rsidRPr="00453883">
        <w:rPr>
          <w:rFonts w:cs="Times New Roman"/>
        </w:rPr>
        <w:t xml:space="preserve">over only those matters falling under private law (paras. 43-44 (CanLII)). The court in </w:t>
      </w:r>
      <w:r w:rsidRPr="00453883">
        <w:rPr>
          <w:rFonts w:cs="Times New Roman"/>
          <w:i/>
        </w:rPr>
        <w:t xml:space="preserve">Donaldson </w:t>
      </w:r>
      <w:r w:rsidRPr="00453883">
        <w:rPr>
          <w:rFonts w:cs="Times New Roman"/>
        </w:rPr>
        <w:t xml:space="preserve">distinguished between private law matters, which fall under the purview of the </w:t>
      </w:r>
      <w:r w:rsidRPr="00453883">
        <w:rPr>
          <w:rFonts w:cs="Times New Roman"/>
          <w:i/>
        </w:rPr>
        <w:t>C.C.Q.</w:t>
      </w:r>
      <w:r w:rsidRPr="00453883">
        <w:rPr>
          <w:rFonts w:cs="Times New Roman"/>
        </w:rPr>
        <w:t xml:space="preserve">, and public law matters, which do not. With respect, insofar as this approach creates a divide between public and private law not reflected in the letter, spirit, or object of the </w:t>
      </w:r>
      <w:r w:rsidRPr="00453883">
        <w:rPr>
          <w:rFonts w:cs="Times New Roman"/>
          <w:i/>
        </w:rPr>
        <w:t>C.C.Q.</w:t>
      </w:r>
      <w:r w:rsidRPr="00453883">
        <w:rPr>
          <w:rFonts w:cs="Times New Roman"/>
        </w:rPr>
        <w:t>, it is incorrect in law.</w:t>
      </w:r>
    </w:p>
    <w:p w14:paraId="68103AB8" w14:textId="77777777" w:rsidR="00453883" w:rsidRPr="00453883" w:rsidRDefault="00453883" w:rsidP="00453883">
      <w:pPr>
        <w:pStyle w:val="ParaNoNdepar-AltN"/>
        <w:rPr>
          <w:rFonts w:cs="Times New Roman"/>
          <w:lang w:val="en-US"/>
        </w:rPr>
      </w:pPr>
      <w:r w:rsidRPr="00453883">
        <w:rPr>
          <w:rFonts w:cs="Times New Roman"/>
        </w:rPr>
        <w:t xml:space="preserve">Although the first paragraph of the preliminary provision states that the </w:t>
      </w:r>
      <w:r w:rsidRPr="00453883">
        <w:rPr>
          <w:rFonts w:cs="Times New Roman"/>
          <w:i/>
        </w:rPr>
        <w:t>C.C.Q.</w:t>
      </w:r>
      <w:r w:rsidRPr="00453883">
        <w:rPr>
          <w:rFonts w:cs="Times New Roman"/>
        </w:rPr>
        <w:t xml:space="preserve">, in harmony with the </w:t>
      </w:r>
      <w:r w:rsidRPr="00453883">
        <w:rPr>
          <w:rFonts w:cs="Times New Roman"/>
          <w:i/>
        </w:rPr>
        <w:t>Charter of human rights and freedoms</w:t>
      </w:r>
      <w:r w:rsidRPr="00453883">
        <w:rPr>
          <w:rFonts w:cs="Times New Roman"/>
        </w:rPr>
        <w:t xml:space="preserve">, and the general principles of law, “governs persons, relations between persons, and property”, this paragraph does not limit the </w:t>
      </w:r>
      <w:r w:rsidRPr="00453883">
        <w:rPr>
          <w:rFonts w:cs="Times New Roman"/>
          <w:i/>
        </w:rPr>
        <w:t>C.C.Q.</w:t>
      </w:r>
      <w:r w:rsidRPr="00453883">
        <w:rPr>
          <w:rFonts w:cs="Times New Roman"/>
        </w:rPr>
        <w:t xml:space="preserve">’s application to stating rules of private law, even though the </w:t>
      </w:r>
      <w:r w:rsidRPr="00453883">
        <w:rPr>
          <w:rFonts w:cs="Times New Roman"/>
          <w:i/>
        </w:rPr>
        <w:t>C.C.Q.</w:t>
      </w:r>
      <w:r w:rsidRPr="00453883">
        <w:rPr>
          <w:rFonts w:cs="Times New Roman"/>
        </w:rPr>
        <w:t xml:space="preserve"> contains many such rules. The second paragraph of the preliminary provision also </w:t>
      </w:r>
      <w:r w:rsidRPr="000832AE">
        <w:rPr>
          <w:rFonts w:cs="Times New Roman"/>
        </w:rPr>
        <w:t xml:space="preserve">provides that the </w:t>
      </w:r>
      <w:r w:rsidRPr="000832AE">
        <w:rPr>
          <w:rFonts w:cs="Times New Roman"/>
          <w:i/>
        </w:rPr>
        <w:t>C.C.Q.</w:t>
      </w:r>
      <w:r w:rsidRPr="000832AE">
        <w:rPr>
          <w:rFonts w:cs="Times New Roman"/>
        </w:rPr>
        <w:t xml:space="preserve"> “lays down the </w:t>
      </w:r>
      <w:r w:rsidRPr="000832AE">
        <w:rPr>
          <w:rFonts w:cs="Times New Roman"/>
          <w:i/>
        </w:rPr>
        <w:t>jus commune</w:t>
      </w:r>
      <w:r w:rsidRPr="000832AE">
        <w:rPr>
          <w:rFonts w:cs="Times New Roman"/>
        </w:rPr>
        <w:t>”, or law of general application</w:t>
      </w:r>
      <w:r w:rsidRPr="000832AE">
        <w:t>, “in all matters within the letter, spirit or object of its provisions”. Moreover,</w:t>
      </w:r>
      <w:r w:rsidRPr="000832AE">
        <w:rPr>
          <w:rStyle w:val="Strong"/>
          <w:rFonts w:cs="Times New Roman"/>
        </w:rPr>
        <w:t xml:space="preserve"> </w:t>
      </w:r>
      <w:r w:rsidRPr="000832AE">
        <w:rPr>
          <w:rFonts w:cs="Times New Roman"/>
        </w:rPr>
        <w:t xml:space="preserve">the </w:t>
      </w:r>
      <w:r w:rsidRPr="000832AE">
        <w:rPr>
          <w:rFonts w:cs="Times New Roman"/>
          <w:i/>
        </w:rPr>
        <w:t>C.C</w:t>
      </w:r>
      <w:r w:rsidRPr="00453883">
        <w:rPr>
          <w:rFonts w:cs="Times New Roman"/>
          <w:i/>
        </w:rPr>
        <w:t>.Q.</w:t>
      </w:r>
      <w:r w:rsidRPr="00453883">
        <w:rPr>
          <w:rFonts w:cs="Times New Roman"/>
        </w:rPr>
        <w:t xml:space="preserve"> contains rules of public law and </w:t>
      </w:r>
      <w:r w:rsidRPr="00453883" w:rsidDel="00A60FD5">
        <w:rPr>
          <w:rFonts w:cs="Times New Roman"/>
          <w:lang w:val="en-US"/>
        </w:rPr>
        <w:t>is an important source of administrative law in Quebec (P</w:t>
      </w:r>
      <w:r w:rsidRPr="00453883">
        <w:rPr>
          <w:rFonts w:cs="Times New Roman"/>
          <w:lang w:val="en-US"/>
        </w:rPr>
        <w:t>.</w:t>
      </w:r>
      <w:r w:rsidRPr="00453883" w:rsidDel="00A60FD5">
        <w:rPr>
          <w:rFonts w:cs="Times New Roman"/>
          <w:lang w:val="en-US"/>
        </w:rPr>
        <w:t xml:space="preserve"> Garant,</w:t>
      </w:r>
      <w:r w:rsidRPr="00453883">
        <w:rPr>
          <w:rFonts w:cs="Times New Roman"/>
          <w:lang w:val="en-US"/>
        </w:rPr>
        <w:t xml:space="preserve"> with P. Garant and J. Garant,</w:t>
      </w:r>
      <w:r w:rsidRPr="00453883" w:rsidDel="00A60FD5">
        <w:rPr>
          <w:rFonts w:cs="Times New Roman"/>
          <w:lang w:val="en-US"/>
        </w:rPr>
        <w:t xml:space="preserve"> </w:t>
      </w:r>
      <w:r w:rsidRPr="00453883" w:rsidDel="00A60FD5">
        <w:rPr>
          <w:rFonts w:cs="Times New Roman"/>
          <w:i/>
          <w:lang w:val="en-US"/>
        </w:rPr>
        <w:t xml:space="preserve">Droit </w:t>
      </w:r>
      <w:r w:rsidRPr="00453883">
        <w:rPr>
          <w:rFonts w:cs="Times New Roman"/>
          <w:i/>
          <w:lang w:val="en-US"/>
        </w:rPr>
        <w:t>a</w:t>
      </w:r>
      <w:r w:rsidRPr="00453883" w:rsidDel="00A60FD5">
        <w:rPr>
          <w:rFonts w:cs="Times New Roman"/>
          <w:i/>
          <w:lang w:val="en-US"/>
        </w:rPr>
        <w:t>dministratif</w:t>
      </w:r>
      <w:r w:rsidRPr="00453883" w:rsidDel="00A60FD5">
        <w:rPr>
          <w:rFonts w:cs="Times New Roman"/>
          <w:lang w:val="en-US"/>
        </w:rPr>
        <w:t xml:space="preserve"> </w:t>
      </w:r>
      <w:r w:rsidRPr="00453883">
        <w:rPr>
          <w:rFonts w:cs="Times New Roman"/>
          <w:lang w:val="en-US"/>
        </w:rPr>
        <w:t>(</w:t>
      </w:r>
      <w:r w:rsidRPr="00453883" w:rsidDel="00A60FD5">
        <w:rPr>
          <w:rFonts w:cs="Times New Roman"/>
          <w:lang w:val="en-US"/>
        </w:rPr>
        <w:t>7th ed.</w:t>
      </w:r>
      <w:r w:rsidRPr="00453883">
        <w:rPr>
          <w:rFonts w:cs="Times New Roman"/>
          <w:lang w:val="en-US"/>
        </w:rPr>
        <w:t xml:space="preserve"> 2017)</w:t>
      </w:r>
      <w:r w:rsidRPr="00453883" w:rsidDel="00A60FD5">
        <w:rPr>
          <w:rFonts w:cs="Times New Roman"/>
          <w:lang w:val="en-US"/>
        </w:rPr>
        <w:t xml:space="preserve">, </w:t>
      </w:r>
      <w:r w:rsidRPr="00453883">
        <w:rPr>
          <w:rFonts w:cs="Times New Roman"/>
          <w:lang w:val="en-US"/>
        </w:rPr>
        <w:t xml:space="preserve">at </w:t>
      </w:r>
      <w:r w:rsidRPr="00453883" w:rsidDel="00A60FD5">
        <w:rPr>
          <w:rFonts w:cs="Times New Roman"/>
          <w:lang w:val="en-US"/>
        </w:rPr>
        <w:t>p.</w:t>
      </w:r>
      <w:r w:rsidRPr="00453883">
        <w:rPr>
          <w:rFonts w:cs="Times New Roman"/>
          <w:lang w:val="en-US"/>
        </w:rPr>
        <w:t> </w:t>
      </w:r>
      <w:r w:rsidRPr="00453883" w:rsidDel="00A60FD5">
        <w:rPr>
          <w:rFonts w:cs="Times New Roman"/>
          <w:lang w:val="en-US"/>
        </w:rPr>
        <w:t>10</w:t>
      </w:r>
      <w:r w:rsidRPr="00453883">
        <w:rPr>
          <w:rFonts w:cs="Times New Roman"/>
          <w:lang w:val="en-US"/>
        </w:rPr>
        <w:t>).</w:t>
      </w:r>
    </w:p>
    <w:p w14:paraId="51A9A45F" w14:textId="77777777" w:rsidR="00453883" w:rsidRPr="00453883" w:rsidRDefault="00453883" w:rsidP="00453883">
      <w:pPr>
        <w:pStyle w:val="ParaNoNdepar-AltN"/>
        <w:rPr>
          <w:rFonts w:cs="Times New Roman"/>
          <w:lang w:val="en-US"/>
        </w:rPr>
      </w:pPr>
      <w:r w:rsidRPr="00453883">
        <w:rPr>
          <w:rFonts w:cs="Times New Roman"/>
          <w:lang w:val="en-US"/>
        </w:rPr>
        <w:t xml:space="preserve">For example, art. 1376 </w:t>
      </w:r>
      <w:r w:rsidRPr="00453883">
        <w:rPr>
          <w:rFonts w:cs="Times New Roman"/>
          <w:i/>
          <w:lang w:val="en-US"/>
        </w:rPr>
        <w:t>C.C.Q.</w:t>
      </w:r>
      <w:r w:rsidRPr="00453883">
        <w:rPr>
          <w:rFonts w:cs="Times New Roman"/>
          <w:lang w:val="en-US"/>
        </w:rPr>
        <w:t xml:space="preserve"> provides that the rules in Book Five, Obligations, “apply to the State and its bodies, and to all other legal persons established in the public interest, subject to any other rules of law which may be applicable to them”. Article 1376 </w:t>
      </w:r>
      <w:r w:rsidRPr="00453883">
        <w:rPr>
          <w:rFonts w:cs="Times New Roman"/>
          <w:i/>
          <w:lang w:val="en-US"/>
        </w:rPr>
        <w:t>C.C.Q.</w:t>
      </w:r>
      <w:r w:rsidRPr="00453883">
        <w:rPr>
          <w:rFonts w:cs="Times New Roman"/>
          <w:lang w:val="en-US"/>
        </w:rPr>
        <w:t xml:space="preserve"> “is a public law rule” (</w:t>
      </w:r>
      <w:r w:rsidRPr="00453883">
        <w:rPr>
          <w:rFonts w:cs="Times New Roman"/>
          <w:i/>
          <w:lang w:val="en-US"/>
        </w:rPr>
        <w:t>Prud’homme</w:t>
      </w:r>
      <w:r w:rsidRPr="00453883">
        <w:rPr>
          <w:rFonts w:cs="Times New Roman"/>
          <w:lang w:val="en-US"/>
        </w:rPr>
        <w:t xml:space="preserve">, at para. 27; see also </w:t>
      </w:r>
      <w:r w:rsidRPr="00453883">
        <w:rPr>
          <w:rFonts w:cs="Times New Roman"/>
          <w:i/>
          <w:lang w:val="en-US"/>
        </w:rPr>
        <w:t>Octane</w:t>
      </w:r>
      <w:r w:rsidRPr="00453883">
        <w:rPr>
          <w:rFonts w:cs="Times New Roman"/>
          <w:lang w:val="en-US"/>
        </w:rPr>
        <w:t xml:space="preserve">, at para. 36; </w:t>
      </w:r>
      <w:r w:rsidRPr="00453883">
        <w:rPr>
          <w:rFonts w:cs="Times New Roman"/>
          <w:i/>
          <w:lang w:val="en-US"/>
        </w:rPr>
        <w:t>Finney</w:t>
      </w:r>
      <w:r w:rsidRPr="00453883">
        <w:rPr>
          <w:rFonts w:cs="Times New Roman"/>
          <w:lang w:val="en-US"/>
        </w:rPr>
        <w:t xml:space="preserve">, at paras. 26-27; Glenn, at pp. 350-51). In addition, art. 300 </w:t>
      </w:r>
      <w:r w:rsidRPr="00453883">
        <w:rPr>
          <w:rFonts w:cs="Times New Roman"/>
          <w:i/>
          <w:lang w:val="en-US"/>
        </w:rPr>
        <w:t>C.C.Q.</w:t>
      </w:r>
      <w:r w:rsidRPr="00453883">
        <w:rPr>
          <w:rFonts w:cs="Times New Roman"/>
          <w:lang w:val="en-US"/>
        </w:rPr>
        <w:t xml:space="preserve"> provides that legal persons established in the public interest, although primarily governed by special Acts by which they are constituted and by those which are applicable to them, are also governed by the </w:t>
      </w:r>
      <w:r w:rsidRPr="00453883">
        <w:rPr>
          <w:rFonts w:cs="Times New Roman"/>
          <w:i/>
          <w:lang w:val="en-US"/>
        </w:rPr>
        <w:t>C.C.Q.</w:t>
      </w:r>
      <w:r w:rsidRPr="00453883">
        <w:rPr>
          <w:rFonts w:cs="Times New Roman"/>
          <w:lang w:val="en-US"/>
        </w:rPr>
        <w:t xml:space="preserve"> “where the provisions of such Acts require to be complemented, particularly with regard to their status as legal persons, their property or their relations with other persons”. Article 300 </w:t>
      </w:r>
      <w:r w:rsidRPr="00453883">
        <w:rPr>
          <w:rFonts w:cs="Times New Roman"/>
          <w:i/>
          <w:lang w:val="en-US"/>
        </w:rPr>
        <w:t>C.C.Q.</w:t>
      </w:r>
      <w:r w:rsidRPr="00453883">
        <w:rPr>
          <w:rFonts w:cs="Times New Roman"/>
          <w:lang w:val="en-US"/>
        </w:rPr>
        <w:t xml:space="preserve"> is also a public law rule (see </w:t>
      </w:r>
      <w:r w:rsidRPr="00453883">
        <w:rPr>
          <w:rFonts w:cs="Times New Roman"/>
          <w:i/>
          <w:lang w:val="en-US"/>
        </w:rPr>
        <w:t>Doré</w:t>
      </w:r>
      <w:r w:rsidRPr="00453883">
        <w:rPr>
          <w:rFonts w:cs="Times New Roman"/>
          <w:lang w:val="en-US"/>
        </w:rPr>
        <w:t xml:space="preserve">, at paras. 15-17 and 20-21; see also </w:t>
      </w:r>
      <w:r w:rsidRPr="00453883">
        <w:rPr>
          <w:rFonts w:cs="Times New Roman"/>
          <w:i/>
          <w:lang w:val="en-US"/>
        </w:rPr>
        <w:t>Finney</w:t>
      </w:r>
      <w:r w:rsidRPr="00453883">
        <w:rPr>
          <w:rFonts w:cs="Times New Roman"/>
          <w:lang w:val="en-US"/>
        </w:rPr>
        <w:t xml:space="preserve">, at para. 26; </w:t>
      </w:r>
      <w:r w:rsidRPr="00453883">
        <w:rPr>
          <w:rFonts w:cs="Times New Roman"/>
          <w:i/>
          <w:lang w:val="en-US"/>
        </w:rPr>
        <w:t>Octane</w:t>
      </w:r>
      <w:r w:rsidRPr="00453883">
        <w:rPr>
          <w:rFonts w:cs="Times New Roman"/>
          <w:lang w:val="en-US"/>
        </w:rPr>
        <w:t xml:space="preserve">, at para. 36; Glenn, at pp. 350-51). And because the </w:t>
      </w:r>
      <w:r w:rsidRPr="00453883">
        <w:rPr>
          <w:rFonts w:cs="Times New Roman"/>
          <w:i/>
          <w:lang w:val="en-US"/>
        </w:rPr>
        <w:t>C.C.Q.</w:t>
      </w:r>
      <w:r w:rsidRPr="00453883">
        <w:rPr>
          <w:rFonts w:cs="Times New Roman"/>
          <w:lang w:val="en-US"/>
        </w:rPr>
        <w:t xml:space="preserve"> is the </w:t>
      </w:r>
      <w:r w:rsidRPr="00453883">
        <w:rPr>
          <w:rFonts w:cs="Times New Roman"/>
          <w:i/>
          <w:lang w:val="en-US"/>
        </w:rPr>
        <w:t>jus commune</w:t>
      </w:r>
      <w:r w:rsidRPr="00453883">
        <w:rPr>
          <w:rFonts w:cs="Times New Roman"/>
          <w:lang w:val="en-US"/>
        </w:rPr>
        <w:t xml:space="preserve"> and the foundation of all other laws, </w:t>
      </w:r>
      <w:r w:rsidRPr="00453883">
        <w:rPr>
          <w:rFonts w:cs="Times New Roman"/>
          <w:szCs w:val="24"/>
        </w:rPr>
        <w:t>[</w:t>
      </w:r>
      <w:r w:rsidRPr="00453883">
        <w:rPr>
          <w:rFonts w:cs="Times New Roman"/>
          <w:smallCaps/>
          <w:szCs w:val="24"/>
        </w:rPr>
        <w:t>translation</w:t>
      </w:r>
      <w:r w:rsidRPr="00453883">
        <w:rPr>
          <w:rFonts w:cs="Times New Roman"/>
          <w:szCs w:val="24"/>
        </w:rPr>
        <w:t xml:space="preserve">] </w:t>
      </w:r>
      <w:r w:rsidRPr="00453883">
        <w:rPr>
          <w:rFonts w:cs="Times New Roman"/>
          <w:lang w:val="en-US"/>
        </w:rPr>
        <w:t>“</w:t>
      </w:r>
      <w:r w:rsidRPr="00453883">
        <w:rPr>
          <w:rFonts w:cs="Times New Roman"/>
        </w:rPr>
        <w:t>the Civil Code is also applicable to the state or its components where a rule of public law has so determined</w:t>
      </w:r>
      <w:r w:rsidRPr="00453883">
        <w:rPr>
          <w:rFonts w:cs="Times New Roman"/>
          <w:lang w:val="en-US"/>
        </w:rPr>
        <w:t xml:space="preserve">” (Brisson, at p. 313). Thus, “the </w:t>
      </w:r>
      <w:r w:rsidRPr="00453883">
        <w:rPr>
          <w:rFonts w:cs="Times New Roman"/>
          <w:i/>
          <w:lang w:val="en-US"/>
        </w:rPr>
        <w:t>Civil Code</w:t>
      </w:r>
      <w:r w:rsidRPr="00453883">
        <w:rPr>
          <w:rFonts w:cs="Times New Roman"/>
          <w:lang w:val="en-US"/>
        </w:rPr>
        <w:t xml:space="preserve"> itself partakes of public law” (Lemieux (2005), at p. 144; see also pp. 149-55),</w:t>
      </w:r>
      <w:r w:rsidRPr="00453883">
        <w:rPr>
          <w:rFonts w:cs="Times New Roman"/>
          <w:i/>
          <w:lang w:val="en-US"/>
        </w:rPr>
        <w:t xml:space="preserve"> </w:t>
      </w:r>
      <w:r w:rsidRPr="00453883">
        <w:rPr>
          <w:rFonts w:cs="Times New Roman"/>
          <w:lang w:val="en-US"/>
        </w:rPr>
        <w:t>and “serves to ground much public and administrative law” (Macdonald, at p. 592).</w:t>
      </w:r>
    </w:p>
    <w:p w14:paraId="7413B031" w14:textId="77777777" w:rsidR="00453883" w:rsidRPr="00453883" w:rsidRDefault="00453883" w:rsidP="00453883">
      <w:pPr>
        <w:pStyle w:val="ParaNoNdepar-AltN"/>
        <w:rPr>
          <w:rFonts w:cs="Times New Roman"/>
          <w:lang w:val="en-US"/>
        </w:rPr>
      </w:pPr>
      <w:r w:rsidRPr="00453883">
        <w:rPr>
          <w:rFonts w:cs="Times New Roman"/>
        </w:rPr>
        <w:t xml:space="preserve">As a result, the proper way to determine whether the </w:t>
      </w:r>
      <w:r w:rsidRPr="00453883">
        <w:rPr>
          <w:rFonts w:cs="Times New Roman"/>
          <w:i/>
        </w:rPr>
        <w:t>C.C.Q.</w:t>
      </w:r>
      <w:r w:rsidRPr="00453883">
        <w:rPr>
          <w:rFonts w:cs="Times New Roman"/>
        </w:rPr>
        <w:t xml:space="preserve"> applies does not involve characterizing the right at issue as either a private law or public law matter. The </w:t>
      </w:r>
      <w:r w:rsidRPr="00453883">
        <w:rPr>
          <w:rFonts w:cs="Times New Roman"/>
          <w:i/>
        </w:rPr>
        <w:t>C.C.Q.</w:t>
      </w:r>
      <w:r w:rsidRPr="00453883">
        <w:rPr>
          <w:rFonts w:cs="Times New Roman"/>
        </w:rPr>
        <w:t xml:space="preserve"> is not limited to stating rules or rights of private law. As this Court has explained, “[i]t is important to </w:t>
      </w:r>
      <w:proofErr w:type="gramStart"/>
      <w:r w:rsidRPr="00453883">
        <w:rPr>
          <w:rFonts w:cs="Times New Roman"/>
        </w:rPr>
        <w:t>recall .</w:t>
      </w:r>
      <w:proofErr w:type="gramEnd"/>
      <w:r w:rsidRPr="00453883">
        <w:rPr>
          <w:rFonts w:cs="Times New Roman"/>
        </w:rPr>
        <w:t xml:space="preserve"> . . that the new Code does not simply lay down a body of private law rules . . . . As stated in its preliminary provision, it is the </w:t>
      </w:r>
      <w:r w:rsidRPr="00453883">
        <w:rPr>
          <w:rFonts w:cs="Times New Roman"/>
          <w:i/>
          <w:u w:val="single"/>
        </w:rPr>
        <w:t xml:space="preserve">jus commune </w:t>
      </w:r>
      <w:r w:rsidRPr="00453883">
        <w:rPr>
          <w:rFonts w:cs="Times New Roman"/>
        </w:rPr>
        <w:t>of Quebec” (</w:t>
      </w:r>
      <w:r w:rsidRPr="00453883">
        <w:rPr>
          <w:rFonts w:cs="Times New Roman"/>
          <w:i/>
        </w:rPr>
        <w:t>Prud’homme</w:t>
      </w:r>
      <w:r w:rsidRPr="00453883">
        <w:rPr>
          <w:rFonts w:cs="Times New Roman"/>
        </w:rPr>
        <w:t xml:space="preserve">, at para. 28 (emphasis in original); see also </w:t>
      </w:r>
      <w:r w:rsidRPr="00453883">
        <w:rPr>
          <w:rFonts w:cs="Times New Roman"/>
          <w:i/>
        </w:rPr>
        <w:t>Finney</w:t>
      </w:r>
      <w:r w:rsidRPr="00453883">
        <w:rPr>
          <w:rFonts w:cs="Times New Roman"/>
        </w:rPr>
        <w:t xml:space="preserve">, at para. 26; </w:t>
      </w:r>
      <w:r w:rsidRPr="00453883">
        <w:rPr>
          <w:rFonts w:cs="Times New Roman"/>
          <w:i/>
        </w:rPr>
        <w:t>Fédération des producteurs</w:t>
      </w:r>
      <w:r w:rsidRPr="00453883">
        <w:rPr>
          <w:rFonts w:cs="Times New Roman"/>
        </w:rPr>
        <w:t xml:space="preserve">, at para. 10). As this Court has also noted, a draft version of the preliminary provision had provided that the </w:t>
      </w:r>
      <w:r w:rsidRPr="00453883">
        <w:rPr>
          <w:rFonts w:cs="Times New Roman"/>
          <w:i/>
        </w:rPr>
        <w:t>C.C.Q.</w:t>
      </w:r>
      <w:r w:rsidRPr="00453883">
        <w:rPr>
          <w:rFonts w:cs="Times New Roman"/>
        </w:rPr>
        <w:t xml:space="preserve"> laid down the “private law”, but in response to debate in the legal literature, “the expression ‘private law’ was replaced by the more inclusive expression ‘</w:t>
      </w:r>
      <w:r w:rsidRPr="00453883">
        <w:rPr>
          <w:rFonts w:cs="Times New Roman"/>
          <w:i/>
        </w:rPr>
        <w:t>jus commune</w:t>
      </w:r>
      <w:r w:rsidRPr="00453883">
        <w:rPr>
          <w:rFonts w:cs="Times New Roman"/>
        </w:rPr>
        <w:t>’” (</w:t>
      </w:r>
      <w:r w:rsidRPr="00453883">
        <w:rPr>
          <w:rFonts w:cs="Times New Roman"/>
          <w:i/>
        </w:rPr>
        <w:t>Prud’homme</w:t>
      </w:r>
      <w:r w:rsidRPr="00453883">
        <w:rPr>
          <w:rFonts w:cs="Times New Roman"/>
        </w:rPr>
        <w:t xml:space="preserve">, at para. 29). The backdrop for this change, the Court found, “leaves no doubt as to the very conscious decision made by the legislature to give the Civil Code the broadest possible operational scope” (para. </w:t>
      </w:r>
      <w:r w:rsidRPr="00453883">
        <w:rPr>
          <w:rFonts w:cs="Times New Roman"/>
          <w:lang w:val="en-US"/>
        </w:rPr>
        <w:t xml:space="preserve">29; Bisson, at pp. 551-53). In sum, to quote Professor Alain-François Bisson: </w:t>
      </w:r>
      <w:r w:rsidRPr="00453883">
        <w:rPr>
          <w:rFonts w:cs="Times New Roman"/>
          <w:szCs w:val="24"/>
          <w:lang w:val="en-US"/>
        </w:rPr>
        <w:t>[</w:t>
      </w:r>
      <w:r w:rsidRPr="00453883">
        <w:rPr>
          <w:rFonts w:cs="Times New Roman"/>
          <w:smallCaps/>
          <w:szCs w:val="24"/>
          <w:lang w:val="en-US"/>
        </w:rPr>
        <w:t>translation</w:t>
      </w:r>
      <w:r w:rsidRPr="00453883">
        <w:rPr>
          <w:rFonts w:cs="Times New Roman"/>
          <w:szCs w:val="24"/>
          <w:lang w:val="en-US"/>
        </w:rPr>
        <w:t>]</w:t>
      </w:r>
      <w:r w:rsidRPr="00453883" w:rsidDel="003E198D">
        <w:rPr>
          <w:rFonts w:cs="Times New Roman"/>
          <w:lang w:val="en-US"/>
        </w:rPr>
        <w:t xml:space="preserve"> </w:t>
      </w:r>
      <w:r w:rsidRPr="00453883">
        <w:rPr>
          <w:rFonts w:cs="Times New Roman"/>
        </w:rPr>
        <w:t xml:space="preserve">“. . . the Civil Code is not a code of private law; it is a code of </w:t>
      </w:r>
      <w:r w:rsidRPr="00453883">
        <w:rPr>
          <w:rFonts w:cs="Times New Roman"/>
          <w:i/>
        </w:rPr>
        <w:t>jus commune</w:t>
      </w:r>
      <w:r w:rsidRPr="00453883">
        <w:rPr>
          <w:rFonts w:cs="Times New Roman"/>
        </w:rPr>
        <w:t>, which does not have private law as its exclusive subject matter</w:t>
      </w:r>
      <w:r w:rsidRPr="00453883">
        <w:rPr>
          <w:rFonts w:cs="Times New Roman"/>
          <w:lang w:val="en-US"/>
        </w:rPr>
        <w:t>” (p. 563).</w:t>
      </w:r>
    </w:p>
    <w:p w14:paraId="325B4648" w14:textId="77777777" w:rsidR="00453883" w:rsidRPr="00453883" w:rsidRDefault="00453883" w:rsidP="00453883">
      <w:pPr>
        <w:pStyle w:val="ParaNoNdepar-AltN"/>
        <w:rPr>
          <w:rFonts w:cs="Times New Roman"/>
        </w:rPr>
      </w:pPr>
      <w:r w:rsidRPr="00453883">
        <w:rPr>
          <w:rFonts w:cs="Times New Roman"/>
          <w:lang w:val="en-US"/>
        </w:rPr>
        <w:t xml:space="preserve">Book Ten of the </w:t>
      </w:r>
      <w:r w:rsidRPr="00453883">
        <w:rPr>
          <w:rFonts w:cs="Times New Roman"/>
          <w:i/>
          <w:lang w:val="en-US"/>
        </w:rPr>
        <w:t>C.C.Q.</w:t>
      </w:r>
      <w:r w:rsidRPr="00453883">
        <w:rPr>
          <w:rFonts w:cs="Times New Roman"/>
          <w:lang w:val="en-US"/>
        </w:rPr>
        <w:t xml:space="preserve">, which codifies the rules of private international law in Quebec, likewise applies as the </w:t>
      </w:r>
      <w:r w:rsidRPr="00453883">
        <w:rPr>
          <w:rFonts w:cs="Times New Roman"/>
          <w:i/>
          <w:lang w:val="en-US"/>
        </w:rPr>
        <w:t>jus commune</w:t>
      </w:r>
      <w:r w:rsidRPr="00453883">
        <w:rPr>
          <w:rFonts w:cs="Times New Roman"/>
          <w:lang w:val="en-US"/>
        </w:rPr>
        <w:t xml:space="preserve"> beyond matters of private law, strictly defined. </w:t>
      </w:r>
      <w:r w:rsidRPr="00453883">
        <w:rPr>
          <w:rFonts w:cs="Times New Roman"/>
        </w:rPr>
        <w:t>The rules of private international law are concerned with “the jurisdiction of courts of the Canadian provinces, with whether that jurisdiction should be exercised, with what law should apply to a dispute, and with whether a court should recognize and enforce a judgment rendered by a court of another province or country” (</w:t>
      </w:r>
      <w:r w:rsidRPr="00453883">
        <w:rPr>
          <w:rFonts w:cs="Times New Roman"/>
          <w:i/>
        </w:rPr>
        <w:t>Van Breda</w:t>
      </w:r>
      <w:r w:rsidRPr="00453883">
        <w:rPr>
          <w:rFonts w:cs="Times New Roman"/>
        </w:rPr>
        <w:t>, at para. </w:t>
      </w:r>
      <w:r w:rsidRPr="00453883">
        <w:rPr>
          <w:rFonts w:cs="Times New Roman"/>
          <w:lang w:val="fr-CA"/>
        </w:rPr>
        <w:t xml:space="preserve">21; see also C. Emanuelli, </w:t>
      </w:r>
      <w:r w:rsidRPr="00453883">
        <w:rPr>
          <w:rFonts w:cs="Times New Roman"/>
          <w:i/>
          <w:lang w:val="fr-CA"/>
        </w:rPr>
        <w:t>Étude comparative sur le droit international privé au Canada</w:t>
      </w:r>
      <w:r w:rsidRPr="00453883">
        <w:rPr>
          <w:rFonts w:cs="Times New Roman"/>
          <w:lang w:val="fr-CA"/>
        </w:rPr>
        <w:t xml:space="preserve"> (2019), at p. 2; G. Goldstein and E. Groffier, </w:t>
      </w:r>
      <w:r w:rsidRPr="00453883">
        <w:rPr>
          <w:rFonts w:cs="Times New Roman"/>
          <w:i/>
          <w:lang w:val="fr-CA"/>
        </w:rPr>
        <w:t>Droit international privé</w:t>
      </w:r>
      <w:r w:rsidRPr="00453883">
        <w:rPr>
          <w:rFonts w:cs="Times New Roman"/>
          <w:lang w:val="fr-CA"/>
        </w:rPr>
        <w:t xml:space="preserve">, vol. </w:t>
      </w:r>
      <w:r w:rsidRPr="00453883">
        <w:rPr>
          <w:rFonts w:cs="Times New Roman"/>
          <w:lang w:val="en-US"/>
        </w:rPr>
        <w:t xml:space="preserve">I, </w:t>
      </w:r>
      <w:r w:rsidRPr="00453883">
        <w:rPr>
          <w:rFonts w:cs="Times New Roman"/>
          <w:i/>
          <w:iCs/>
          <w:lang w:val="en-US"/>
        </w:rPr>
        <w:t>Théorie générale</w:t>
      </w:r>
      <w:r w:rsidRPr="00453883">
        <w:rPr>
          <w:rFonts w:cs="Times New Roman"/>
          <w:iCs/>
          <w:lang w:val="en-US"/>
        </w:rPr>
        <w:t xml:space="preserve"> (1998)</w:t>
      </w:r>
      <w:r w:rsidRPr="00453883">
        <w:rPr>
          <w:rFonts w:cs="Times New Roman"/>
          <w:lang w:val="en-US"/>
        </w:rPr>
        <w:t xml:space="preserve">, at pp. 4-5). </w:t>
      </w:r>
      <w:r w:rsidRPr="00453883">
        <w:rPr>
          <w:rFonts w:cs="Times New Roman"/>
        </w:rPr>
        <w:t xml:space="preserve">These matters extend beyond the narrow scope of private law and also apply, as part of the </w:t>
      </w:r>
      <w:r w:rsidRPr="00453883">
        <w:rPr>
          <w:rFonts w:cs="Times New Roman"/>
          <w:i/>
        </w:rPr>
        <w:t>jus commune</w:t>
      </w:r>
      <w:r w:rsidRPr="00453883">
        <w:rPr>
          <w:rFonts w:cs="Times New Roman"/>
        </w:rPr>
        <w:t xml:space="preserve"> of Quebec, in public and administrative law contexts. </w:t>
      </w:r>
    </w:p>
    <w:p w14:paraId="72A40302" w14:textId="77777777" w:rsidR="00453883" w:rsidRPr="00453883" w:rsidRDefault="00453883" w:rsidP="00453883">
      <w:pPr>
        <w:pStyle w:val="ParaNoNdepar-AltN"/>
        <w:rPr>
          <w:rFonts w:cs="Times New Roman"/>
          <w:lang w:val="en-US"/>
        </w:rPr>
      </w:pPr>
      <w:r w:rsidRPr="00453883">
        <w:rPr>
          <w:rFonts w:cs="Times New Roman"/>
          <w:lang w:val="en-US"/>
        </w:rPr>
        <w:t xml:space="preserve">The jurisdictional rules invoked by the appellants here are contained in Title Three of Book Ten of the </w:t>
      </w:r>
      <w:r w:rsidRPr="00453883">
        <w:rPr>
          <w:rFonts w:cs="Times New Roman"/>
          <w:i/>
          <w:lang w:val="en-US"/>
        </w:rPr>
        <w:t>C.C.Q.</w:t>
      </w:r>
      <w:r w:rsidRPr="00453883">
        <w:rPr>
          <w:rFonts w:cs="Times New Roman"/>
          <w:lang w:val="en-US"/>
        </w:rPr>
        <w:t xml:space="preserve">, “International Jurisdiction of Québec Authorities”, and unless otherwise provided by law apply to administrative tribunals. </w:t>
      </w:r>
      <w:r w:rsidRPr="00453883">
        <w:rPr>
          <w:rFonts w:cs="Times New Roman"/>
          <w:szCs w:val="24"/>
        </w:rPr>
        <w:t xml:space="preserve">To be sure, the FMAT is an administrative tribunal with adjudicative functions “charged with settling disputes between a citizen and an administrative authority” under s. 9 of the </w:t>
      </w:r>
      <w:r w:rsidRPr="00453883">
        <w:rPr>
          <w:rFonts w:eastAsia="Times New Roman" w:cs="Times New Roman"/>
          <w:i/>
          <w:szCs w:val="24"/>
        </w:rPr>
        <w:t>Act respecting administrative justice</w:t>
      </w:r>
      <w:r w:rsidRPr="00453883">
        <w:rPr>
          <w:rFonts w:eastAsia="Times New Roman" w:cs="Times New Roman"/>
          <w:szCs w:val="24"/>
        </w:rPr>
        <w:t xml:space="preserve">, CQLR, c. J-3. </w:t>
      </w:r>
      <w:r w:rsidRPr="00453883">
        <w:rPr>
          <w:rFonts w:cs="Times New Roman"/>
          <w:lang w:val="en-US"/>
        </w:rPr>
        <w:t xml:space="preserve">Quebec authorities within the meaning of Title Three of Book Ten of the </w:t>
      </w:r>
      <w:r w:rsidRPr="00453883">
        <w:rPr>
          <w:rFonts w:cs="Times New Roman"/>
          <w:i/>
          <w:lang w:val="en-US"/>
        </w:rPr>
        <w:t xml:space="preserve">C.C.Q. </w:t>
      </w:r>
      <w:r w:rsidRPr="00453883">
        <w:rPr>
          <w:rFonts w:cs="Times New Roman"/>
          <w:lang w:val="en-US"/>
        </w:rPr>
        <w:t xml:space="preserve">were intended to include </w:t>
      </w:r>
      <w:r w:rsidRPr="00453883">
        <w:rPr>
          <w:rFonts w:cs="Times New Roman"/>
          <w:szCs w:val="24"/>
          <w:lang w:val="en-US"/>
        </w:rPr>
        <w:t>[</w:t>
      </w:r>
      <w:r w:rsidRPr="00453883">
        <w:rPr>
          <w:rFonts w:cs="Times New Roman"/>
          <w:smallCaps/>
          <w:szCs w:val="24"/>
          <w:lang w:val="en-US"/>
        </w:rPr>
        <w:t>translation</w:t>
      </w:r>
      <w:r w:rsidRPr="00453883">
        <w:rPr>
          <w:rFonts w:cs="Times New Roman"/>
          <w:szCs w:val="24"/>
          <w:lang w:val="en-US"/>
        </w:rPr>
        <w:t>]</w:t>
      </w:r>
      <w:r w:rsidRPr="00453883" w:rsidDel="003E198D">
        <w:rPr>
          <w:rFonts w:cs="Times New Roman"/>
          <w:lang w:val="en-US"/>
        </w:rPr>
        <w:t xml:space="preserve"> </w:t>
      </w:r>
      <w:r w:rsidRPr="00453883">
        <w:rPr>
          <w:rFonts w:cs="Times New Roman"/>
          <w:lang w:val="en-US"/>
        </w:rPr>
        <w:t>“</w:t>
      </w:r>
      <w:r w:rsidRPr="00453883">
        <w:rPr>
          <w:rFonts w:cs="Times New Roman"/>
        </w:rPr>
        <w:t>judicial, administrative and even ecclesiastical bodies, for example . . .[,] if [they are] considered as such by Quebec law</w:t>
      </w:r>
      <w:r w:rsidRPr="00453883">
        <w:rPr>
          <w:rFonts w:cs="Times New Roman"/>
          <w:lang w:val="en-US"/>
        </w:rPr>
        <w:t>” (</w:t>
      </w:r>
      <w:r w:rsidRPr="00453883">
        <w:rPr>
          <w:rFonts w:cs="Times New Roman"/>
          <w:i/>
          <w:lang w:val="en-US"/>
        </w:rPr>
        <w:t>Commentaires du ministre de la Justice</w:t>
      </w:r>
      <w:r w:rsidRPr="00453883">
        <w:rPr>
          <w:rFonts w:cs="Times New Roman"/>
          <w:lang w:val="en-US"/>
        </w:rPr>
        <w:t xml:space="preserve">, vol. II, at p. 1998). </w:t>
      </w:r>
      <w:r w:rsidRPr="00453883">
        <w:rPr>
          <w:rFonts w:cs="Times New Roman"/>
        </w:rPr>
        <w:t xml:space="preserve">Quebec authorities have since been found to include, for example, arbitrators, where there is a relevant foreign element justifying resort to the </w:t>
      </w:r>
      <w:r w:rsidRPr="00453883">
        <w:rPr>
          <w:rFonts w:cs="Times New Roman"/>
          <w:i/>
        </w:rPr>
        <w:t>C.C.Q.</w:t>
      </w:r>
      <w:r w:rsidRPr="00453883">
        <w:rPr>
          <w:rFonts w:cs="Times New Roman"/>
        </w:rPr>
        <w:t xml:space="preserve">’s rules of private international law (see </w:t>
      </w:r>
      <w:r w:rsidRPr="00453883">
        <w:rPr>
          <w:rFonts w:cs="Times New Roman"/>
          <w:i/>
        </w:rPr>
        <w:t>Dell Computer Corp. v. Union des consommateurs</w:t>
      </w:r>
      <w:r w:rsidRPr="00453883">
        <w:rPr>
          <w:rFonts w:cs="Times New Roman"/>
        </w:rPr>
        <w:t>, 2007 SCC 34, [2007] 2 S.C.R. 801, at para. 53); Quebec courts (</w:t>
      </w:r>
      <w:r w:rsidRPr="00453883">
        <w:rPr>
          <w:rFonts w:cs="Times New Roman"/>
          <w:i/>
        </w:rPr>
        <w:t>Barer v. Knight Brothers LLC</w:t>
      </w:r>
      <w:r w:rsidRPr="00453883">
        <w:rPr>
          <w:rFonts w:cs="Times New Roman"/>
        </w:rPr>
        <w:t xml:space="preserve">, 2019 SCC 13, [2019] 1 S.C.R. 573, at paras. 111-12; </w:t>
      </w:r>
      <w:r w:rsidRPr="00453883">
        <w:rPr>
          <w:rFonts w:cs="Times New Roman"/>
          <w:i/>
        </w:rPr>
        <w:t>Ormuco inc. v. Ernst &amp; Young</w:t>
      </w:r>
      <w:r w:rsidRPr="00453883">
        <w:rPr>
          <w:rFonts w:cs="Times New Roman"/>
        </w:rPr>
        <w:t>, 2022 QCCA 405, at paras. 8-9 (CanLII)); and administrative tribunals (</w:t>
      </w:r>
      <w:r w:rsidRPr="00453883">
        <w:rPr>
          <w:rFonts w:cs="Times New Roman"/>
          <w:i/>
        </w:rPr>
        <w:t>Ormuco inc.</w:t>
      </w:r>
      <w:r w:rsidRPr="00453883">
        <w:rPr>
          <w:rFonts w:cs="Times New Roman"/>
        </w:rPr>
        <w:t xml:space="preserve">, at paras. 8-9; J. P. McEvoy, “Forum of necessity in Quebec Private International Law: C.c.Q. art. 3136” (2005), 35 </w:t>
      </w:r>
      <w:r w:rsidRPr="00453883">
        <w:rPr>
          <w:rFonts w:cs="Times New Roman"/>
          <w:i/>
        </w:rPr>
        <w:t>R.G.D.</w:t>
      </w:r>
      <w:r w:rsidRPr="00453883">
        <w:rPr>
          <w:rFonts w:cs="Times New Roman"/>
        </w:rPr>
        <w:t xml:space="preserve"> </w:t>
      </w:r>
      <w:r w:rsidRPr="00453883">
        <w:rPr>
          <w:rFonts w:cs="Times New Roman"/>
          <w:lang w:val="en-US"/>
        </w:rPr>
        <w:t xml:space="preserve">61, at p. 66, fn. 8; S. Guillemard and V. A. Ly, </w:t>
      </w:r>
      <w:r w:rsidRPr="00453883">
        <w:rPr>
          <w:rFonts w:cs="Times New Roman"/>
          <w:i/>
          <w:lang w:val="en-US"/>
        </w:rPr>
        <w:t>Éléments de droit international privé québécois</w:t>
      </w:r>
      <w:r w:rsidRPr="00453883">
        <w:rPr>
          <w:rFonts w:cs="Times New Roman"/>
          <w:lang w:val="en-US"/>
        </w:rPr>
        <w:t xml:space="preserve"> (2019), at p. 75).</w:t>
      </w:r>
    </w:p>
    <w:p w14:paraId="19144F2D" w14:textId="77777777" w:rsidR="00453883" w:rsidRPr="00453883" w:rsidRDefault="00453883" w:rsidP="00453883">
      <w:pPr>
        <w:pStyle w:val="ParaNoNdepar-AltN"/>
        <w:rPr>
          <w:rFonts w:cs="Times New Roman"/>
        </w:rPr>
      </w:pPr>
      <w:r w:rsidRPr="00453883">
        <w:rPr>
          <w:rFonts w:cs="Times New Roman"/>
        </w:rPr>
        <w:t xml:space="preserve">In short, the </w:t>
      </w:r>
      <w:r w:rsidRPr="00453883">
        <w:rPr>
          <w:rFonts w:cs="Times New Roman"/>
          <w:i/>
        </w:rPr>
        <w:t>C.C.Q.</w:t>
      </w:r>
      <w:r w:rsidRPr="00453883">
        <w:rPr>
          <w:rFonts w:cs="Times New Roman"/>
        </w:rPr>
        <w:t xml:space="preserve"> is an important source of administrative law in Quebec and, unless otherwise provided by law, Title Three of Book Ten applies to administrative tribunals like the FMAT regardless of whether private rights are at issue, as long as the matters dealt with by the administrative tribunals are “within the letter, spirit or object of [the </w:t>
      </w:r>
      <w:r w:rsidRPr="00453883">
        <w:rPr>
          <w:rFonts w:cs="Times New Roman"/>
          <w:i/>
        </w:rPr>
        <w:t>C.C.Q.</w:t>
      </w:r>
      <w:r w:rsidRPr="00453883">
        <w:rPr>
          <w:rFonts w:cs="Times New Roman"/>
        </w:rPr>
        <w:t xml:space="preserve">’s] provisions”. Otherwise, the scheme establishing the tribunal’s jurisdiction does not fall within the purview of the law of general application established by the </w:t>
      </w:r>
      <w:r w:rsidRPr="00453883">
        <w:rPr>
          <w:rFonts w:cs="Times New Roman"/>
          <w:i/>
        </w:rPr>
        <w:t>C.C.Q.</w:t>
      </w:r>
      <w:r w:rsidRPr="00453883">
        <w:rPr>
          <w:rFonts w:cs="Times New Roman"/>
        </w:rPr>
        <w:t xml:space="preserve"> This is because the object of the regulatory scheme is not captured by the </w:t>
      </w:r>
      <w:r w:rsidRPr="00453883">
        <w:rPr>
          <w:rFonts w:cs="Times New Roman"/>
          <w:i/>
        </w:rPr>
        <w:t>jus commune</w:t>
      </w:r>
      <w:r w:rsidRPr="00453883">
        <w:rPr>
          <w:rFonts w:cs="Times New Roman"/>
        </w:rPr>
        <w:t>.</w:t>
      </w:r>
    </w:p>
    <w:p w14:paraId="3B2E371B" w14:textId="77777777" w:rsidR="00453883" w:rsidRPr="00453883" w:rsidRDefault="00453883" w:rsidP="00453883">
      <w:pPr>
        <w:pStyle w:val="ParaNoNdepar-AltN"/>
        <w:rPr>
          <w:rFonts w:cs="Times New Roman"/>
        </w:rPr>
      </w:pPr>
      <w:r w:rsidRPr="00453883">
        <w:rPr>
          <w:rFonts w:cs="Times New Roman"/>
        </w:rPr>
        <w:t xml:space="preserve">Had the majority of the Quebec Court of Appeal considered these principles, it would not have concluded that Title Three of Book Ten of the </w:t>
      </w:r>
      <w:r w:rsidRPr="00453883">
        <w:rPr>
          <w:rFonts w:cs="Times New Roman"/>
          <w:i/>
        </w:rPr>
        <w:t>C.C.Q.</w:t>
      </w:r>
      <w:r w:rsidRPr="00453883">
        <w:rPr>
          <w:rFonts w:cs="Times New Roman"/>
        </w:rPr>
        <w:t xml:space="preserve"> does not apply. Indeed, the scheme establishing the FMAT’s jurisdiction makes it fall within the purview of the law of general application established by the </w:t>
      </w:r>
      <w:r w:rsidRPr="00453883">
        <w:rPr>
          <w:rFonts w:cs="Times New Roman"/>
          <w:i/>
        </w:rPr>
        <w:t>C.C.Q.</w:t>
      </w:r>
    </w:p>
    <w:p w14:paraId="7704E4C4" w14:textId="77777777" w:rsidR="00453883" w:rsidRPr="00453883" w:rsidRDefault="00453883" w:rsidP="00453883">
      <w:pPr>
        <w:pStyle w:val="ParaNoNdepar-AltN"/>
        <w:rPr>
          <w:rFonts w:cs="Times New Roman"/>
        </w:rPr>
      </w:pPr>
      <w:r w:rsidRPr="00453883">
        <w:rPr>
          <w:rFonts w:cs="Times New Roman"/>
        </w:rPr>
        <w:t xml:space="preserve">The FMAT adjudicates securities law </w:t>
      </w:r>
      <w:r w:rsidRPr="00453883">
        <w:rPr>
          <w:rFonts w:cs="Times New Roman"/>
          <w:szCs w:val="24"/>
        </w:rPr>
        <w:t xml:space="preserve">matters, </w:t>
      </w:r>
      <w:r w:rsidRPr="00453883">
        <w:rPr>
          <w:rFonts w:cs="Times New Roman"/>
        </w:rPr>
        <w:t xml:space="preserve">a hybrid field involving standards established to regulate markets in the public interest, as well as rules designed to resolve disputes between parties. On the one hand, Title VII of the </w:t>
      </w:r>
      <w:r w:rsidRPr="00453883">
        <w:rPr>
          <w:rFonts w:cs="Times New Roman"/>
          <w:i/>
        </w:rPr>
        <w:t>Securities Act</w:t>
      </w:r>
      <w:r w:rsidRPr="00453883">
        <w:rPr>
          <w:rFonts w:cs="Times New Roman"/>
        </w:rPr>
        <w:t xml:space="preserve"> sets out various prohibitions and penalties and Title IX vests the FMAT with powers to make other regulatory orders. On the other hand, Title VIII deals with civil actions, including certain actions brought by market participants for rescission, revision of prices, and damages, and also extends to actions in damages relating to the acquisition and dispositions of securities (ss. 213.1 et seq.). Under s. 93 of the </w:t>
      </w:r>
      <w:r w:rsidRPr="00453883">
        <w:rPr>
          <w:rFonts w:cs="Times New Roman"/>
          <w:i/>
        </w:rPr>
        <w:t>Act respecting the Autorité des marchés financiers</w:t>
      </w:r>
      <w:r w:rsidRPr="00453883">
        <w:rPr>
          <w:rFonts w:cs="Times New Roman"/>
        </w:rPr>
        <w:t xml:space="preserve">, the FMAT has jurisdiction to exercise all the functions and powers assigned to it under the </w:t>
      </w:r>
      <w:r w:rsidRPr="00453883">
        <w:rPr>
          <w:rFonts w:cs="Times New Roman"/>
          <w:i/>
        </w:rPr>
        <w:t>Securities Act</w:t>
      </w:r>
      <w:r w:rsidRPr="00453883">
        <w:rPr>
          <w:rFonts w:cs="Times New Roman"/>
        </w:rPr>
        <w:t>,</w:t>
      </w:r>
      <w:r w:rsidRPr="00453883">
        <w:rPr>
          <w:rFonts w:cs="Times New Roman"/>
          <w:i/>
        </w:rPr>
        <w:t xml:space="preserve"> </w:t>
      </w:r>
      <w:r w:rsidRPr="00453883">
        <w:rPr>
          <w:rFonts w:cs="Times New Roman"/>
        </w:rPr>
        <w:t xml:space="preserve">including under the Title VIII on civil actions (e.g., see s. 233.2 of the </w:t>
      </w:r>
      <w:r w:rsidRPr="00453883">
        <w:rPr>
          <w:rFonts w:cs="Times New Roman"/>
          <w:i/>
        </w:rPr>
        <w:t>Securities Act</w:t>
      </w:r>
      <w:r w:rsidRPr="00453883">
        <w:rPr>
          <w:rFonts w:cs="Times New Roman"/>
        </w:rPr>
        <w:t xml:space="preserve">, which sets out the power to provide a remedy to an interested person in respect of distribution of certain documents, applied in </w:t>
      </w:r>
      <w:r w:rsidRPr="00453883">
        <w:rPr>
          <w:rFonts w:cs="Times New Roman"/>
          <w:i/>
        </w:rPr>
        <w:t>Mines d’or Visible inc. v. Zara Resources Inc.</w:t>
      </w:r>
      <w:r w:rsidRPr="00453883">
        <w:rPr>
          <w:rFonts w:cs="Times New Roman"/>
        </w:rPr>
        <w:t xml:space="preserve">, 2013 QCBDR 95). As a result, the FMAT can make orders that have important consequences on the private rights of actors concerned. The securities scheme establishing the FMAT thus vests it with the powers to adjudicate matters within “the letter, spirit or object of [the </w:t>
      </w:r>
      <w:r w:rsidRPr="00453883">
        <w:rPr>
          <w:rFonts w:cs="Times New Roman"/>
          <w:i/>
        </w:rPr>
        <w:t>C.C.Q.</w:t>
      </w:r>
      <w:r w:rsidRPr="00453883">
        <w:rPr>
          <w:rFonts w:cs="Times New Roman"/>
        </w:rPr>
        <w:t xml:space="preserve">’s] provisions”.  </w:t>
      </w:r>
    </w:p>
    <w:p w14:paraId="11C92ADE" w14:textId="77777777" w:rsidR="00453883" w:rsidRPr="00453883" w:rsidRDefault="00453883" w:rsidP="00453883">
      <w:pPr>
        <w:pStyle w:val="ParaNoNdepar-AltN"/>
        <w:rPr>
          <w:rFonts w:cs="Times New Roman"/>
        </w:rPr>
      </w:pPr>
      <w:r w:rsidRPr="00453883">
        <w:rPr>
          <w:rFonts w:cs="Times New Roman"/>
        </w:rPr>
        <w:t xml:space="preserve">Moreover, s. 93 of the </w:t>
      </w:r>
      <w:r w:rsidRPr="00453883">
        <w:rPr>
          <w:rFonts w:cs="Times New Roman"/>
          <w:i/>
        </w:rPr>
        <w:t>Act respecting the Autorité des marchés financiers</w:t>
      </w:r>
      <w:r w:rsidRPr="00453883">
        <w:rPr>
          <w:rFonts w:cs="Times New Roman"/>
        </w:rPr>
        <w:t xml:space="preserve"> provides that “any interested person” can seize the FMAT of a matter involving the </w:t>
      </w:r>
      <w:r w:rsidRPr="00453883">
        <w:rPr>
          <w:rFonts w:cs="Times New Roman"/>
          <w:i/>
        </w:rPr>
        <w:t>Securities Act</w:t>
      </w:r>
      <w:r w:rsidRPr="00453883">
        <w:rPr>
          <w:rFonts w:cs="Times New Roman"/>
        </w:rPr>
        <w:t xml:space="preserve"> and other aspects of its jurisdiction. </w:t>
      </w:r>
      <w:r w:rsidRPr="00453883">
        <w:rPr>
          <w:rFonts w:cs="Times New Roman"/>
          <w:lang w:val="en-US"/>
        </w:rPr>
        <w:t>This prompted Professor Stéphane Rousseau to observe that [</w:t>
      </w:r>
      <w:r w:rsidRPr="00453883">
        <w:rPr>
          <w:rFonts w:cs="Times New Roman"/>
          <w:smallCaps/>
          <w:lang w:val="en-US"/>
        </w:rPr>
        <w:t>translation</w:t>
      </w:r>
      <w:r w:rsidRPr="00453883">
        <w:rPr>
          <w:rFonts w:cs="Times New Roman"/>
          <w:lang w:val="en-US"/>
        </w:rPr>
        <w:t>] “</w:t>
      </w:r>
      <w:r w:rsidRPr="00453883">
        <w:rPr>
          <w:rFonts w:cs="Times New Roman"/>
        </w:rPr>
        <w:t>the powers [of the FMAT] also apply to disputes that do not concern the AMF and involve only market participants</w:t>
      </w:r>
      <w:r w:rsidRPr="00453883">
        <w:rPr>
          <w:rFonts w:cs="Times New Roman"/>
          <w:lang w:val="en-US"/>
        </w:rPr>
        <w:t>” (p. 18). Although p</w:t>
      </w:r>
      <w:r w:rsidRPr="00453883">
        <w:rPr>
          <w:rFonts w:cs="Times New Roman"/>
        </w:rPr>
        <w:t xml:space="preserve">ersons without an interest cannot substitute themselves for the AMF, the statute gives those whose private rights are affected in the securities market the power to seize the FMAT of a matter (see </w:t>
      </w:r>
      <w:r w:rsidRPr="00453883">
        <w:rPr>
          <w:rFonts w:cs="Times New Roman"/>
          <w:i/>
        </w:rPr>
        <w:t>Financière Manuvie v. Proteau</w:t>
      </w:r>
      <w:r w:rsidRPr="00453883">
        <w:rPr>
          <w:rFonts w:cs="Times New Roman"/>
        </w:rPr>
        <w:t>, 2013 QCBDR 137, at paras. 26, 34, and 38-39 (CanLII)).</w:t>
      </w:r>
    </w:p>
    <w:p w14:paraId="6D7E3D45" w14:textId="77777777" w:rsidR="00453883" w:rsidRPr="00453883" w:rsidRDefault="00453883" w:rsidP="00453883">
      <w:pPr>
        <w:pStyle w:val="ParaNoNdepar-AltN"/>
        <w:rPr>
          <w:rFonts w:cs="Times New Roman"/>
        </w:rPr>
      </w:pPr>
      <w:r w:rsidRPr="00453883">
        <w:rPr>
          <w:rFonts w:cs="Times New Roman"/>
        </w:rPr>
        <w:t>Given this hybridity, the international jurisdiction of the Quebec authority established to decide matters relating to securities law can be seen to involve, in some measure, the governing of matters relating to “persons, relations between persons, and property”, as set out in the preliminary provision.</w:t>
      </w:r>
    </w:p>
    <w:p w14:paraId="1F0169DE" w14:textId="77777777" w:rsidR="00453883" w:rsidRPr="00453883" w:rsidRDefault="00453883" w:rsidP="00453883">
      <w:pPr>
        <w:pStyle w:val="ParaNoNdepar-AltN"/>
        <w:rPr>
          <w:rFonts w:cs="Times New Roman"/>
        </w:rPr>
      </w:pPr>
      <w:r w:rsidRPr="00453883">
        <w:rPr>
          <w:rFonts w:cs="Times New Roman"/>
        </w:rPr>
        <w:t xml:space="preserve">Indeed, provisions of the </w:t>
      </w:r>
      <w:r w:rsidRPr="00453883">
        <w:rPr>
          <w:rFonts w:cs="Times New Roman"/>
          <w:i/>
        </w:rPr>
        <w:t>Securities Act</w:t>
      </w:r>
      <w:r w:rsidRPr="00453883">
        <w:rPr>
          <w:rFonts w:cs="Times New Roman"/>
        </w:rPr>
        <w:t xml:space="preserve"> itself refer to the </w:t>
      </w:r>
      <w:r w:rsidRPr="00453883">
        <w:rPr>
          <w:rFonts w:cs="Times New Roman"/>
          <w:i/>
        </w:rPr>
        <w:t xml:space="preserve">C.C.Q. </w:t>
      </w:r>
      <w:r w:rsidRPr="00453883">
        <w:rPr>
          <w:rFonts w:cs="Times New Roman"/>
        </w:rPr>
        <w:t xml:space="preserve">(e.g., ss. 235 and 273.3), demonstrating the </w:t>
      </w:r>
      <w:r w:rsidRPr="00453883">
        <w:rPr>
          <w:rFonts w:cs="Times New Roman"/>
          <w:i/>
        </w:rPr>
        <w:t>C.C.Q.</w:t>
      </w:r>
      <w:r w:rsidRPr="00453883">
        <w:rPr>
          <w:rFonts w:cs="Times New Roman"/>
        </w:rPr>
        <w:t xml:space="preserve">’s suppletive role to the provisions of the </w:t>
      </w:r>
      <w:r w:rsidRPr="00453883">
        <w:rPr>
          <w:rFonts w:cs="Times New Roman"/>
          <w:i/>
        </w:rPr>
        <w:t>Securities Act</w:t>
      </w:r>
      <w:r w:rsidRPr="00453883">
        <w:rPr>
          <w:rFonts w:cs="Times New Roman"/>
        </w:rPr>
        <w:t xml:space="preserve">. The </w:t>
      </w:r>
      <w:r w:rsidRPr="00453883">
        <w:rPr>
          <w:rFonts w:cs="Times New Roman"/>
          <w:i/>
        </w:rPr>
        <w:t>C.C.Q.</w:t>
      </w:r>
      <w:r w:rsidRPr="00453883">
        <w:rPr>
          <w:rFonts w:cs="Times New Roman"/>
        </w:rPr>
        <w:t xml:space="preserve">’s suppletive role can also be gleaned from s. 236.1 of the </w:t>
      </w:r>
      <w:r w:rsidRPr="00453883">
        <w:rPr>
          <w:rFonts w:cs="Times New Roman"/>
          <w:i/>
        </w:rPr>
        <w:t>Securities Act</w:t>
      </w:r>
      <w:r w:rsidRPr="00453883">
        <w:rPr>
          <w:rFonts w:cs="Times New Roman"/>
        </w:rPr>
        <w:t xml:space="preserve">. This provision derogates from the rules for the international jurisdiction of Quebec authorities set out in Book Ten of the </w:t>
      </w:r>
      <w:r w:rsidRPr="00453883">
        <w:rPr>
          <w:rFonts w:cs="Times New Roman"/>
          <w:i/>
        </w:rPr>
        <w:t>C.C.Q.</w:t>
      </w:r>
      <w:r w:rsidRPr="00453883">
        <w:rPr>
          <w:rFonts w:cs="Times New Roman"/>
        </w:rPr>
        <w:t xml:space="preserve">, by establishing a special jurisdictional rule for civil actions relating to the distribution of a security, a take-over bid, an issuer bid, or actions under Title VIII of the </w:t>
      </w:r>
      <w:r w:rsidRPr="00453883">
        <w:rPr>
          <w:rFonts w:cs="Times New Roman"/>
          <w:i/>
        </w:rPr>
        <w:t>Securities Act</w:t>
      </w:r>
      <w:r w:rsidRPr="00453883">
        <w:rPr>
          <w:rFonts w:cs="Times New Roman"/>
        </w:rPr>
        <w:t>. It states that such actions may be brought before the court of the plaintiff’s residence and that any contrary stipulation as to the jurisdiction of the courts is without effect.</w:t>
      </w:r>
    </w:p>
    <w:p w14:paraId="14472F69" w14:textId="77777777" w:rsidR="00453883" w:rsidRPr="00453883" w:rsidRDefault="00453883" w:rsidP="00453883">
      <w:pPr>
        <w:pStyle w:val="ParaNoNdepar-AltN"/>
        <w:rPr>
          <w:rFonts w:cs="Times New Roman"/>
        </w:rPr>
      </w:pPr>
      <w:r w:rsidRPr="00453883">
        <w:rPr>
          <w:rFonts w:cs="Times New Roman"/>
        </w:rPr>
        <w:t xml:space="preserve">Section 236.1 of the </w:t>
      </w:r>
      <w:r w:rsidRPr="00453883">
        <w:rPr>
          <w:rFonts w:cs="Times New Roman"/>
          <w:i/>
        </w:rPr>
        <w:t>Securities Act</w:t>
      </w:r>
      <w:r w:rsidRPr="00453883">
        <w:rPr>
          <w:rFonts w:cs="Times New Roman"/>
        </w:rPr>
        <w:t xml:space="preserve"> illustrates two aspects of the relationship between the </w:t>
      </w:r>
      <w:r w:rsidRPr="00453883">
        <w:rPr>
          <w:rFonts w:cs="Times New Roman"/>
          <w:i/>
        </w:rPr>
        <w:t>C.C.Q.</w:t>
      </w:r>
      <w:r w:rsidRPr="00453883">
        <w:rPr>
          <w:rFonts w:cs="Times New Roman"/>
        </w:rPr>
        <w:t xml:space="preserve"> and the Quebec securities legislation. First, it suggests that the rules in Book Ten of the </w:t>
      </w:r>
      <w:r w:rsidRPr="00453883">
        <w:rPr>
          <w:rFonts w:cs="Times New Roman"/>
          <w:i/>
        </w:rPr>
        <w:t>C.C.Q.</w:t>
      </w:r>
      <w:r w:rsidRPr="00453883">
        <w:rPr>
          <w:rFonts w:cs="Times New Roman"/>
        </w:rPr>
        <w:t xml:space="preserve"> otherwise serve a suppletive role to the </w:t>
      </w:r>
      <w:r w:rsidRPr="00453883">
        <w:rPr>
          <w:rFonts w:cs="Times New Roman"/>
          <w:i/>
        </w:rPr>
        <w:t>Securities Act</w:t>
      </w:r>
      <w:r w:rsidRPr="00453883">
        <w:rPr>
          <w:rFonts w:cs="Times New Roman"/>
        </w:rPr>
        <w:t>.</w:t>
      </w:r>
      <w:r w:rsidRPr="00453883">
        <w:rPr>
          <w:rFonts w:cs="Times New Roman"/>
          <w:i/>
        </w:rPr>
        <w:t xml:space="preserve"> </w:t>
      </w:r>
      <w:r w:rsidRPr="00453883">
        <w:rPr>
          <w:rFonts w:cs="Times New Roman"/>
        </w:rPr>
        <w:t xml:space="preserve">Second, this provision also confirms that not all of the rules bearing on the international jurisdiction of Quebec authorities are to be found in the </w:t>
      </w:r>
      <w:r w:rsidRPr="00453883">
        <w:rPr>
          <w:rFonts w:cs="Times New Roman"/>
          <w:i/>
        </w:rPr>
        <w:t>C.C.Q.</w:t>
      </w:r>
    </w:p>
    <w:p w14:paraId="09F286BF" w14:textId="77777777" w:rsidR="00453883" w:rsidRPr="00453883" w:rsidRDefault="00453883" w:rsidP="00453883">
      <w:pPr>
        <w:pStyle w:val="ParaNoNdepar-AltN"/>
        <w:rPr>
          <w:rFonts w:cs="Times New Roman"/>
        </w:rPr>
      </w:pPr>
      <w:r w:rsidRPr="00453883">
        <w:rPr>
          <w:rFonts w:cs="Times New Roman"/>
        </w:rPr>
        <w:t xml:space="preserve">In light of the foregoing, the international jurisdiction of the FMAT should be considered, first, in light of the rules set forth in Title Three of Book Ten of the </w:t>
      </w:r>
      <w:r w:rsidRPr="00453883">
        <w:rPr>
          <w:rFonts w:cs="Times New Roman"/>
          <w:i/>
        </w:rPr>
        <w:t>C.C.Q.</w:t>
      </w:r>
    </w:p>
    <w:p w14:paraId="3827F852" w14:textId="77777777" w:rsidR="00453883" w:rsidRPr="00453883" w:rsidRDefault="00453883" w:rsidP="00453883">
      <w:pPr>
        <w:pStyle w:val="Title4LevelTitre4Niveau"/>
        <w:numPr>
          <w:ilvl w:val="3"/>
          <w:numId w:val="8"/>
        </w:numPr>
        <w:jc w:val="both"/>
        <w:rPr>
          <w:rFonts w:cs="Times New Roman"/>
          <w:lang w:val="en-US"/>
        </w:rPr>
      </w:pPr>
      <w:r w:rsidRPr="00453883">
        <w:rPr>
          <w:rFonts w:cs="Times New Roman"/>
          <w:lang w:val="en-US"/>
        </w:rPr>
        <w:t>Title Three of Book Ten of the C.C.Q. Applies Broadly Even in Absence of a Conflict of Jurisdiction or a Conflict of Laws</w:t>
      </w:r>
    </w:p>
    <w:p w14:paraId="706E3EB3" w14:textId="77777777" w:rsidR="00453883" w:rsidRPr="00453883" w:rsidRDefault="00453883" w:rsidP="00453883">
      <w:pPr>
        <w:pStyle w:val="ParaNoNdepar-AltN"/>
        <w:rPr>
          <w:rFonts w:cs="Times New Roman"/>
          <w:lang w:val="fr-CA"/>
        </w:rPr>
      </w:pPr>
      <w:r w:rsidRPr="00453883">
        <w:rPr>
          <w:rFonts w:cs="Times New Roman"/>
          <w:lang w:val="en-US"/>
        </w:rPr>
        <w:t xml:space="preserve">Second, the majority of the Quebec Court of Appeal can be read as having suggested that the private international law rules of Title Three of Book Ten of the </w:t>
      </w:r>
      <w:r w:rsidRPr="00453883">
        <w:rPr>
          <w:rFonts w:cs="Times New Roman"/>
          <w:i/>
          <w:lang w:val="en-US"/>
        </w:rPr>
        <w:t>C.C.Q.</w:t>
      </w:r>
      <w:r w:rsidRPr="00453883">
        <w:rPr>
          <w:rFonts w:cs="Times New Roman"/>
          <w:lang w:val="en-US"/>
        </w:rPr>
        <w:t xml:space="preserve"> do not apply to the FMAT because </w:t>
      </w:r>
      <w:r w:rsidRPr="00453883">
        <w:rPr>
          <w:rFonts w:cs="Times New Roman"/>
        </w:rPr>
        <w:t xml:space="preserve">there is no conflict of jurisdiction or any conflict of laws that calls for the application of private international law rules (para. 78). We respectfully disagree with that premise. Title Three of Book Ten applies not just in cases of conflict of jurisdiction; it applies more broadly to determine the “International Jurisdiction of Québec Authorities”, meaning whether Quebec authorities can assume jurisdiction over disputes containing a foreign element (see </w:t>
      </w:r>
      <w:r w:rsidRPr="00453883">
        <w:rPr>
          <w:rFonts w:cs="Times New Roman"/>
          <w:i/>
        </w:rPr>
        <w:t>Dell</w:t>
      </w:r>
      <w:r w:rsidRPr="00453883">
        <w:rPr>
          <w:rFonts w:cs="Times New Roman"/>
        </w:rPr>
        <w:t>,</w:t>
      </w:r>
      <w:r w:rsidRPr="00453883">
        <w:rPr>
          <w:rFonts w:cs="Times New Roman"/>
          <w:i/>
        </w:rPr>
        <w:t xml:space="preserve"> </w:t>
      </w:r>
      <w:r w:rsidRPr="00453883">
        <w:rPr>
          <w:rFonts w:cs="Times New Roman"/>
        </w:rPr>
        <w:t xml:space="preserve">at paras. 22-23; Guillemard and Ly, at pp. 19 and 77; C. Emanuelli, </w:t>
      </w:r>
      <w:r w:rsidRPr="00453883">
        <w:rPr>
          <w:rFonts w:cs="Times New Roman"/>
          <w:i/>
        </w:rPr>
        <w:t>Droit international privé québécois</w:t>
      </w:r>
      <w:r w:rsidRPr="00453883">
        <w:rPr>
          <w:rFonts w:cs="Times New Roman"/>
        </w:rPr>
        <w:t xml:space="preserve"> (3rd ed. 2011), at No. 148). </w:t>
      </w:r>
      <w:r w:rsidRPr="00453883">
        <w:rPr>
          <w:rFonts w:cs="Times New Roman"/>
          <w:lang w:val="fr-CA"/>
        </w:rPr>
        <w:t xml:space="preserve">As explained in the </w:t>
      </w:r>
      <w:r w:rsidRPr="00453883">
        <w:rPr>
          <w:rFonts w:cs="Times New Roman"/>
          <w:i/>
          <w:lang w:val="fr-CA"/>
        </w:rPr>
        <w:t>Commentaires du ministre de la Justice</w:t>
      </w:r>
      <w:r w:rsidRPr="00453883">
        <w:rPr>
          <w:rFonts w:cs="Times New Roman"/>
          <w:lang w:val="fr-CA"/>
        </w:rPr>
        <w:t>, vol. II, at p. 1998:</w:t>
      </w:r>
    </w:p>
    <w:p w14:paraId="50683BDB" w14:textId="77777777" w:rsidR="00453883" w:rsidRPr="00453883" w:rsidRDefault="00453883" w:rsidP="00453883">
      <w:pPr>
        <w:pStyle w:val="Citation-AltC"/>
        <w:rPr>
          <w:lang w:val="en-US"/>
        </w:rPr>
      </w:pPr>
      <w:r w:rsidRPr="00453883">
        <w:rPr>
          <w:lang w:val="en-US"/>
        </w:rPr>
        <w:t>[</w:t>
      </w:r>
      <w:r w:rsidRPr="00453883">
        <w:rPr>
          <w:smallCaps/>
          <w:lang w:val="en-US"/>
        </w:rPr>
        <w:t>translation</w:t>
      </w:r>
      <w:r w:rsidRPr="00453883">
        <w:rPr>
          <w:lang w:val="en-US"/>
        </w:rPr>
        <w:t>]</w:t>
      </w:r>
      <w:r w:rsidRPr="00453883">
        <w:t xml:space="preserve"> . . . </w:t>
      </w:r>
      <w:r w:rsidRPr="00453883">
        <w:rPr>
          <w:iCs/>
        </w:rPr>
        <w:t>the traditional expression</w:t>
      </w:r>
      <w:r w:rsidRPr="00453883">
        <w:t xml:space="preserve"> </w:t>
      </w:r>
      <w:r w:rsidRPr="00453883">
        <w:rPr>
          <w:i/>
          <w:iCs/>
        </w:rPr>
        <w:t>conflict of jurisdiction</w:t>
      </w:r>
      <w:r w:rsidRPr="00453883">
        <w:rPr>
          <w:iCs/>
        </w:rPr>
        <w:t xml:space="preserve"> was not used, because the purpose here is solely to determine the cases </w:t>
      </w:r>
      <w:r w:rsidRPr="00453883">
        <w:t xml:space="preserve">in which Quebec authorities will have jurisdiction to hear a dispute with a foreign element, not the cases in which foreign authorities will have jurisdiction. </w:t>
      </w:r>
      <w:r w:rsidRPr="00453883">
        <w:rPr>
          <w:lang w:val="en-US"/>
        </w:rPr>
        <w:t>[Emphasis in original.]</w:t>
      </w:r>
    </w:p>
    <w:p w14:paraId="49CD30E0" w14:textId="77777777" w:rsidR="00453883" w:rsidRPr="00453883" w:rsidRDefault="00453883" w:rsidP="00453883">
      <w:pPr>
        <w:pStyle w:val="ParaNoNdepar-AltN"/>
        <w:rPr>
          <w:rFonts w:cs="Times New Roman"/>
          <w:lang w:val="en-US"/>
        </w:rPr>
      </w:pPr>
      <w:r w:rsidRPr="00453883">
        <w:rPr>
          <w:rFonts w:cs="Times New Roman"/>
        </w:rPr>
        <w:t xml:space="preserve">In fairness to the majority, when they said that there was no conflict of jurisdiction that would call for the application of private international law rules, it was in support of the view that the FMAT simply sought to apply a Quebec statute to make determinations under s. 93 of the </w:t>
      </w:r>
      <w:r w:rsidRPr="00453883">
        <w:rPr>
          <w:rFonts w:cs="Times New Roman"/>
          <w:i/>
        </w:rPr>
        <w:t>Act respecting the Autorité des marchés financiers</w:t>
      </w:r>
      <w:r w:rsidRPr="00453883">
        <w:rPr>
          <w:rFonts w:cs="Times New Roman"/>
        </w:rPr>
        <w:t xml:space="preserve">, rather than to resolve an issue of competing jurisdictions. It is, however, imprecise to say that Book Ten of the </w:t>
      </w:r>
      <w:r w:rsidRPr="00453883">
        <w:rPr>
          <w:rFonts w:cs="Times New Roman"/>
          <w:i/>
        </w:rPr>
        <w:t xml:space="preserve">C.C.Q. </w:t>
      </w:r>
      <w:r w:rsidRPr="00453883">
        <w:rPr>
          <w:rFonts w:cs="Times New Roman"/>
        </w:rPr>
        <w:t>does not apply on the basis that the matter before the court raises no question of conflict of jurisdiction or conflict of laws.</w:t>
      </w:r>
    </w:p>
    <w:p w14:paraId="5FD8E5ED" w14:textId="77777777" w:rsidR="00453883" w:rsidRPr="00453883" w:rsidRDefault="00453883" w:rsidP="00453883">
      <w:pPr>
        <w:pStyle w:val="Title2LevelTitre2Niveau"/>
        <w:numPr>
          <w:ilvl w:val="1"/>
          <w:numId w:val="8"/>
        </w:numPr>
        <w:jc w:val="both"/>
        <w:rPr>
          <w:rFonts w:cs="Times New Roman"/>
        </w:rPr>
      </w:pPr>
      <w:r w:rsidRPr="00453883">
        <w:rPr>
          <w:rFonts w:cs="Times New Roman"/>
        </w:rPr>
        <w:t>The C.C.Q.’s General Rules for the International Jurisdiction of Quebec Authorities</w:t>
      </w:r>
    </w:p>
    <w:p w14:paraId="1EF9AC29" w14:textId="77777777" w:rsidR="00453883" w:rsidRPr="00453883" w:rsidRDefault="00453883" w:rsidP="00453883">
      <w:pPr>
        <w:pStyle w:val="Title3LevelTitre3Niveau"/>
        <w:numPr>
          <w:ilvl w:val="2"/>
          <w:numId w:val="8"/>
        </w:numPr>
        <w:rPr>
          <w:rFonts w:cs="Times New Roman"/>
        </w:rPr>
      </w:pPr>
      <w:r w:rsidRPr="00453883">
        <w:rPr>
          <w:rFonts w:cs="Times New Roman"/>
        </w:rPr>
        <w:t>Introduction</w:t>
      </w:r>
    </w:p>
    <w:p w14:paraId="6B4E6C6C" w14:textId="77777777" w:rsidR="00453883" w:rsidRPr="00453883" w:rsidRDefault="00453883" w:rsidP="00453883">
      <w:pPr>
        <w:pStyle w:val="ParaNoNdepar-AltN"/>
        <w:rPr>
          <w:rFonts w:cs="Times New Roman"/>
        </w:rPr>
      </w:pPr>
      <w:r w:rsidRPr="00453883">
        <w:rPr>
          <w:rFonts w:cs="Times New Roman"/>
        </w:rPr>
        <w:t xml:space="preserve">We now proceed to apply the interpretive methodology outlined above regarding the relationship between the </w:t>
      </w:r>
      <w:r w:rsidRPr="00453883">
        <w:rPr>
          <w:rFonts w:cs="Times New Roman"/>
          <w:i/>
        </w:rPr>
        <w:t>C.C.Q.</w:t>
      </w:r>
      <w:r w:rsidRPr="00453883">
        <w:rPr>
          <w:rFonts w:cs="Times New Roman"/>
        </w:rPr>
        <w:t xml:space="preserve"> and special statutes. In this section, we begin with the </w:t>
      </w:r>
      <w:r w:rsidRPr="00453883">
        <w:rPr>
          <w:rFonts w:cs="Times New Roman"/>
          <w:i/>
        </w:rPr>
        <w:t>C.C.Q.</w:t>
      </w:r>
      <w:r w:rsidRPr="00453883">
        <w:rPr>
          <w:rFonts w:cs="Times New Roman"/>
        </w:rPr>
        <w:t xml:space="preserve"> as the </w:t>
      </w:r>
      <w:r w:rsidRPr="00453883">
        <w:rPr>
          <w:rFonts w:cs="Times New Roman"/>
          <w:i/>
        </w:rPr>
        <w:t>jus commune</w:t>
      </w:r>
      <w:r w:rsidRPr="00453883">
        <w:rPr>
          <w:rFonts w:cs="Times New Roman"/>
        </w:rPr>
        <w:t xml:space="preserve">. We outline the </w:t>
      </w:r>
      <w:r w:rsidRPr="00453883">
        <w:rPr>
          <w:rFonts w:cs="Times New Roman"/>
          <w:i/>
        </w:rPr>
        <w:t>C.C.Q.</w:t>
      </w:r>
      <w:r w:rsidRPr="00453883">
        <w:rPr>
          <w:rFonts w:cs="Times New Roman"/>
        </w:rPr>
        <w:t xml:space="preserve">’s general rules for the international jurisdiction of Quebec authorities and interpret arts. 3148 para. 1(3) and 3136 </w:t>
      </w:r>
      <w:r w:rsidRPr="00453883">
        <w:rPr>
          <w:rFonts w:cs="Times New Roman"/>
          <w:i/>
        </w:rPr>
        <w:t>C.C.Q.</w:t>
      </w:r>
      <w:r w:rsidRPr="00453883">
        <w:rPr>
          <w:rFonts w:cs="Times New Roman"/>
        </w:rPr>
        <w:t xml:space="preserve">, which Mainville J.A. relied on in determining that the FMAT has jurisdiction over the appellants. We conclude that neither provision, nor any other special provision, nor the residual jurisdiction rule of the </w:t>
      </w:r>
      <w:r w:rsidRPr="00453883">
        <w:rPr>
          <w:rFonts w:cs="Times New Roman"/>
          <w:i/>
        </w:rPr>
        <w:t xml:space="preserve">C.C.Q. </w:t>
      </w:r>
      <w:r w:rsidRPr="00453883">
        <w:rPr>
          <w:rFonts w:cs="Times New Roman"/>
        </w:rPr>
        <w:t xml:space="preserve">provides the FMAT with jurisdiction over the appellants. In the following sections, we then review the special rules for the FMAT’s jurisdiction under the Quebec securities scheme, and explain how the territorial reach of those provisions is determined in accordance with this Court’s decision in </w:t>
      </w:r>
      <w:r w:rsidRPr="00453883">
        <w:rPr>
          <w:rFonts w:cs="Times New Roman"/>
          <w:i/>
        </w:rPr>
        <w:t>Unifund</w:t>
      </w:r>
      <w:r w:rsidRPr="00453883">
        <w:rPr>
          <w:rFonts w:cs="Times New Roman"/>
        </w:rPr>
        <w:t xml:space="preserve">. We interpret the relevant special jurisdictional rules of the Quebec securities scheme in light of </w:t>
      </w:r>
      <w:r w:rsidRPr="00453883">
        <w:rPr>
          <w:rFonts w:cs="Times New Roman"/>
          <w:i/>
        </w:rPr>
        <w:t>Unifund</w:t>
      </w:r>
      <w:r w:rsidRPr="00453883">
        <w:rPr>
          <w:rFonts w:cs="Times New Roman"/>
        </w:rPr>
        <w:t>, and explain why that scheme provides the FMAT with jurisdiction over the out-of-province appellants in this case.</w:t>
      </w:r>
    </w:p>
    <w:p w14:paraId="3AA248AC" w14:textId="77777777" w:rsidR="00453883" w:rsidRPr="00453883" w:rsidRDefault="00453883" w:rsidP="00453883">
      <w:pPr>
        <w:pStyle w:val="Title3LevelTitre3Niveau"/>
        <w:numPr>
          <w:ilvl w:val="2"/>
          <w:numId w:val="8"/>
        </w:numPr>
        <w:jc w:val="both"/>
        <w:rPr>
          <w:rFonts w:cs="Times New Roman"/>
        </w:rPr>
      </w:pPr>
      <w:r w:rsidRPr="00453883">
        <w:rPr>
          <w:rFonts w:cs="Times New Roman"/>
        </w:rPr>
        <w:t xml:space="preserve">The </w:t>
      </w:r>
      <w:r w:rsidRPr="00453883">
        <w:rPr>
          <w:rFonts w:cs="Times New Roman"/>
          <w:i/>
        </w:rPr>
        <w:t>C.C.Q.</w:t>
      </w:r>
      <w:r w:rsidRPr="00453883">
        <w:rPr>
          <w:rFonts w:cs="Times New Roman"/>
        </w:rPr>
        <w:t xml:space="preserve"> Does Not Give the FMAT Jurisdiction Over the Appellants</w:t>
      </w:r>
    </w:p>
    <w:p w14:paraId="7ECAB570" w14:textId="77777777" w:rsidR="00453883" w:rsidRPr="00453883" w:rsidRDefault="00453883" w:rsidP="00453883">
      <w:pPr>
        <w:pStyle w:val="ParaNoNdepar-AltN"/>
        <w:rPr>
          <w:rFonts w:cs="Times New Roman"/>
        </w:rPr>
      </w:pPr>
      <w:r w:rsidRPr="00453883">
        <w:rPr>
          <w:rFonts w:cs="Times New Roman"/>
        </w:rPr>
        <w:t xml:space="preserve">As previously discussed, Book Ten of the </w:t>
      </w:r>
      <w:r w:rsidRPr="00453883">
        <w:rPr>
          <w:rFonts w:cs="Times New Roman"/>
          <w:i/>
        </w:rPr>
        <w:t>C.C.Q.</w:t>
      </w:r>
      <w:r w:rsidRPr="00453883">
        <w:rPr>
          <w:rFonts w:cs="Times New Roman"/>
        </w:rPr>
        <w:t xml:space="preserve"> sets out the rules of private international law in Quebec and “contains a well-developed set of rules and principles in this area” (</w:t>
      </w:r>
      <w:r w:rsidRPr="00453883">
        <w:rPr>
          <w:rFonts w:cs="Times New Roman"/>
          <w:i/>
        </w:rPr>
        <w:t>Van Breda</w:t>
      </w:r>
      <w:r w:rsidRPr="00453883">
        <w:rPr>
          <w:rFonts w:cs="Times New Roman"/>
        </w:rPr>
        <w:t xml:space="preserve">, at para. 21). </w:t>
      </w:r>
      <w:r w:rsidRPr="00453883">
        <w:rPr>
          <w:rFonts w:cs="Times New Roman"/>
          <w:lang w:val="en-US"/>
        </w:rPr>
        <w:t xml:space="preserve">The rules of private international law in Quebec include the rules for the international jurisdiction of Quebec authorities codified in Title Three of </w:t>
      </w:r>
      <w:r w:rsidRPr="00453883">
        <w:rPr>
          <w:rFonts w:cs="Times New Roman"/>
        </w:rPr>
        <w:t xml:space="preserve">Book Ten of the </w:t>
      </w:r>
      <w:r w:rsidRPr="00453883">
        <w:rPr>
          <w:rFonts w:cs="Times New Roman"/>
          <w:i/>
        </w:rPr>
        <w:t>C.C.Q.</w:t>
      </w:r>
      <w:r w:rsidRPr="00453883">
        <w:rPr>
          <w:rFonts w:cs="Times New Roman"/>
        </w:rPr>
        <w:t xml:space="preserve"> Book Ten limits “the jurisdiction of Quebec authorities to matters closely linked to the province” (</w:t>
      </w:r>
      <w:r w:rsidRPr="00453883">
        <w:rPr>
          <w:rFonts w:cs="Times New Roman"/>
          <w:i/>
          <w:lang w:bidi="en-US"/>
        </w:rPr>
        <w:t>Newfoundland and Labrador (Attorney General) v. Uashaunnuat (Innu of Uashat and of Mani-Utenam)</w:t>
      </w:r>
      <w:r w:rsidRPr="00453883">
        <w:rPr>
          <w:rFonts w:cs="Times New Roman"/>
          <w:lang w:bidi="en-US"/>
        </w:rPr>
        <w:t>, 2020 SCC 4, [2020] 1 S.C.R. 15</w:t>
      </w:r>
      <w:r w:rsidRPr="00453883">
        <w:rPr>
          <w:rFonts w:cs="Times New Roman"/>
        </w:rPr>
        <w:t>, at para. 16). These rules “must be read as a coherent whole and in light of the principles of comity, order and fairness” (</w:t>
      </w:r>
      <w:r w:rsidRPr="00453883">
        <w:rPr>
          <w:rFonts w:cs="Times New Roman"/>
          <w:i/>
        </w:rPr>
        <w:t>Spar Aerospace</w:t>
      </w:r>
      <w:r w:rsidRPr="00453883">
        <w:rPr>
          <w:rFonts w:cs="Times New Roman"/>
        </w:rPr>
        <w:t xml:space="preserve">, at para. 55; see also </w:t>
      </w:r>
      <w:r w:rsidRPr="00453883">
        <w:rPr>
          <w:rFonts w:cs="Times New Roman"/>
          <w:i/>
        </w:rPr>
        <w:t>Van Breda</w:t>
      </w:r>
      <w:r w:rsidRPr="00453883">
        <w:rPr>
          <w:rFonts w:cs="Times New Roman"/>
        </w:rPr>
        <w:t xml:space="preserve">, at para. 21; </w:t>
      </w:r>
      <w:r w:rsidRPr="00453883">
        <w:rPr>
          <w:rFonts w:cs="Times New Roman"/>
          <w:i/>
        </w:rPr>
        <w:t>Uashaunnuat</w:t>
      </w:r>
      <w:r w:rsidRPr="00453883">
        <w:rPr>
          <w:rFonts w:cs="Times New Roman"/>
        </w:rPr>
        <w:t>, at para. 17).</w:t>
      </w:r>
    </w:p>
    <w:p w14:paraId="419F8A6A" w14:textId="77777777" w:rsidR="00453883" w:rsidRPr="00453883" w:rsidRDefault="00453883" w:rsidP="00453883">
      <w:pPr>
        <w:pStyle w:val="ParaNoNdepar-AltN"/>
        <w:rPr>
          <w:rFonts w:cs="Times New Roman"/>
        </w:rPr>
      </w:pPr>
      <w:r w:rsidRPr="00453883">
        <w:rPr>
          <w:rFonts w:cs="Times New Roman"/>
        </w:rPr>
        <w:t xml:space="preserve">Title Three of Book Ten of the </w:t>
      </w:r>
      <w:r w:rsidRPr="00453883">
        <w:rPr>
          <w:rFonts w:cs="Times New Roman"/>
          <w:i/>
        </w:rPr>
        <w:t>C.C.Q.</w:t>
      </w:r>
      <w:r w:rsidRPr="00453883">
        <w:rPr>
          <w:rFonts w:cs="Times New Roman"/>
        </w:rPr>
        <w:t xml:space="preserve"> begins with general rules. The first provision, art. 3134 </w:t>
      </w:r>
      <w:r w:rsidRPr="00453883">
        <w:rPr>
          <w:rFonts w:cs="Times New Roman"/>
          <w:i/>
        </w:rPr>
        <w:t>C.C.Q.</w:t>
      </w:r>
      <w:r w:rsidRPr="00453883">
        <w:rPr>
          <w:rFonts w:cs="Times New Roman"/>
        </w:rPr>
        <w:t>, states that “[i]n the absence of any special provision, Québec authorities have jurisdiction when the defendant is domiciled in Québec”. This is a suppletive or residual jurisdictional rule for international jurisdiction based on domicile, which applies in the absence of an applicable special provision in Chapter II of Title Three of Book Ten (</w:t>
      </w:r>
      <w:r w:rsidRPr="00453883">
        <w:rPr>
          <w:rFonts w:cs="Times New Roman"/>
          <w:i/>
        </w:rPr>
        <w:t>Uashaunnuat</w:t>
      </w:r>
      <w:r w:rsidRPr="00453883">
        <w:rPr>
          <w:rFonts w:cs="Times New Roman"/>
        </w:rPr>
        <w:t xml:space="preserve">, at para. 18). Since the appellants are not domiciled in Quebec, unless a special provision in Chapter II of Title Three of Book Ten gives the FMAT jurisdiction over the appellants, there will be no basis for the FMAT to assert jurisdiction under the general rules of private international law set out in Book Ten of the </w:t>
      </w:r>
      <w:r w:rsidRPr="00453883">
        <w:rPr>
          <w:rFonts w:cs="Times New Roman"/>
          <w:i/>
        </w:rPr>
        <w:t>C.C.Q.</w:t>
      </w:r>
    </w:p>
    <w:p w14:paraId="208DE0BF" w14:textId="77777777" w:rsidR="00453883" w:rsidRPr="00453883" w:rsidRDefault="00453883" w:rsidP="00453883">
      <w:pPr>
        <w:pStyle w:val="ParaNoNdepar-AltN"/>
        <w:rPr>
          <w:rFonts w:cs="Times New Roman"/>
        </w:rPr>
      </w:pPr>
      <w:r w:rsidRPr="00453883">
        <w:rPr>
          <w:rFonts w:cs="Times New Roman"/>
        </w:rPr>
        <w:t xml:space="preserve">An examination of the jurisdictional rules set out in Book Ten and more specifically arts. 3148 para. 1(3) and 3136 </w:t>
      </w:r>
      <w:r w:rsidRPr="00453883">
        <w:rPr>
          <w:rFonts w:cs="Times New Roman"/>
          <w:i/>
        </w:rPr>
        <w:t>C.C.Q.</w:t>
      </w:r>
      <w:r w:rsidRPr="00453883">
        <w:rPr>
          <w:rFonts w:cs="Times New Roman"/>
        </w:rPr>
        <w:t>, relied on by Mainville J.A., leads to the conclusion that no provision gives the FMAT jurisdiction over the appellants. We address each rule discussed by Mainville J.A. in turn.</w:t>
      </w:r>
    </w:p>
    <w:p w14:paraId="7DF3C9DD" w14:textId="77777777" w:rsidR="00453883" w:rsidRPr="00453883" w:rsidRDefault="00453883" w:rsidP="00453883">
      <w:pPr>
        <w:pStyle w:val="Title4LevelTitre4Niveau"/>
        <w:tabs>
          <w:tab w:val="clear" w:pos="900"/>
        </w:tabs>
        <w:rPr>
          <w:rFonts w:cs="Times New Roman"/>
          <w:lang w:val="fr-CA"/>
        </w:rPr>
      </w:pPr>
      <w:r w:rsidRPr="00453883">
        <w:rPr>
          <w:rFonts w:cs="Times New Roman"/>
          <w:lang w:val="fr-CA"/>
        </w:rPr>
        <w:t>Article 3148 Para. 1(3) C.C.Q.</w:t>
      </w:r>
    </w:p>
    <w:p w14:paraId="0C941242" w14:textId="77777777" w:rsidR="00453883" w:rsidRPr="00453883" w:rsidRDefault="00453883" w:rsidP="00453883">
      <w:pPr>
        <w:pStyle w:val="ParaNoNdepar-AltN"/>
        <w:rPr>
          <w:rFonts w:cs="Times New Roman"/>
          <w:lang w:val="fr-CA"/>
        </w:rPr>
      </w:pPr>
      <w:r w:rsidRPr="00453883">
        <w:rPr>
          <w:rFonts w:cs="Times New Roman"/>
          <w:lang w:val="fr-CA"/>
        </w:rPr>
        <w:t xml:space="preserve">Article 3148 para. 1(3) </w:t>
      </w:r>
      <w:r w:rsidRPr="00453883">
        <w:rPr>
          <w:rFonts w:cs="Times New Roman"/>
          <w:i/>
          <w:lang w:val="fr-CA"/>
        </w:rPr>
        <w:t>C.C.Q.</w:t>
      </w:r>
      <w:r w:rsidRPr="00453883">
        <w:rPr>
          <w:rFonts w:cs="Times New Roman"/>
          <w:lang w:val="fr-CA"/>
        </w:rPr>
        <w:t xml:space="preserve"> states:</w:t>
      </w:r>
    </w:p>
    <w:p w14:paraId="278D21E7" w14:textId="77777777" w:rsidR="00453883" w:rsidRPr="00453883" w:rsidRDefault="00453883" w:rsidP="00453883">
      <w:pPr>
        <w:pStyle w:val="Citation-AltC"/>
        <w:rPr>
          <w:lang w:val="en-US"/>
        </w:rPr>
      </w:pPr>
      <w:r w:rsidRPr="00453883">
        <w:rPr>
          <w:b/>
          <w:lang w:val="en-US"/>
        </w:rPr>
        <w:t>3148.</w:t>
      </w:r>
      <w:r w:rsidRPr="00453883">
        <w:rPr>
          <w:lang w:val="en-US"/>
        </w:rPr>
        <w:t> In personal actions of a patrimonial nature, Québec authorities have jurisdiction in the following cases:</w:t>
      </w:r>
    </w:p>
    <w:p w14:paraId="6C5A7009" w14:textId="77777777" w:rsidR="00453883" w:rsidRPr="00453883" w:rsidRDefault="00453883" w:rsidP="00453883">
      <w:pPr>
        <w:pStyle w:val="Citation-AltC"/>
        <w:rPr>
          <w:lang w:val="en-US"/>
        </w:rPr>
      </w:pPr>
    </w:p>
    <w:p w14:paraId="6488F04B" w14:textId="77777777" w:rsidR="00453883" w:rsidRPr="00453883" w:rsidRDefault="00453883" w:rsidP="00453883">
      <w:pPr>
        <w:pStyle w:val="Citation-AltC"/>
        <w:jc w:val="center"/>
        <w:rPr>
          <w:lang w:val="en-US"/>
        </w:rPr>
      </w:pPr>
      <w:r w:rsidRPr="00453883">
        <w:rPr>
          <w:lang w:val="en-US"/>
        </w:rPr>
        <w:t>. . .</w:t>
      </w:r>
    </w:p>
    <w:p w14:paraId="74776428" w14:textId="77777777" w:rsidR="00453883" w:rsidRPr="00453883" w:rsidRDefault="00453883" w:rsidP="00453883">
      <w:pPr>
        <w:pStyle w:val="Citation-AltC"/>
        <w:rPr>
          <w:lang w:val="en-US"/>
        </w:rPr>
      </w:pPr>
    </w:p>
    <w:p w14:paraId="234A367D" w14:textId="77777777" w:rsidR="00453883" w:rsidRPr="00453883" w:rsidRDefault="00453883" w:rsidP="00453883">
      <w:pPr>
        <w:pStyle w:val="Citation-AltC"/>
        <w:ind w:left="1440"/>
        <w:rPr>
          <w:lang w:val="en-US"/>
        </w:rPr>
      </w:pPr>
      <w:r w:rsidRPr="00453883">
        <w:rPr>
          <w:lang w:val="en-US"/>
        </w:rPr>
        <w:t>(3) </w:t>
      </w:r>
      <w:proofErr w:type="gramStart"/>
      <w:r w:rsidRPr="00453883">
        <w:rPr>
          <w:lang w:val="en-US"/>
        </w:rPr>
        <w:t>a</w:t>
      </w:r>
      <w:proofErr w:type="gramEnd"/>
      <w:r w:rsidRPr="00453883">
        <w:rPr>
          <w:lang w:val="en-US"/>
        </w:rPr>
        <w:t xml:space="preserve"> fault was committed in Québec, injury was suffered in Québec, an injurious act or omission occurred in Québec or one of the obligations arising from a contract was to be performed in Québec;</w:t>
      </w:r>
    </w:p>
    <w:p w14:paraId="711918DF" w14:textId="77777777" w:rsidR="00453883" w:rsidRPr="00453883" w:rsidRDefault="00453883" w:rsidP="00453883">
      <w:pPr>
        <w:numPr>
          <w:ilvl w:val="0"/>
          <w:numId w:val="6"/>
        </w:numPr>
        <w:tabs>
          <w:tab w:val="clear" w:pos="1152"/>
          <w:tab w:val="left" w:pos="1166"/>
        </w:tabs>
        <w:spacing w:before="480" w:after="480" w:line="480" w:lineRule="auto"/>
        <w:jc w:val="both"/>
        <w:rPr>
          <w:rFonts w:eastAsiaTheme="minorEastAsia"/>
        </w:rPr>
      </w:pPr>
      <w:r w:rsidRPr="00453883">
        <w:t xml:space="preserve">Mainville J.A. accepted that the present matter before the FMAT is not a personal action of a patrimonial nature in the usual sense, but found that it is very close to being so, and therefore applied art. 3148 para. 1(3) </w:t>
      </w:r>
      <w:r w:rsidRPr="00453883">
        <w:rPr>
          <w:i/>
        </w:rPr>
        <w:t>C.C.Q.</w:t>
      </w:r>
      <w:r w:rsidRPr="00453883">
        <w:t xml:space="preserve"> by analogy (para. 144). We respectfully disagree with this conclusion.</w:t>
      </w:r>
    </w:p>
    <w:p w14:paraId="6ADC1D71" w14:textId="77777777" w:rsidR="00453883" w:rsidRPr="00453883" w:rsidRDefault="00453883" w:rsidP="00453883">
      <w:pPr>
        <w:numPr>
          <w:ilvl w:val="0"/>
          <w:numId w:val="6"/>
        </w:numPr>
        <w:tabs>
          <w:tab w:val="clear" w:pos="1152"/>
          <w:tab w:val="left" w:pos="1166"/>
        </w:tabs>
        <w:spacing w:before="480" w:after="480" w:line="480" w:lineRule="auto"/>
        <w:jc w:val="both"/>
        <w:rPr>
          <w:rStyle w:val="qrafter"/>
        </w:rPr>
      </w:pPr>
      <w:r w:rsidRPr="00453883">
        <w:t xml:space="preserve">To begin with, art. 3148 para. 1(3) </w:t>
      </w:r>
      <w:r w:rsidRPr="00453883">
        <w:rPr>
          <w:i/>
        </w:rPr>
        <w:t>C.C.Q.</w:t>
      </w:r>
      <w:r w:rsidRPr="00453883">
        <w:t xml:space="preserve"> does not apply directly because the proceeding before the FMAT does not involve a personal action of a patrimonial nature. A personal action of a patrimonial nature implies the assertion of rights that “in their very essence have a monetary value” and are transmissible as property (Brierley and Macdonald, at p. 156; see also J.-L. Baudouin and P.-G. Jobin, </w:t>
      </w:r>
      <w:r w:rsidRPr="00453883">
        <w:rPr>
          <w:i/>
        </w:rPr>
        <w:t>Les obligations</w:t>
      </w:r>
      <w:r w:rsidRPr="00453883">
        <w:t xml:space="preserve"> (7th ed. 2013), by P.</w:t>
      </w:r>
      <w:r w:rsidRPr="00453883">
        <w:noBreakHyphen/>
        <w:t xml:space="preserve">G. Jobin and N. Vézina, at No. 3). It often </w:t>
      </w:r>
      <w:r w:rsidRPr="00453883">
        <w:rPr>
          <w:rFonts w:eastAsiaTheme="minorEastAsia"/>
        </w:rPr>
        <w:t xml:space="preserve">involves </w:t>
      </w:r>
      <w:r w:rsidRPr="00453883">
        <w:t xml:space="preserve">a contractual or extra-contractual </w:t>
      </w:r>
      <w:r w:rsidRPr="00453883">
        <w:rPr>
          <w:rFonts w:eastAsiaTheme="minorEastAsia"/>
        </w:rPr>
        <w:t>claim</w:t>
      </w:r>
      <w:r w:rsidRPr="00453883">
        <w:t xml:space="preserve"> by a creditor against a debtor seeking the </w:t>
      </w:r>
      <w:r w:rsidRPr="00453883">
        <w:rPr>
          <w:rStyle w:val="ui-provider"/>
          <w:rFonts w:eastAsiaTheme="majorEastAsia"/>
        </w:rPr>
        <w:t>enforcement of the performance of an obligation</w:t>
      </w:r>
      <w:r w:rsidRPr="00453883">
        <w:t xml:space="preserve"> (see G. Saumier, “The Recognition of Foreign Judgments in Quebec — The Mirror Crack’d?” (2002), 81 </w:t>
      </w:r>
      <w:r w:rsidRPr="00453883">
        <w:rPr>
          <w:i/>
        </w:rPr>
        <w:t>Can. Bar Rev.</w:t>
      </w:r>
      <w:r w:rsidRPr="00453883">
        <w:t xml:space="preserve"> 677, at p. 690; C. Walsh, “The International Jurisdiction of Québec Authorities in Personal Actions: An Overview” (2012), 71 </w:t>
      </w:r>
      <w:r w:rsidRPr="00453883">
        <w:rPr>
          <w:i/>
        </w:rPr>
        <w:t>R. du B.</w:t>
      </w:r>
      <w:r w:rsidRPr="00453883">
        <w:t xml:space="preserve"> 249, at p. 254)</w:t>
      </w:r>
      <w:r w:rsidRPr="00453883">
        <w:rPr>
          <w:rFonts w:eastAsiaTheme="minorEastAsia"/>
        </w:rPr>
        <w:t>. While the proceeding may have a patrimonial impact on the defendants in that, should the AMF prove successful in securing the prohibition orders and the fines sought, it will have an impact on their patrimonies, the proceeding will not result in a transfer, from one patrimony to another, to redress for example a private law wrong by compensating a loss sustained or a profit deprived. Moreover, the proceeding is not a personal action but one initiated by the securities market regulator acting in the public interest rather than in a strictly personal capacity</w:t>
      </w:r>
      <w:r w:rsidRPr="00453883">
        <w:rPr>
          <w:rStyle w:val="qrafter"/>
        </w:rPr>
        <w:t xml:space="preserve">. It does not involve a person taking legal action against another based on personal rights that are transmissible as property, as art. 3148 </w:t>
      </w:r>
      <w:r w:rsidRPr="00453883">
        <w:rPr>
          <w:rStyle w:val="qrafter"/>
          <w:i/>
        </w:rPr>
        <w:t>C.C.Q.</w:t>
      </w:r>
      <w:r w:rsidRPr="00453883">
        <w:rPr>
          <w:rStyle w:val="qrafter"/>
        </w:rPr>
        <w:t xml:space="preserve"> requires. </w:t>
      </w:r>
    </w:p>
    <w:p w14:paraId="196270C3" w14:textId="77777777" w:rsidR="00453883" w:rsidRPr="00453883" w:rsidRDefault="00453883" w:rsidP="00453883">
      <w:pPr>
        <w:pStyle w:val="ParaNoNdepar-AltN"/>
        <w:rPr>
          <w:rStyle w:val="qrafter"/>
          <w:rFonts w:cs="Times New Roman"/>
          <w:lang w:val="en-US"/>
        </w:rPr>
      </w:pPr>
      <w:r w:rsidRPr="00453883">
        <w:rPr>
          <w:rStyle w:val="qrafter"/>
          <w:rFonts w:cs="Times New Roman"/>
          <w:lang w:val="en-US"/>
        </w:rPr>
        <w:t xml:space="preserve">However, Mainville J.A. did not propose to apply art. 3148 </w:t>
      </w:r>
      <w:r w:rsidRPr="00453883">
        <w:rPr>
          <w:rStyle w:val="qrafter"/>
          <w:rFonts w:cs="Times New Roman"/>
          <w:i/>
          <w:lang w:val="en-US"/>
        </w:rPr>
        <w:t>C.C.Q.</w:t>
      </w:r>
      <w:r w:rsidRPr="00453883">
        <w:rPr>
          <w:rStyle w:val="qrafter"/>
          <w:rFonts w:cs="Times New Roman"/>
          <w:lang w:val="en-US"/>
        </w:rPr>
        <w:t xml:space="preserve"> directly, but rather by analogy. In the civil law, reasoning by analogy is not only commonplace, but scholars have suggested it is particularly suited to the interpretation of the </w:t>
      </w:r>
      <w:r w:rsidRPr="00453883">
        <w:rPr>
          <w:rStyle w:val="qrafter"/>
          <w:rFonts w:cs="Times New Roman"/>
          <w:i/>
          <w:lang w:val="en-US"/>
        </w:rPr>
        <w:t>C.C.Q.</w:t>
      </w:r>
      <w:r w:rsidRPr="00453883">
        <w:rPr>
          <w:rStyle w:val="qrafter"/>
          <w:rFonts w:cs="Times New Roman"/>
          <w:lang w:val="en-US"/>
        </w:rPr>
        <w:t xml:space="preserve">, which is cast in broad language and not typically designed to apply as a </w:t>
      </w:r>
      <w:r w:rsidRPr="00453883">
        <w:rPr>
          <w:rStyle w:val="qrafter"/>
          <w:rFonts w:cs="Times New Roman"/>
        </w:rPr>
        <w:t>[</w:t>
      </w:r>
      <w:r w:rsidRPr="00453883">
        <w:rPr>
          <w:rStyle w:val="qrafter"/>
          <w:rFonts w:cs="Times New Roman"/>
          <w:smallCaps/>
        </w:rPr>
        <w:t>translation</w:t>
      </w:r>
      <w:r w:rsidRPr="00453883">
        <w:rPr>
          <w:rStyle w:val="qrafter"/>
          <w:rFonts w:cs="Times New Roman"/>
        </w:rPr>
        <w:t>] “law of exception”</w:t>
      </w:r>
      <w:r w:rsidRPr="00453883">
        <w:rPr>
          <w:rStyle w:val="qrafter"/>
          <w:rFonts w:cs="Times New Roman"/>
          <w:lang w:val="en-US"/>
        </w:rPr>
        <w:t>, unlike a common law statute (see Côté and Devinat, at pp. 370-71</w:t>
      </w:r>
      <w:r w:rsidRPr="00453883">
        <w:rPr>
          <w:rStyle w:val="qrafter"/>
          <w:rFonts w:cs="Times New Roman"/>
        </w:rPr>
        <w:t xml:space="preserve">; see also Bisson, at p. 557). </w:t>
      </w:r>
      <w:r w:rsidRPr="00453883">
        <w:rPr>
          <w:rFonts w:cs="Times New Roman"/>
        </w:rPr>
        <w:t xml:space="preserve">This Court has noted that analogy is “one of the tools that can be used to ensure that the </w:t>
      </w:r>
      <w:r w:rsidRPr="00453883">
        <w:rPr>
          <w:rFonts w:cs="Times New Roman"/>
          <w:i/>
        </w:rPr>
        <w:t>Civil Code of Québec</w:t>
      </w:r>
      <w:r w:rsidRPr="00453883">
        <w:rPr>
          <w:rFonts w:cs="Times New Roman"/>
        </w:rPr>
        <w:t xml:space="preserve"> functions properly” (</w:t>
      </w:r>
      <w:r w:rsidRPr="00453883">
        <w:rPr>
          <w:rFonts w:cs="Times New Roman"/>
          <w:i/>
        </w:rPr>
        <w:t>Fédération des producteurs</w:t>
      </w:r>
      <w:r w:rsidRPr="00453883">
        <w:rPr>
          <w:rFonts w:cs="Times New Roman"/>
        </w:rPr>
        <w:t>, at para. 29). Importantly, reasoning by analogy, as Mainville J.A. noted, was used by this Court in respect of some of the very provisions in Book Ten that are engaged by these appeals (</w:t>
      </w:r>
      <w:r w:rsidRPr="00453883">
        <w:rPr>
          <w:rFonts w:cs="Times New Roman"/>
          <w:i/>
        </w:rPr>
        <w:t>Uashaunnuat</w:t>
      </w:r>
      <w:r w:rsidRPr="00453883">
        <w:rPr>
          <w:rFonts w:cs="Times New Roman"/>
        </w:rPr>
        <w:t>, at paras. 53 and 60).</w:t>
      </w:r>
    </w:p>
    <w:p w14:paraId="708CB44A" w14:textId="77777777" w:rsidR="00453883" w:rsidRPr="00453883" w:rsidRDefault="00453883" w:rsidP="00453883">
      <w:pPr>
        <w:pStyle w:val="ParaNoNdepar-AltN"/>
        <w:rPr>
          <w:rStyle w:val="qrafter"/>
          <w:rFonts w:cs="Times New Roman"/>
          <w:lang w:val="fr-CA"/>
        </w:rPr>
      </w:pPr>
      <w:r w:rsidRPr="00453883">
        <w:rPr>
          <w:rStyle w:val="qrafter"/>
          <w:rFonts w:cs="Times New Roman"/>
          <w:lang w:val="en-US"/>
        </w:rPr>
        <w:t xml:space="preserve">Moreover, as both Collier J. in the Superior Court and Mainville J.A. underscored, the AMF’s allegations as to the misleading character of the press releases issued in Quebec are similar, in respect of the conduct in question, to an allegation of fault in the private law of civil liability. The AMF’s originating pleading filed before the FMAT alleges injury sustained by Quebec investors that is said to be caused by the Quebec-based conduct of the defendants. In this sense, one might say the defendants are alleged to have engaged in conduct that is analogous to conduct that could sustain an action in civil liability in the law of obligations. While the contravention of a statute does not in itself constitute a civil fault, the violation of a statutory standard can amount to civil wrong when it amounts to </w:t>
      </w:r>
      <w:r w:rsidRPr="00453883">
        <w:rPr>
          <w:rFonts w:cs="Times New Roman"/>
        </w:rPr>
        <w:t>“a violation of the standard of conduct of a reasonable person under the general rules of civil liability” (</w:t>
      </w:r>
      <w:r w:rsidRPr="00453883">
        <w:rPr>
          <w:rFonts w:cs="Times New Roman"/>
          <w:i/>
        </w:rPr>
        <w:t>St. Lawrence Cement Inc. v. Barrette</w:t>
      </w:r>
      <w:r w:rsidRPr="00453883">
        <w:rPr>
          <w:rFonts w:cs="Times New Roman"/>
        </w:rPr>
        <w:t xml:space="preserve">, 2008 SCC 64, [2008] 3 S.C.R. 392, at para. </w:t>
      </w:r>
      <w:r w:rsidRPr="00453883">
        <w:rPr>
          <w:rFonts w:cs="Times New Roman"/>
          <w:lang w:val="fr-CA"/>
        </w:rPr>
        <w:t xml:space="preserve">34; see also </w:t>
      </w:r>
      <w:r w:rsidRPr="00453883">
        <w:rPr>
          <w:rFonts w:cs="Times New Roman"/>
          <w:i/>
          <w:lang w:val="fr-CA"/>
        </w:rPr>
        <w:t>Kosoian v. Société de transport de Montréal</w:t>
      </w:r>
      <w:r w:rsidRPr="00453883">
        <w:rPr>
          <w:rFonts w:cs="Times New Roman"/>
          <w:lang w:val="fr-CA"/>
        </w:rPr>
        <w:t>, 2019 SCC 59, [2019] 4 S.C.R. 335, at para. 48).</w:t>
      </w:r>
    </w:p>
    <w:p w14:paraId="60ED77B6" w14:textId="77777777" w:rsidR="00453883" w:rsidRPr="00453883" w:rsidRDefault="00453883" w:rsidP="00453883">
      <w:pPr>
        <w:pStyle w:val="ParaNoNdepar-AltN"/>
        <w:rPr>
          <w:rStyle w:val="qrafter"/>
          <w:rFonts w:cs="Times New Roman"/>
          <w:lang w:val="en-US"/>
        </w:rPr>
      </w:pPr>
      <w:r w:rsidRPr="00453883">
        <w:rPr>
          <w:rStyle w:val="qrafter"/>
          <w:rFonts w:cs="Times New Roman"/>
          <w:lang w:val="en-US"/>
        </w:rPr>
        <w:t xml:space="preserve">In our view, however, reasoning by analogy cannot ground jurisdiction here. Civil law scholars have explained that this mode of interpretation for a civil code reflects </w:t>
      </w:r>
      <w:r w:rsidRPr="00453883">
        <w:rPr>
          <w:rStyle w:val="qrafter"/>
          <w:rFonts w:cs="Times New Roman"/>
        </w:rPr>
        <w:t>[</w:t>
      </w:r>
      <w:r w:rsidRPr="00453883">
        <w:rPr>
          <w:rStyle w:val="qrafter"/>
          <w:rFonts w:cs="Times New Roman"/>
          <w:smallCaps/>
        </w:rPr>
        <w:t>translation</w:t>
      </w:r>
      <w:r w:rsidRPr="00453883">
        <w:rPr>
          <w:rStyle w:val="qrafter"/>
          <w:rFonts w:cs="Times New Roman"/>
        </w:rPr>
        <w:t>] “the analogical extension of a rule through the use of an ‘</w:t>
      </w:r>
      <w:r w:rsidRPr="00453883">
        <w:rPr>
          <w:rStyle w:val="qrafter"/>
          <w:rFonts w:cs="Times New Roman"/>
          <w:i/>
        </w:rPr>
        <w:t>a pari</w:t>
      </w:r>
      <w:r w:rsidRPr="00453883">
        <w:rPr>
          <w:rStyle w:val="qrafter"/>
          <w:rFonts w:cs="Times New Roman"/>
        </w:rPr>
        <w:t>’ argument”</w:t>
      </w:r>
      <w:r w:rsidRPr="00453883">
        <w:rPr>
          <w:rStyle w:val="qrafter"/>
          <w:rFonts w:cs="Times New Roman"/>
          <w:lang w:val="en-US"/>
        </w:rPr>
        <w:t xml:space="preserve"> (G. </w:t>
      </w:r>
      <w:r w:rsidRPr="00453883">
        <w:rPr>
          <w:rStyle w:val="qrafter"/>
          <w:rFonts w:cs="Times New Roman"/>
        </w:rPr>
        <w:t xml:space="preserve">Cornu, </w:t>
      </w:r>
      <w:r w:rsidRPr="00453883">
        <w:rPr>
          <w:rStyle w:val="qrafter"/>
          <w:rFonts w:cs="Times New Roman"/>
          <w:i/>
        </w:rPr>
        <w:t>Droit civil: Introduction au droit</w:t>
      </w:r>
      <w:r w:rsidRPr="00453883">
        <w:rPr>
          <w:rStyle w:val="qrafter"/>
          <w:rFonts w:cs="Times New Roman"/>
        </w:rPr>
        <w:t xml:space="preserve"> (13th ed. 2007), at p. 213). </w:t>
      </w:r>
      <w:r w:rsidRPr="00453883">
        <w:rPr>
          <w:rStyle w:val="qrafter"/>
          <w:rFonts w:cs="Times New Roman"/>
          <w:lang w:val="en-US"/>
        </w:rPr>
        <w:t xml:space="preserve">It is premised on the notion that the </w:t>
      </w:r>
      <w:r w:rsidRPr="00453883">
        <w:rPr>
          <w:rStyle w:val="qrafter"/>
          <w:rFonts w:cs="Times New Roman"/>
          <w:i/>
          <w:lang w:val="en-US"/>
        </w:rPr>
        <w:t>C.C.Q.</w:t>
      </w:r>
      <w:r w:rsidRPr="00453883">
        <w:rPr>
          <w:rStyle w:val="qrafter"/>
          <w:rFonts w:cs="Times New Roman"/>
          <w:lang w:val="en-US"/>
        </w:rPr>
        <w:t xml:space="preserve"> can be extended from a circumstance in which it plainly applies to the same type of situation, but about which the </w:t>
      </w:r>
      <w:r w:rsidRPr="00453883">
        <w:rPr>
          <w:rStyle w:val="qrafter"/>
          <w:rFonts w:cs="Times New Roman"/>
          <w:i/>
          <w:lang w:val="en-US"/>
        </w:rPr>
        <w:t>C.C.Q.</w:t>
      </w:r>
      <w:r w:rsidRPr="00453883">
        <w:rPr>
          <w:rStyle w:val="qrafter"/>
          <w:rFonts w:cs="Times New Roman"/>
          <w:lang w:val="en-US"/>
        </w:rPr>
        <w:t xml:space="preserve"> is silent (</w:t>
      </w:r>
      <w:r w:rsidRPr="00453883">
        <w:rPr>
          <w:rStyle w:val="ui-provider"/>
          <w:rFonts w:cs="Times New Roman"/>
        </w:rPr>
        <w:t>see pp. 213-14; Côté and Devinat, at pp. 370-71</w:t>
      </w:r>
      <w:r w:rsidRPr="00453883">
        <w:rPr>
          <w:rStyle w:val="qrafter"/>
          <w:rFonts w:cs="Times New Roman"/>
          <w:lang w:val="en-US"/>
        </w:rPr>
        <w:t xml:space="preserve">). </w:t>
      </w:r>
    </w:p>
    <w:p w14:paraId="111672A3" w14:textId="77777777" w:rsidR="00453883" w:rsidRPr="00453883" w:rsidRDefault="00453883" w:rsidP="00453883">
      <w:pPr>
        <w:pStyle w:val="ParaNoNdepar-AltN"/>
        <w:rPr>
          <w:rStyle w:val="qrafter"/>
          <w:rFonts w:cs="Times New Roman"/>
        </w:rPr>
      </w:pPr>
      <w:r w:rsidRPr="00453883">
        <w:rPr>
          <w:rStyle w:val="qrafter"/>
          <w:rFonts w:cs="Times New Roman"/>
          <w:lang w:val="en-US"/>
        </w:rPr>
        <w:t xml:space="preserve">This is not a circumstance allowing for </w:t>
      </w:r>
      <w:r w:rsidRPr="00453883">
        <w:rPr>
          <w:rStyle w:val="qrafter"/>
          <w:rFonts w:cs="Times New Roman"/>
          <w:i/>
          <w:lang w:val="en-US"/>
        </w:rPr>
        <w:t xml:space="preserve">a pari </w:t>
      </w:r>
      <w:r w:rsidRPr="00453883">
        <w:rPr>
          <w:rStyle w:val="qrafter"/>
          <w:rFonts w:cs="Times New Roman"/>
          <w:lang w:val="en-US"/>
        </w:rPr>
        <w:t xml:space="preserve">reasoning. Article 3148 para. 1(3) </w:t>
      </w:r>
      <w:r w:rsidRPr="00453883">
        <w:rPr>
          <w:rStyle w:val="qrafter"/>
          <w:rFonts w:cs="Times New Roman"/>
          <w:i/>
          <w:lang w:val="en-US"/>
        </w:rPr>
        <w:t>C.C.Q.</w:t>
      </w:r>
      <w:r w:rsidRPr="00453883">
        <w:rPr>
          <w:rStyle w:val="qrafter"/>
          <w:rFonts w:cs="Times New Roman"/>
          <w:lang w:val="en-US"/>
        </w:rPr>
        <w:t xml:space="preserve"> cannot be applied by analogy in this case because to extend the administrative provisions involved here to the law of civil liability would be to change the nature and object of the proceedings to something that is fundamentally different from, rather than analogous to, personal actions of a patrimonial nature contemplated by art. 3148 </w:t>
      </w:r>
      <w:r w:rsidRPr="00453883">
        <w:rPr>
          <w:rStyle w:val="qrafter"/>
          <w:rFonts w:cs="Times New Roman"/>
          <w:i/>
          <w:lang w:val="en-US"/>
        </w:rPr>
        <w:t>C.C.Q.</w:t>
      </w:r>
      <w:r w:rsidRPr="00453883">
        <w:rPr>
          <w:rStyle w:val="qrafter"/>
          <w:rFonts w:cs="Times New Roman"/>
          <w:lang w:val="en-US"/>
        </w:rPr>
        <w:t xml:space="preserve"> </w:t>
      </w:r>
    </w:p>
    <w:p w14:paraId="253891D0" w14:textId="77777777" w:rsidR="00453883" w:rsidRPr="00453883" w:rsidRDefault="00453883" w:rsidP="00453883">
      <w:pPr>
        <w:pStyle w:val="ParaNoNdepar-AltN"/>
        <w:rPr>
          <w:rStyle w:val="qrafter"/>
          <w:rFonts w:cs="Times New Roman"/>
        </w:rPr>
      </w:pPr>
      <w:r w:rsidRPr="00453883">
        <w:rPr>
          <w:rStyle w:val="qrafter"/>
          <w:rFonts w:cs="Times New Roman"/>
          <w:szCs w:val="24"/>
          <w:lang w:val="en-US"/>
        </w:rPr>
        <w:t xml:space="preserve">The fundamental character of a personal action of patrimonial nature </w:t>
      </w:r>
      <w:r w:rsidRPr="00453883">
        <w:rPr>
          <w:rStyle w:val="ui-provider"/>
          <w:rFonts w:cs="Times New Roman"/>
        </w:rPr>
        <w:t xml:space="preserve">is the private enforcement of a debt </w:t>
      </w:r>
      <w:r w:rsidRPr="00453883">
        <w:rPr>
          <w:rStyle w:val="qrafter"/>
          <w:rFonts w:cs="Times New Roman"/>
          <w:szCs w:val="24"/>
          <w:lang w:val="en-US"/>
        </w:rPr>
        <w:t xml:space="preserve">(see </w:t>
      </w:r>
      <w:r w:rsidRPr="00453883">
        <w:rPr>
          <w:rFonts w:cs="Times New Roman"/>
        </w:rPr>
        <w:t>Brierley and Macdonald, at p. 166; Jobin and Vézina, at Nos. 3 and 6</w:t>
      </w:r>
      <w:r w:rsidRPr="00453883">
        <w:rPr>
          <w:rStyle w:val="qrafter"/>
          <w:rFonts w:cs="Times New Roman"/>
          <w:szCs w:val="24"/>
          <w:lang w:val="en-US"/>
        </w:rPr>
        <w:t xml:space="preserve">). </w:t>
      </w:r>
      <w:r w:rsidRPr="00453883">
        <w:rPr>
          <w:rFonts w:cs="Times New Roman"/>
        </w:rPr>
        <w:t xml:space="preserve">In contrast, the AMF has brought an action before the FMAT for orders, including administrative prohibitions and penalties, under Titles VII and IX of the </w:t>
      </w:r>
      <w:r w:rsidRPr="00453883">
        <w:rPr>
          <w:rFonts w:cs="Times New Roman"/>
          <w:i/>
        </w:rPr>
        <w:t>Securities Act</w:t>
      </w:r>
      <w:r w:rsidRPr="00453883">
        <w:rPr>
          <w:rFonts w:cs="Times New Roman"/>
        </w:rPr>
        <w:t>,</w:t>
      </w:r>
      <w:r w:rsidRPr="00453883">
        <w:rPr>
          <w:rFonts w:cs="Times New Roman"/>
          <w:i/>
        </w:rPr>
        <w:t xml:space="preserve"> </w:t>
      </w:r>
      <w:r w:rsidRPr="00453883">
        <w:rPr>
          <w:rFonts w:cs="Times New Roman"/>
        </w:rPr>
        <w:t>in the public interest, acting in its [</w:t>
      </w:r>
      <w:r w:rsidRPr="00453883">
        <w:rPr>
          <w:rFonts w:cs="Times New Roman"/>
          <w:smallCaps/>
        </w:rPr>
        <w:t>translation</w:t>
      </w:r>
      <w:r w:rsidRPr="00453883">
        <w:rPr>
          <w:rFonts w:cs="Times New Roman"/>
        </w:rPr>
        <w:t>] “</w:t>
      </w:r>
      <w:r w:rsidRPr="00453883">
        <w:rPr>
          <w:rStyle w:val="qrafter"/>
          <w:rFonts w:cs="Times New Roman"/>
          <w:szCs w:val="24"/>
          <w:lang w:val="en-US"/>
        </w:rPr>
        <w:t>role of supervising the financial markets, protecting investors and the public, and regulating securities trading” (</w:t>
      </w:r>
      <w:r w:rsidRPr="00453883">
        <w:rPr>
          <w:rFonts w:cs="Times New Roman"/>
        </w:rPr>
        <w:t>Rousseau, at p. </w:t>
      </w:r>
      <w:r w:rsidRPr="00453883">
        <w:rPr>
          <w:rStyle w:val="qrafter"/>
          <w:rFonts w:cs="Times New Roman"/>
          <w:szCs w:val="24"/>
          <w:lang w:val="en-US"/>
        </w:rPr>
        <w:t xml:space="preserve">13). This </w:t>
      </w:r>
      <w:r w:rsidRPr="00453883">
        <w:rPr>
          <w:rFonts w:cs="Times New Roman"/>
          <w:lang w:val="en-US"/>
        </w:rPr>
        <w:t>focus on the public interest [</w:t>
      </w:r>
      <w:r w:rsidRPr="00453883">
        <w:rPr>
          <w:rFonts w:cs="Times New Roman"/>
          <w:smallCaps/>
          <w:lang w:val="en-US"/>
        </w:rPr>
        <w:t>translation</w:t>
      </w:r>
      <w:r w:rsidRPr="00453883">
        <w:rPr>
          <w:rFonts w:cs="Times New Roman"/>
          <w:lang w:val="en-US"/>
        </w:rPr>
        <w:t>] “</w:t>
      </w:r>
      <w:r w:rsidRPr="00453883">
        <w:rPr>
          <w:rStyle w:val="qrafter"/>
          <w:rFonts w:cs="Times New Roman"/>
          <w:szCs w:val="24"/>
        </w:rPr>
        <w:t>transcends the individual interests of certain investors</w:t>
      </w:r>
      <w:r w:rsidRPr="00453883">
        <w:rPr>
          <w:rStyle w:val="qrafter"/>
          <w:rFonts w:cs="Times New Roman"/>
          <w:szCs w:val="24"/>
          <w:lang w:val="en-US"/>
        </w:rPr>
        <w:t>” (</w:t>
      </w:r>
      <w:r w:rsidRPr="00453883">
        <w:rPr>
          <w:rFonts w:cs="Times New Roman"/>
          <w:lang w:val="en-US"/>
        </w:rPr>
        <w:t>p. </w:t>
      </w:r>
      <w:r w:rsidRPr="00453883">
        <w:rPr>
          <w:rStyle w:val="qrafter"/>
          <w:rFonts w:cs="Times New Roman"/>
          <w:szCs w:val="24"/>
          <w:lang w:val="en-US"/>
        </w:rPr>
        <w:t xml:space="preserve">30, citing </w:t>
      </w:r>
      <w:r w:rsidRPr="00453883">
        <w:rPr>
          <w:rStyle w:val="qrafter"/>
          <w:rFonts w:cs="Times New Roman"/>
          <w:i/>
          <w:szCs w:val="24"/>
          <w:lang w:val="en-US"/>
        </w:rPr>
        <w:t>Autorité des marchés financiers v. Dominion Investments (Nassau) Ltd. (Dominion Investments Ltd.)</w:t>
      </w:r>
      <w:r w:rsidRPr="00453883">
        <w:rPr>
          <w:rStyle w:val="qrafter"/>
          <w:rFonts w:cs="Times New Roman"/>
          <w:szCs w:val="24"/>
          <w:lang w:val="en-US"/>
        </w:rPr>
        <w:t xml:space="preserve">, 2008 QCBDRVM 4, at p. 25 (CanLII)). It aims </w:t>
      </w:r>
      <w:r w:rsidRPr="00453883">
        <w:rPr>
          <w:rFonts w:cs="Times New Roman"/>
        </w:rPr>
        <w:t>to prevent future harm to the Quebec securities market and is neither restorative nor punitive (pp. </w:t>
      </w:r>
      <w:r w:rsidRPr="00453883">
        <w:rPr>
          <w:rStyle w:val="qrafter"/>
          <w:rFonts w:cs="Times New Roman"/>
          <w:szCs w:val="24"/>
          <w:lang w:val="en-US"/>
        </w:rPr>
        <w:t xml:space="preserve">31-32 and 38-39). </w:t>
      </w:r>
      <w:r w:rsidRPr="00453883">
        <w:rPr>
          <w:rStyle w:val="qrafter"/>
          <w:rFonts w:cs="Times New Roman"/>
          <w:lang w:val="en-US"/>
        </w:rPr>
        <w:t>Here, there is no tenable analogy between a personal action of a patrimonial nature, which seeks the enforcement of a debt under private law, and a regulatory prosecution by the state, which seeks public interest remedies rather than simply private reparation.</w:t>
      </w:r>
      <w:r w:rsidRPr="00453883">
        <w:rPr>
          <w:rStyle w:val="qrafter"/>
          <w:rFonts w:cs="Times New Roman"/>
        </w:rPr>
        <w:t xml:space="preserve"> Such proceedings are of a fundamentally different legal character. </w:t>
      </w:r>
      <w:r w:rsidRPr="00453883">
        <w:rPr>
          <w:rStyle w:val="qrafter"/>
          <w:rFonts w:cs="Times New Roman"/>
          <w:lang w:val="en-US"/>
        </w:rPr>
        <w:t xml:space="preserve">To apply art. 3148 para. 1(3) </w:t>
      </w:r>
      <w:r w:rsidRPr="00453883">
        <w:rPr>
          <w:rStyle w:val="qrafter"/>
          <w:rFonts w:cs="Times New Roman"/>
          <w:i/>
          <w:lang w:val="en-US"/>
        </w:rPr>
        <w:t>C.C.Q.</w:t>
      </w:r>
      <w:r w:rsidRPr="00453883">
        <w:rPr>
          <w:rStyle w:val="qrafter"/>
          <w:rFonts w:cs="Times New Roman"/>
          <w:lang w:val="en-US"/>
        </w:rPr>
        <w:t xml:space="preserve"> to a regulatory prosecution by the state would stretch the provision well beyond its letter, spirit, and object.</w:t>
      </w:r>
    </w:p>
    <w:p w14:paraId="063E8DB1" w14:textId="77777777" w:rsidR="00453883" w:rsidRPr="00453883" w:rsidRDefault="00453883" w:rsidP="00453883">
      <w:pPr>
        <w:pStyle w:val="ParaNoNdepar-AltN"/>
        <w:rPr>
          <w:rFonts w:cs="Times New Roman"/>
        </w:rPr>
      </w:pPr>
      <w:r w:rsidRPr="00453883">
        <w:rPr>
          <w:rFonts w:cs="Times New Roman"/>
          <w:lang w:val="en-US"/>
        </w:rPr>
        <w:t xml:space="preserve">As a result, art. 3148 para. 1(3) </w:t>
      </w:r>
      <w:r w:rsidRPr="00453883">
        <w:rPr>
          <w:rFonts w:cs="Times New Roman"/>
          <w:i/>
          <w:lang w:val="en-US"/>
        </w:rPr>
        <w:t>C.C.Q.</w:t>
      </w:r>
      <w:r w:rsidRPr="00453883">
        <w:rPr>
          <w:rFonts w:cs="Times New Roman"/>
          <w:lang w:val="en-US"/>
        </w:rPr>
        <w:t xml:space="preserve"> does not give the FMAT jurisdiction over the appellants by reason of the misleading press releases or the resulting injury being connected to Quebec. Moreover, the fact that the defendant Solo, an out-of-province corporation, had an establishment in Quebec at the relevant time does not ground jurisdiction on the basis of art. 3148 </w:t>
      </w:r>
      <w:r w:rsidRPr="00453883">
        <w:rPr>
          <w:rFonts w:cs="Times New Roman"/>
          <w:i/>
          <w:lang w:val="en-US"/>
        </w:rPr>
        <w:t>C.C.Q.</w:t>
      </w:r>
      <w:r w:rsidRPr="00453883">
        <w:rPr>
          <w:rFonts w:cs="Times New Roman"/>
          <w:lang w:val="en-US"/>
        </w:rPr>
        <w:t xml:space="preserve"> either. Although a</w:t>
      </w:r>
      <w:r w:rsidRPr="00453883">
        <w:rPr>
          <w:rFonts w:cs="Times New Roman"/>
        </w:rPr>
        <w:t xml:space="preserve">rt. 3148 para. 1(2) </w:t>
      </w:r>
      <w:r w:rsidRPr="00453883">
        <w:rPr>
          <w:rFonts w:cs="Times New Roman"/>
          <w:i/>
        </w:rPr>
        <w:t>C.C.Q.</w:t>
      </w:r>
      <w:r w:rsidRPr="00453883">
        <w:rPr>
          <w:rFonts w:cs="Times New Roman"/>
        </w:rPr>
        <w:t xml:space="preserve"> provides that Quebec authorities have jurisdiction when the defendant is a legal person that is not domiciled in Quebec but has an establishment in Quebec and the dispute relates to activities in Quebec, this rule still requires the nature of the action to be personal and of a patrimonial nature, which is not the case here.</w:t>
      </w:r>
    </w:p>
    <w:p w14:paraId="28CE6A76" w14:textId="77777777" w:rsidR="00453883" w:rsidRPr="00453883" w:rsidRDefault="00453883" w:rsidP="00453883">
      <w:pPr>
        <w:pStyle w:val="Title4LevelTitre4Niveau"/>
        <w:numPr>
          <w:ilvl w:val="3"/>
          <w:numId w:val="8"/>
        </w:numPr>
        <w:rPr>
          <w:rFonts w:cs="Times New Roman"/>
        </w:rPr>
      </w:pPr>
      <w:r w:rsidRPr="00453883">
        <w:rPr>
          <w:rFonts w:cs="Times New Roman"/>
        </w:rPr>
        <w:t xml:space="preserve">Article 3136 C.C.Q. </w:t>
      </w:r>
    </w:p>
    <w:p w14:paraId="11D6FC53" w14:textId="77777777" w:rsidR="00453883" w:rsidRPr="00453883" w:rsidRDefault="00453883" w:rsidP="00453883">
      <w:pPr>
        <w:pStyle w:val="ParaNoNdepar-AltN"/>
        <w:rPr>
          <w:rFonts w:cs="Times New Roman"/>
          <w:lang w:val="fr-CA"/>
        </w:rPr>
      </w:pPr>
      <w:r w:rsidRPr="00453883">
        <w:rPr>
          <w:rFonts w:cs="Times New Roman"/>
          <w:lang w:val="fr-CA"/>
        </w:rPr>
        <w:t xml:space="preserve">Article 3136 </w:t>
      </w:r>
      <w:r w:rsidRPr="00453883">
        <w:rPr>
          <w:rFonts w:cs="Times New Roman"/>
          <w:i/>
          <w:lang w:val="fr-CA"/>
        </w:rPr>
        <w:t>C.C.Q.</w:t>
      </w:r>
      <w:r w:rsidRPr="00453883">
        <w:rPr>
          <w:rFonts w:cs="Times New Roman"/>
          <w:lang w:val="fr-CA"/>
        </w:rPr>
        <w:t xml:space="preserve"> states:</w:t>
      </w:r>
    </w:p>
    <w:p w14:paraId="7F9AAC41" w14:textId="77777777" w:rsidR="00453883" w:rsidRPr="00453883" w:rsidRDefault="00453883" w:rsidP="00453883">
      <w:pPr>
        <w:pStyle w:val="Citation-AltC"/>
      </w:pPr>
      <w:r w:rsidRPr="00453883">
        <w:rPr>
          <w:b/>
        </w:rPr>
        <w:t>3136.</w:t>
      </w:r>
      <w:r w:rsidRPr="00453883">
        <w:t> Even though a Québec authority has no jurisdiction to hear a dispute, it may nevertheless hear it provided the dispute has a sufficient connection with Québec, if proceedings abroad prove impossible or the institution of proceedings abroad cannot reasonably be required.</w:t>
      </w:r>
    </w:p>
    <w:p w14:paraId="6BCF2AFA" w14:textId="77777777" w:rsidR="00453883" w:rsidRPr="00453883" w:rsidRDefault="00453883" w:rsidP="00453883">
      <w:pPr>
        <w:pStyle w:val="ParaNoNdepar-AltN"/>
        <w:rPr>
          <w:rFonts w:cs="Times New Roman"/>
        </w:rPr>
      </w:pPr>
      <w:r w:rsidRPr="00453883">
        <w:rPr>
          <w:rFonts w:cs="Times New Roman"/>
          <w:lang w:val="en-US"/>
        </w:rPr>
        <w:t xml:space="preserve">Neither the FMAT nor the Superior Court of Quebec applied art. 3136 </w:t>
      </w:r>
      <w:r w:rsidRPr="00453883">
        <w:rPr>
          <w:rFonts w:cs="Times New Roman"/>
          <w:i/>
          <w:lang w:val="en-US"/>
        </w:rPr>
        <w:t>C.C.Q.</w:t>
      </w:r>
      <w:r w:rsidRPr="00453883">
        <w:rPr>
          <w:rFonts w:cs="Times New Roman"/>
          <w:lang w:val="en-US"/>
        </w:rPr>
        <w:t xml:space="preserve"> Indeed, the AMF did not invoke this provision before the FMAT. Despite this, Mainville J.A. relied on this provision in his concurring opinion and concluded that it gives the FMAT jurisdiction over the appellants.</w:t>
      </w:r>
    </w:p>
    <w:p w14:paraId="05B0B248" w14:textId="77777777" w:rsidR="00453883" w:rsidRPr="00453883" w:rsidRDefault="00453883" w:rsidP="00453883">
      <w:pPr>
        <w:pStyle w:val="ParaNoNdepar-AltN"/>
        <w:rPr>
          <w:rFonts w:cs="Times New Roman"/>
          <w:lang w:val="fr-CA"/>
        </w:rPr>
      </w:pPr>
      <w:r w:rsidRPr="00453883">
        <w:rPr>
          <w:rFonts w:cs="Times New Roman"/>
        </w:rPr>
        <w:t xml:space="preserve">Article 3136 </w:t>
      </w:r>
      <w:r w:rsidRPr="00453883">
        <w:rPr>
          <w:rFonts w:cs="Times New Roman"/>
          <w:i/>
        </w:rPr>
        <w:t>C.C.Q.</w:t>
      </w:r>
      <w:r w:rsidRPr="00453883">
        <w:rPr>
          <w:rFonts w:cs="Times New Roman"/>
        </w:rPr>
        <w:t xml:space="preserve"> is part of a body of suppletive rules that gives a Quebec authority flexibility in determining whether it has jurisdiction (</w:t>
      </w:r>
      <w:r w:rsidRPr="00453883">
        <w:rPr>
          <w:rFonts w:cs="Times New Roman"/>
          <w:i/>
        </w:rPr>
        <w:t>GreCon Dimter inc. v. J.R. Normand inc.</w:t>
      </w:r>
      <w:r w:rsidRPr="00453883">
        <w:rPr>
          <w:rFonts w:cs="Times New Roman"/>
        </w:rPr>
        <w:t>, 2005 SCC 46, [2005] 2 S.C.R. 401, at para. </w:t>
      </w:r>
      <w:r w:rsidRPr="00453883">
        <w:rPr>
          <w:rFonts w:cs="Times New Roman"/>
          <w:lang w:val="en-US"/>
        </w:rPr>
        <w:t xml:space="preserve">33). Article 3136 </w:t>
      </w:r>
      <w:r w:rsidRPr="00453883">
        <w:rPr>
          <w:rFonts w:cs="Times New Roman"/>
          <w:i/>
          <w:lang w:val="en-US"/>
        </w:rPr>
        <w:t>C.C.Q.</w:t>
      </w:r>
      <w:r w:rsidRPr="00453883">
        <w:rPr>
          <w:rFonts w:cs="Times New Roman"/>
          <w:lang w:val="en-US"/>
        </w:rPr>
        <w:t xml:space="preserve"> was described by LeBel J.A., as he then was, as a forum of necessity provision that </w:t>
      </w:r>
      <w:r w:rsidRPr="00453883">
        <w:rPr>
          <w:rFonts w:cs="Times New Roman"/>
          <w:szCs w:val="24"/>
          <w:lang w:val="en-US"/>
        </w:rPr>
        <w:t>[</w:t>
      </w:r>
      <w:r w:rsidRPr="00453883">
        <w:rPr>
          <w:rFonts w:cs="Times New Roman"/>
          <w:smallCaps/>
          <w:szCs w:val="24"/>
          <w:lang w:val="en-US"/>
        </w:rPr>
        <w:t>translation</w:t>
      </w:r>
      <w:r w:rsidRPr="00453883">
        <w:rPr>
          <w:rFonts w:cs="Times New Roman"/>
          <w:szCs w:val="24"/>
          <w:lang w:val="en-US"/>
        </w:rPr>
        <w:t>]</w:t>
      </w:r>
      <w:r w:rsidRPr="00453883" w:rsidDel="003E198D">
        <w:rPr>
          <w:rFonts w:cs="Times New Roman"/>
          <w:lang w:val="en-US"/>
        </w:rPr>
        <w:t xml:space="preserve"> </w:t>
      </w:r>
      <w:r w:rsidRPr="00453883">
        <w:rPr>
          <w:rFonts w:cs="Times New Roman"/>
          <w:lang w:val="en-US"/>
        </w:rPr>
        <w:t>“</w:t>
      </w:r>
      <w:r w:rsidRPr="00453883">
        <w:rPr>
          <w:rFonts w:cs="Times New Roman"/>
        </w:rPr>
        <w:t>is intended to resolve certain access to justice problems for a litigant who is in Quebec when the foreign forum that would normally have jurisdiction is inaccessible to the litigant for exceptional reasons, such as legal impossibility or practical impossibility that is nearly absolute</w:t>
      </w:r>
      <w:r w:rsidRPr="00453883">
        <w:rPr>
          <w:rFonts w:cs="Times New Roman"/>
          <w:lang w:val="en-US"/>
        </w:rPr>
        <w:t>” (</w:t>
      </w:r>
      <w:r w:rsidRPr="00453883">
        <w:rPr>
          <w:rFonts w:cs="Times New Roman"/>
          <w:i/>
          <w:lang w:val="en-US"/>
        </w:rPr>
        <w:t>Lamborghini (Canada) inc. v. Automobili Lamborghini S.P.A.</w:t>
      </w:r>
      <w:r w:rsidRPr="00453883">
        <w:rPr>
          <w:rFonts w:cs="Times New Roman"/>
          <w:lang w:val="en-US"/>
        </w:rPr>
        <w:t xml:space="preserve">, [1997] R.J.Q. 58 (C.A.), at p. 68; see also </w:t>
      </w:r>
      <w:r w:rsidRPr="00453883">
        <w:rPr>
          <w:rFonts w:cs="Times New Roman"/>
          <w:i/>
          <w:lang w:val="en-US"/>
        </w:rPr>
        <w:t>Anvil Mining Ltd. v. Association canadienne contre l’impunité</w:t>
      </w:r>
      <w:r w:rsidRPr="00453883">
        <w:rPr>
          <w:rFonts w:cs="Times New Roman"/>
          <w:lang w:val="en-US"/>
        </w:rPr>
        <w:t xml:space="preserve">, 2012 QCCA 117, at paras. 97-98 (CanLII); </w:t>
      </w:r>
      <w:r w:rsidRPr="00453883">
        <w:rPr>
          <w:rFonts w:cs="Times New Roman"/>
          <w:i/>
          <w:lang w:val="en-US"/>
        </w:rPr>
        <w:t>Otsuka Pharmaceutical Company Limited v. Pohoresky</w:t>
      </w:r>
      <w:r w:rsidRPr="00453883">
        <w:rPr>
          <w:rFonts w:cs="Times New Roman"/>
          <w:lang w:val="en-US"/>
        </w:rPr>
        <w:t>, 2022 QCCA 1230, at para. </w:t>
      </w:r>
      <w:r w:rsidRPr="00453883">
        <w:rPr>
          <w:rFonts w:cs="Times New Roman"/>
          <w:lang w:val="fr-CA"/>
        </w:rPr>
        <w:t xml:space="preserve">7 (CanLII); G. Goldstein, </w:t>
      </w:r>
      <w:r w:rsidRPr="00453883">
        <w:rPr>
          <w:rFonts w:cs="Times New Roman"/>
          <w:i/>
          <w:lang w:val="fr-CA"/>
        </w:rPr>
        <w:t>Droit international privé</w:t>
      </w:r>
      <w:r w:rsidRPr="00453883">
        <w:rPr>
          <w:rFonts w:cs="Times New Roman"/>
          <w:lang w:val="fr-CA"/>
        </w:rPr>
        <w:t>,</w:t>
      </w:r>
      <w:r w:rsidRPr="00453883">
        <w:rPr>
          <w:rFonts w:cs="Times New Roman"/>
          <w:i/>
          <w:lang w:val="fr-CA"/>
        </w:rPr>
        <w:t xml:space="preserve"> </w:t>
      </w:r>
      <w:r w:rsidRPr="00453883">
        <w:rPr>
          <w:rFonts w:cs="Times New Roman"/>
          <w:lang w:val="fr-CA"/>
        </w:rPr>
        <w:t xml:space="preserve">vol. 2, </w:t>
      </w:r>
      <w:r w:rsidRPr="00453883">
        <w:rPr>
          <w:rFonts w:cs="Times New Roman"/>
          <w:i/>
          <w:lang w:val="fr-CA"/>
        </w:rPr>
        <w:t xml:space="preserve">Compétence internationale des autorités québécoises et effets des décisions étrangères (Art. 3134 à 3168 C.c.Q.) </w:t>
      </w:r>
      <w:r w:rsidRPr="00453883">
        <w:rPr>
          <w:rFonts w:cs="Times New Roman"/>
          <w:lang w:val="fr-CA"/>
        </w:rPr>
        <w:t xml:space="preserve">(2012), at p. 55; and </w:t>
      </w:r>
      <w:r w:rsidRPr="00453883">
        <w:rPr>
          <w:rFonts w:cs="Times New Roman"/>
          <w:i/>
          <w:lang w:val="fr-CA"/>
        </w:rPr>
        <w:t>Commentaires du ministre de la Justice</w:t>
      </w:r>
      <w:r w:rsidRPr="00453883">
        <w:rPr>
          <w:rFonts w:cs="Times New Roman"/>
          <w:lang w:val="fr-CA"/>
        </w:rPr>
        <w:t>, vol. II, at p. 2000).</w:t>
      </w:r>
    </w:p>
    <w:p w14:paraId="66B43890" w14:textId="77777777" w:rsidR="00453883" w:rsidRPr="00453883" w:rsidRDefault="00453883" w:rsidP="00453883">
      <w:pPr>
        <w:pStyle w:val="ParaNoNdepar-AltN"/>
        <w:rPr>
          <w:rFonts w:cs="Times New Roman"/>
        </w:rPr>
      </w:pPr>
      <w:r w:rsidRPr="00453883">
        <w:rPr>
          <w:rFonts w:cs="Times New Roman"/>
        </w:rPr>
        <w:t xml:space="preserve">Article 3136 </w:t>
      </w:r>
      <w:r w:rsidRPr="00453883">
        <w:rPr>
          <w:rFonts w:cs="Times New Roman"/>
          <w:i/>
        </w:rPr>
        <w:t>C.C.Q.</w:t>
      </w:r>
      <w:r w:rsidRPr="00453883">
        <w:rPr>
          <w:rFonts w:cs="Times New Roman"/>
        </w:rPr>
        <w:t xml:space="preserve"> states three preconditions for the provision to apply: the Quebec authority must have no jurisdiction; proceedings abroad cannot possibly be instituted or cannot reasonably be required; and the dispute must have a sufficient connection to Quebec (see </w:t>
      </w:r>
      <w:r w:rsidRPr="00453883">
        <w:rPr>
          <w:rFonts w:cs="Times New Roman"/>
          <w:i/>
        </w:rPr>
        <w:t>Droit de la famille — 1830</w:t>
      </w:r>
      <w:r w:rsidRPr="00453883">
        <w:rPr>
          <w:rFonts w:cs="Times New Roman"/>
        </w:rPr>
        <w:t xml:space="preserve">, 2018 QCCA 24, at para. 24 (CanLII)). Because art. 3136 </w:t>
      </w:r>
      <w:r w:rsidRPr="00453883">
        <w:rPr>
          <w:rFonts w:cs="Times New Roman"/>
          <w:i/>
        </w:rPr>
        <w:t>C.C.Q.</w:t>
      </w:r>
      <w:r w:rsidRPr="00453883">
        <w:rPr>
          <w:rFonts w:cs="Times New Roman"/>
        </w:rPr>
        <w:t xml:space="preserve"> applies only when a Quebec authority otherwise lacks jurisdiction, the provision </w:t>
      </w:r>
      <w:r w:rsidRPr="00453883">
        <w:rPr>
          <w:rFonts w:cs="Times New Roman"/>
          <w:szCs w:val="24"/>
        </w:rPr>
        <w:t>[</w:t>
      </w:r>
      <w:r w:rsidRPr="00453883">
        <w:rPr>
          <w:rFonts w:cs="Times New Roman"/>
          <w:smallCaps/>
          <w:szCs w:val="24"/>
        </w:rPr>
        <w:t>translation</w:t>
      </w:r>
      <w:r w:rsidRPr="00453883">
        <w:rPr>
          <w:rFonts w:cs="Times New Roman"/>
          <w:szCs w:val="24"/>
        </w:rPr>
        <w:t>]</w:t>
      </w:r>
      <w:r w:rsidRPr="00453883">
        <w:rPr>
          <w:rFonts w:cs="Times New Roman"/>
        </w:rPr>
        <w:t xml:space="preserve"> “rather represents a narrow exception to the normal rules of jurisdiction” (</w:t>
      </w:r>
      <w:r w:rsidRPr="00453883">
        <w:rPr>
          <w:rFonts w:cs="Times New Roman"/>
          <w:i/>
        </w:rPr>
        <w:t>Lamborghini</w:t>
      </w:r>
      <w:r w:rsidRPr="00453883">
        <w:rPr>
          <w:rFonts w:cs="Times New Roman"/>
        </w:rPr>
        <w:t xml:space="preserve">, at p. 68; see also </w:t>
      </w:r>
      <w:r w:rsidRPr="00453883">
        <w:rPr>
          <w:rFonts w:cs="Times New Roman"/>
          <w:i/>
        </w:rPr>
        <w:t>Anvil Mining</w:t>
      </w:r>
      <w:r w:rsidRPr="00453883">
        <w:rPr>
          <w:rFonts w:cs="Times New Roman"/>
        </w:rPr>
        <w:t xml:space="preserve">, at paras. 97-98; Emanuelli (2011), at No. 168). To apply art. 3136 </w:t>
      </w:r>
      <w:r w:rsidRPr="00453883">
        <w:rPr>
          <w:rFonts w:cs="Times New Roman"/>
          <w:i/>
        </w:rPr>
        <w:t>C.C.Q.</w:t>
      </w:r>
      <w:r w:rsidRPr="00453883">
        <w:rPr>
          <w:rFonts w:cs="Times New Roman"/>
        </w:rPr>
        <w:t xml:space="preserve">, a Quebec authority must first find that it does not have jurisdiction by other means (Goldstein, at p. 56; McEvoy, at p. 100). If the Quebec authority has jurisdiction by other means, art. 3136 </w:t>
      </w:r>
      <w:r w:rsidRPr="00453883">
        <w:rPr>
          <w:rFonts w:cs="Times New Roman"/>
          <w:i/>
        </w:rPr>
        <w:t>C.C.Q.</w:t>
      </w:r>
      <w:r w:rsidRPr="00453883">
        <w:rPr>
          <w:rFonts w:cs="Times New Roman"/>
        </w:rPr>
        <w:t xml:space="preserve"> cannot apply.</w:t>
      </w:r>
    </w:p>
    <w:p w14:paraId="2AEAE64C" w14:textId="77777777" w:rsidR="00453883" w:rsidRPr="00453883" w:rsidRDefault="00453883" w:rsidP="00453883">
      <w:pPr>
        <w:pStyle w:val="ParaNoNdepar-AltN"/>
        <w:rPr>
          <w:rFonts w:cs="Times New Roman"/>
        </w:rPr>
      </w:pPr>
      <w:r w:rsidRPr="00453883">
        <w:rPr>
          <w:rFonts w:cs="Times New Roman"/>
        </w:rPr>
        <w:t xml:space="preserve">In our view, art. 3136 </w:t>
      </w:r>
      <w:r w:rsidRPr="00453883">
        <w:rPr>
          <w:rFonts w:cs="Times New Roman"/>
          <w:i/>
        </w:rPr>
        <w:t>C.C.Q.</w:t>
      </w:r>
      <w:r w:rsidRPr="00453883">
        <w:rPr>
          <w:rFonts w:cs="Times New Roman"/>
        </w:rPr>
        <w:t xml:space="preserve"> does not provide a basis for the FMAT’s jurisdiction in this case, for two reasons. First, the AMF did not seek to rely on art. 3136 </w:t>
      </w:r>
      <w:r w:rsidRPr="00453883">
        <w:rPr>
          <w:rFonts w:cs="Times New Roman"/>
          <w:i/>
        </w:rPr>
        <w:t>C.C.Q.</w:t>
      </w:r>
      <w:r w:rsidRPr="00453883">
        <w:rPr>
          <w:rFonts w:cs="Times New Roman"/>
        </w:rPr>
        <w:t xml:space="preserve"> as a basis for the FMAT’s jurisdiction. This Court has confirmed that both art. 3135 </w:t>
      </w:r>
      <w:r w:rsidRPr="00453883">
        <w:rPr>
          <w:rFonts w:cs="Times New Roman"/>
          <w:i/>
        </w:rPr>
        <w:t>C.C.Q</w:t>
      </w:r>
      <w:r w:rsidRPr="00453883">
        <w:rPr>
          <w:rFonts w:cs="Times New Roman"/>
        </w:rPr>
        <w:t xml:space="preserve">., which deals with </w:t>
      </w:r>
      <w:r w:rsidRPr="00453883">
        <w:rPr>
          <w:rFonts w:cs="Times New Roman"/>
          <w:i/>
        </w:rPr>
        <w:t>forum non conveniens</w:t>
      </w:r>
      <w:r w:rsidRPr="00453883">
        <w:rPr>
          <w:rFonts w:cs="Times New Roman"/>
        </w:rPr>
        <w:t xml:space="preserve">, and art. 3136 </w:t>
      </w:r>
      <w:r w:rsidRPr="00453883">
        <w:rPr>
          <w:rFonts w:cs="Times New Roman"/>
          <w:i/>
        </w:rPr>
        <w:t>C.C.Q.</w:t>
      </w:r>
      <w:r w:rsidRPr="00453883">
        <w:rPr>
          <w:rFonts w:cs="Times New Roman"/>
        </w:rPr>
        <w:t>, “may be applied only if one of the parties raises them, as the court cannot apply them of its own motion” (</w:t>
      </w:r>
      <w:r w:rsidRPr="00453883">
        <w:rPr>
          <w:rFonts w:cs="Times New Roman"/>
          <w:i/>
        </w:rPr>
        <w:t>GreCon</w:t>
      </w:r>
      <w:r w:rsidRPr="00453883">
        <w:rPr>
          <w:rFonts w:cs="Times New Roman"/>
        </w:rPr>
        <w:t>, at para. 33). Otherwise stated, [</w:t>
      </w:r>
      <w:r w:rsidRPr="00453883">
        <w:rPr>
          <w:rFonts w:cs="Times New Roman"/>
          <w:smallCaps/>
        </w:rPr>
        <w:t>translation</w:t>
      </w:r>
      <w:r w:rsidRPr="00453883">
        <w:rPr>
          <w:rFonts w:cs="Times New Roman"/>
        </w:rPr>
        <w:t xml:space="preserve">] “only an express request” can allow a “judge to confer on the Quebec authorities a jurisdiction that they do not possess on the basis of article 3136 </w:t>
      </w:r>
      <w:r w:rsidRPr="00453883">
        <w:rPr>
          <w:rFonts w:cs="Times New Roman"/>
          <w:i/>
        </w:rPr>
        <w:t>C.C.Q.</w:t>
      </w:r>
      <w:r w:rsidRPr="00453883">
        <w:rPr>
          <w:rFonts w:cs="Times New Roman"/>
        </w:rPr>
        <w:t>” (</w:t>
      </w:r>
      <w:r w:rsidRPr="00453883">
        <w:rPr>
          <w:rFonts w:cs="Times New Roman"/>
          <w:i/>
        </w:rPr>
        <w:t>Droit de la famille — 143017</w:t>
      </w:r>
      <w:r w:rsidRPr="00453883">
        <w:rPr>
          <w:rFonts w:cs="Times New Roman"/>
        </w:rPr>
        <w:t xml:space="preserve">, 2014 QCCA 2188, at para. 55 (CanLII)). It was therefore an error to rely on art. 3136 </w:t>
      </w:r>
      <w:r w:rsidRPr="00453883">
        <w:rPr>
          <w:rFonts w:cs="Times New Roman"/>
          <w:i/>
        </w:rPr>
        <w:t xml:space="preserve">C.C.Q. </w:t>
      </w:r>
      <w:r w:rsidRPr="00453883">
        <w:rPr>
          <w:rFonts w:cs="Times New Roman"/>
        </w:rPr>
        <w:t>as a basis for the FMAT’s jurisdiction when the AMF did not invoke this provision.</w:t>
      </w:r>
    </w:p>
    <w:p w14:paraId="1091C05D" w14:textId="77777777" w:rsidR="00453883" w:rsidRPr="00453883" w:rsidRDefault="00453883" w:rsidP="00453883">
      <w:pPr>
        <w:pStyle w:val="ParaNoNdepar-AltN"/>
        <w:rPr>
          <w:rFonts w:cs="Times New Roman"/>
        </w:rPr>
      </w:pPr>
      <w:r w:rsidRPr="00453883">
        <w:rPr>
          <w:rFonts w:cs="Times New Roman"/>
        </w:rPr>
        <w:t xml:space="preserve">Second, even if a party had properly raised art. 3136 </w:t>
      </w:r>
      <w:r w:rsidRPr="00453883">
        <w:rPr>
          <w:rFonts w:cs="Times New Roman"/>
          <w:i/>
        </w:rPr>
        <w:t>C.C.Q.</w:t>
      </w:r>
      <w:r w:rsidRPr="00453883">
        <w:rPr>
          <w:rFonts w:cs="Times New Roman"/>
        </w:rPr>
        <w:t xml:space="preserve">, the provision does not apply on its face. For art. 3136 </w:t>
      </w:r>
      <w:r w:rsidRPr="00453883">
        <w:rPr>
          <w:rFonts w:cs="Times New Roman"/>
          <w:i/>
        </w:rPr>
        <w:t>C.C.Q.</w:t>
      </w:r>
      <w:r w:rsidRPr="00453883">
        <w:rPr>
          <w:rFonts w:cs="Times New Roman"/>
        </w:rPr>
        <w:t xml:space="preserve"> to apply, a Quebec authority must have no jurisdiction to hear a dispute, as shown by its wording: “Even though a Québec authority has no jurisdiction to hear a </w:t>
      </w:r>
      <w:proofErr w:type="gramStart"/>
      <w:r w:rsidRPr="00453883">
        <w:rPr>
          <w:rFonts w:cs="Times New Roman"/>
        </w:rPr>
        <w:t>dispute .</w:t>
      </w:r>
      <w:proofErr w:type="gramEnd"/>
      <w:r w:rsidRPr="00453883">
        <w:rPr>
          <w:rFonts w:cs="Times New Roman"/>
        </w:rPr>
        <w:t xml:space="preserve"> . . .” Here, as we address below, the FMAT </w:t>
      </w:r>
      <w:r w:rsidRPr="00453883">
        <w:rPr>
          <w:rFonts w:cs="Times New Roman"/>
          <w:i/>
        </w:rPr>
        <w:t>does</w:t>
      </w:r>
      <w:r w:rsidRPr="00453883">
        <w:rPr>
          <w:rFonts w:cs="Times New Roman"/>
        </w:rPr>
        <w:t xml:space="preserve"> have jurisdiction to hear the dispute — including jurisdiction over the appellants — under the special jurisdictional rules of the Quebec securities scheme contained in the </w:t>
      </w:r>
      <w:r w:rsidRPr="00453883">
        <w:rPr>
          <w:rFonts w:cs="Times New Roman"/>
          <w:i/>
        </w:rPr>
        <w:t xml:space="preserve">Securities Act </w:t>
      </w:r>
      <w:r w:rsidRPr="00453883">
        <w:rPr>
          <w:rFonts w:cs="Times New Roman"/>
        </w:rPr>
        <w:t xml:space="preserve">and the </w:t>
      </w:r>
      <w:r w:rsidRPr="00453883">
        <w:rPr>
          <w:rFonts w:cs="Times New Roman"/>
          <w:i/>
        </w:rPr>
        <w:t>Act respecting the Autorité des marchés financiers</w:t>
      </w:r>
      <w:r w:rsidRPr="00453883">
        <w:rPr>
          <w:rFonts w:cs="Times New Roman"/>
        </w:rPr>
        <w:t xml:space="preserve">. As a result, art. 3136 </w:t>
      </w:r>
      <w:r w:rsidRPr="00453883">
        <w:rPr>
          <w:rFonts w:cs="Times New Roman"/>
          <w:i/>
        </w:rPr>
        <w:t>C.C.Q.</w:t>
      </w:r>
      <w:r w:rsidRPr="00453883">
        <w:rPr>
          <w:rFonts w:cs="Times New Roman"/>
        </w:rPr>
        <w:t xml:space="preserve"> does not provide a basis for the FMAT’s jurisdiction in this case.</w:t>
      </w:r>
    </w:p>
    <w:p w14:paraId="428D5F97" w14:textId="77777777" w:rsidR="00453883" w:rsidRPr="00453883" w:rsidRDefault="00453883" w:rsidP="00453883">
      <w:pPr>
        <w:pStyle w:val="Title2LevelTitre2Niveau"/>
        <w:numPr>
          <w:ilvl w:val="1"/>
          <w:numId w:val="8"/>
        </w:numPr>
        <w:jc w:val="both"/>
        <w:rPr>
          <w:rFonts w:cs="Times New Roman"/>
        </w:rPr>
      </w:pPr>
      <w:r w:rsidRPr="00453883">
        <w:rPr>
          <w:rFonts w:cs="Times New Roman"/>
        </w:rPr>
        <w:t xml:space="preserve">The Quebec Securities Scheme’s Special Rules for the FMAT’s Jurisdiction </w:t>
      </w:r>
    </w:p>
    <w:p w14:paraId="4498F959" w14:textId="77777777" w:rsidR="00453883" w:rsidRPr="00453883" w:rsidRDefault="00453883" w:rsidP="00453883">
      <w:pPr>
        <w:pStyle w:val="ParaNoNdepar-AltN"/>
        <w:rPr>
          <w:rFonts w:cs="Times New Roman"/>
        </w:rPr>
      </w:pPr>
      <w:r w:rsidRPr="00453883">
        <w:rPr>
          <w:rFonts w:cs="Times New Roman"/>
        </w:rPr>
        <w:t xml:space="preserve">Although the </w:t>
      </w:r>
      <w:r w:rsidRPr="00453883">
        <w:rPr>
          <w:rFonts w:cs="Times New Roman"/>
          <w:i/>
        </w:rPr>
        <w:t xml:space="preserve">C.C.Q. </w:t>
      </w:r>
      <w:r w:rsidRPr="00453883">
        <w:rPr>
          <w:rFonts w:cs="Times New Roman"/>
        </w:rPr>
        <w:t>does not grant the FMAT jurisdiction in these circumstances, it remains to consider whether the FMAT has jurisdiction under the special jurisdictional rules under Quebec’s securities scheme. This Court has stated that “[t]</w:t>
      </w:r>
      <w:r w:rsidRPr="00453883">
        <w:rPr>
          <w:rFonts w:eastAsiaTheme="minorHAnsi" w:cs="Times New Roman"/>
          <w:lang w:val="en-US" w:bidi="en-US"/>
        </w:rPr>
        <w:t xml:space="preserve">he various rules governing the private international law order of Quebec are found primarily in Book Ten of the </w:t>
      </w:r>
      <w:r w:rsidRPr="00453883">
        <w:rPr>
          <w:rFonts w:eastAsiaTheme="minorHAnsi" w:cs="Times New Roman"/>
          <w:i/>
          <w:lang w:val="en-US" w:bidi="en-US"/>
        </w:rPr>
        <w:t>C.C.Q.</w:t>
      </w:r>
      <w:r w:rsidRPr="00453883">
        <w:rPr>
          <w:rFonts w:cs="Times New Roman"/>
        </w:rPr>
        <w:t>” (</w:t>
      </w:r>
      <w:r w:rsidRPr="00453883">
        <w:rPr>
          <w:rFonts w:cs="Times New Roman"/>
          <w:i/>
        </w:rPr>
        <w:t>Spar</w:t>
      </w:r>
      <w:r w:rsidRPr="00453883">
        <w:rPr>
          <w:rFonts w:cs="Times New Roman"/>
        </w:rPr>
        <w:t xml:space="preserve"> </w:t>
      </w:r>
      <w:r w:rsidRPr="00453883">
        <w:rPr>
          <w:rFonts w:cs="Times New Roman"/>
          <w:i/>
        </w:rPr>
        <w:t>Aerospace</w:t>
      </w:r>
      <w:r w:rsidRPr="00453883">
        <w:rPr>
          <w:rFonts w:cs="Times New Roman"/>
        </w:rPr>
        <w:t>, at para. 22). However, this does not preclude the application of other jurisdictional rules set out in special statutes (see P. Ferland and G. Laganière, “Le droit international privé”, in Collection de droit</w:t>
      </w:r>
      <w:r w:rsidRPr="00453883">
        <w:rPr>
          <w:rFonts w:cs="Times New Roman"/>
          <w:i/>
        </w:rPr>
        <w:t xml:space="preserve"> </w:t>
      </w:r>
      <w:r w:rsidRPr="00453883">
        <w:rPr>
          <w:rFonts w:cs="Times New Roman"/>
        </w:rPr>
        <w:t xml:space="preserve">de l’École du Barreau du Québec 2023-2024, vol. 7, </w:t>
      </w:r>
      <w:r w:rsidRPr="00453883">
        <w:rPr>
          <w:rFonts w:cs="Times New Roman"/>
          <w:i/>
        </w:rPr>
        <w:t>Contrats, sûretés, publicité des droits et droit international privé</w:t>
      </w:r>
      <w:r w:rsidRPr="00453883">
        <w:rPr>
          <w:rFonts w:cs="Times New Roman"/>
        </w:rPr>
        <w:t xml:space="preserve"> (2023), 271, at p. 303, fn. 247).</w:t>
      </w:r>
    </w:p>
    <w:p w14:paraId="3BA2AED6" w14:textId="77777777" w:rsidR="00453883" w:rsidRPr="00453883" w:rsidRDefault="00453883" w:rsidP="00453883">
      <w:pPr>
        <w:numPr>
          <w:ilvl w:val="0"/>
          <w:numId w:val="6"/>
        </w:numPr>
        <w:tabs>
          <w:tab w:val="clear" w:pos="1152"/>
          <w:tab w:val="left" w:pos="1166"/>
        </w:tabs>
        <w:spacing w:before="480" w:after="480" w:line="480" w:lineRule="auto"/>
        <w:jc w:val="both"/>
      </w:pPr>
      <w:r w:rsidRPr="00453883">
        <w:rPr>
          <w:rFonts w:eastAsiaTheme="minorEastAsia"/>
        </w:rPr>
        <w:t xml:space="preserve">The FMAT has jurisdiction under two special statutes: the Quebec </w:t>
      </w:r>
      <w:r w:rsidRPr="00453883">
        <w:rPr>
          <w:rFonts w:eastAsiaTheme="minorEastAsia"/>
          <w:i/>
        </w:rPr>
        <w:t>Securities Act</w:t>
      </w:r>
      <w:r w:rsidRPr="00453883">
        <w:rPr>
          <w:rFonts w:eastAsiaTheme="minorEastAsia"/>
        </w:rPr>
        <w:t xml:space="preserve"> and the </w:t>
      </w:r>
      <w:r w:rsidRPr="00453883">
        <w:rPr>
          <w:rFonts w:eastAsiaTheme="minorEastAsia"/>
          <w:i/>
        </w:rPr>
        <w:t>Act respecting the Autorité des marchés financiers</w:t>
      </w:r>
      <w:r w:rsidRPr="00453883">
        <w:rPr>
          <w:rFonts w:eastAsiaTheme="minorEastAsia"/>
        </w:rPr>
        <w:t>,</w:t>
      </w:r>
      <w:r w:rsidRPr="00453883">
        <w:rPr>
          <w:rFonts w:eastAsiaTheme="minorEastAsia"/>
          <w:i/>
        </w:rPr>
        <w:t xml:space="preserve"> </w:t>
      </w:r>
      <w:r w:rsidRPr="00453883">
        <w:rPr>
          <w:rFonts w:eastAsiaTheme="minorEastAsia"/>
        </w:rPr>
        <w:t xml:space="preserve">now known as the </w:t>
      </w:r>
      <w:r w:rsidRPr="00453883">
        <w:rPr>
          <w:rFonts w:eastAsiaTheme="minorEastAsia"/>
          <w:i/>
        </w:rPr>
        <w:t>Act respecting the regulation of the financial sector</w:t>
      </w:r>
      <w:r w:rsidRPr="00453883">
        <w:rPr>
          <w:rFonts w:eastAsiaTheme="minorEastAsia"/>
        </w:rPr>
        <w:t xml:space="preserve">, CQLR, c. E-6.1. </w:t>
      </w:r>
    </w:p>
    <w:p w14:paraId="6B1A29F9" w14:textId="77777777" w:rsidR="00453883" w:rsidRPr="00453883" w:rsidRDefault="00453883" w:rsidP="00453883">
      <w:pPr>
        <w:pStyle w:val="ParaNoNdepar-AltN"/>
        <w:rPr>
          <w:rFonts w:cs="Times New Roman"/>
        </w:rPr>
      </w:pPr>
      <w:r w:rsidRPr="00453883">
        <w:rPr>
          <w:rFonts w:cs="Times New Roman"/>
        </w:rPr>
        <w:t xml:space="preserve">Section 93 of the </w:t>
      </w:r>
      <w:r w:rsidRPr="00453883">
        <w:rPr>
          <w:rFonts w:cs="Times New Roman"/>
          <w:i/>
        </w:rPr>
        <w:t>Act respecting the Autorité des marchés financiers</w:t>
      </w:r>
      <w:r w:rsidRPr="00453883">
        <w:rPr>
          <w:rFonts w:cs="Times New Roman"/>
        </w:rPr>
        <w:t xml:space="preserve"> provides that the FMAT’s function is to make determinations regarding matters brought under the </w:t>
      </w:r>
      <w:r w:rsidRPr="00453883">
        <w:rPr>
          <w:rFonts w:cs="Times New Roman"/>
          <w:i/>
        </w:rPr>
        <w:t>Act respecting the Autorité des marchés financiers</w:t>
      </w:r>
      <w:r w:rsidRPr="00453883">
        <w:rPr>
          <w:rFonts w:cs="Times New Roman"/>
        </w:rPr>
        <w:t xml:space="preserve"> and other Acts listed in the provision, including the </w:t>
      </w:r>
      <w:r w:rsidRPr="00453883">
        <w:rPr>
          <w:rFonts w:cs="Times New Roman"/>
          <w:i/>
        </w:rPr>
        <w:t>Securities Act</w:t>
      </w:r>
      <w:r w:rsidRPr="00453883">
        <w:rPr>
          <w:rFonts w:cs="Times New Roman"/>
        </w:rPr>
        <w:t>.</w:t>
      </w:r>
      <w:r w:rsidRPr="00453883">
        <w:rPr>
          <w:rFonts w:cs="Times New Roman"/>
          <w:i/>
        </w:rPr>
        <w:t xml:space="preserve"> </w:t>
      </w:r>
      <w:r w:rsidRPr="00453883">
        <w:rPr>
          <w:rFonts w:cs="Times New Roman"/>
        </w:rPr>
        <w:t xml:space="preserve">Section 93 thus grants the FMAT jurisdiction over the adjudication of matters brought under the </w:t>
      </w:r>
      <w:r w:rsidRPr="00453883">
        <w:rPr>
          <w:rFonts w:cs="Times New Roman"/>
          <w:i/>
        </w:rPr>
        <w:t>Securities Act</w:t>
      </w:r>
      <w:r w:rsidRPr="00453883">
        <w:rPr>
          <w:rFonts w:cs="Times New Roman"/>
        </w:rPr>
        <w:t>:</w:t>
      </w:r>
    </w:p>
    <w:p w14:paraId="65C91450" w14:textId="77777777" w:rsidR="00453883" w:rsidRPr="00453883" w:rsidRDefault="00453883" w:rsidP="00453883">
      <w:pPr>
        <w:spacing w:after="200"/>
        <w:ind w:left="1166"/>
        <w:contextualSpacing/>
        <w:jc w:val="both"/>
      </w:pPr>
      <w:r w:rsidRPr="00453883">
        <w:rPr>
          <w:b/>
        </w:rPr>
        <w:t>93.</w:t>
      </w:r>
      <w:r w:rsidRPr="00453883">
        <w:t xml:space="preserve"> </w:t>
      </w:r>
      <w:r w:rsidRPr="00453883">
        <w:rPr>
          <w:u w:val="single"/>
        </w:rPr>
        <w:t>On the request of the Authority or of any interested person, the Tribunal shall exercise the functions and powers assigned to it under this Act</w:t>
      </w:r>
      <w:r w:rsidRPr="00453883">
        <w:t xml:space="preserve">, the Act respecting the distribution of financial products and services (chapter D-9.2), the Money-Services Businesses Act (chapter E-12.000001), the Derivatives Act (chapter I-14.01) </w:t>
      </w:r>
      <w:r w:rsidRPr="00453883">
        <w:rPr>
          <w:u w:val="single"/>
        </w:rPr>
        <w:t>and the Securities Act (chapter V-1.1)</w:t>
      </w:r>
      <w:r w:rsidRPr="00453883">
        <w:t>.</w:t>
      </w:r>
    </w:p>
    <w:p w14:paraId="6E1D3FC4" w14:textId="77777777" w:rsidR="00453883" w:rsidRPr="00453883" w:rsidRDefault="00453883" w:rsidP="00453883">
      <w:pPr>
        <w:spacing w:after="200"/>
        <w:ind w:left="1166"/>
        <w:contextualSpacing/>
      </w:pPr>
    </w:p>
    <w:p w14:paraId="732421F5" w14:textId="77777777" w:rsidR="00453883" w:rsidRPr="00453883" w:rsidRDefault="00453883" w:rsidP="00453883">
      <w:pPr>
        <w:spacing w:after="200"/>
        <w:ind w:left="1166" w:firstLine="274"/>
        <w:contextualSpacing/>
      </w:pPr>
      <w:r w:rsidRPr="00453883">
        <w:t>The Tribunal shall exercise its discretion in the public interest.</w:t>
      </w:r>
    </w:p>
    <w:p w14:paraId="4C37B99A" w14:textId="77777777" w:rsidR="00453883" w:rsidRPr="00453883" w:rsidRDefault="00453883" w:rsidP="00453883">
      <w:pPr>
        <w:spacing w:after="200"/>
        <w:ind w:left="1166"/>
        <w:contextualSpacing/>
      </w:pPr>
    </w:p>
    <w:p w14:paraId="10D81DB1" w14:textId="77777777" w:rsidR="00453883" w:rsidRDefault="00453883" w:rsidP="00453883">
      <w:pPr>
        <w:spacing w:after="720"/>
        <w:ind w:left="1168" w:firstLine="272"/>
        <w:contextualSpacing/>
        <w:jc w:val="both"/>
      </w:pPr>
      <w:r w:rsidRPr="00453883">
        <w:t>The Tribunal may not, when assessing the facts or the law for the purposes of those Acts, substitute its assessment of the public interest for that made by the Authority in making a decision.</w:t>
      </w:r>
      <w:r w:rsidRPr="001C2DEE">
        <w:rPr>
          <w:rStyle w:val="Hyperlink"/>
          <w:vertAlign w:val="superscript"/>
        </w:rPr>
        <w:footnoteReference w:id="5"/>
      </w:r>
    </w:p>
    <w:p w14:paraId="49689DAF" w14:textId="77777777" w:rsidR="006603E2" w:rsidRDefault="006603E2" w:rsidP="006603E2">
      <w:pPr>
        <w:spacing w:after="720"/>
        <w:ind w:left="1166" w:firstLine="274"/>
        <w:contextualSpacing/>
        <w:jc w:val="both"/>
      </w:pPr>
    </w:p>
    <w:p w14:paraId="4E151A02" w14:textId="77777777" w:rsidR="006627BB" w:rsidRPr="00453883" w:rsidRDefault="006627BB" w:rsidP="00453883">
      <w:pPr>
        <w:spacing w:after="720"/>
        <w:ind w:left="1168" w:firstLine="272"/>
        <w:contextualSpacing/>
        <w:jc w:val="both"/>
      </w:pPr>
    </w:p>
    <w:p w14:paraId="4DF7D37C" w14:textId="77777777" w:rsidR="00453883" w:rsidRPr="00453883" w:rsidRDefault="00453883" w:rsidP="00453883">
      <w:pPr>
        <w:numPr>
          <w:ilvl w:val="0"/>
          <w:numId w:val="6"/>
        </w:numPr>
        <w:tabs>
          <w:tab w:val="clear" w:pos="1152"/>
          <w:tab w:val="left" w:pos="1166"/>
        </w:tabs>
        <w:spacing w:before="480" w:after="480" w:line="480" w:lineRule="auto"/>
        <w:jc w:val="both"/>
        <w:rPr>
          <w:rFonts w:eastAsiaTheme="minorEastAsia"/>
        </w:rPr>
      </w:pPr>
      <w:r w:rsidRPr="00453883">
        <w:rPr>
          <w:rFonts w:eastAsiaTheme="minorEastAsia"/>
        </w:rPr>
        <w:t xml:space="preserve">Section 94 grants the FMAT jurisdiction to take any measure to ensure compliance with any of the Acts referred to in s. 93, which include the </w:t>
      </w:r>
      <w:r w:rsidRPr="00453883">
        <w:rPr>
          <w:rFonts w:eastAsiaTheme="minorEastAsia"/>
          <w:i/>
        </w:rPr>
        <w:t>Act respecting the Autorité des marchés financiers</w:t>
      </w:r>
      <w:r w:rsidRPr="00453883">
        <w:rPr>
          <w:rFonts w:eastAsiaTheme="minorEastAsia"/>
        </w:rPr>
        <w:t xml:space="preserve"> and the </w:t>
      </w:r>
      <w:r w:rsidRPr="00453883">
        <w:rPr>
          <w:rFonts w:eastAsiaTheme="minorEastAsia"/>
          <w:i/>
        </w:rPr>
        <w:t>Securities Act</w:t>
      </w:r>
      <w:r w:rsidRPr="00453883">
        <w:rPr>
          <w:rFonts w:eastAsiaTheme="minorEastAsia"/>
        </w:rPr>
        <w:t>:</w:t>
      </w:r>
    </w:p>
    <w:p w14:paraId="37792120" w14:textId="77777777" w:rsidR="00453883" w:rsidRPr="00453883" w:rsidRDefault="00453883" w:rsidP="00453883">
      <w:pPr>
        <w:spacing w:after="720"/>
        <w:ind w:left="1166"/>
        <w:contextualSpacing/>
        <w:jc w:val="both"/>
      </w:pPr>
      <w:r w:rsidRPr="00453883">
        <w:rPr>
          <w:b/>
        </w:rPr>
        <w:t>94.</w:t>
      </w:r>
      <w:r w:rsidRPr="00453883">
        <w:t xml:space="preserve"> At the request of the Authority, the Tribunal may take any measure conducive to ensuring compliance with an undertaking given under this Act, the Act respecting the distribution of financial products and services (chapter D-9.2), the Money-Services Businesses Act (chapter E-12.000001), the Derivatives Act (chapter I-14.01) or the Securities Act (chapter V-1.1) or compliance with those Acts.</w:t>
      </w:r>
      <w:r w:rsidRPr="001C2DEE">
        <w:rPr>
          <w:rStyle w:val="Hyperlink"/>
          <w:vertAlign w:val="superscript"/>
        </w:rPr>
        <w:footnoteReference w:id="6"/>
      </w:r>
    </w:p>
    <w:p w14:paraId="3CF8A3BD" w14:textId="77777777" w:rsidR="00453883" w:rsidRPr="00453883" w:rsidRDefault="00453883" w:rsidP="00453883">
      <w:pPr>
        <w:pStyle w:val="ParaNoNdepar-AltN"/>
        <w:rPr>
          <w:rFonts w:cs="Times New Roman"/>
        </w:rPr>
      </w:pPr>
      <w:r w:rsidRPr="00453883">
        <w:rPr>
          <w:rFonts w:cs="Times New Roman"/>
        </w:rPr>
        <w:t xml:space="preserve">The AMF has alleged before the FMAT that the appellants violated the </w:t>
      </w:r>
      <w:r w:rsidRPr="00453883">
        <w:rPr>
          <w:rFonts w:cs="Times New Roman"/>
          <w:i/>
        </w:rPr>
        <w:t>Securities Act</w:t>
      </w:r>
      <w:r w:rsidRPr="00453883">
        <w:rPr>
          <w:rFonts w:cs="Times New Roman"/>
        </w:rPr>
        <w:t xml:space="preserve"> by improperly or fraudulently influencing the market price or the value of securities (s. 195.2) and by knowingly participating in securities transactions that created an artificial security price (s. 199.1). In addition to setting forth the FMAT’s jurisdiction through the </w:t>
      </w:r>
      <w:r w:rsidRPr="00453883">
        <w:rPr>
          <w:rFonts w:cs="Times New Roman"/>
          <w:i/>
        </w:rPr>
        <w:t>Act respecting the Autorité des marchés financiers</w:t>
      </w:r>
      <w:r w:rsidRPr="00453883">
        <w:rPr>
          <w:rFonts w:cs="Times New Roman"/>
        </w:rPr>
        <w:t xml:space="preserve">, the legislature addressed the FMAT’s jurisdiction through various provisions in the </w:t>
      </w:r>
      <w:r w:rsidRPr="00453883">
        <w:rPr>
          <w:rFonts w:cs="Times New Roman"/>
          <w:i/>
        </w:rPr>
        <w:t>Securities Act</w:t>
      </w:r>
      <w:r w:rsidRPr="00453883">
        <w:rPr>
          <w:rFonts w:cs="Times New Roman"/>
        </w:rPr>
        <w:t xml:space="preserve"> itself. The three relevant jurisdictional provisions are ss. 265, 273.1, and 273.3.</w:t>
      </w:r>
    </w:p>
    <w:p w14:paraId="29AE5EB5" w14:textId="77777777" w:rsidR="00453883" w:rsidRPr="00453883" w:rsidRDefault="00453883" w:rsidP="00453883">
      <w:pPr>
        <w:pStyle w:val="ParaNoNdepar-AltN"/>
        <w:rPr>
          <w:rFonts w:cs="Times New Roman"/>
        </w:rPr>
      </w:pPr>
      <w:r w:rsidRPr="00453883">
        <w:rPr>
          <w:rFonts w:cs="Times New Roman"/>
        </w:rPr>
        <w:t xml:space="preserve">Section 265 of the </w:t>
      </w:r>
      <w:r w:rsidRPr="00453883">
        <w:rPr>
          <w:rFonts w:cs="Times New Roman"/>
          <w:i/>
        </w:rPr>
        <w:t xml:space="preserve">Securities Act </w:t>
      </w:r>
      <w:r w:rsidRPr="00453883">
        <w:rPr>
          <w:rFonts w:cs="Times New Roman"/>
        </w:rPr>
        <w:t>empowers the FMAT to order a person to cease any activity in respect of securities transactions:</w:t>
      </w:r>
    </w:p>
    <w:p w14:paraId="2173FF73" w14:textId="77777777" w:rsidR="00453883" w:rsidRPr="00453883" w:rsidRDefault="00453883" w:rsidP="00453883">
      <w:pPr>
        <w:pStyle w:val="ListParagraph"/>
        <w:ind w:left="1166"/>
        <w:jc w:val="both"/>
        <w:rPr>
          <w:rFonts w:cs="Times New Roman"/>
        </w:rPr>
      </w:pPr>
      <w:r w:rsidRPr="00453883">
        <w:rPr>
          <w:rFonts w:cs="Times New Roman"/>
          <w:b/>
        </w:rPr>
        <w:t>265.</w:t>
      </w:r>
      <w:r w:rsidRPr="00453883">
        <w:rPr>
          <w:rFonts w:cs="Times New Roman"/>
        </w:rPr>
        <w:t xml:space="preserve"> The Financial Markets Administrative Tribunal may order a person to cease any activity in respect of a transaction in securities.</w:t>
      </w:r>
    </w:p>
    <w:p w14:paraId="7A1BB35E" w14:textId="77777777" w:rsidR="00453883" w:rsidRPr="00453883" w:rsidRDefault="00453883" w:rsidP="00453883">
      <w:pPr>
        <w:pStyle w:val="ListParagraph"/>
        <w:ind w:left="1166"/>
        <w:jc w:val="both"/>
        <w:rPr>
          <w:rFonts w:cs="Times New Roman"/>
        </w:rPr>
      </w:pPr>
    </w:p>
    <w:p w14:paraId="13BD2020" w14:textId="77777777" w:rsidR="00453883" w:rsidRPr="00453883" w:rsidRDefault="00453883" w:rsidP="00453883">
      <w:pPr>
        <w:pStyle w:val="ListParagraph"/>
        <w:spacing w:after="720"/>
        <w:ind w:left="1166" w:firstLine="274"/>
        <w:jc w:val="both"/>
        <w:rPr>
          <w:rFonts w:cs="Times New Roman"/>
        </w:rPr>
      </w:pPr>
      <w:r w:rsidRPr="00453883">
        <w:rPr>
          <w:rFonts w:cs="Times New Roman"/>
        </w:rPr>
        <w:t>The Financial Markets Administrative Tribunal may, furthermore, order any person or category of persons to cease any activity in respect of a transaction in a particular security.</w:t>
      </w:r>
    </w:p>
    <w:p w14:paraId="59863295" w14:textId="77777777" w:rsidR="00453883" w:rsidRPr="00453883" w:rsidRDefault="00453883" w:rsidP="00453883">
      <w:pPr>
        <w:pStyle w:val="ParaNoNdepar-AltN"/>
        <w:rPr>
          <w:rFonts w:cs="Times New Roman"/>
        </w:rPr>
      </w:pPr>
      <w:r w:rsidRPr="00453883">
        <w:rPr>
          <w:rFonts w:cs="Times New Roman"/>
        </w:rPr>
        <w:t xml:space="preserve">Section 273.1 of the </w:t>
      </w:r>
      <w:r w:rsidRPr="00453883">
        <w:rPr>
          <w:rFonts w:cs="Times New Roman"/>
          <w:i/>
        </w:rPr>
        <w:t xml:space="preserve">Securities Act </w:t>
      </w:r>
      <w:r w:rsidRPr="00453883">
        <w:rPr>
          <w:rFonts w:cs="Times New Roman"/>
        </w:rPr>
        <w:t>allows the FMAT to impose an administrative penalty on an offender:</w:t>
      </w:r>
    </w:p>
    <w:p w14:paraId="0C4F587F" w14:textId="77777777" w:rsidR="00453883" w:rsidRPr="00453883" w:rsidRDefault="00453883" w:rsidP="00453883">
      <w:pPr>
        <w:pStyle w:val="ListParagraph"/>
        <w:ind w:left="1166"/>
        <w:jc w:val="both"/>
        <w:rPr>
          <w:rFonts w:cs="Times New Roman"/>
        </w:rPr>
      </w:pPr>
      <w:r w:rsidRPr="00453883">
        <w:rPr>
          <w:rFonts w:cs="Times New Roman"/>
          <w:b/>
        </w:rPr>
        <w:t>273.1.</w:t>
      </w:r>
      <w:r w:rsidRPr="00453883">
        <w:rPr>
          <w:rFonts w:cs="Times New Roman"/>
        </w:rPr>
        <w:t xml:space="preserve"> Where the Financial Markets Administrative Tribunal becomes aware of facts establishing that a person has, by an act or omission, contravened, or aided in the contravention of, a provision under this Act or a regulation made under its authority, the Tribunal may impose an administrative penalty on the offender and have it collected by the Authority.</w:t>
      </w:r>
    </w:p>
    <w:p w14:paraId="5B02B5DC" w14:textId="77777777" w:rsidR="00453883" w:rsidRPr="00453883" w:rsidRDefault="00453883" w:rsidP="00453883">
      <w:pPr>
        <w:pStyle w:val="ListParagraph"/>
        <w:ind w:left="1166"/>
        <w:jc w:val="both"/>
        <w:rPr>
          <w:rFonts w:cs="Times New Roman"/>
        </w:rPr>
      </w:pPr>
    </w:p>
    <w:p w14:paraId="12079BD5" w14:textId="77777777" w:rsidR="00453883" w:rsidRPr="00453883" w:rsidRDefault="00453883" w:rsidP="00453883">
      <w:pPr>
        <w:pStyle w:val="ListParagraph"/>
        <w:spacing w:after="720"/>
        <w:ind w:left="1166" w:firstLine="274"/>
        <w:jc w:val="both"/>
        <w:rPr>
          <w:rFonts w:cs="Times New Roman"/>
        </w:rPr>
      </w:pPr>
      <w:r w:rsidRPr="00453883">
        <w:rPr>
          <w:rFonts w:cs="Times New Roman"/>
        </w:rPr>
        <w:t>The amount of the penalty may in no case exceed $2,000,000 for each contravention.</w:t>
      </w:r>
    </w:p>
    <w:p w14:paraId="48F1E4DD" w14:textId="77777777" w:rsidR="00453883" w:rsidRPr="00453883" w:rsidRDefault="00453883" w:rsidP="00453883">
      <w:pPr>
        <w:pStyle w:val="ParaNoNdepar-AltN"/>
        <w:rPr>
          <w:rFonts w:cs="Times New Roman"/>
        </w:rPr>
      </w:pPr>
      <w:r w:rsidRPr="00453883">
        <w:rPr>
          <w:rFonts w:cs="Times New Roman"/>
        </w:rPr>
        <w:t xml:space="preserve">Finally, s. 273.3 of the </w:t>
      </w:r>
      <w:r w:rsidRPr="00453883">
        <w:rPr>
          <w:rFonts w:cs="Times New Roman"/>
          <w:i/>
        </w:rPr>
        <w:t xml:space="preserve">Securities Act </w:t>
      </w:r>
      <w:r w:rsidRPr="00453883">
        <w:rPr>
          <w:rFonts w:cs="Times New Roman"/>
        </w:rPr>
        <w:t>provides that the FMAT can prohibit a person from acting as a director or officer of an issuer, dealer, adviser, or investment fund manager:</w:t>
      </w:r>
    </w:p>
    <w:p w14:paraId="02E5CBC1" w14:textId="77777777" w:rsidR="00453883" w:rsidRPr="00453883" w:rsidRDefault="00453883" w:rsidP="00453883">
      <w:pPr>
        <w:pStyle w:val="ListParagraph"/>
        <w:ind w:left="1166"/>
        <w:jc w:val="both"/>
        <w:rPr>
          <w:rFonts w:cs="Times New Roman"/>
        </w:rPr>
      </w:pPr>
      <w:r w:rsidRPr="00453883">
        <w:rPr>
          <w:rFonts w:cs="Times New Roman"/>
          <w:b/>
        </w:rPr>
        <w:t xml:space="preserve">273.3. </w:t>
      </w:r>
      <w:r w:rsidRPr="00453883">
        <w:rPr>
          <w:rFonts w:cs="Times New Roman"/>
        </w:rPr>
        <w:t>The Financial Markets Administrative Tribunal may prohibit a person from acting as a director or officer of an issuer, dealer, adviser or investment fund manager on the grounds set out in article 329 of the Civil Code, or where a penalty has been imposed on the person under this Act, the Act respecting the distribution of financial products and services (chapter D-9.2) or the Derivatives Act (chapter I-14.01).</w:t>
      </w:r>
    </w:p>
    <w:p w14:paraId="44C659F2" w14:textId="77777777" w:rsidR="00453883" w:rsidRPr="00453883" w:rsidRDefault="00453883" w:rsidP="00453883">
      <w:pPr>
        <w:pStyle w:val="ListParagraph"/>
        <w:ind w:left="1166"/>
        <w:jc w:val="both"/>
        <w:rPr>
          <w:rFonts w:cs="Times New Roman"/>
        </w:rPr>
      </w:pPr>
    </w:p>
    <w:p w14:paraId="0875608D" w14:textId="77777777" w:rsidR="00453883" w:rsidRPr="00453883" w:rsidRDefault="00453883" w:rsidP="00453883">
      <w:pPr>
        <w:pStyle w:val="ListParagraph"/>
        <w:ind w:left="1166" w:firstLine="274"/>
        <w:jc w:val="both"/>
        <w:rPr>
          <w:rFonts w:cs="Times New Roman"/>
        </w:rPr>
      </w:pPr>
      <w:r w:rsidRPr="00453883">
        <w:rPr>
          <w:rFonts w:cs="Times New Roman"/>
        </w:rPr>
        <w:t>The prohibition imposed by the Financial Markets Administrative Tribunal may not exceed five years.</w:t>
      </w:r>
    </w:p>
    <w:p w14:paraId="1A05BE38" w14:textId="77777777" w:rsidR="00453883" w:rsidRPr="00453883" w:rsidRDefault="00453883" w:rsidP="00453883">
      <w:pPr>
        <w:pStyle w:val="ListParagraph"/>
        <w:ind w:left="1166"/>
        <w:jc w:val="both"/>
        <w:rPr>
          <w:rFonts w:cs="Times New Roman"/>
        </w:rPr>
      </w:pPr>
    </w:p>
    <w:p w14:paraId="695F1846" w14:textId="77777777" w:rsidR="00453883" w:rsidRPr="00453883" w:rsidRDefault="00453883" w:rsidP="00453883">
      <w:pPr>
        <w:pStyle w:val="ListParagraph"/>
        <w:spacing w:after="720"/>
        <w:ind w:left="1166" w:firstLine="274"/>
        <w:jc w:val="both"/>
        <w:rPr>
          <w:rFonts w:cs="Times New Roman"/>
        </w:rPr>
      </w:pPr>
      <w:r w:rsidRPr="00453883">
        <w:rPr>
          <w:rFonts w:cs="Times New Roman"/>
        </w:rPr>
        <w:t>The Financial Markets Administrative Tribunal may, at the request of the person concerned, lift the prohibition on such conditions as it considers appropriate.</w:t>
      </w:r>
    </w:p>
    <w:p w14:paraId="00331C89" w14:textId="77777777" w:rsidR="00453883" w:rsidRPr="00453883" w:rsidRDefault="00453883" w:rsidP="00453883">
      <w:pPr>
        <w:pStyle w:val="ParaNoNdepar-AltN"/>
        <w:rPr>
          <w:rFonts w:cs="Times New Roman"/>
        </w:rPr>
      </w:pPr>
      <w:r w:rsidRPr="00453883">
        <w:rPr>
          <w:rFonts w:cs="Times New Roman"/>
        </w:rPr>
        <w:t xml:space="preserve">These three </w:t>
      </w:r>
      <w:r w:rsidRPr="00453883">
        <w:rPr>
          <w:rFonts w:cs="Times New Roman"/>
          <w:i/>
        </w:rPr>
        <w:t xml:space="preserve">Securities Act </w:t>
      </w:r>
      <w:r w:rsidRPr="00453883">
        <w:rPr>
          <w:rFonts w:cs="Times New Roman"/>
        </w:rPr>
        <w:t xml:space="preserve">provisions empower the FMAT to act in a broad range of circumstances. In particular, s. 265, which allows the FMAT to order a person to “cease any activity in respect of a transaction in securities”, grants the FMAT a large measure of discretion when exercising its jurisdiction. It is important, however, to read these provisions in conjunction with the </w:t>
      </w:r>
      <w:r w:rsidRPr="00453883">
        <w:rPr>
          <w:rFonts w:cs="Times New Roman"/>
          <w:i/>
        </w:rPr>
        <w:t>Act respecting the Autorité des marchés financiers</w:t>
      </w:r>
      <w:r w:rsidRPr="00453883">
        <w:rPr>
          <w:rFonts w:cs="Times New Roman"/>
        </w:rPr>
        <w:t xml:space="preserve">, which explicitly provides for the FMAT’s jurisdiction to make determinations over matters brought under the two Acts. Reading the Acts together underscores that the FMAT must exercise its discretion under ss. 265, 273.1, and 273.3 of the </w:t>
      </w:r>
      <w:r w:rsidRPr="00453883">
        <w:rPr>
          <w:rFonts w:cs="Times New Roman"/>
          <w:i/>
        </w:rPr>
        <w:t>Securities Act</w:t>
      </w:r>
      <w:r w:rsidRPr="00453883">
        <w:rPr>
          <w:rFonts w:cs="Times New Roman"/>
        </w:rPr>
        <w:t xml:space="preserve"> “in the public interest” (</w:t>
      </w:r>
      <w:r w:rsidRPr="00453883">
        <w:rPr>
          <w:rFonts w:cs="Times New Roman"/>
          <w:i/>
        </w:rPr>
        <w:t>Act respecting the Autorité des marchés financiers</w:t>
      </w:r>
      <w:r w:rsidRPr="00453883">
        <w:rPr>
          <w:rFonts w:cs="Times New Roman"/>
        </w:rPr>
        <w:t>, s. 93).</w:t>
      </w:r>
    </w:p>
    <w:p w14:paraId="43DA64D9" w14:textId="77777777" w:rsidR="00453883" w:rsidRPr="00453883" w:rsidRDefault="00453883" w:rsidP="00453883">
      <w:pPr>
        <w:pStyle w:val="ParaNoNdepar-AltN"/>
        <w:rPr>
          <w:rFonts w:cs="Times New Roman"/>
        </w:rPr>
      </w:pPr>
      <w:r w:rsidRPr="00453883">
        <w:rPr>
          <w:rFonts w:cs="Times New Roman"/>
          <w:lang w:val="fr-CA"/>
        </w:rPr>
        <w:t xml:space="preserve">We recognize that s. 93 of the </w:t>
      </w:r>
      <w:r w:rsidRPr="00453883">
        <w:rPr>
          <w:rFonts w:cs="Times New Roman"/>
          <w:i/>
          <w:lang w:val="fr-CA"/>
        </w:rPr>
        <w:t xml:space="preserve">Act respecting the Autorité des marchés financiers </w:t>
      </w:r>
      <w:r w:rsidRPr="00453883">
        <w:rPr>
          <w:rFonts w:cs="Times New Roman"/>
          <w:lang w:val="fr-CA"/>
        </w:rPr>
        <w:t xml:space="preserve">provides subject-matter jurisdiction to the FMAT over matters arising under the statutes listed in s. 93 (Rousseau, at pp. 16-17; see also C. Duclos, in collaboration with R. Crête and A. Létourneau, “Les autorités d’encadrement”, in R. Crête et al., eds., </w:t>
      </w:r>
      <w:r w:rsidRPr="00453883">
        <w:rPr>
          <w:rFonts w:cs="Times New Roman"/>
          <w:i/>
          <w:lang w:val="fr-CA"/>
        </w:rPr>
        <w:t>Courtiers et conseillers financiers: Encadrement des services de placement</w:t>
      </w:r>
      <w:r w:rsidRPr="00453883">
        <w:rPr>
          <w:rFonts w:cs="Times New Roman"/>
          <w:lang w:val="fr-CA"/>
        </w:rPr>
        <w:t xml:space="preserve"> (2011), 117, at pp. 150-51; C. Duclos, </w:t>
      </w:r>
      <w:r w:rsidRPr="00453883">
        <w:rPr>
          <w:rFonts w:cs="Times New Roman"/>
          <w:i/>
          <w:lang w:val="fr-CA"/>
        </w:rPr>
        <w:t xml:space="preserve">La protection des épargnants dans l’industrie des services d’investissement: une analyse de l’influence des défaillances organisationnelles sous l’angle du Swiss Cheese Model </w:t>
      </w:r>
      <w:r w:rsidRPr="00453883">
        <w:rPr>
          <w:rFonts w:cs="Times New Roman"/>
          <w:lang w:val="fr-CA"/>
        </w:rPr>
        <w:t xml:space="preserve">(2021), at p. 427). </w:t>
      </w:r>
      <w:r w:rsidRPr="00453883">
        <w:rPr>
          <w:rFonts w:cs="Times New Roman"/>
          <w:lang w:val="en-US"/>
        </w:rPr>
        <w:t>But with respect for other views, as we will explain, the relevance of this provision is not confined to subject-matter jurisdiction.</w:t>
      </w:r>
    </w:p>
    <w:p w14:paraId="2C5BB1B3" w14:textId="77777777" w:rsidR="00453883" w:rsidRPr="00453883" w:rsidRDefault="00453883" w:rsidP="00453883">
      <w:pPr>
        <w:pStyle w:val="ParaNoNdepar-AltN"/>
        <w:rPr>
          <w:rFonts w:cs="Times New Roman"/>
        </w:rPr>
      </w:pPr>
      <w:r w:rsidRPr="00453883">
        <w:rPr>
          <w:rFonts w:eastAsia="Times New Roman" w:cs="Times New Roman"/>
        </w:rPr>
        <w:t xml:space="preserve">Although both Acts read together, and particularly s. 93 of the </w:t>
      </w:r>
      <w:r w:rsidRPr="00453883">
        <w:rPr>
          <w:rFonts w:eastAsia="Times New Roman" w:cs="Times New Roman"/>
          <w:i/>
        </w:rPr>
        <w:t>Act respecting the Autorité des marchés financiers</w:t>
      </w:r>
      <w:r w:rsidRPr="00453883">
        <w:rPr>
          <w:rFonts w:eastAsia="Times New Roman" w:cs="Times New Roman"/>
        </w:rPr>
        <w:t xml:space="preserve">, grant the FMAT jurisdiction to make determinations under the </w:t>
      </w:r>
      <w:r w:rsidRPr="00453883">
        <w:rPr>
          <w:rFonts w:eastAsia="Times New Roman" w:cs="Times New Roman"/>
          <w:i/>
        </w:rPr>
        <w:t>Securities Act</w:t>
      </w:r>
      <w:r w:rsidRPr="00453883">
        <w:rPr>
          <w:rFonts w:eastAsia="Times New Roman" w:cs="Times New Roman"/>
        </w:rPr>
        <w:t xml:space="preserve">, neither statute expressly provides for the FMAT to assert jurisdiction over out-of-province parties, or otherwise limits the territorial reach of the Quebec securities scheme over interprovincial or international transactions. To evaluate whether these statutes may be applied in such circumstances, the Quebec securities scheme must be interpreted to determine its territorial reach. That issue involves consideration of this Court’s decision in </w:t>
      </w:r>
      <w:r w:rsidRPr="00453883">
        <w:rPr>
          <w:rFonts w:eastAsia="Times New Roman" w:cs="Times New Roman"/>
          <w:i/>
        </w:rPr>
        <w:t>Unifund</w:t>
      </w:r>
      <w:r w:rsidRPr="00453883">
        <w:rPr>
          <w:rFonts w:eastAsia="Times New Roman" w:cs="Times New Roman"/>
        </w:rPr>
        <w:t>, which holds that the permissible territorial application of provincial legislation is determined by assessing the sufficiency of the connection among the enacting jurisdiction, the subject matter of the legislation, and the individual or entity sought to be regulated.</w:t>
      </w:r>
      <w:r w:rsidRPr="00453883">
        <w:rPr>
          <w:rFonts w:cs="Times New Roman"/>
        </w:rPr>
        <w:t xml:space="preserve"> </w:t>
      </w:r>
      <w:r w:rsidRPr="00453883">
        <w:rPr>
          <w:rFonts w:eastAsia="Times New Roman" w:cs="Times New Roman"/>
        </w:rPr>
        <w:t>We address that issue next.</w:t>
      </w:r>
    </w:p>
    <w:p w14:paraId="54BCF239" w14:textId="77777777" w:rsidR="00453883" w:rsidRPr="00453883" w:rsidRDefault="00453883" w:rsidP="00453883">
      <w:pPr>
        <w:pStyle w:val="Title2LevelTitre2Niveau"/>
        <w:numPr>
          <w:ilvl w:val="1"/>
          <w:numId w:val="8"/>
        </w:numPr>
        <w:jc w:val="both"/>
        <w:rPr>
          <w:rFonts w:cs="Times New Roman"/>
        </w:rPr>
      </w:pPr>
      <w:r w:rsidRPr="00453883">
        <w:rPr>
          <w:rFonts w:cs="Times New Roman"/>
        </w:rPr>
        <w:t>The Territorial Reach of Provincial Legislation Is Interpreted in Accordance With This Court’s Decision in Unifund</w:t>
      </w:r>
    </w:p>
    <w:p w14:paraId="6FA55882" w14:textId="77777777" w:rsidR="00453883" w:rsidRPr="00453883" w:rsidRDefault="00453883" w:rsidP="00453883">
      <w:pPr>
        <w:pStyle w:val="Title3LevelTitre3Niveau"/>
        <w:numPr>
          <w:ilvl w:val="2"/>
          <w:numId w:val="8"/>
        </w:numPr>
        <w:rPr>
          <w:rFonts w:cs="Times New Roman"/>
        </w:rPr>
      </w:pPr>
      <w:r w:rsidRPr="00453883">
        <w:rPr>
          <w:rFonts w:cs="Times New Roman"/>
        </w:rPr>
        <w:t xml:space="preserve">This Court’s Decision in </w:t>
      </w:r>
      <w:r w:rsidRPr="00453883">
        <w:rPr>
          <w:rFonts w:cs="Times New Roman"/>
          <w:i/>
        </w:rPr>
        <w:t>Unifund</w:t>
      </w:r>
    </w:p>
    <w:p w14:paraId="35417155" w14:textId="77777777" w:rsidR="00453883" w:rsidRPr="00453883" w:rsidRDefault="00453883" w:rsidP="00453883">
      <w:pPr>
        <w:pStyle w:val="ParaNoNdepar-AltN"/>
        <w:rPr>
          <w:rFonts w:cs="Times New Roman"/>
        </w:rPr>
      </w:pPr>
      <w:r w:rsidRPr="00453883">
        <w:rPr>
          <w:rFonts w:cs="Times New Roman"/>
        </w:rPr>
        <w:t xml:space="preserve">In </w:t>
      </w:r>
      <w:r w:rsidRPr="00453883">
        <w:rPr>
          <w:rFonts w:cs="Times New Roman"/>
          <w:i/>
        </w:rPr>
        <w:t>Unifund</w:t>
      </w:r>
      <w:r w:rsidRPr="00453883">
        <w:rPr>
          <w:rFonts w:cs="Times New Roman"/>
        </w:rPr>
        <w:t xml:space="preserve">, this Court addressed when a provincial regulatory scheme applies to an out-of-province defendant. The specific issue in </w:t>
      </w:r>
      <w:r w:rsidRPr="00453883">
        <w:rPr>
          <w:rFonts w:cs="Times New Roman"/>
          <w:i/>
        </w:rPr>
        <w:t>Unifund</w:t>
      </w:r>
      <w:r w:rsidRPr="00453883">
        <w:rPr>
          <w:rFonts w:cs="Times New Roman"/>
        </w:rPr>
        <w:t xml:space="preserve"> was whether a reimbursement provision of Ontario’s </w:t>
      </w:r>
      <w:r w:rsidRPr="00453883">
        <w:rPr>
          <w:rFonts w:cs="Times New Roman"/>
          <w:i/>
        </w:rPr>
        <w:t>Insurance Act</w:t>
      </w:r>
      <w:r w:rsidRPr="00453883">
        <w:rPr>
          <w:rFonts w:cs="Times New Roman"/>
        </w:rPr>
        <w:t xml:space="preserve">, R.S.O. 1990, c. I.8, applied to an out-of-province insurer. An Ontario insurer had paid statutory no-fault benefits to its clients when they were injured in a car accident in British Columbia. The Ontario insurer then claimed reimbursement of these amounts from the B.C.-based insurer of the driver who had caused the accident. The Ontario insurer invoked s. 275 of the Ontario </w:t>
      </w:r>
      <w:r w:rsidRPr="00453883">
        <w:rPr>
          <w:rFonts w:cs="Times New Roman"/>
          <w:i/>
        </w:rPr>
        <w:t>Insurance Act</w:t>
      </w:r>
      <w:r w:rsidRPr="00453883">
        <w:rPr>
          <w:rFonts w:cs="Times New Roman"/>
        </w:rPr>
        <w:t xml:space="preserve">, which imposed an indemnification obligation on the responsible insurer in certain cases. However, Binnie J. ruled that s. 275 of the </w:t>
      </w:r>
      <w:r w:rsidRPr="00453883">
        <w:rPr>
          <w:rFonts w:cs="Times New Roman"/>
          <w:i/>
        </w:rPr>
        <w:t>Insurance Act</w:t>
      </w:r>
      <w:r w:rsidRPr="00453883">
        <w:rPr>
          <w:rFonts w:cs="Times New Roman"/>
        </w:rPr>
        <w:t xml:space="preserve"> did not apply in the circumstances.</w:t>
      </w:r>
    </w:p>
    <w:p w14:paraId="2AA59855" w14:textId="77777777" w:rsidR="00453883" w:rsidRPr="00453883" w:rsidRDefault="00453883" w:rsidP="00453883">
      <w:pPr>
        <w:pStyle w:val="ParaNoNdepar-AltN"/>
        <w:rPr>
          <w:rFonts w:cs="Times New Roman"/>
        </w:rPr>
      </w:pPr>
      <w:r w:rsidRPr="00453883">
        <w:rPr>
          <w:rFonts w:cs="Times New Roman"/>
        </w:rPr>
        <w:t xml:space="preserve">Binnie J. considered whether the connection between Ontario and matters occurring outside the province was sufficient to support the constitutional application of Ontario’s regulatory regime to the out-of-province insurer (para. 22). He observed that “a province has no legislative competence to legislate extraterritorially” (para. 50). This territorial restriction is “fundamental to our system of federalism” (para. 51), and flows both from the opening words of s. 92 of the </w:t>
      </w:r>
      <w:r w:rsidRPr="00453883">
        <w:rPr>
          <w:rFonts w:cs="Times New Roman"/>
          <w:i/>
        </w:rPr>
        <w:t>Constitution Act, 1867</w:t>
      </w:r>
      <w:r w:rsidRPr="00453883">
        <w:rPr>
          <w:rFonts w:cs="Times New Roman"/>
        </w:rPr>
        <w:t>, which limits the territorial reach of each provincial legislature to enacting legislation “</w:t>
      </w:r>
      <w:r w:rsidRPr="00453883">
        <w:rPr>
          <w:rFonts w:cs="Times New Roman"/>
          <w:u w:val="single"/>
        </w:rPr>
        <w:t>[i]n each Province</w:t>
      </w:r>
      <w:r w:rsidRPr="00453883">
        <w:rPr>
          <w:rFonts w:cs="Times New Roman"/>
        </w:rPr>
        <w:t>”, and from s. 92(13), which gives a provincial legislature legislative authority to make laws in relation to property and civil rights only “</w:t>
      </w:r>
      <w:r w:rsidRPr="00453883">
        <w:rPr>
          <w:rFonts w:cs="Times New Roman"/>
          <w:u w:val="single"/>
        </w:rPr>
        <w:t>in the Province</w:t>
      </w:r>
      <w:r w:rsidRPr="00453883">
        <w:rPr>
          <w:rFonts w:cs="Times New Roman"/>
        </w:rPr>
        <w:t>” (para. 51 (emphasis in original)). However, Binnie J. accepted that a provincial legislative scheme can constitutionally apply to an out-of-province defendant without offending the restriction on extraterritorial legislation, provided that there is a “real and substantial connection” or “sufficient connection” — terms he used interchangeably — between the legislative scheme and the out-of-province defendant. He formulated the following test for when provincial legislation applies to an out-of-province individual or entity:</w:t>
      </w:r>
    </w:p>
    <w:p w14:paraId="2DD1AF2D" w14:textId="77777777" w:rsidR="00453883" w:rsidRPr="00453883" w:rsidRDefault="00453883" w:rsidP="00453883">
      <w:pPr>
        <w:pStyle w:val="Citation-AltC"/>
        <w:ind w:firstLine="4"/>
      </w:pPr>
      <w:r w:rsidRPr="00453883">
        <w:t xml:space="preserve">Consideration of constitutional </w:t>
      </w:r>
      <w:r w:rsidRPr="00453883">
        <w:rPr>
          <w:i/>
        </w:rPr>
        <w:t>applicability</w:t>
      </w:r>
      <w:r w:rsidRPr="00453883">
        <w:t xml:space="preserve"> can conveniently be organized around the following propositions:</w:t>
      </w:r>
    </w:p>
    <w:p w14:paraId="603A10F6" w14:textId="77777777" w:rsidR="00453883" w:rsidRPr="00453883" w:rsidRDefault="00453883" w:rsidP="00453883">
      <w:pPr>
        <w:pStyle w:val="Citation-AltC"/>
      </w:pPr>
    </w:p>
    <w:p w14:paraId="2EA98F60" w14:textId="77777777" w:rsidR="00453883" w:rsidRPr="00453883" w:rsidRDefault="00453883" w:rsidP="00453883">
      <w:pPr>
        <w:pStyle w:val="Citation-AltC"/>
        <w:ind w:left="1440"/>
      </w:pPr>
      <w:r w:rsidRPr="00453883">
        <w:t>1. The territorial limits on the scope of provincial legislative authority prevent the application of the law of a province to matters not sufficiently connected to it;</w:t>
      </w:r>
    </w:p>
    <w:p w14:paraId="39EE1FD4" w14:textId="77777777" w:rsidR="00453883" w:rsidRPr="00453883" w:rsidRDefault="00453883" w:rsidP="00453883">
      <w:pPr>
        <w:pStyle w:val="Citation-AltC"/>
        <w:ind w:left="1440"/>
      </w:pPr>
    </w:p>
    <w:p w14:paraId="7F47EC91" w14:textId="77777777" w:rsidR="00453883" w:rsidRPr="00453883" w:rsidRDefault="00453883" w:rsidP="00453883">
      <w:pPr>
        <w:pStyle w:val="Citation-AltC"/>
        <w:ind w:left="1440"/>
      </w:pPr>
      <w:r w:rsidRPr="00453883">
        <w:t>2. What constitutes a “sufficient” connection depends on the relationship among the enacting jurisdiction, the subject matter of the legislation and the individual or entity sought to be regulated by it;</w:t>
      </w:r>
    </w:p>
    <w:p w14:paraId="054B6DBE" w14:textId="77777777" w:rsidR="00453883" w:rsidRPr="00453883" w:rsidRDefault="00453883" w:rsidP="00453883">
      <w:pPr>
        <w:pStyle w:val="Citation-AltC"/>
        <w:ind w:left="1440"/>
      </w:pPr>
    </w:p>
    <w:p w14:paraId="39BDB743" w14:textId="77777777" w:rsidR="00453883" w:rsidRPr="00453883" w:rsidRDefault="00453883" w:rsidP="00453883">
      <w:pPr>
        <w:pStyle w:val="Citation-AltC"/>
        <w:ind w:left="1440"/>
      </w:pPr>
      <w:r w:rsidRPr="00453883">
        <w:t>3. The applicability of an otherwise competent provincial legislation to out-of-province defendants is conditioned by the requirements of order and fairness that underlie our federal arrangements;</w:t>
      </w:r>
    </w:p>
    <w:p w14:paraId="3E2C69BF" w14:textId="77777777" w:rsidR="00453883" w:rsidRPr="00453883" w:rsidRDefault="00453883" w:rsidP="00453883">
      <w:pPr>
        <w:pStyle w:val="Citation-AltC"/>
        <w:ind w:left="0"/>
      </w:pPr>
    </w:p>
    <w:p w14:paraId="48E18726" w14:textId="77777777" w:rsidR="00453883" w:rsidRPr="00453883" w:rsidRDefault="00453883" w:rsidP="00453883">
      <w:pPr>
        <w:pStyle w:val="Citation-AltC"/>
        <w:ind w:left="1440"/>
      </w:pPr>
      <w:r w:rsidRPr="00453883">
        <w:t>4. The principles of order and fairness, being purposive, are applied flexibly according to the subject matter of the legislation. [Emphasis in original; para. 56.]</w:t>
      </w:r>
    </w:p>
    <w:p w14:paraId="0F0A9094" w14:textId="77777777" w:rsidR="00453883" w:rsidRPr="00453883" w:rsidRDefault="00453883" w:rsidP="00453883">
      <w:pPr>
        <w:pStyle w:val="ParaNoNdepar-AltN"/>
        <w:rPr>
          <w:rFonts w:cs="Times New Roman"/>
        </w:rPr>
      </w:pPr>
      <w:r w:rsidRPr="00453883">
        <w:rPr>
          <w:rFonts w:cs="Times New Roman"/>
        </w:rPr>
        <w:t xml:space="preserve">Over the last two decades, courts have regularly applied the </w:t>
      </w:r>
      <w:r w:rsidRPr="00453883">
        <w:rPr>
          <w:rFonts w:cs="Times New Roman"/>
          <w:i/>
        </w:rPr>
        <w:t xml:space="preserve">Unifund </w:t>
      </w:r>
      <w:r w:rsidRPr="00453883">
        <w:rPr>
          <w:rFonts w:cs="Times New Roman"/>
        </w:rPr>
        <w:t xml:space="preserve">test when determining whether a provincial regulatory scheme constitutionally applies to out-of-province defendants. </w:t>
      </w:r>
    </w:p>
    <w:p w14:paraId="23593417" w14:textId="77777777" w:rsidR="00453883" w:rsidRPr="00453883" w:rsidRDefault="00453883" w:rsidP="00453883">
      <w:pPr>
        <w:pStyle w:val="ParaNoNdepar-AltN"/>
        <w:rPr>
          <w:rFonts w:cs="Times New Roman"/>
        </w:rPr>
      </w:pPr>
      <w:r w:rsidRPr="00453883">
        <w:rPr>
          <w:rFonts w:cs="Times New Roman"/>
        </w:rPr>
        <w:t xml:space="preserve">In </w:t>
      </w:r>
      <w:r w:rsidRPr="00453883">
        <w:rPr>
          <w:rFonts w:cs="Times New Roman"/>
          <w:i/>
        </w:rPr>
        <w:t>Ontario College of Pharmacists v. 1724665 Ontario Inc.</w:t>
      </w:r>
      <w:r w:rsidRPr="00453883">
        <w:rPr>
          <w:rFonts w:cs="Times New Roman"/>
        </w:rPr>
        <w:t xml:space="preserve">, 2013 ONCA 381, 363 D.L.R. (4th) 724, the Ontario Court of Appeal applied the </w:t>
      </w:r>
      <w:r w:rsidRPr="00453883">
        <w:rPr>
          <w:rFonts w:cs="Times New Roman"/>
          <w:i/>
        </w:rPr>
        <w:t xml:space="preserve">Unifund </w:t>
      </w:r>
      <w:r w:rsidRPr="00453883">
        <w:rPr>
          <w:rFonts w:cs="Times New Roman"/>
        </w:rPr>
        <w:t xml:space="preserve">test and held that the College of Pharmacists had jurisdiction over out-of-province parties who allegedly breached statutory provisions regulating the sale of prescription drugs in Ontario (paras. 74-75). </w:t>
      </w:r>
    </w:p>
    <w:p w14:paraId="30302448" w14:textId="77777777" w:rsidR="00453883" w:rsidRPr="00453883" w:rsidRDefault="00453883" w:rsidP="00453883">
      <w:pPr>
        <w:pStyle w:val="ParaNoNdepar-AltN"/>
        <w:rPr>
          <w:rFonts w:cs="Times New Roman"/>
        </w:rPr>
      </w:pPr>
      <w:r w:rsidRPr="00453883">
        <w:rPr>
          <w:rFonts w:cs="Times New Roman"/>
        </w:rPr>
        <w:t xml:space="preserve">In the securities context, the Saskatchewan Court of Appeal in </w:t>
      </w:r>
      <w:r w:rsidRPr="00453883">
        <w:rPr>
          <w:rFonts w:cs="Times New Roman"/>
          <w:i/>
        </w:rPr>
        <w:t>Berger v. Saskatchewan (Financial and Consumer Affairs Authority)</w:t>
      </w:r>
      <w:r w:rsidRPr="00453883">
        <w:rPr>
          <w:rFonts w:cs="Times New Roman"/>
        </w:rPr>
        <w:t xml:space="preserve">, 2019 SKCA 89, ruled that the Financial and Consumer Affairs Authority of Saskatchewan should have applied the </w:t>
      </w:r>
      <w:r w:rsidRPr="00453883">
        <w:rPr>
          <w:rFonts w:cs="Times New Roman"/>
          <w:i/>
        </w:rPr>
        <w:t xml:space="preserve">Unifund </w:t>
      </w:r>
      <w:r w:rsidRPr="00453883">
        <w:rPr>
          <w:rFonts w:cs="Times New Roman"/>
        </w:rPr>
        <w:t xml:space="preserve">test to determine whether </w:t>
      </w:r>
      <w:r w:rsidRPr="00453883">
        <w:rPr>
          <w:rFonts w:cs="Times New Roman"/>
          <w:i/>
        </w:rPr>
        <w:t>The Securities Act, 1988</w:t>
      </w:r>
      <w:r w:rsidRPr="00453883">
        <w:rPr>
          <w:rFonts w:cs="Times New Roman"/>
        </w:rPr>
        <w:t>, S.S. 1988-89, c. S</w:t>
      </w:r>
      <w:r w:rsidRPr="00453883">
        <w:rPr>
          <w:rFonts w:cs="Times New Roman"/>
        </w:rPr>
        <w:noBreakHyphen/>
        <w:t xml:space="preserve">42.2, applied to a resident of Costa Rica (paras. 64-66 (CanLII)). The court held that “a province cannot use its legislative authority to empower an administrative tribunal to apply laws extraprovincially”, and it noted that “the question will always be whether the connection between the matter before a tribunal and the province in question is sufficient to give the tribunal jurisdiction” (para. 60). </w:t>
      </w:r>
    </w:p>
    <w:p w14:paraId="41ECB466" w14:textId="77777777" w:rsidR="00453883" w:rsidRPr="00453883" w:rsidRDefault="00453883" w:rsidP="00453883">
      <w:pPr>
        <w:pStyle w:val="ParaNoNdepar-AltN"/>
        <w:rPr>
          <w:rFonts w:cs="Times New Roman"/>
        </w:rPr>
      </w:pPr>
      <w:r w:rsidRPr="00453883">
        <w:rPr>
          <w:rFonts w:cs="Times New Roman"/>
        </w:rPr>
        <w:t xml:space="preserve">Similarly, the British Columbia Court of Appeal has applied the </w:t>
      </w:r>
      <w:r w:rsidRPr="00453883">
        <w:rPr>
          <w:rFonts w:cs="Times New Roman"/>
          <w:i/>
        </w:rPr>
        <w:t xml:space="preserve">Unifund </w:t>
      </w:r>
      <w:r w:rsidRPr="00453883">
        <w:rPr>
          <w:rFonts w:cs="Times New Roman"/>
        </w:rPr>
        <w:t xml:space="preserve">test to determine whether that province’s Securities Commission had jurisdiction over out-of-province defendants who allegedly breached the </w:t>
      </w:r>
      <w:r w:rsidRPr="00453883">
        <w:rPr>
          <w:rFonts w:cs="Times New Roman"/>
          <w:i/>
        </w:rPr>
        <w:t>Securities Act</w:t>
      </w:r>
      <w:r w:rsidRPr="00453883">
        <w:rPr>
          <w:rFonts w:cs="Times New Roman"/>
        </w:rPr>
        <w:t>, R.S.B.C. 1996, c. 418 (</w:t>
      </w:r>
      <w:r w:rsidRPr="00453883">
        <w:rPr>
          <w:rFonts w:cs="Times New Roman"/>
          <w:i/>
        </w:rPr>
        <w:t>McCabe</w:t>
      </w:r>
      <w:r w:rsidRPr="00453883">
        <w:rPr>
          <w:rFonts w:cs="Times New Roman"/>
        </w:rPr>
        <w:t xml:space="preserve">, at para. 34; see also </w:t>
      </w:r>
      <w:r w:rsidRPr="00453883">
        <w:rPr>
          <w:rFonts w:cs="Times New Roman"/>
          <w:i/>
        </w:rPr>
        <w:t>Torudag v. British Columbia</w:t>
      </w:r>
      <w:r w:rsidRPr="00453883">
        <w:rPr>
          <w:rFonts w:cs="Times New Roman"/>
        </w:rPr>
        <w:t xml:space="preserve"> </w:t>
      </w:r>
      <w:r w:rsidRPr="00453883">
        <w:rPr>
          <w:rFonts w:cs="Times New Roman"/>
          <w:i/>
        </w:rPr>
        <w:t>(Securities Commission)</w:t>
      </w:r>
      <w:r w:rsidRPr="00453883">
        <w:rPr>
          <w:rFonts w:cs="Times New Roman"/>
        </w:rPr>
        <w:t>, 2011 BCCA 458, 343 D.L.R. (4th) 743, at paras. 16-29).</w:t>
      </w:r>
    </w:p>
    <w:p w14:paraId="30D18984" w14:textId="77777777" w:rsidR="00453883" w:rsidRPr="00453883" w:rsidRDefault="00453883" w:rsidP="00453883">
      <w:pPr>
        <w:pStyle w:val="ParaNoNdepar-AltN"/>
        <w:rPr>
          <w:rFonts w:cs="Times New Roman"/>
        </w:rPr>
      </w:pPr>
      <w:r w:rsidRPr="00453883">
        <w:rPr>
          <w:rFonts w:cs="Times New Roman"/>
        </w:rPr>
        <w:t xml:space="preserve">This Court has also applied the “sufficient connection” test when determining whether federal regulatory legislation applies to matters involving international elements. In </w:t>
      </w:r>
      <w:r w:rsidRPr="00453883">
        <w:rPr>
          <w:rFonts w:cs="Times New Roman"/>
          <w:i/>
        </w:rPr>
        <w:t>Society of Composers, Authors and Music Publishers of Canada v. Canadian Assn. of Internet Providers</w:t>
      </w:r>
      <w:r w:rsidRPr="00453883">
        <w:rPr>
          <w:rFonts w:cs="Times New Roman"/>
        </w:rPr>
        <w:t xml:space="preserve">, 2004 SCC 45, [2004] 2 S.C.R. 427, the Court cited </w:t>
      </w:r>
      <w:r w:rsidRPr="00453883">
        <w:rPr>
          <w:rFonts w:cs="Times New Roman"/>
          <w:i/>
        </w:rPr>
        <w:t xml:space="preserve">Unifund </w:t>
      </w:r>
      <w:r w:rsidRPr="00453883">
        <w:rPr>
          <w:rFonts w:cs="Times New Roman"/>
        </w:rPr>
        <w:t xml:space="preserve">and ruled that the applicability of the </w:t>
      </w:r>
      <w:r w:rsidRPr="00453883">
        <w:rPr>
          <w:rFonts w:cs="Times New Roman"/>
          <w:i/>
        </w:rPr>
        <w:t>Copyright Act</w:t>
      </w:r>
      <w:r w:rsidRPr="00453883">
        <w:rPr>
          <w:rFonts w:cs="Times New Roman"/>
        </w:rPr>
        <w:t>, R.S.C. 1985, c. C-42, to communications with international participants depends on whether there is a “sufficient connection between this country and the communication in question for Canada to apply its law” (para. 57).</w:t>
      </w:r>
    </w:p>
    <w:p w14:paraId="71956C56" w14:textId="77777777" w:rsidR="00453883" w:rsidRPr="00453883" w:rsidRDefault="00453883" w:rsidP="00453883">
      <w:pPr>
        <w:pStyle w:val="ParaNoNdepar-AltN"/>
        <w:rPr>
          <w:rFonts w:cs="Times New Roman"/>
        </w:rPr>
      </w:pPr>
      <w:r w:rsidRPr="00453883">
        <w:rPr>
          <w:rFonts w:cs="Times New Roman"/>
        </w:rPr>
        <w:t xml:space="preserve">As a result, the “real and substantial connection” test in </w:t>
      </w:r>
      <w:r w:rsidRPr="00453883">
        <w:rPr>
          <w:rFonts w:cs="Times New Roman"/>
          <w:i/>
        </w:rPr>
        <w:t>Unifund</w:t>
      </w:r>
      <w:r w:rsidRPr="00453883">
        <w:rPr>
          <w:rFonts w:cs="Times New Roman"/>
        </w:rPr>
        <w:t xml:space="preserve"> is now the “accepted test for discerning the presumptively intended reach of federal legislation as well as the constitutionally permissible application of provincial legislation” (R. Sullivan, </w:t>
      </w:r>
      <w:r w:rsidRPr="00453883">
        <w:rPr>
          <w:rFonts w:cs="Times New Roman"/>
          <w:i/>
        </w:rPr>
        <w:t>The Construction of Statutes</w:t>
      </w:r>
      <w:r w:rsidRPr="00453883">
        <w:rPr>
          <w:rFonts w:cs="Times New Roman"/>
        </w:rPr>
        <w:t xml:space="preserve"> (7th ed. 2022),</w:t>
      </w:r>
      <w:r w:rsidRPr="00453883">
        <w:rPr>
          <w:rFonts w:cs="Times New Roman"/>
          <w:i/>
        </w:rPr>
        <w:t xml:space="preserve"> </w:t>
      </w:r>
      <w:r w:rsidRPr="00453883">
        <w:rPr>
          <w:rFonts w:cs="Times New Roman"/>
        </w:rPr>
        <w:t>at p. 806).</w:t>
      </w:r>
    </w:p>
    <w:p w14:paraId="0C6A01DA" w14:textId="77777777" w:rsidR="00453883" w:rsidRPr="00453883" w:rsidRDefault="00453883" w:rsidP="00453883">
      <w:pPr>
        <w:pStyle w:val="ParaNoNdepar-AltN"/>
        <w:rPr>
          <w:rFonts w:cs="Times New Roman"/>
        </w:rPr>
      </w:pPr>
      <w:r w:rsidRPr="00453883">
        <w:rPr>
          <w:rFonts w:cs="Times New Roman"/>
        </w:rPr>
        <w:t xml:space="preserve">Four aspects of the </w:t>
      </w:r>
      <w:r w:rsidRPr="00453883">
        <w:rPr>
          <w:rFonts w:cs="Times New Roman"/>
          <w:i/>
        </w:rPr>
        <w:t>Unifund</w:t>
      </w:r>
      <w:r w:rsidRPr="00453883">
        <w:rPr>
          <w:rFonts w:cs="Times New Roman"/>
        </w:rPr>
        <w:t xml:space="preserve"> test warrant particular emphasis.</w:t>
      </w:r>
    </w:p>
    <w:p w14:paraId="59D5BD2B" w14:textId="77777777" w:rsidR="00453883" w:rsidRPr="00453883" w:rsidRDefault="00453883" w:rsidP="00453883">
      <w:pPr>
        <w:pStyle w:val="Title4LevelTitre4Niveau"/>
        <w:numPr>
          <w:ilvl w:val="3"/>
          <w:numId w:val="8"/>
        </w:numPr>
        <w:jc w:val="both"/>
        <w:rPr>
          <w:rFonts w:cs="Times New Roman"/>
        </w:rPr>
      </w:pPr>
      <w:r w:rsidRPr="00453883">
        <w:rPr>
          <w:rFonts w:cs="Times New Roman"/>
        </w:rPr>
        <w:t>The Unifund Test Concerns Constitutional Applicability, Not Constitutional Validity</w:t>
      </w:r>
    </w:p>
    <w:p w14:paraId="77C70491" w14:textId="77777777" w:rsidR="00453883" w:rsidRPr="00453883" w:rsidRDefault="00453883" w:rsidP="00453883">
      <w:pPr>
        <w:pStyle w:val="ParaNoNdepar-AltN"/>
        <w:rPr>
          <w:rFonts w:cs="Times New Roman"/>
        </w:rPr>
      </w:pPr>
      <w:r w:rsidRPr="00453883">
        <w:rPr>
          <w:rFonts w:cs="Times New Roman"/>
        </w:rPr>
        <w:t xml:space="preserve">First, the </w:t>
      </w:r>
      <w:r w:rsidRPr="00453883">
        <w:rPr>
          <w:rFonts w:cs="Times New Roman"/>
          <w:i/>
        </w:rPr>
        <w:t xml:space="preserve">Unifund </w:t>
      </w:r>
      <w:r w:rsidRPr="00453883">
        <w:rPr>
          <w:rFonts w:cs="Times New Roman"/>
        </w:rPr>
        <w:t xml:space="preserve">“sufficient connection” test is not concerned with the constitutional </w:t>
      </w:r>
      <w:r w:rsidRPr="00453883">
        <w:rPr>
          <w:rFonts w:cs="Times New Roman"/>
          <w:i/>
        </w:rPr>
        <w:t>validity</w:t>
      </w:r>
      <w:r w:rsidRPr="00453883">
        <w:rPr>
          <w:rFonts w:cs="Times New Roman"/>
        </w:rPr>
        <w:t xml:space="preserve"> of legislation but with its constitutional </w:t>
      </w:r>
      <w:r w:rsidRPr="00453883">
        <w:rPr>
          <w:rFonts w:cs="Times New Roman"/>
          <w:i/>
        </w:rPr>
        <w:t>applicability</w:t>
      </w:r>
      <w:r w:rsidRPr="00453883">
        <w:rPr>
          <w:rFonts w:cs="Times New Roman"/>
        </w:rPr>
        <w:t xml:space="preserve">. </w:t>
      </w:r>
      <w:r w:rsidRPr="00453883">
        <w:rPr>
          <w:rFonts w:cs="Times New Roman"/>
          <w:i/>
        </w:rPr>
        <w:t>Unifund</w:t>
      </w:r>
      <w:r w:rsidRPr="00453883">
        <w:rPr>
          <w:rFonts w:cs="Times New Roman"/>
        </w:rPr>
        <w:t xml:space="preserve"> does not address the situation in which the constitutional validity of provincial legislation is challenged because the legislation violates the territorial limitations on provincial legislative competence — that is, when the law is said to be </w:t>
      </w:r>
      <w:r w:rsidRPr="00453883">
        <w:rPr>
          <w:rFonts w:cs="Times New Roman"/>
          <w:i/>
        </w:rPr>
        <w:t>ultra vires</w:t>
      </w:r>
      <w:r w:rsidRPr="00453883">
        <w:rPr>
          <w:rFonts w:cs="Times New Roman"/>
        </w:rPr>
        <w:t xml:space="preserve"> or to fall outside the jurisdiction of the enacting provincial legislature (</w:t>
      </w:r>
      <w:r w:rsidRPr="00453883">
        <w:rPr>
          <w:rFonts w:cs="Times New Roman"/>
          <w:i/>
        </w:rPr>
        <w:t>British Columbia v. Imperial Tobacco Canada Ltd.</w:t>
      </w:r>
      <w:r w:rsidRPr="00453883">
        <w:rPr>
          <w:rFonts w:cs="Times New Roman"/>
        </w:rPr>
        <w:t xml:space="preserve">, 2005 SCC 49, [2005] 2 S.C.R. 473; J. Blom, “Constitutionalizing Canadian private international law — 25 years since </w:t>
      </w:r>
      <w:r w:rsidRPr="00453883">
        <w:rPr>
          <w:rFonts w:cs="Times New Roman"/>
          <w:i/>
        </w:rPr>
        <w:t>Morguard</w:t>
      </w:r>
      <w:r w:rsidRPr="00453883">
        <w:rPr>
          <w:rFonts w:cs="Times New Roman"/>
        </w:rPr>
        <w:t xml:space="preserve">” (2017), 13 </w:t>
      </w:r>
      <w:r w:rsidRPr="00453883">
        <w:rPr>
          <w:rFonts w:cs="Times New Roman"/>
          <w:i/>
        </w:rPr>
        <w:t>J. Priv. Int’l L.</w:t>
      </w:r>
      <w:r w:rsidRPr="00453883">
        <w:rPr>
          <w:rFonts w:cs="Times New Roman"/>
        </w:rPr>
        <w:t xml:space="preserve"> 259, at p. 288; J. Walker, </w:t>
      </w:r>
      <w:r w:rsidRPr="00453883">
        <w:rPr>
          <w:rFonts w:cs="Times New Roman"/>
          <w:i/>
        </w:rPr>
        <w:t>Canadian Conflict of Laws</w:t>
      </w:r>
      <w:r w:rsidRPr="00453883">
        <w:rPr>
          <w:rFonts w:cs="Times New Roman"/>
        </w:rPr>
        <w:t xml:space="preserve"> (7th ed. (loose-leaf)), at § 1.02). There was no constitutional challenge to the validity of the Ontario </w:t>
      </w:r>
      <w:r w:rsidRPr="00453883">
        <w:rPr>
          <w:rFonts w:cs="Times New Roman"/>
          <w:i/>
        </w:rPr>
        <w:t>Insurance Act</w:t>
      </w:r>
      <w:r w:rsidRPr="00453883">
        <w:rPr>
          <w:rFonts w:cs="Times New Roman"/>
        </w:rPr>
        <w:t xml:space="preserve"> in </w:t>
      </w:r>
      <w:r w:rsidRPr="00453883">
        <w:rPr>
          <w:rFonts w:cs="Times New Roman"/>
          <w:i/>
        </w:rPr>
        <w:t>Unifund</w:t>
      </w:r>
      <w:r w:rsidRPr="00453883">
        <w:rPr>
          <w:rFonts w:cs="Times New Roman"/>
        </w:rPr>
        <w:t xml:space="preserve">, nor is there any such challenge to the Quebec securities scheme in this case. Rather, the issue is whether the relevant provincial legislation is constitutionally </w:t>
      </w:r>
      <w:r w:rsidRPr="00453883">
        <w:rPr>
          <w:rFonts w:cs="Times New Roman"/>
          <w:i/>
        </w:rPr>
        <w:t>applicable</w:t>
      </w:r>
      <w:r w:rsidRPr="00453883">
        <w:rPr>
          <w:rFonts w:cs="Times New Roman"/>
        </w:rPr>
        <w:t xml:space="preserve"> to the out-of-province defendants (</w:t>
      </w:r>
      <w:r w:rsidRPr="00453883">
        <w:rPr>
          <w:rFonts w:cs="Times New Roman"/>
          <w:i/>
        </w:rPr>
        <w:t>Unifund</w:t>
      </w:r>
      <w:r w:rsidRPr="00453883">
        <w:rPr>
          <w:rFonts w:cs="Times New Roman"/>
        </w:rPr>
        <w:t xml:space="preserve">, at paras. 55-56). As Professors Elizabeth Edinger and Vaughan Black have explained, the question of constitutional applicability “usually concerns interjurisdictional immunity, but may entail questions about the territorial reach of provincial legislation in particular applications” (“A New Approach to Extraterritoriality: </w:t>
      </w:r>
      <w:r w:rsidRPr="00453883">
        <w:rPr>
          <w:rFonts w:cs="Times New Roman"/>
          <w:i/>
        </w:rPr>
        <w:t>Unifund Assurance Co. v. I.C.B.C.</w:t>
      </w:r>
      <w:r w:rsidRPr="00453883">
        <w:rPr>
          <w:rFonts w:cs="Times New Roman"/>
        </w:rPr>
        <w:t xml:space="preserve">” (2004), 40 </w:t>
      </w:r>
      <w:r w:rsidRPr="00453883">
        <w:rPr>
          <w:rFonts w:cs="Times New Roman"/>
          <w:i/>
        </w:rPr>
        <w:t>Can. Bus. L.J.</w:t>
      </w:r>
      <w:r w:rsidRPr="00453883">
        <w:rPr>
          <w:rFonts w:cs="Times New Roman"/>
        </w:rPr>
        <w:t xml:space="preserve"> 161, at p. 173; see also p. 177). </w:t>
      </w:r>
    </w:p>
    <w:p w14:paraId="290728BC" w14:textId="77777777" w:rsidR="00453883" w:rsidRPr="00453883" w:rsidRDefault="00453883" w:rsidP="00453883">
      <w:pPr>
        <w:pStyle w:val="Title4LevelTitre4Niveau"/>
        <w:numPr>
          <w:ilvl w:val="3"/>
          <w:numId w:val="8"/>
        </w:numPr>
        <w:jc w:val="both"/>
        <w:rPr>
          <w:rFonts w:cs="Times New Roman"/>
        </w:rPr>
      </w:pPr>
      <w:r w:rsidRPr="00453883">
        <w:rPr>
          <w:rFonts w:cs="Times New Roman"/>
        </w:rPr>
        <w:t>The Unifund Test Functions as a Principle of Statutory Interpretation</w:t>
      </w:r>
    </w:p>
    <w:p w14:paraId="12B28A18" w14:textId="77777777" w:rsidR="00453883" w:rsidRPr="00453883" w:rsidRDefault="00453883" w:rsidP="00453883">
      <w:pPr>
        <w:pStyle w:val="ParaNoNdepar-AltN"/>
        <w:rPr>
          <w:rFonts w:cs="Times New Roman"/>
        </w:rPr>
      </w:pPr>
      <w:r w:rsidRPr="00453883">
        <w:rPr>
          <w:rFonts w:cs="Times New Roman"/>
        </w:rPr>
        <w:t xml:space="preserve">Second, like the doctrine of interjurisdictional immunity in constitutional law, the </w:t>
      </w:r>
      <w:r w:rsidRPr="00453883">
        <w:rPr>
          <w:rFonts w:cs="Times New Roman"/>
          <w:i/>
        </w:rPr>
        <w:t>Unifund</w:t>
      </w:r>
      <w:r w:rsidRPr="00453883">
        <w:rPr>
          <w:rFonts w:cs="Times New Roman"/>
        </w:rPr>
        <w:t xml:space="preserve"> test functions as a principle of statutory interpretation. As noted by Professors Peter W. Hogg and Wade K. Wright, under the doctrine of interjurisdictional immunity, a broadly framed provincial or federal law that is valid in most of its applications “should be </w:t>
      </w:r>
      <w:r w:rsidRPr="00453883">
        <w:rPr>
          <w:rFonts w:cs="Times New Roman"/>
          <w:u w:val="single"/>
        </w:rPr>
        <w:t>interpreted</w:t>
      </w:r>
      <w:r w:rsidRPr="00453883">
        <w:rPr>
          <w:rFonts w:cs="Times New Roman"/>
        </w:rPr>
        <w:t xml:space="preserve"> so as not to apply to the matter that is outside the jurisdiction of the enacting body” (</w:t>
      </w:r>
      <w:r w:rsidRPr="00453883">
        <w:rPr>
          <w:rFonts w:cs="Times New Roman"/>
          <w:i/>
        </w:rPr>
        <w:t>Constitutional Law of Canada</w:t>
      </w:r>
      <w:r w:rsidRPr="00453883">
        <w:rPr>
          <w:rFonts w:cs="Times New Roman"/>
        </w:rPr>
        <w:t xml:space="preserve"> </w:t>
      </w:r>
      <w:r w:rsidRPr="00453883">
        <w:rPr>
          <w:rFonts w:cs="Times New Roman"/>
          <w:szCs w:val="24"/>
        </w:rPr>
        <w:t>(5th ed. Supp.)</w:t>
      </w:r>
      <w:r w:rsidRPr="00453883">
        <w:rPr>
          <w:rFonts w:cs="Times New Roman"/>
        </w:rPr>
        <w:t xml:space="preserve">, at § 15:16 (emphasis added)). The enacting legislative body “is presumed to have meant to enact provisions which do not transgress the limits of its constitutional powers; general language which appears to transgress the limits must therefore be ‘read down’ so that it is confined within the limits” (§ 15:15; see also H. Brun, G. Tremblay and E. Brouillet, </w:t>
      </w:r>
      <w:r w:rsidRPr="00453883">
        <w:rPr>
          <w:rFonts w:cs="Times New Roman"/>
          <w:i/>
        </w:rPr>
        <w:t xml:space="preserve">Droit </w:t>
      </w:r>
      <w:r w:rsidRPr="00453883">
        <w:rPr>
          <w:rFonts w:cs="Times New Roman"/>
          <w:i/>
          <w:lang w:val="en-US"/>
        </w:rPr>
        <w:t>constitutionnel</w:t>
      </w:r>
      <w:r w:rsidRPr="00453883">
        <w:rPr>
          <w:rFonts w:cs="Times New Roman"/>
          <w:i/>
        </w:rPr>
        <w:t xml:space="preserve"> </w:t>
      </w:r>
      <w:r w:rsidRPr="00453883">
        <w:rPr>
          <w:rFonts w:cs="Times New Roman"/>
        </w:rPr>
        <w:t>(6th ed. 2014), at para. VI-2.56). “Reading down is simply a canon of construction (or interpretation)” (Hogg and Wright, at § 15:15).</w:t>
      </w:r>
    </w:p>
    <w:p w14:paraId="66686D5E" w14:textId="77777777" w:rsidR="00453883" w:rsidRPr="00453883" w:rsidRDefault="00453883" w:rsidP="00453883">
      <w:pPr>
        <w:pStyle w:val="ParaNoNdepar-AltN"/>
        <w:rPr>
          <w:rFonts w:cs="Times New Roman"/>
        </w:rPr>
      </w:pPr>
      <w:r w:rsidRPr="00453883">
        <w:rPr>
          <w:rFonts w:cs="Times New Roman"/>
        </w:rPr>
        <w:t xml:space="preserve">Similarly, the </w:t>
      </w:r>
      <w:r w:rsidRPr="00453883">
        <w:rPr>
          <w:rFonts w:cs="Times New Roman"/>
          <w:i/>
        </w:rPr>
        <w:t>Unifund</w:t>
      </w:r>
      <w:r w:rsidRPr="00453883">
        <w:rPr>
          <w:rFonts w:cs="Times New Roman"/>
        </w:rPr>
        <w:t xml:space="preserve"> “sufficient connection” test limits, or reads down, the territorial reach of otherwise broadly framed provincial legislation, consistent with the territorial restrictions on provincial legislative power in ss. 91 and 92 of the </w:t>
      </w:r>
      <w:r w:rsidRPr="00453883">
        <w:rPr>
          <w:rFonts w:cs="Times New Roman"/>
          <w:i/>
        </w:rPr>
        <w:t>Constitution Act, 1867</w:t>
      </w:r>
      <w:r w:rsidRPr="00453883">
        <w:rPr>
          <w:rFonts w:cs="Times New Roman"/>
        </w:rPr>
        <w:t xml:space="preserve">. It does so by insisting on a “sufficient connection” between the legislation and the out-of-province defendant (Sullivan, at pp. 821-23). As Professor Joost Blom has explained, the </w:t>
      </w:r>
      <w:r w:rsidRPr="00453883">
        <w:rPr>
          <w:rFonts w:cs="Times New Roman"/>
          <w:i/>
        </w:rPr>
        <w:t>Unifund</w:t>
      </w:r>
      <w:r w:rsidRPr="00453883">
        <w:rPr>
          <w:rFonts w:cs="Times New Roman"/>
        </w:rPr>
        <w:t xml:space="preserve"> test “functions as a kind of unilateral, negative choice of law principle, because it defines the permissible territorial ambit of the provincial rule” ((2017), at p. 288; see also J. Blom, “Regulation of Contracts in Canadian Private International Law” (2014), 31 </w:t>
      </w:r>
      <w:r w:rsidRPr="00453883">
        <w:rPr>
          <w:rFonts w:cs="Times New Roman"/>
          <w:i/>
        </w:rPr>
        <w:t>Ariz. J. Int’l &amp; Comp. L.</w:t>
      </w:r>
      <w:r w:rsidRPr="00453883">
        <w:rPr>
          <w:rFonts w:cs="Times New Roman"/>
        </w:rPr>
        <w:t xml:space="preserve"> 21, at p. 31; Edinger and Black, at pp. 181-82; N. Hume, “Four Flaws: Reflections on the Canadian Approach to Private International Law” (2006), 44 </w:t>
      </w:r>
      <w:r w:rsidRPr="00453883">
        <w:rPr>
          <w:rFonts w:cs="Times New Roman"/>
          <w:i/>
        </w:rPr>
        <w:t>Can. Y.B. Int’l L.</w:t>
      </w:r>
      <w:r w:rsidRPr="00453883">
        <w:rPr>
          <w:rFonts w:cs="Times New Roman"/>
        </w:rPr>
        <w:t xml:space="preserve"> 161, at p. 234). In short, the </w:t>
      </w:r>
      <w:r w:rsidRPr="00453883">
        <w:rPr>
          <w:rFonts w:cs="Times New Roman"/>
          <w:i/>
        </w:rPr>
        <w:t>Unifund</w:t>
      </w:r>
      <w:r w:rsidRPr="00453883">
        <w:rPr>
          <w:rFonts w:cs="Times New Roman"/>
        </w:rPr>
        <w:t xml:space="preserve"> test allows a statute to be interpreted to apply to an out-of-province defendant in certain circumstances without having an extraterritorial effect.</w:t>
      </w:r>
    </w:p>
    <w:p w14:paraId="4F38A742" w14:textId="77777777" w:rsidR="00453883" w:rsidRPr="00453883" w:rsidRDefault="00453883" w:rsidP="00453883">
      <w:pPr>
        <w:pStyle w:val="Title4LevelTitre4Niveau"/>
        <w:numPr>
          <w:ilvl w:val="3"/>
          <w:numId w:val="8"/>
        </w:numPr>
        <w:jc w:val="both"/>
        <w:rPr>
          <w:rFonts w:cs="Times New Roman"/>
        </w:rPr>
      </w:pPr>
      <w:r w:rsidRPr="00453883">
        <w:rPr>
          <w:rFonts w:cs="Times New Roman"/>
        </w:rPr>
        <w:t>The Unifund Test Relates to Prescriptive Legislative Jurisdiction</w:t>
      </w:r>
    </w:p>
    <w:p w14:paraId="4B756F55" w14:textId="77777777" w:rsidR="00453883" w:rsidRPr="00453883" w:rsidRDefault="00453883" w:rsidP="00453883">
      <w:pPr>
        <w:pStyle w:val="ParaNoNdepar-AltN"/>
        <w:rPr>
          <w:rFonts w:cs="Times New Roman"/>
        </w:rPr>
      </w:pPr>
      <w:r w:rsidRPr="00453883">
        <w:rPr>
          <w:rFonts w:cs="Times New Roman"/>
        </w:rPr>
        <w:t xml:space="preserve">Third, the </w:t>
      </w:r>
      <w:r w:rsidRPr="00453883">
        <w:rPr>
          <w:rFonts w:cs="Times New Roman"/>
          <w:i/>
        </w:rPr>
        <w:t xml:space="preserve">Unifund </w:t>
      </w:r>
      <w:r w:rsidRPr="00453883">
        <w:rPr>
          <w:rFonts w:cs="Times New Roman"/>
        </w:rPr>
        <w:t xml:space="preserve">“sufficient connection” test relates to </w:t>
      </w:r>
      <w:r w:rsidRPr="00453883">
        <w:rPr>
          <w:rFonts w:cs="Times New Roman"/>
          <w:i/>
        </w:rPr>
        <w:t>prescriptive</w:t>
      </w:r>
      <w:r w:rsidRPr="00453883">
        <w:rPr>
          <w:rFonts w:cs="Times New Roman"/>
        </w:rPr>
        <w:t xml:space="preserve"> </w:t>
      </w:r>
      <w:r w:rsidRPr="00453883">
        <w:rPr>
          <w:rFonts w:cs="Times New Roman"/>
          <w:i/>
        </w:rPr>
        <w:t>legislative</w:t>
      </w:r>
      <w:r w:rsidRPr="00453883">
        <w:rPr>
          <w:rFonts w:cs="Times New Roman"/>
        </w:rPr>
        <w:t xml:space="preserve"> </w:t>
      </w:r>
      <w:r w:rsidRPr="00453883">
        <w:rPr>
          <w:rFonts w:cs="Times New Roman"/>
          <w:i/>
        </w:rPr>
        <w:t>jurisdiction</w:t>
      </w:r>
      <w:r w:rsidRPr="00453883">
        <w:rPr>
          <w:rFonts w:cs="Times New Roman"/>
        </w:rPr>
        <w:t xml:space="preserve">, rather than </w:t>
      </w:r>
      <w:r w:rsidRPr="00453883">
        <w:rPr>
          <w:rFonts w:cs="Times New Roman"/>
          <w:i/>
        </w:rPr>
        <w:t>adjudicatory</w:t>
      </w:r>
      <w:r w:rsidRPr="00453883">
        <w:rPr>
          <w:rFonts w:cs="Times New Roman"/>
        </w:rPr>
        <w:t xml:space="preserve"> </w:t>
      </w:r>
      <w:r w:rsidRPr="00453883">
        <w:rPr>
          <w:rFonts w:cs="Times New Roman"/>
          <w:i/>
        </w:rPr>
        <w:t>jurisdiction</w:t>
      </w:r>
      <w:r w:rsidRPr="00453883">
        <w:rPr>
          <w:rFonts w:cs="Times New Roman"/>
        </w:rPr>
        <w:t>, although the latter may flow from the former. Prescriptive legislative jurisdiction is “the power to make rules, issue commands or grant authorizations that are binding upon persons and entities” (</w:t>
      </w:r>
      <w:r w:rsidRPr="00453883">
        <w:rPr>
          <w:rFonts w:cs="Times New Roman"/>
          <w:i/>
        </w:rPr>
        <w:t>R. v. Hape</w:t>
      </w:r>
      <w:r w:rsidRPr="00453883">
        <w:rPr>
          <w:rFonts w:cs="Times New Roman"/>
        </w:rPr>
        <w:t xml:space="preserve">, 2007 SCC 26, [2007] 2 S.C.R. 292, at para. 58; see also Edinger and Black, at pp. 165-66; </w:t>
      </w:r>
      <w:r w:rsidRPr="00453883">
        <w:rPr>
          <w:rFonts w:cs="Times New Roman"/>
          <w:i/>
        </w:rPr>
        <w:t>British Columbia v. Imperial Tobacco Canada Ltd.</w:t>
      </w:r>
      <w:r w:rsidRPr="00453883">
        <w:rPr>
          <w:rFonts w:cs="Times New Roman"/>
        </w:rPr>
        <w:t xml:space="preserve">, 2004 BCCA 269, 239 D.L.R. (4th) 412, at para. 23, aff’d 2005 SCC 49, [2005] 2 S.C.R. 473; and B. Kain and B. Shaw, “Mapping the Serbonian Bog: The Territorial Limits of Secondary Market Securities Act Claims Under the Canadian Constitution — Part 1” (2012), 53 </w:t>
      </w:r>
      <w:r w:rsidRPr="00453883">
        <w:rPr>
          <w:rFonts w:cs="Times New Roman"/>
          <w:i/>
        </w:rPr>
        <w:t>Can. Bus. L.J.</w:t>
      </w:r>
      <w:r w:rsidRPr="00453883">
        <w:rPr>
          <w:rFonts w:cs="Times New Roman"/>
        </w:rPr>
        <w:t xml:space="preserve"> 63, at pp. 74-75). Adjudicatory jurisdiction, also known as judicial jurisdiction, is the power of a court or tribunal to “resolve disputes or interpret the law through decisions that carry binding force” (</w:t>
      </w:r>
      <w:r w:rsidRPr="00453883">
        <w:rPr>
          <w:rFonts w:cs="Times New Roman"/>
          <w:i/>
        </w:rPr>
        <w:t>Hape</w:t>
      </w:r>
      <w:r w:rsidRPr="00453883">
        <w:rPr>
          <w:rFonts w:cs="Times New Roman"/>
        </w:rPr>
        <w:t>, at para. 58), and includes the power to take jurisdiction over a matter that may have extraterritorial connections (</w:t>
      </w:r>
      <w:r w:rsidRPr="00453883">
        <w:rPr>
          <w:rFonts w:cs="Times New Roman"/>
          <w:i/>
        </w:rPr>
        <w:t>Hape</w:t>
      </w:r>
      <w:r w:rsidRPr="00453883">
        <w:rPr>
          <w:rFonts w:cs="Times New Roman"/>
        </w:rPr>
        <w:t xml:space="preserve">, at para. 59; </w:t>
      </w:r>
      <w:r w:rsidRPr="00453883">
        <w:rPr>
          <w:rFonts w:cs="Times New Roman"/>
          <w:i/>
        </w:rPr>
        <w:t xml:space="preserve">Imperial Tobacco </w:t>
      </w:r>
      <w:r w:rsidRPr="00453883">
        <w:rPr>
          <w:rFonts w:cs="Times New Roman"/>
        </w:rPr>
        <w:t xml:space="preserve">(BCCA), at para. 23; Edinger and Black, at p. 165). </w:t>
      </w:r>
    </w:p>
    <w:p w14:paraId="733D0058" w14:textId="77777777" w:rsidR="00453883" w:rsidRPr="00453883" w:rsidRDefault="00453883" w:rsidP="00453883">
      <w:pPr>
        <w:pStyle w:val="ParaNoNdepar-AltN"/>
        <w:rPr>
          <w:rFonts w:cs="Times New Roman"/>
        </w:rPr>
      </w:pPr>
      <w:r w:rsidRPr="00453883">
        <w:rPr>
          <w:rFonts w:cs="Times New Roman"/>
        </w:rPr>
        <w:t xml:space="preserve">In </w:t>
      </w:r>
      <w:r w:rsidRPr="00453883">
        <w:rPr>
          <w:rFonts w:cs="Times New Roman"/>
          <w:i/>
        </w:rPr>
        <w:t>Unifund</w:t>
      </w:r>
      <w:r w:rsidRPr="00453883">
        <w:rPr>
          <w:rFonts w:cs="Times New Roman"/>
        </w:rPr>
        <w:t xml:space="preserve">, Binnie J. distinguished between prescriptive legislative jurisdiction and adjudicatory jurisdiction, both of which are governed by different versions of the “real and substantial connection” test. As Binnie J. noted, “a ‘real and substantial connection’ sufficient to permit the court of a province to take jurisdiction over a dispute may not be sufficient for the law of a province to regulate the outcome” (para. 58). He later added that “[a] relationship that is inadequate to support the application of regulatory legislation may nevertheless provide a sufficient ‘real and substantial connection’ to permit the courts of the forum to take jurisdiction over a dispute. This happens regularly. The courts, having taken jurisdiction, then apply the law of the other province applying rules of conflict resolution governing choice of law issues” (para. 80). In </w:t>
      </w:r>
      <w:r w:rsidRPr="00453883">
        <w:rPr>
          <w:rFonts w:cs="Times New Roman"/>
          <w:i/>
        </w:rPr>
        <w:t>Unifund</w:t>
      </w:r>
      <w:r w:rsidRPr="00453883">
        <w:rPr>
          <w:rFonts w:cs="Times New Roman"/>
        </w:rPr>
        <w:t xml:space="preserve">, Binnie J. concluded that the reimbursement obligation in s. 275 of the Ontario </w:t>
      </w:r>
      <w:r w:rsidRPr="00453883">
        <w:rPr>
          <w:rFonts w:cs="Times New Roman"/>
          <w:i/>
        </w:rPr>
        <w:t>Insurance Act</w:t>
      </w:r>
      <w:r w:rsidRPr="00453883">
        <w:rPr>
          <w:rFonts w:cs="Times New Roman"/>
        </w:rPr>
        <w:t xml:space="preserve"> did not apply to the B.C.-based insurer (prescriptive legislative jurisdiction), and thus the Ontario courts also had no jurisdiction to appoint an arbitrator under the Ontario </w:t>
      </w:r>
      <w:r w:rsidRPr="00453883">
        <w:rPr>
          <w:rFonts w:cs="Times New Roman"/>
          <w:i/>
        </w:rPr>
        <w:t>Insurance Act</w:t>
      </w:r>
      <w:r w:rsidRPr="00453883">
        <w:rPr>
          <w:rFonts w:cs="Times New Roman"/>
        </w:rPr>
        <w:t xml:space="preserve"> (adjudicatory or judicial jurisdiction) (para. 44).</w:t>
      </w:r>
    </w:p>
    <w:p w14:paraId="06432277" w14:textId="77777777" w:rsidR="00453883" w:rsidRPr="00453883" w:rsidRDefault="00453883" w:rsidP="00453883">
      <w:pPr>
        <w:pStyle w:val="Title4LevelTitre4Niveau"/>
        <w:numPr>
          <w:ilvl w:val="3"/>
          <w:numId w:val="8"/>
        </w:numPr>
        <w:jc w:val="both"/>
        <w:rPr>
          <w:rFonts w:cs="Times New Roman"/>
        </w:rPr>
      </w:pPr>
      <w:r w:rsidRPr="00453883">
        <w:rPr>
          <w:rFonts w:cs="Times New Roman"/>
        </w:rPr>
        <w:t>The Unifund Test Is Part of a Family of “Real and Substantial Connection” Tests</w:t>
      </w:r>
    </w:p>
    <w:p w14:paraId="588DD152" w14:textId="77777777" w:rsidR="00453883" w:rsidRPr="00453883" w:rsidRDefault="00453883" w:rsidP="00453883">
      <w:pPr>
        <w:pStyle w:val="ParaNoNdepar-AltN"/>
        <w:rPr>
          <w:rFonts w:cs="Times New Roman"/>
        </w:rPr>
      </w:pPr>
      <w:r w:rsidRPr="00453883">
        <w:rPr>
          <w:rFonts w:cs="Times New Roman"/>
        </w:rPr>
        <w:t xml:space="preserve">Fourth, the test in </w:t>
      </w:r>
      <w:r w:rsidRPr="00453883">
        <w:rPr>
          <w:rFonts w:cs="Times New Roman"/>
          <w:i/>
        </w:rPr>
        <w:t>Unifund</w:t>
      </w:r>
      <w:r w:rsidRPr="00453883">
        <w:rPr>
          <w:rFonts w:cs="Times New Roman"/>
        </w:rPr>
        <w:t xml:space="preserve"> is distinct from the “real and substantial connection” tests that this Court has developed elsewhere in the domain of conflicts of laws. The courts below and the parties before this Court disagree about which version of the real and substantial connection test applies in this case. The Quebec Superior Court determined that the FMAT had correctly applied the real and substantial connection test in </w:t>
      </w:r>
      <w:r w:rsidRPr="00453883">
        <w:rPr>
          <w:rFonts w:cs="Times New Roman"/>
          <w:i/>
        </w:rPr>
        <w:t>Van Breda</w:t>
      </w:r>
      <w:r w:rsidRPr="00453883">
        <w:rPr>
          <w:rFonts w:cs="Times New Roman"/>
        </w:rPr>
        <w:t xml:space="preserve">, but the court also looked to </w:t>
      </w:r>
      <w:r w:rsidRPr="00453883">
        <w:rPr>
          <w:rFonts w:cs="Times New Roman"/>
          <w:i/>
        </w:rPr>
        <w:t xml:space="preserve">Unifund </w:t>
      </w:r>
      <w:r w:rsidRPr="00453883">
        <w:rPr>
          <w:rFonts w:cs="Times New Roman"/>
        </w:rPr>
        <w:t xml:space="preserve">for what might constitute a “sufficient connection” (para. 39). The appellants argue that the </w:t>
      </w:r>
      <w:r w:rsidRPr="00453883">
        <w:rPr>
          <w:rFonts w:cs="Times New Roman"/>
          <w:i/>
          <w:iCs/>
        </w:rPr>
        <w:t>C.C.Q. </w:t>
      </w:r>
      <w:r w:rsidRPr="00453883">
        <w:rPr>
          <w:rFonts w:cs="Times New Roman"/>
          <w:iCs/>
        </w:rPr>
        <w:t xml:space="preserve">supplies the rules for the international jurisdiction of Quebec authorities, but </w:t>
      </w:r>
      <w:r w:rsidRPr="00453883">
        <w:rPr>
          <w:rFonts w:cs="Times New Roman"/>
        </w:rPr>
        <w:t xml:space="preserve">note that if the “real and substantial connection” test applies, then this Court’s formulation of that test in </w:t>
      </w:r>
      <w:r w:rsidRPr="00453883">
        <w:rPr>
          <w:rFonts w:cs="Times New Roman"/>
          <w:i/>
          <w:iCs/>
        </w:rPr>
        <w:t>Van Breda</w:t>
      </w:r>
      <w:r w:rsidRPr="00453883">
        <w:rPr>
          <w:rFonts w:cs="Times New Roman"/>
        </w:rPr>
        <w:t xml:space="preserve"> should apply. The respondent argues that the “real and substantial connection” test in </w:t>
      </w:r>
      <w:r w:rsidRPr="00453883">
        <w:rPr>
          <w:rFonts w:cs="Times New Roman"/>
          <w:i/>
          <w:iCs/>
        </w:rPr>
        <w:t>Unifund </w:t>
      </w:r>
      <w:r w:rsidRPr="00453883">
        <w:rPr>
          <w:rFonts w:cs="Times New Roman"/>
        </w:rPr>
        <w:t>applies.</w:t>
      </w:r>
    </w:p>
    <w:p w14:paraId="53A4296E" w14:textId="77777777" w:rsidR="00453883" w:rsidRPr="00453883" w:rsidRDefault="00453883" w:rsidP="00453883">
      <w:pPr>
        <w:pStyle w:val="ParaNoNdepar-AltN"/>
        <w:rPr>
          <w:rFonts w:cs="Times New Roman"/>
        </w:rPr>
      </w:pPr>
      <w:r w:rsidRPr="00453883">
        <w:rPr>
          <w:rFonts w:cs="Times New Roman"/>
        </w:rPr>
        <w:t>The “real and substantial connection” test has been described both as a single test that applies in a variety of different contexts (</w:t>
      </w:r>
      <w:r w:rsidRPr="00453883">
        <w:rPr>
          <w:rFonts w:cs="Times New Roman"/>
          <w:i/>
        </w:rPr>
        <w:t>Van Breda</w:t>
      </w:r>
      <w:r w:rsidRPr="00453883">
        <w:rPr>
          <w:rFonts w:cs="Times New Roman"/>
        </w:rPr>
        <w:t xml:space="preserve">, at paras. 23-31), and as a collection of different tests with a common family resemblance (J. Blom and E. Edinger, “The Chimera of the Real and Substantial Connection Test” (2005), 38 </w:t>
      </w:r>
      <w:r w:rsidRPr="00453883">
        <w:rPr>
          <w:rFonts w:cs="Times New Roman"/>
          <w:i/>
        </w:rPr>
        <w:t>U.B.C. L. Rev.</w:t>
      </w:r>
      <w:r w:rsidRPr="00453883">
        <w:rPr>
          <w:rFonts w:cs="Times New Roman"/>
        </w:rPr>
        <w:t xml:space="preserve"> 373, at pp. 373-74). Although both views have merit, we refer to the “real and substantial connection” test as a family of tests to emphasize that the same formula of words — that is, “real and substantial connection” — involves different considerations in each of the varying contexts in which the formula is employed.</w:t>
      </w:r>
    </w:p>
    <w:p w14:paraId="5BD6375A" w14:textId="77777777" w:rsidR="00453883" w:rsidRPr="00453883" w:rsidRDefault="00453883" w:rsidP="00453883">
      <w:pPr>
        <w:pStyle w:val="ParaNoNdepar-AltN"/>
        <w:rPr>
          <w:rFonts w:cs="Times New Roman"/>
        </w:rPr>
      </w:pPr>
      <w:r w:rsidRPr="00453883">
        <w:rPr>
          <w:rFonts w:cs="Times New Roman"/>
        </w:rPr>
        <w:t xml:space="preserve">For example, in </w:t>
      </w:r>
      <w:r w:rsidRPr="00453883">
        <w:rPr>
          <w:rFonts w:cs="Times New Roman"/>
          <w:i/>
        </w:rPr>
        <w:t>Morguard Investments Ltd. v. De Savoye</w:t>
      </w:r>
      <w:r w:rsidRPr="00453883">
        <w:rPr>
          <w:rFonts w:cs="Times New Roman"/>
        </w:rPr>
        <w:t xml:space="preserve">, [1990] 3 S.C.R. 1077, this Court ruled that a court in one province should recognize and enforce a judgment of the court of another province if there is a “real and substantial connection” between that other court and the subject matter of the litigation (pp. 1107-8). In </w:t>
      </w:r>
      <w:r w:rsidRPr="00453883">
        <w:rPr>
          <w:rFonts w:cs="Times New Roman"/>
          <w:i/>
          <w:iCs/>
        </w:rPr>
        <w:t>Beals v. Saldanha</w:t>
      </w:r>
      <w:r w:rsidRPr="00453883">
        <w:rPr>
          <w:rFonts w:cs="Times New Roman"/>
          <w:iCs/>
        </w:rPr>
        <w:t>,</w:t>
      </w:r>
      <w:r w:rsidRPr="00453883">
        <w:rPr>
          <w:rFonts w:cs="Times New Roman"/>
          <w:i/>
          <w:iCs/>
        </w:rPr>
        <w:t xml:space="preserve"> </w:t>
      </w:r>
      <w:r w:rsidRPr="00453883">
        <w:rPr>
          <w:rFonts w:cs="Times New Roman"/>
          <w:iCs/>
        </w:rPr>
        <w:t>2003 SCC 72, [2003] 3 S.C.R. 416</w:t>
      </w:r>
      <w:r w:rsidRPr="00453883">
        <w:rPr>
          <w:rFonts w:cs="Times New Roman"/>
        </w:rPr>
        <w:t xml:space="preserve">, the Court extended the principles in </w:t>
      </w:r>
      <w:r w:rsidRPr="00453883">
        <w:rPr>
          <w:rFonts w:cs="Times New Roman"/>
          <w:i/>
        </w:rPr>
        <w:t>Morguard</w:t>
      </w:r>
      <w:r w:rsidRPr="00453883">
        <w:rPr>
          <w:rFonts w:cs="Times New Roman"/>
        </w:rPr>
        <w:t xml:space="preserve"> to foreign judgments and ruled that Canadian courts should recognize and enforce a judgment of a court outside Canada when there is a “real and substantial connection” between the cause of action and the foreign court (paras. 32 and 37). </w:t>
      </w:r>
    </w:p>
    <w:p w14:paraId="44166218" w14:textId="77777777" w:rsidR="00453883" w:rsidRPr="00453883" w:rsidRDefault="00453883" w:rsidP="00453883">
      <w:pPr>
        <w:pStyle w:val="ParaNoNdepar-AltN"/>
        <w:rPr>
          <w:rFonts w:cs="Times New Roman"/>
        </w:rPr>
      </w:pPr>
      <w:r w:rsidRPr="00453883">
        <w:rPr>
          <w:rFonts w:cs="Times New Roman"/>
        </w:rPr>
        <w:t xml:space="preserve">In </w:t>
      </w:r>
      <w:r w:rsidRPr="00453883">
        <w:rPr>
          <w:rFonts w:cs="Times New Roman"/>
          <w:i/>
          <w:iCs/>
        </w:rPr>
        <w:t>Van Breda</w:t>
      </w:r>
      <w:r w:rsidRPr="00453883">
        <w:rPr>
          <w:rFonts w:cs="Times New Roman"/>
        </w:rPr>
        <w:t xml:space="preserve">, this Court developed a “real and substantial connection” test in the context of deciding whether a court can assume jurisdiction over a tort claim brought by Canadian residents who were injured abroad. The Court identified presumptive connecting factors that </w:t>
      </w:r>
      <w:r w:rsidRPr="00453883">
        <w:rPr>
          <w:rFonts w:cs="Times New Roman"/>
          <w:i/>
        </w:rPr>
        <w:t>prima facie</w:t>
      </w:r>
      <w:r w:rsidRPr="00453883">
        <w:rPr>
          <w:rFonts w:cs="Times New Roman"/>
        </w:rPr>
        <w:t xml:space="preserve"> entitle a court to assume jurisdiction over a tort dispute and explained how such a presumption of jurisdiction is subject to rebuttal. The Court also clarified that this version of the “real and substantial connection” test is a common law test. In Quebec, “the </w:t>
      </w:r>
      <w:r w:rsidRPr="00453883">
        <w:rPr>
          <w:rFonts w:cs="Times New Roman"/>
          <w:i/>
        </w:rPr>
        <w:t xml:space="preserve">Civil Code of Québec </w:t>
      </w:r>
      <w:r w:rsidRPr="00453883">
        <w:rPr>
          <w:rFonts w:cs="Times New Roman"/>
        </w:rPr>
        <w:t xml:space="preserve">contains a list of factors that must be considered in order to determine whether a Quebec authority has jurisdiction over a delictual or quasi-delictual action (art. 3148)” (para. 77; see also </w:t>
      </w:r>
      <w:r w:rsidRPr="00453883">
        <w:rPr>
          <w:rFonts w:cs="Times New Roman"/>
          <w:i/>
        </w:rPr>
        <w:t>Spar Aerospace</w:t>
      </w:r>
      <w:r w:rsidRPr="00453883">
        <w:rPr>
          <w:rFonts w:cs="Times New Roman"/>
        </w:rPr>
        <w:t>, at paras. 55-56).</w:t>
      </w:r>
    </w:p>
    <w:p w14:paraId="29BE09DD" w14:textId="77777777" w:rsidR="00453883" w:rsidRPr="00453883" w:rsidRDefault="00453883" w:rsidP="00453883">
      <w:pPr>
        <w:pStyle w:val="ParaNoNdepar-AltN"/>
        <w:rPr>
          <w:rFonts w:cs="Times New Roman"/>
        </w:rPr>
      </w:pPr>
      <w:r w:rsidRPr="00453883">
        <w:rPr>
          <w:rFonts w:cs="Times New Roman"/>
        </w:rPr>
        <w:t xml:space="preserve">This Court also developed a version of the real and substantial connection test in </w:t>
      </w:r>
      <w:r w:rsidRPr="00453883">
        <w:rPr>
          <w:rFonts w:cs="Times New Roman"/>
          <w:i/>
        </w:rPr>
        <w:t>Libman v. The Queen</w:t>
      </w:r>
      <w:r w:rsidRPr="00453883">
        <w:rPr>
          <w:rFonts w:cs="Times New Roman"/>
        </w:rPr>
        <w:t>, [1985] 2 S.C.R. 178,</w:t>
      </w:r>
      <w:r w:rsidRPr="00453883">
        <w:rPr>
          <w:rFonts w:cs="Times New Roman"/>
          <w:i/>
        </w:rPr>
        <w:t xml:space="preserve"> </w:t>
      </w:r>
      <w:r w:rsidRPr="00453883">
        <w:rPr>
          <w:rFonts w:cs="Times New Roman"/>
        </w:rPr>
        <w:t>to determine whether a transnational crime, which took place partly in Canada, could be prosecuted in Canada. The Court held that such a crime can be prosecuted in Canada when there is a “real and substantial link” between the offence and this country (pp. 212-13).</w:t>
      </w:r>
    </w:p>
    <w:p w14:paraId="7A8D2046" w14:textId="77777777" w:rsidR="00453883" w:rsidRPr="00453883" w:rsidRDefault="00453883" w:rsidP="00453883">
      <w:pPr>
        <w:pStyle w:val="ParaNoNdepar-AltN"/>
        <w:rPr>
          <w:rFonts w:cs="Times New Roman"/>
        </w:rPr>
      </w:pPr>
      <w:r w:rsidRPr="00453883">
        <w:rPr>
          <w:rFonts w:cs="Times New Roman"/>
        </w:rPr>
        <w:t xml:space="preserve">As a final example, this Court has developed a “real and substantial connection” test in the context of determining whether provincial legislation is constitutionally applicable to out-of-province defendants or circumstances (see Blom (2017), at pp. 288-89). In </w:t>
      </w:r>
      <w:r w:rsidRPr="00453883">
        <w:rPr>
          <w:rFonts w:cs="Times New Roman"/>
          <w:i/>
        </w:rPr>
        <w:t>Hunt v. T&amp;N plc</w:t>
      </w:r>
      <w:r w:rsidRPr="00453883">
        <w:rPr>
          <w:rFonts w:cs="Times New Roman"/>
        </w:rPr>
        <w:t xml:space="preserve">, [1993] 4 S.C.R. 289, the Court decided that a Quebec “blocking” statute prohibiting the transfer of documents to other jurisdictions was constitutionally inapplicable to other provinces. The Court confirmed that “courts are required, by constitutional restraints, to assume jurisdiction only where there are real and substantial connections to that place”, and held that “the presence of such blocking statutes is an </w:t>
      </w:r>
      <w:proofErr w:type="gramStart"/>
      <w:r w:rsidRPr="00453883">
        <w:rPr>
          <w:rFonts w:cs="Times New Roman"/>
        </w:rPr>
        <w:t>anachronism .</w:t>
      </w:r>
      <w:proofErr w:type="gramEnd"/>
      <w:r w:rsidRPr="00453883">
        <w:rPr>
          <w:rFonts w:cs="Times New Roman"/>
        </w:rPr>
        <w:t xml:space="preserve"> . . inimical to [interprovincial] litigation if applied on the interprovincial level” (p. 328). In </w:t>
      </w:r>
      <w:r w:rsidRPr="00453883">
        <w:rPr>
          <w:rFonts w:cs="Times New Roman"/>
          <w:i/>
        </w:rPr>
        <w:t>Unifund</w:t>
      </w:r>
      <w:r w:rsidRPr="00453883">
        <w:rPr>
          <w:rFonts w:cs="Times New Roman"/>
        </w:rPr>
        <w:t xml:space="preserve">, this Court built on </w:t>
      </w:r>
      <w:r w:rsidRPr="00453883">
        <w:rPr>
          <w:rFonts w:cs="Times New Roman"/>
          <w:i/>
        </w:rPr>
        <w:t>Hunt</w:t>
      </w:r>
      <w:r w:rsidRPr="00453883">
        <w:rPr>
          <w:rFonts w:cs="Times New Roman"/>
        </w:rPr>
        <w:t xml:space="preserve"> and ruled that provincial regulatory legislation is constitutionally applicable to out-of-province defendants when there is a “sufficient connection” between the province and the out-of-province defendants, subject to the principles of order and fairness (para. 56).</w:t>
      </w:r>
    </w:p>
    <w:p w14:paraId="131C1817" w14:textId="77777777" w:rsidR="00453883" w:rsidRPr="00453883" w:rsidRDefault="00453883" w:rsidP="00453883">
      <w:pPr>
        <w:pStyle w:val="ParaNoNdepar-AltN"/>
        <w:rPr>
          <w:rFonts w:cs="Times New Roman"/>
        </w:rPr>
      </w:pPr>
      <w:r w:rsidRPr="00453883">
        <w:rPr>
          <w:rFonts w:cs="Times New Roman"/>
        </w:rPr>
        <w:t xml:space="preserve">The appellants’ argument and the Superior Court’s conclusion that the </w:t>
      </w:r>
      <w:r w:rsidRPr="00453883">
        <w:rPr>
          <w:rFonts w:cs="Times New Roman"/>
          <w:i/>
        </w:rPr>
        <w:t>Van Breda</w:t>
      </w:r>
      <w:r w:rsidRPr="00453883">
        <w:rPr>
          <w:rFonts w:cs="Times New Roman"/>
        </w:rPr>
        <w:t xml:space="preserve"> “real and substantial connection” test should apply here are misplaced. </w:t>
      </w:r>
      <w:r w:rsidRPr="00453883">
        <w:rPr>
          <w:rFonts w:cs="Times New Roman"/>
          <w:i/>
        </w:rPr>
        <w:t xml:space="preserve">Van Breda </w:t>
      </w:r>
      <w:r w:rsidRPr="00453883">
        <w:rPr>
          <w:rFonts w:cs="Times New Roman"/>
        </w:rPr>
        <w:t xml:space="preserve">set out the real and substantial connection test in the context of tort claims at common law and does not apply in Quebec. The counterpart to the </w:t>
      </w:r>
      <w:r w:rsidRPr="00453883">
        <w:rPr>
          <w:rFonts w:cs="Times New Roman"/>
          <w:i/>
        </w:rPr>
        <w:t xml:space="preserve">Van Breda </w:t>
      </w:r>
      <w:r w:rsidRPr="00453883">
        <w:rPr>
          <w:rFonts w:cs="Times New Roman"/>
        </w:rPr>
        <w:t xml:space="preserve">test for personal actions of a patrimonial nature in Quebec is contained in art. 3148 </w:t>
      </w:r>
      <w:r w:rsidRPr="00453883">
        <w:rPr>
          <w:rFonts w:cs="Times New Roman"/>
          <w:i/>
        </w:rPr>
        <w:t>C.C.Q.</w:t>
      </w:r>
      <w:r w:rsidRPr="00453883">
        <w:rPr>
          <w:rFonts w:cs="Times New Roman"/>
        </w:rPr>
        <w:t xml:space="preserve"> (</w:t>
      </w:r>
      <w:r w:rsidRPr="00453883">
        <w:rPr>
          <w:rFonts w:cs="Times New Roman"/>
          <w:i/>
        </w:rPr>
        <w:t>Van Breda</w:t>
      </w:r>
      <w:r w:rsidRPr="00453883">
        <w:rPr>
          <w:rFonts w:cs="Times New Roman"/>
        </w:rPr>
        <w:t xml:space="preserve">, at para. 77). In any event, in the present case, the Court is asked to determine whether Quebec’s securities regulatory scheme constitutionally applies to the out-of-province appellants as a matter of prescriptive legislative jurisdiction. Consequently, the </w:t>
      </w:r>
      <w:r w:rsidRPr="00453883">
        <w:rPr>
          <w:rFonts w:cs="Times New Roman"/>
          <w:i/>
        </w:rPr>
        <w:t>Unifund</w:t>
      </w:r>
      <w:r w:rsidRPr="00453883">
        <w:rPr>
          <w:rFonts w:cs="Times New Roman"/>
        </w:rPr>
        <w:t xml:space="preserve"> test applies.</w:t>
      </w:r>
    </w:p>
    <w:p w14:paraId="37D4EB2B" w14:textId="77777777" w:rsidR="00453883" w:rsidRPr="00453883" w:rsidRDefault="00453883" w:rsidP="00453883">
      <w:pPr>
        <w:pStyle w:val="Title3LevelTitre3Niveau"/>
        <w:numPr>
          <w:ilvl w:val="2"/>
          <w:numId w:val="8"/>
        </w:numPr>
        <w:jc w:val="both"/>
        <w:rPr>
          <w:rFonts w:cs="Times New Roman"/>
        </w:rPr>
      </w:pPr>
      <w:r w:rsidRPr="00453883">
        <w:rPr>
          <w:rFonts w:cs="Times New Roman"/>
        </w:rPr>
        <w:t xml:space="preserve">Interpreting the Special Jurisdictional Rules of the Quebec Securities Scheme in Light of </w:t>
      </w:r>
      <w:r w:rsidRPr="00453883">
        <w:rPr>
          <w:rFonts w:cs="Times New Roman"/>
          <w:i/>
        </w:rPr>
        <w:t>Unifund</w:t>
      </w:r>
    </w:p>
    <w:p w14:paraId="7E4EAF07" w14:textId="77777777" w:rsidR="00453883" w:rsidRPr="00453883" w:rsidRDefault="00453883" w:rsidP="00453883">
      <w:pPr>
        <w:pStyle w:val="ParaNoNdepar-AltN"/>
        <w:rPr>
          <w:rFonts w:cs="Times New Roman"/>
        </w:rPr>
      </w:pPr>
      <w:r w:rsidRPr="00453883">
        <w:rPr>
          <w:rFonts w:cs="Times New Roman"/>
        </w:rPr>
        <w:t xml:space="preserve">The Quebec securities scheme, interpreted in light of the </w:t>
      </w:r>
      <w:r w:rsidRPr="00453883">
        <w:rPr>
          <w:rFonts w:cs="Times New Roman"/>
          <w:i/>
        </w:rPr>
        <w:t>Unifund</w:t>
      </w:r>
      <w:r w:rsidRPr="00453883">
        <w:rPr>
          <w:rFonts w:cs="Times New Roman"/>
        </w:rPr>
        <w:t xml:space="preserve"> test, provides for jurisdiction over out-of-province parties with a “sufficient connection” or “real and substantial connection” with Quebec. On their face, the special jurisdictional provisions in the </w:t>
      </w:r>
      <w:r w:rsidRPr="00453883">
        <w:rPr>
          <w:rFonts w:cs="Times New Roman"/>
          <w:i/>
        </w:rPr>
        <w:t>Act respecting the Autorité des marchés financiers</w:t>
      </w:r>
      <w:r w:rsidRPr="00453883">
        <w:rPr>
          <w:rFonts w:cs="Times New Roman"/>
        </w:rPr>
        <w:t xml:space="preserve"> and the </w:t>
      </w:r>
      <w:r w:rsidRPr="00453883">
        <w:rPr>
          <w:rFonts w:cs="Times New Roman"/>
          <w:i/>
        </w:rPr>
        <w:t xml:space="preserve">Securities Act </w:t>
      </w:r>
      <w:r w:rsidRPr="00453883">
        <w:rPr>
          <w:rFonts w:cs="Times New Roman"/>
        </w:rPr>
        <w:t xml:space="preserve">are not limited in their territorial reach. Constitutionally, they apply only to matters within Quebec’s territorial jurisdiction. </w:t>
      </w:r>
      <w:r w:rsidRPr="00453883">
        <w:rPr>
          <w:rFonts w:cs="Times New Roman"/>
          <w:i/>
        </w:rPr>
        <w:t xml:space="preserve">Unifund </w:t>
      </w:r>
      <w:r w:rsidRPr="00453883">
        <w:rPr>
          <w:rFonts w:cs="Times New Roman"/>
        </w:rPr>
        <w:t xml:space="preserve">provides the appropriate test for evaluating the territorial applicability of these statutes to a particular set of circumstances. It functions, as a canon of construction, to limit the application of Quebec’s securities scheme to those persons and matters with a “sufficient connection” or “real and substantial connection” to the province. These provisions thus give the FMAT plenary international jurisdiction to make determinations and issue orders against persons under the </w:t>
      </w:r>
      <w:r w:rsidRPr="00453883">
        <w:rPr>
          <w:rFonts w:cs="Times New Roman"/>
          <w:i/>
        </w:rPr>
        <w:t>Securities Act</w:t>
      </w:r>
      <w:r w:rsidRPr="00453883">
        <w:rPr>
          <w:rFonts w:cs="Times New Roman"/>
        </w:rPr>
        <w:t xml:space="preserve"> when there is a sufficient connection with Quebec.</w:t>
      </w:r>
    </w:p>
    <w:p w14:paraId="2B9D9AA7" w14:textId="77777777" w:rsidR="00453883" w:rsidRPr="00453883" w:rsidRDefault="00453883" w:rsidP="00453883">
      <w:pPr>
        <w:pStyle w:val="ParaNoNdepar-AltN"/>
        <w:rPr>
          <w:rFonts w:cs="Times New Roman"/>
        </w:rPr>
      </w:pPr>
      <w:r w:rsidRPr="00453883">
        <w:rPr>
          <w:rFonts w:cs="Times New Roman"/>
        </w:rPr>
        <w:t xml:space="preserve">The Quebec securities scheme may be said to both </w:t>
      </w:r>
      <w:r w:rsidRPr="00453883">
        <w:rPr>
          <w:rFonts w:cs="Times New Roman"/>
          <w:i/>
        </w:rPr>
        <w:t xml:space="preserve">complement </w:t>
      </w:r>
      <w:r w:rsidRPr="00453883">
        <w:rPr>
          <w:rFonts w:cs="Times New Roman"/>
        </w:rPr>
        <w:t xml:space="preserve">and </w:t>
      </w:r>
      <w:r w:rsidRPr="00453883">
        <w:rPr>
          <w:rFonts w:cs="Times New Roman"/>
          <w:i/>
        </w:rPr>
        <w:t>derogate</w:t>
      </w:r>
      <w:r w:rsidRPr="00453883">
        <w:rPr>
          <w:rFonts w:cs="Times New Roman"/>
        </w:rPr>
        <w:t xml:space="preserve"> from the rules for the international jurisdiction of Quebec authorities in Title Three of Book Ten of the </w:t>
      </w:r>
      <w:r w:rsidRPr="00453883">
        <w:rPr>
          <w:rFonts w:cs="Times New Roman"/>
          <w:i/>
        </w:rPr>
        <w:t>C.C.Q.</w:t>
      </w:r>
      <w:r w:rsidRPr="00453883">
        <w:rPr>
          <w:rFonts w:cs="Times New Roman"/>
        </w:rPr>
        <w:t xml:space="preserve"> The Quebec securities scheme may be said to </w:t>
      </w:r>
      <w:r w:rsidRPr="00453883">
        <w:rPr>
          <w:rFonts w:cs="Times New Roman"/>
          <w:i/>
        </w:rPr>
        <w:t>complement</w:t>
      </w:r>
      <w:r w:rsidRPr="00453883">
        <w:rPr>
          <w:rFonts w:cs="Times New Roman"/>
        </w:rPr>
        <w:t xml:space="preserve"> the </w:t>
      </w:r>
      <w:r w:rsidRPr="00453883">
        <w:rPr>
          <w:rFonts w:cs="Times New Roman"/>
          <w:i/>
        </w:rPr>
        <w:t>C.C.Q.</w:t>
      </w:r>
      <w:r w:rsidRPr="00453883">
        <w:rPr>
          <w:rFonts w:cs="Times New Roman"/>
        </w:rPr>
        <w:t xml:space="preserve"> because the special statutes’ jurisdictional rules for the FMAT work alongside the general jurisdictional rules in the </w:t>
      </w:r>
      <w:r w:rsidRPr="00453883">
        <w:rPr>
          <w:rFonts w:cs="Times New Roman"/>
          <w:i/>
        </w:rPr>
        <w:t>jus commune</w:t>
      </w:r>
      <w:r w:rsidRPr="00453883">
        <w:rPr>
          <w:rFonts w:cs="Times New Roman"/>
        </w:rPr>
        <w:t xml:space="preserve">. But the Quebec securities scheme may also be said to </w:t>
      </w:r>
      <w:r w:rsidRPr="00453883">
        <w:rPr>
          <w:rFonts w:cs="Times New Roman"/>
          <w:i/>
        </w:rPr>
        <w:t>derogate</w:t>
      </w:r>
      <w:r w:rsidRPr="00453883">
        <w:rPr>
          <w:rFonts w:cs="Times New Roman"/>
        </w:rPr>
        <w:t xml:space="preserve"> from the </w:t>
      </w:r>
      <w:r w:rsidRPr="00453883">
        <w:rPr>
          <w:rFonts w:cs="Times New Roman"/>
          <w:i/>
        </w:rPr>
        <w:t>C.C.Q.</w:t>
      </w:r>
      <w:r w:rsidRPr="00453883">
        <w:rPr>
          <w:rFonts w:cs="Times New Roman"/>
        </w:rPr>
        <w:t xml:space="preserve"> because, in this case, as demonstrated below, the application of the special jurisdictional rules provides the FMAT with jurisdiction over the out-of-province appellants, even though the </w:t>
      </w:r>
      <w:r w:rsidRPr="00453883">
        <w:rPr>
          <w:rFonts w:cs="Times New Roman"/>
          <w:i/>
        </w:rPr>
        <w:t>C.C.Q.</w:t>
      </w:r>
      <w:r w:rsidRPr="00453883">
        <w:rPr>
          <w:rFonts w:cs="Times New Roman"/>
        </w:rPr>
        <w:t>’s general rules do not.</w:t>
      </w:r>
    </w:p>
    <w:p w14:paraId="5842BCED" w14:textId="77777777" w:rsidR="00453883" w:rsidRPr="00453883" w:rsidRDefault="00453883" w:rsidP="00453883">
      <w:pPr>
        <w:numPr>
          <w:ilvl w:val="1"/>
          <w:numId w:val="7"/>
        </w:numPr>
        <w:spacing w:before="480" w:after="720"/>
        <w:jc w:val="both"/>
        <w:outlineLvl w:val="1"/>
        <w:rPr>
          <w:i/>
        </w:rPr>
      </w:pPr>
      <w:r w:rsidRPr="00453883">
        <w:rPr>
          <w:i/>
        </w:rPr>
        <w:t xml:space="preserve">The Quebec Securities Scheme Applies to the Out-of-Province Appellants </w:t>
      </w:r>
    </w:p>
    <w:p w14:paraId="1356BC26" w14:textId="77777777" w:rsidR="00453883" w:rsidRPr="00453883" w:rsidRDefault="00453883" w:rsidP="00453883">
      <w:pPr>
        <w:pStyle w:val="ParaNoNdepar-AltN"/>
        <w:rPr>
          <w:rFonts w:cs="Times New Roman"/>
        </w:rPr>
      </w:pPr>
      <w:r w:rsidRPr="00453883">
        <w:rPr>
          <w:rFonts w:cs="Times New Roman"/>
        </w:rPr>
        <w:t xml:space="preserve">Finally, it must be determined whether the FMAT’s exercise of jurisdiction over the out-of-province appellants would be contrary to the constitutional limitations set out in </w:t>
      </w:r>
      <w:r w:rsidRPr="00453883">
        <w:rPr>
          <w:rFonts w:cs="Times New Roman"/>
          <w:i/>
        </w:rPr>
        <w:t>Unifund</w:t>
      </w:r>
      <w:r w:rsidRPr="00453883">
        <w:rPr>
          <w:rFonts w:cs="Times New Roman"/>
        </w:rPr>
        <w:t>, which asks whether there is a sufficient connection between Quebec and the facts alleged against the appellants based on the following four principles:</w:t>
      </w:r>
    </w:p>
    <w:p w14:paraId="017CAE70" w14:textId="77777777" w:rsidR="00453883" w:rsidRPr="00453883" w:rsidRDefault="00453883" w:rsidP="00537A8B">
      <w:pPr>
        <w:spacing w:after="240"/>
        <w:ind w:left="1168"/>
        <w:jc w:val="both"/>
      </w:pPr>
      <w:r w:rsidRPr="00453883">
        <w:t xml:space="preserve">1. The territorial limits on the scope of provincial legislative authority prevent the application of the law of a province to matters not sufficiently connected to it; </w:t>
      </w:r>
    </w:p>
    <w:p w14:paraId="5DE22E8F" w14:textId="77777777" w:rsidR="00453883" w:rsidRPr="00453883" w:rsidRDefault="00453883" w:rsidP="00537A8B">
      <w:pPr>
        <w:spacing w:after="240"/>
        <w:ind w:left="1168"/>
        <w:jc w:val="both"/>
      </w:pPr>
      <w:r w:rsidRPr="00453883">
        <w:t xml:space="preserve">2. What constitutes a “sufficient” connection depends on the relationship among the enacting jurisdiction, the subject matter of the legislation and the individual or entity sought to be regulated by it; </w:t>
      </w:r>
    </w:p>
    <w:p w14:paraId="154E4692" w14:textId="77777777" w:rsidR="00453883" w:rsidRPr="00453883" w:rsidRDefault="00453883" w:rsidP="00537A8B">
      <w:pPr>
        <w:spacing w:after="240"/>
        <w:ind w:left="1168"/>
        <w:jc w:val="both"/>
      </w:pPr>
      <w:r w:rsidRPr="00453883">
        <w:t>3. The applicability of an otherwise competent provincial legislation to out-of-province defendants is conditioned by the requirements of order and fairness that underlie our federal arrangements;</w:t>
      </w:r>
    </w:p>
    <w:p w14:paraId="597D3496" w14:textId="77777777" w:rsidR="00453883" w:rsidRPr="00453883" w:rsidRDefault="00453883" w:rsidP="00537A8B">
      <w:pPr>
        <w:spacing w:after="720"/>
        <w:ind w:left="1168"/>
        <w:jc w:val="both"/>
      </w:pPr>
      <w:r w:rsidRPr="00453883">
        <w:t>4. The principles of order and fairness, being purposive, are applied flexibly according to the subject matter of the legislation. [para. 56]</w:t>
      </w:r>
    </w:p>
    <w:p w14:paraId="3357406D" w14:textId="77777777" w:rsidR="00453883" w:rsidRPr="00453883" w:rsidRDefault="00453883" w:rsidP="00453883">
      <w:pPr>
        <w:numPr>
          <w:ilvl w:val="2"/>
          <w:numId w:val="7"/>
        </w:numPr>
        <w:spacing w:before="480" w:after="720"/>
        <w:jc w:val="both"/>
        <w:outlineLvl w:val="2"/>
        <w:rPr>
          <w:u w:val="single"/>
        </w:rPr>
      </w:pPr>
      <w:r w:rsidRPr="00453883">
        <w:rPr>
          <w:u w:val="single"/>
        </w:rPr>
        <w:t>There Is a Sufficient Connection Between Quebec and the Appellants</w:t>
      </w:r>
    </w:p>
    <w:p w14:paraId="354F5896" w14:textId="77777777" w:rsidR="00453883" w:rsidRPr="00453883" w:rsidRDefault="00453883" w:rsidP="00453883">
      <w:pPr>
        <w:pStyle w:val="ParaNoNdepar-AltN"/>
        <w:rPr>
          <w:rFonts w:cs="Times New Roman"/>
        </w:rPr>
      </w:pPr>
      <w:r w:rsidRPr="00453883">
        <w:rPr>
          <w:rFonts w:cs="Times New Roman"/>
        </w:rPr>
        <w:t xml:space="preserve">The first two principles in </w:t>
      </w:r>
      <w:r w:rsidRPr="00453883">
        <w:rPr>
          <w:rFonts w:cs="Times New Roman"/>
          <w:i/>
        </w:rPr>
        <w:t>Unifund</w:t>
      </w:r>
      <w:r w:rsidRPr="00453883">
        <w:rPr>
          <w:rFonts w:cs="Times New Roman"/>
        </w:rPr>
        <w:t xml:space="preserve"> are related. The first principle requires a sufficient connection, while the second principle identifies factors that might furnish that connection (Sullivan, at p. 822). This involves a contextual inquiry. As Binnie J. noted in </w:t>
      </w:r>
      <w:r w:rsidRPr="00453883">
        <w:rPr>
          <w:rFonts w:cs="Times New Roman"/>
          <w:i/>
        </w:rPr>
        <w:t>Unifund</w:t>
      </w:r>
      <w:r w:rsidRPr="00453883">
        <w:rPr>
          <w:rFonts w:cs="Times New Roman"/>
        </w:rPr>
        <w:t>, “different degrees of connection to the enacting province may be required according to the subject matter of the dispute” (para. 65). In each case, a court or tribunal must examine the relationship among the enacting jurisdiction, the subject matter of the law, and the person sought to be regulated by it, to decide whether that relationship is sufficient to support the applicability of the legislation to the out-of-province person (para. 65).</w:t>
      </w:r>
    </w:p>
    <w:p w14:paraId="400634CE" w14:textId="77777777" w:rsidR="00453883" w:rsidRPr="00453883" w:rsidRDefault="00453883" w:rsidP="00453883">
      <w:pPr>
        <w:pStyle w:val="ParaNoNdepar-AltN"/>
        <w:rPr>
          <w:rFonts w:cs="Times New Roman"/>
        </w:rPr>
      </w:pPr>
      <w:r w:rsidRPr="00453883">
        <w:rPr>
          <w:rFonts w:cs="Times New Roman"/>
        </w:rPr>
        <w:t xml:space="preserve">The “sufficient connection” analysis must recognize the transnational nature of modern securities regulation and the public interest in addressing international market manipulation. Securities regulation raises unique considerations that highlight the need for transnational enforcement. As this Court noted in </w:t>
      </w:r>
      <w:r w:rsidRPr="00453883">
        <w:rPr>
          <w:rFonts w:cs="Times New Roman"/>
          <w:i/>
        </w:rPr>
        <w:t>Global Securities Corp. v. British Columbia (Securities Commission)</w:t>
      </w:r>
      <w:r w:rsidRPr="00453883">
        <w:rPr>
          <w:rFonts w:cs="Times New Roman"/>
        </w:rPr>
        <w:t xml:space="preserve">, 2000 SCC 21, [2000] 1 S.C.R. 494, the “securities market has been an international one for years” and the “Internet has greatly increased the ability of securities traders to extend across borders” (para. 28). To effectively regulate the securities market, “regulators must equally be able to respond, and surmount borders where legally possible” (para. 28). </w:t>
      </w:r>
    </w:p>
    <w:p w14:paraId="49249329" w14:textId="77777777" w:rsidR="00453883" w:rsidRPr="00453883" w:rsidRDefault="00453883" w:rsidP="00453883">
      <w:pPr>
        <w:pStyle w:val="ParaNoNdepar-AltN"/>
        <w:rPr>
          <w:rFonts w:cs="Times New Roman"/>
        </w:rPr>
      </w:pPr>
      <w:r w:rsidRPr="00453883">
        <w:rPr>
          <w:rFonts w:cs="Times New Roman"/>
        </w:rPr>
        <w:t xml:space="preserve">Applying the first two </w:t>
      </w:r>
      <w:r w:rsidRPr="00453883">
        <w:rPr>
          <w:rFonts w:cs="Times New Roman"/>
          <w:i/>
        </w:rPr>
        <w:t>Unifund</w:t>
      </w:r>
      <w:r w:rsidRPr="00453883">
        <w:rPr>
          <w:rFonts w:cs="Times New Roman"/>
        </w:rPr>
        <w:t xml:space="preserve"> principles, there is a sufficient connection between Quebec and the out-of-province appellants, all of whom allegedly participated in a fraudulent securities manipulation scheme with important ties to Quebec. The appellants allegedly used Quebec as the “face” of their alleged pump-and-dump scheme by promoting Solo’s mining activities in Quebec. They participated in marketing or financing efforts and partly targeted Quebec residents. Solo, the company through which the appellants operated their scheme, was a reporting issuer in Quebec, and Solo’s director was a Quebec resident. There was thus a clear connection between Solo and the appellants, on the one hand, and the province of Quebec on the other. In the circumstances, it would defeat the purpose of the cross-border nature of modern securities regulation to allow the appellants to escape the reach of Quebec’s regulatory oversight.</w:t>
      </w:r>
    </w:p>
    <w:p w14:paraId="1B2E5AF2" w14:textId="77777777" w:rsidR="00453883" w:rsidRPr="00453883" w:rsidRDefault="00453883" w:rsidP="00453883">
      <w:pPr>
        <w:pStyle w:val="ParaNoNdepar-AltN"/>
        <w:rPr>
          <w:rFonts w:cs="Times New Roman"/>
        </w:rPr>
      </w:pPr>
      <w:r w:rsidRPr="00453883">
        <w:rPr>
          <w:rFonts w:cs="Times New Roman"/>
        </w:rPr>
        <w:t xml:space="preserve">The appellant Sharp argues that the FMAT and courts below failed to analyze the AMF’s specific allegations against him, which relate only to the purchase and sale of securities outside of Quebec. We do not accept this submission. The AMF alleges that he participated in one or more stages of the appellants’ securities manipulation scheme, that he was closely implicated by buying or selling securities, and that the scheme had important links to Quebec. Under </w:t>
      </w:r>
      <w:r w:rsidRPr="00453883">
        <w:rPr>
          <w:rFonts w:cs="Times New Roman"/>
          <w:i/>
        </w:rPr>
        <w:t>Unifund</w:t>
      </w:r>
      <w:r w:rsidRPr="00453883">
        <w:rPr>
          <w:rFonts w:cs="Times New Roman"/>
        </w:rPr>
        <w:t xml:space="preserve">, that connection suffices to apply Quebec’s securities regulatory scheme to him. </w:t>
      </w:r>
    </w:p>
    <w:p w14:paraId="5C63C197" w14:textId="77777777" w:rsidR="00453883" w:rsidRPr="00453883" w:rsidRDefault="00453883" w:rsidP="00453883">
      <w:pPr>
        <w:numPr>
          <w:ilvl w:val="2"/>
          <w:numId w:val="7"/>
        </w:numPr>
        <w:spacing w:before="480" w:after="720"/>
        <w:jc w:val="both"/>
        <w:outlineLvl w:val="2"/>
        <w:rPr>
          <w:u w:val="single"/>
        </w:rPr>
      </w:pPr>
      <w:r w:rsidRPr="00453883">
        <w:rPr>
          <w:u w:val="single"/>
        </w:rPr>
        <w:t>The Requirements of Order and Fairness Are Satisfied</w:t>
      </w:r>
    </w:p>
    <w:p w14:paraId="7A06A939" w14:textId="77777777" w:rsidR="00453883" w:rsidRPr="00453883" w:rsidRDefault="00453883" w:rsidP="00453883">
      <w:pPr>
        <w:pStyle w:val="ParaNoNdepar-AltN"/>
        <w:rPr>
          <w:rFonts w:cs="Times New Roman"/>
        </w:rPr>
      </w:pPr>
      <w:r w:rsidRPr="00453883">
        <w:rPr>
          <w:rFonts w:cs="Times New Roman"/>
        </w:rPr>
        <w:t xml:space="preserve">The third and fourth </w:t>
      </w:r>
      <w:r w:rsidRPr="00453883">
        <w:rPr>
          <w:rFonts w:cs="Times New Roman"/>
          <w:i/>
        </w:rPr>
        <w:t xml:space="preserve">Unifund </w:t>
      </w:r>
      <w:r w:rsidRPr="00453883">
        <w:rPr>
          <w:rFonts w:cs="Times New Roman"/>
        </w:rPr>
        <w:t>principles are also related and “incorporate the notions of interprovincial comity and fairness to the defendant” (Sullivan, at p. 822). The third principle requires a court or tribunal to consider the principles of order and fairness, which function “as a mechanism to regulate extraterritoriality concerns” (</w:t>
      </w:r>
      <w:r w:rsidRPr="00453883">
        <w:rPr>
          <w:rFonts w:cs="Times New Roman"/>
          <w:i/>
        </w:rPr>
        <w:t>Unifund</w:t>
      </w:r>
      <w:r w:rsidRPr="00453883">
        <w:rPr>
          <w:rFonts w:cs="Times New Roman"/>
        </w:rPr>
        <w:t xml:space="preserve">, at para. 73) by ensuring the “security of transactions with justice” (para. 68, citing </w:t>
      </w:r>
      <w:r w:rsidRPr="00453883">
        <w:rPr>
          <w:rFonts w:cs="Times New Roman"/>
          <w:i/>
        </w:rPr>
        <w:t>Morguard</w:t>
      </w:r>
      <w:r w:rsidRPr="00453883">
        <w:rPr>
          <w:rFonts w:cs="Times New Roman"/>
        </w:rPr>
        <w:t>, at p. 1097). “Order” refers to the idea that courts and tribunals must respect the principle of interprovincial comity and only assume jurisdiction where constitutionally appropriate (</w:t>
      </w:r>
      <w:r w:rsidRPr="00453883">
        <w:rPr>
          <w:rFonts w:cs="Times New Roman"/>
          <w:i/>
        </w:rPr>
        <w:t>Unifund</w:t>
      </w:r>
      <w:r w:rsidRPr="00453883">
        <w:rPr>
          <w:rFonts w:cs="Times New Roman"/>
        </w:rPr>
        <w:t xml:space="preserve">, at para. 71; </w:t>
      </w:r>
      <w:r w:rsidRPr="00453883">
        <w:rPr>
          <w:rFonts w:cs="Times New Roman"/>
          <w:i/>
        </w:rPr>
        <w:t>Morguard</w:t>
      </w:r>
      <w:r w:rsidRPr="00453883">
        <w:rPr>
          <w:rFonts w:cs="Times New Roman"/>
        </w:rPr>
        <w:t>, at p. 1102). “Fairness” refers to fairness to the out-of-province defendant (</w:t>
      </w:r>
      <w:r w:rsidRPr="00453883">
        <w:rPr>
          <w:rFonts w:cs="Times New Roman"/>
          <w:i/>
        </w:rPr>
        <w:t>Unifund</w:t>
      </w:r>
      <w:r w:rsidRPr="00453883">
        <w:rPr>
          <w:rFonts w:cs="Times New Roman"/>
        </w:rPr>
        <w:t>, at para. 72;</w:t>
      </w:r>
      <w:r w:rsidRPr="00453883">
        <w:rPr>
          <w:rFonts w:cs="Times New Roman"/>
          <w:i/>
        </w:rPr>
        <w:t xml:space="preserve"> Morguard</w:t>
      </w:r>
      <w:r w:rsidRPr="00453883">
        <w:rPr>
          <w:rFonts w:cs="Times New Roman"/>
        </w:rPr>
        <w:t xml:space="preserve">, at p. 1103). Finally, the fourth </w:t>
      </w:r>
      <w:r w:rsidRPr="00453883">
        <w:rPr>
          <w:rFonts w:cs="Times New Roman"/>
          <w:i/>
        </w:rPr>
        <w:t>Unifund</w:t>
      </w:r>
      <w:r w:rsidRPr="00453883">
        <w:rPr>
          <w:rFonts w:cs="Times New Roman"/>
        </w:rPr>
        <w:t xml:space="preserve"> principle requires a court or tribunal to apply the principles of order and fairness purposively and flexibly given the subject matter of the legislation and the type of jurisdiction being asserted (</w:t>
      </w:r>
      <w:r w:rsidRPr="00453883">
        <w:rPr>
          <w:rFonts w:cs="Times New Roman"/>
          <w:i/>
        </w:rPr>
        <w:t>Unifund</w:t>
      </w:r>
      <w:r w:rsidRPr="00453883">
        <w:rPr>
          <w:rFonts w:cs="Times New Roman"/>
        </w:rPr>
        <w:t>, at para. 80).</w:t>
      </w:r>
    </w:p>
    <w:p w14:paraId="6C96FB12" w14:textId="77777777" w:rsidR="00453883" w:rsidRPr="00453883" w:rsidRDefault="00453883" w:rsidP="00453883">
      <w:pPr>
        <w:pStyle w:val="ParaNoNdepar-AltN"/>
        <w:rPr>
          <w:rFonts w:cs="Times New Roman"/>
        </w:rPr>
      </w:pPr>
      <w:r w:rsidRPr="00453883">
        <w:rPr>
          <w:rFonts w:cs="Times New Roman"/>
        </w:rPr>
        <w:t xml:space="preserve">In our view, it is consistent with the principles of order and fairness and would not raise any extraterritoriality concerns to apply Quebec’s securities regulatory scheme to the appellants. </w:t>
      </w:r>
    </w:p>
    <w:p w14:paraId="772ADC0B" w14:textId="77777777" w:rsidR="00453883" w:rsidRPr="00453883" w:rsidRDefault="00453883" w:rsidP="00453883">
      <w:pPr>
        <w:pStyle w:val="ParaNoNdepar-AltN"/>
        <w:rPr>
          <w:rFonts w:cs="Times New Roman"/>
        </w:rPr>
      </w:pPr>
      <w:r w:rsidRPr="00453883">
        <w:rPr>
          <w:rFonts w:cs="Times New Roman"/>
        </w:rPr>
        <w:t xml:space="preserve">Applying the Quebec regulatory regime is fair to the appellants. The appellants chose to enter Quebec’s securities marketplace (see </w:t>
      </w:r>
      <w:r w:rsidRPr="00453883">
        <w:rPr>
          <w:rFonts w:cs="Times New Roman"/>
          <w:i/>
        </w:rPr>
        <w:t>Unifund</w:t>
      </w:r>
      <w:r w:rsidRPr="00453883">
        <w:rPr>
          <w:rFonts w:cs="Times New Roman"/>
        </w:rPr>
        <w:t>, at para. 77), and they promoted the Quebec mining prospects of Solo, a reporting issuer in Quebec. Because the appellants made Quebec the face of their securities manipulation operation, their entrance into Quebec’s market was not accidental or irrelevant, but rather was an integral part of the scheme.</w:t>
      </w:r>
    </w:p>
    <w:p w14:paraId="42489199" w14:textId="77777777" w:rsidR="00453883" w:rsidRPr="00453883" w:rsidRDefault="00453883" w:rsidP="00453883">
      <w:pPr>
        <w:pStyle w:val="ParaNoNdepar-AltN"/>
        <w:rPr>
          <w:rFonts w:cs="Times New Roman"/>
          <w:lang w:val="en-US"/>
        </w:rPr>
      </w:pPr>
      <w:r w:rsidRPr="00453883">
        <w:rPr>
          <w:rFonts w:cs="Times New Roman"/>
        </w:rPr>
        <w:t>In addition, applying Quebec’s securities regulatory scheme to the appellants does not offend the principle of order or the related concept of interprovincial comity. Given the cross-border nature of securities manipulation and securities fraud, regulators from multiple jurisdictions may exercise jurisdiction over the same scheme. As noted by the intervener the Ontario Securities Commission, this is “a feature, not a flaw” of modern securities regulation (I.F., at para. 15). “It promotes the seamless coverage of regulatory protection and the imposition of public interest remedies across the territories affected by a single, unlawful scheme” (para. </w:t>
      </w:r>
      <w:r w:rsidRPr="00453883">
        <w:rPr>
          <w:rFonts w:cs="Times New Roman"/>
          <w:lang w:val="en-US"/>
        </w:rPr>
        <w:t xml:space="preserve">15). We also agree with the AMF: </w:t>
      </w:r>
      <w:r w:rsidRPr="00453883">
        <w:rPr>
          <w:rFonts w:cs="Times New Roman"/>
          <w:szCs w:val="24"/>
          <w:lang w:val="en-US"/>
        </w:rPr>
        <w:t>[</w:t>
      </w:r>
      <w:r w:rsidRPr="00453883">
        <w:rPr>
          <w:rFonts w:cs="Times New Roman"/>
          <w:smallCaps/>
          <w:szCs w:val="24"/>
          <w:lang w:val="en-US"/>
        </w:rPr>
        <w:t>translation</w:t>
      </w:r>
      <w:r w:rsidRPr="00453883">
        <w:rPr>
          <w:rFonts w:cs="Times New Roman"/>
          <w:szCs w:val="24"/>
          <w:lang w:val="en-US"/>
        </w:rPr>
        <w:t xml:space="preserve">] </w:t>
      </w:r>
      <w:r w:rsidRPr="00453883">
        <w:rPr>
          <w:rFonts w:cs="Times New Roman"/>
        </w:rPr>
        <w:t>“. . . nothing precludes such a multiplicity of proceedings because each of the proceedings constitutes a legitimate exercise of the jurisdiction of the state concerned. . . . [T]he application of the sufficient connection test is not a zero</w:t>
      </w:r>
      <w:r w:rsidRPr="00453883">
        <w:rPr>
          <w:rFonts w:cs="Times New Roman"/>
        </w:rPr>
        <w:noBreakHyphen/>
        <w:t>sum game</w:t>
      </w:r>
      <w:r w:rsidRPr="00453883">
        <w:rPr>
          <w:rFonts w:cs="Times New Roman"/>
          <w:lang w:val="en-US"/>
        </w:rPr>
        <w:t xml:space="preserve">” (R.F., at paras. 81 and 87). </w:t>
      </w:r>
    </w:p>
    <w:p w14:paraId="7506814E" w14:textId="77777777" w:rsidR="00453883" w:rsidRPr="00453883" w:rsidRDefault="00453883" w:rsidP="00453883">
      <w:pPr>
        <w:pStyle w:val="ParaNoNdepar-AltN"/>
        <w:rPr>
          <w:rFonts w:cs="Times New Roman"/>
          <w:lang w:val="en-US"/>
        </w:rPr>
      </w:pPr>
      <w:r w:rsidRPr="00453883">
        <w:rPr>
          <w:rFonts w:cs="Times New Roman"/>
          <w:lang w:val="en-US"/>
        </w:rPr>
        <w:t>Because contemporary securities manipulation and fraud are often transnational and extend across provincial and national borde</w:t>
      </w:r>
      <w:r w:rsidRPr="00453883">
        <w:rPr>
          <w:rFonts w:cs="Times New Roman"/>
        </w:rPr>
        <w:t>rs, courts and tribunals must take a flexible and purposive approach when applying the principles of order and fairness in the securities context. In our view, it is consistent with the principles of order and fairness for the FMAT to have jurisdiction over the appellants.</w:t>
      </w:r>
    </w:p>
    <w:p w14:paraId="159B8EAA" w14:textId="77777777" w:rsidR="00453883" w:rsidRPr="00453883" w:rsidRDefault="00453883" w:rsidP="00453883">
      <w:pPr>
        <w:pStyle w:val="Title3LevelTitre3Niveau"/>
        <w:numPr>
          <w:ilvl w:val="2"/>
          <w:numId w:val="8"/>
        </w:numPr>
        <w:jc w:val="both"/>
        <w:rPr>
          <w:rFonts w:cs="Times New Roman"/>
          <w:lang w:val="en-US"/>
        </w:rPr>
      </w:pPr>
      <w:r w:rsidRPr="00453883">
        <w:rPr>
          <w:rFonts w:cs="Times New Roman"/>
          <w:lang w:val="en-US"/>
        </w:rPr>
        <w:t>The FMAT’s Adjudicatory Jurisdiction Flows From the Province’s Prescriptive Legislative Jurisdiction</w:t>
      </w:r>
    </w:p>
    <w:p w14:paraId="0BBCD705" w14:textId="77777777" w:rsidR="00453883" w:rsidRPr="00453883" w:rsidRDefault="00453883" w:rsidP="00453883">
      <w:pPr>
        <w:pStyle w:val="ParaNoNdepar-AltN"/>
        <w:rPr>
          <w:rFonts w:cs="Times New Roman"/>
          <w:lang w:val="en-US"/>
        </w:rPr>
      </w:pPr>
      <w:r w:rsidRPr="00453883">
        <w:rPr>
          <w:rFonts w:cs="Times New Roman"/>
        </w:rPr>
        <w:t>In closing, it bears noting that while prescriptive legislative jurisdiction and adjudicatory jurisdiction are distinct concepts (</w:t>
      </w:r>
      <w:r w:rsidRPr="00453883">
        <w:rPr>
          <w:rFonts w:cs="Times New Roman"/>
          <w:i/>
        </w:rPr>
        <w:t>Unifund</w:t>
      </w:r>
      <w:r w:rsidRPr="00453883">
        <w:rPr>
          <w:rFonts w:cs="Times New Roman"/>
        </w:rPr>
        <w:t xml:space="preserve">, at para. 58), in this case the FMAT’s adjudicatory jurisdiction flows from the province’s prescriptive legislative jurisdiction. Section 93 of the </w:t>
      </w:r>
      <w:r w:rsidRPr="00453883">
        <w:rPr>
          <w:rFonts w:cs="Times New Roman"/>
          <w:i/>
        </w:rPr>
        <w:t>Act respecting the Autorité des marchés financiers</w:t>
      </w:r>
      <w:r w:rsidRPr="00453883">
        <w:rPr>
          <w:rFonts w:cs="Times New Roman"/>
        </w:rPr>
        <w:t xml:space="preserve"> stipulates that the FMAT shall exercise jurisdiction under the </w:t>
      </w:r>
      <w:r w:rsidRPr="00453883">
        <w:rPr>
          <w:rFonts w:cs="Times New Roman"/>
          <w:i/>
        </w:rPr>
        <w:t>Securities Act</w:t>
      </w:r>
      <w:r w:rsidRPr="00453883">
        <w:rPr>
          <w:rFonts w:cs="Times New Roman"/>
        </w:rPr>
        <w:t xml:space="preserve">. Since the Quebec legislature has decided that the FMAT shall adjudicate alleged breaches of the </w:t>
      </w:r>
      <w:r w:rsidRPr="00453883">
        <w:rPr>
          <w:rFonts w:cs="Times New Roman"/>
          <w:i/>
        </w:rPr>
        <w:t>Securities Act</w:t>
      </w:r>
      <w:r w:rsidRPr="00453883">
        <w:rPr>
          <w:rFonts w:cs="Times New Roman"/>
        </w:rPr>
        <w:t xml:space="preserve"> and the appellants’ alleged conduct has a real and substantial connection with Quebec, the FMAT necessarily has jurisdiction over the appellants in respect of their alleged contraventions. The special legislation, properly interpreted, thus provides for the FMAT’s adjudicatory jurisdiction. </w:t>
      </w:r>
    </w:p>
    <w:p w14:paraId="66918453" w14:textId="77777777" w:rsidR="00453883" w:rsidRPr="00453883" w:rsidRDefault="00453883" w:rsidP="00453883">
      <w:pPr>
        <w:numPr>
          <w:ilvl w:val="0"/>
          <w:numId w:val="7"/>
        </w:numPr>
        <w:spacing w:before="480" w:after="720"/>
        <w:jc w:val="both"/>
        <w:outlineLvl w:val="0"/>
        <w:rPr>
          <w:u w:val="single"/>
        </w:rPr>
      </w:pPr>
      <w:r w:rsidRPr="00453883">
        <w:rPr>
          <w:u w:val="single"/>
        </w:rPr>
        <w:t>Conclusion</w:t>
      </w:r>
    </w:p>
    <w:p w14:paraId="778E561D" w14:textId="77777777" w:rsidR="00453883" w:rsidRPr="00453883" w:rsidRDefault="00453883" w:rsidP="00453883">
      <w:pPr>
        <w:pStyle w:val="ParaNoNdepar-AltN"/>
        <w:rPr>
          <w:rFonts w:cs="Times New Roman"/>
        </w:rPr>
      </w:pPr>
      <w:r w:rsidRPr="00453883">
        <w:rPr>
          <w:rFonts w:eastAsia="Times New Roman" w:cs="Times New Roman"/>
        </w:rPr>
        <w:t>The jurisdictional rules of the Quebec securities scheme</w:t>
      </w:r>
      <w:r w:rsidRPr="00453883">
        <w:rPr>
          <w:rFonts w:eastAsia="Times New Roman" w:cs="Times New Roman"/>
          <w:i/>
        </w:rPr>
        <w:t xml:space="preserve"> </w:t>
      </w:r>
      <w:r w:rsidRPr="00453883">
        <w:rPr>
          <w:rFonts w:eastAsia="Times New Roman" w:cs="Times New Roman"/>
        </w:rPr>
        <w:t xml:space="preserve">are constitutionally applicable to the out-of-province appellants. These provisions grant the FMAT jurisdiction over the appellants’ alleged contraventions of the </w:t>
      </w:r>
      <w:r w:rsidRPr="00453883">
        <w:rPr>
          <w:rFonts w:eastAsia="Times New Roman" w:cs="Times New Roman"/>
          <w:i/>
        </w:rPr>
        <w:t>Securities Act</w:t>
      </w:r>
      <w:r w:rsidRPr="00453883">
        <w:rPr>
          <w:rFonts w:eastAsia="Times New Roman" w:cs="Times New Roman"/>
        </w:rPr>
        <w:t>. Based on the facts alleged by the AMF, there is a sufficient connection between Quebec and the appellants to justify applying Quebec’s security regulatory scheme to them. As a result, the FMAT correctly concluded that it has jurisdiction over the appellants.</w:t>
      </w:r>
    </w:p>
    <w:p w14:paraId="2A8AA14E" w14:textId="77777777" w:rsidR="00453883" w:rsidRPr="00453883" w:rsidRDefault="00453883" w:rsidP="00453883">
      <w:pPr>
        <w:pStyle w:val="ParaNoNdepar-AltN"/>
        <w:rPr>
          <w:rFonts w:cs="Times New Roman"/>
        </w:rPr>
      </w:pPr>
      <w:r w:rsidRPr="00453883">
        <w:rPr>
          <w:rFonts w:eastAsia="Times New Roman" w:cs="Times New Roman"/>
          <w:szCs w:val="24"/>
          <w:lang w:eastAsia="en-CA"/>
        </w:rPr>
        <w:t>We would dismiss the appeals with costs.</w:t>
      </w:r>
    </w:p>
    <w:p w14:paraId="6FBFD479" w14:textId="77777777" w:rsidR="00453883" w:rsidRPr="00453883" w:rsidRDefault="00453883" w:rsidP="006603E2">
      <w:pPr>
        <w:spacing w:after="480"/>
        <w:ind w:firstLine="1138"/>
        <w:jc w:val="both"/>
        <w:rPr>
          <w:szCs w:val="24"/>
        </w:rPr>
      </w:pPr>
      <w:r w:rsidRPr="00453883">
        <w:rPr>
          <w:szCs w:val="24"/>
        </w:rPr>
        <w:t>English version of the reasons delivered by</w:t>
      </w:r>
    </w:p>
    <w:p w14:paraId="1DCF703D" w14:textId="77777777" w:rsidR="00453883" w:rsidRPr="00453883" w:rsidRDefault="00453883" w:rsidP="00D079EC">
      <w:pPr>
        <w:pStyle w:val="JudgeJuge"/>
        <w:tabs>
          <w:tab w:val="clear" w:pos="1260"/>
          <w:tab w:val="left" w:pos="1134"/>
        </w:tabs>
        <w:spacing w:before="240"/>
      </w:pPr>
      <w:r w:rsidRPr="00453883">
        <w:tab/>
        <w:t xml:space="preserve">Côté J. — </w:t>
      </w:r>
    </w:p>
    <w:p w14:paraId="3A118803" w14:textId="77777777" w:rsidR="00453883" w:rsidRPr="00D079EC" w:rsidRDefault="00453883" w:rsidP="00D079EC">
      <w:pPr>
        <w:pStyle w:val="Title1LevelTitre1Niveau-AltL"/>
        <w:numPr>
          <w:ilvl w:val="0"/>
          <w:numId w:val="37"/>
        </w:numPr>
        <w:spacing w:before="0"/>
        <w:jc w:val="both"/>
        <w:rPr>
          <w:rFonts w:cs="Times New Roman"/>
        </w:rPr>
      </w:pPr>
      <w:r w:rsidRPr="00D079EC">
        <w:rPr>
          <w:rFonts w:cs="Times New Roman"/>
        </w:rPr>
        <w:t>Overview</w:t>
      </w:r>
    </w:p>
    <w:p w14:paraId="4D9BA93D" w14:textId="77777777" w:rsidR="00453883" w:rsidRPr="00453883" w:rsidRDefault="00453883" w:rsidP="00453883">
      <w:pPr>
        <w:pStyle w:val="ParaNoNdepar-AltN"/>
        <w:rPr>
          <w:rFonts w:cs="Times New Roman"/>
        </w:rPr>
      </w:pPr>
      <w:r w:rsidRPr="00453883">
        <w:rPr>
          <w:rFonts w:cs="Times New Roman"/>
          <w:lang w:val="en-US"/>
        </w:rPr>
        <w:t xml:space="preserve">These appeals raise the question of whether the Financial Markets Administrative Tribunal (“FMAT”) has jurisdiction over the appellants, who are domiciled outside Quebec, specifically in the province of British Columbia, either under the rules in Title Three of Book Ten of the </w:t>
      </w:r>
      <w:r w:rsidRPr="00453883">
        <w:rPr>
          <w:rFonts w:cs="Times New Roman"/>
          <w:i/>
          <w:lang w:val="en-US"/>
        </w:rPr>
        <w:t>Civil Code of Québec</w:t>
      </w:r>
      <w:r w:rsidRPr="00453883">
        <w:rPr>
          <w:rFonts w:cs="Times New Roman"/>
          <w:lang w:val="en-US"/>
        </w:rPr>
        <w:t xml:space="preserve"> (“</w:t>
      </w:r>
      <w:r w:rsidRPr="00453883">
        <w:rPr>
          <w:rFonts w:cs="Times New Roman"/>
          <w:i/>
          <w:lang w:val="en-US"/>
        </w:rPr>
        <w:t>C.C.Q.</w:t>
      </w:r>
      <w:r w:rsidRPr="00453883">
        <w:rPr>
          <w:rFonts w:cs="Times New Roman"/>
          <w:lang w:val="en-US"/>
        </w:rPr>
        <w:t xml:space="preserve">”) which relate to the international jurisdiction of Quebec authorities, or on the basis of the “real and substantial connection” test set out in </w:t>
      </w:r>
      <w:r w:rsidRPr="00453883">
        <w:rPr>
          <w:rFonts w:cs="Times New Roman"/>
          <w:i/>
          <w:lang w:val="en-US"/>
        </w:rPr>
        <w:t>Unifund Assurance Co. v. Insurance Corp. of British Columbia</w:t>
      </w:r>
      <w:r w:rsidRPr="00453883">
        <w:rPr>
          <w:rFonts w:cs="Times New Roman"/>
          <w:lang w:val="en-US"/>
        </w:rPr>
        <w:t>, 2003 SCC 40, [2003] 2 S.C.R. 63, at paras. </w:t>
      </w:r>
      <w:r w:rsidRPr="00453883">
        <w:rPr>
          <w:rFonts w:cs="Times New Roman"/>
        </w:rPr>
        <w:t>55</w:t>
      </w:r>
      <w:r w:rsidRPr="00453883">
        <w:rPr>
          <w:rFonts w:cs="Times New Roman"/>
        </w:rPr>
        <w:noBreakHyphen/>
        <w:t>56.</w:t>
      </w:r>
    </w:p>
    <w:p w14:paraId="67B8744E" w14:textId="77777777" w:rsidR="00453883" w:rsidRPr="00453883" w:rsidRDefault="00453883" w:rsidP="00453883">
      <w:pPr>
        <w:pStyle w:val="ParaNoNdepar-AltN"/>
        <w:spacing w:before="0"/>
        <w:rPr>
          <w:rFonts w:cs="Times New Roman"/>
        </w:rPr>
      </w:pPr>
      <w:r w:rsidRPr="00453883">
        <w:rPr>
          <w:rFonts w:cs="Times New Roman"/>
        </w:rPr>
        <w:t xml:space="preserve">According to my colleagues, this case raises an issue regarding the constitutional applicability of the </w:t>
      </w:r>
      <w:r w:rsidRPr="00453883">
        <w:rPr>
          <w:rFonts w:cs="Times New Roman"/>
          <w:i/>
        </w:rPr>
        <w:t>Securities Act</w:t>
      </w:r>
      <w:r w:rsidRPr="00453883">
        <w:rPr>
          <w:rFonts w:cs="Times New Roman"/>
        </w:rPr>
        <w:t>, CQLR, c. V</w:t>
      </w:r>
      <w:r w:rsidRPr="00453883">
        <w:rPr>
          <w:rFonts w:cs="Times New Roman"/>
        </w:rPr>
        <w:noBreakHyphen/>
        <w:t>1.1</w:t>
      </w:r>
      <w:r w:rsidRPr="00453883">
        <w:rPr>
          <w:rFonts w:cs="Times New Roman"/>
          <w:i/>
        </w:rPr>
        <w:t xml:space="preserve"> </w:t>
      </w:r>
      <w:r w:rsidRPr="00453883">
        <w:rPr>
          <w:rFonts w:cs="Times New Roman"/>
        </w:rPr>
        <w:t>(“</w:t>
      </w:r>
      <w:r w:rsidRPr="00453883">
        <w:rPr>
          <w:rFonts w:cs="Times New Roman"/>
          <w:i/>
        </w:rPr>
        <w:t>SA</w:t>
      </w:r>
      <w:r w:rsidRPr="00453883">
        <w:rPr>
          <w:rFonts w:cs="Times New Roman"/>
        </w:rPr>
        <w:t xml:space="preserve">”), which means that the FMAT’s jurisdiction must be assessed on the basis of the sufficient connection test from </w:t>
      </w:r>
      <w:r w:rsidRPr="00453883">
        <w:rPr>
          <w:rFonts w:cs="Times New Roman"/>
          <w:i/>
        </w:rPr>
        <w:t>Unifund</w:t>
      </w:r>
      <w:r w:rsidRPr="00453883">
        <w:rPr>
          <w:rFonts w:cs="Times New Roman"/>
        </w:rPr>
        <w:t xml:space="preserve">. I disagree with that position. In my view, at this stage of the proceedings, the case raises no issue regarding the constitutional applicability of the </w:t>
      </w:r>
      <w:r w:rsidRPr="00453883">
        <w:rPr>
          <w:rFonts w:cs="Times New Roman"/>
          <w:i/>
        </w:rPr>
        <w:t>SA</w:t>
      </w:r>
      <w:r w:rsidRPr="00453883">
        <w:rPr>
          <w:rFonts w:cs="Times New Roman"/>
        </w:rPr>
        <w:t xml:space="preserve"> but rather concerns the FMAT’s adjudicative jurisdiction. Consequently, the limits of the FMAT’s jurisdiction must instead be analyzed in light of the rules of private international law set out in Title Three of Book Ten of the </w:t>
      </w:r>
      <w:r w:rsidRPr="00453883">
        <w:rPr>
          <w:rFonts w:cs="Times New Roman"/>
          <w:i/>
        </w:rPr>
        <w:t>C.C.Q.</w:t>
      </w:r>
    </w:p>
    <w:p w14:paraId="2A52CACD" w14:textId="77777777" w:rsidR="00453883" w:rsidRPr="00453883" w:rsidRDefault="00453883" w:rsidP="00453883">
      <w:pPr>
        <w:pStyle w:val="ParaNoNdepar-AltN"/>
        <w:spacing w:before="0"/>
        <w:rPr>
          <w:rFonts w:cs="Times New Roman"/>
        </w:rPr>
      </w:pPr>
      <w:r w:rsidRPr="00453883">
        <w:rPr>
          <w:rFonts w:cs="Times New Roman"/>
        </w:rPr>
        <w:t>Applying those provisions to this case, I conclude that the appeals should be allowed on the basis that the FMAT does not have adjudicative jurisdiction over the appellants and therefore cannot hear the matter brought before this Court.</w:t>
      </w:r>
    </w:p>
    <w:p w14:paraId="453AD49E" w14:textId="77777777" w:rsidR="00453883" w:rsidRPr="00453883" w:rsidRDefault="00453883" w:rsidP="00453883">
      <w:pPr>
        <w:pStyle w:val="ParaNoNdepar-AltN"/>
        <w:spacing w:before="0"/>
        <w:rPr>
          <w:rFonts w:cs="Times New Roman"/>
        </w:rPr>
      </w:pPr>
      <w:r w:rsidRPr="00453883">
        <w:rPr>
          <w:rFonts w:cs="Times New Roman"/>
        </w:rPr>
        <w:t>I agree with my colleagues that correctness is the applicable standard of review; the only issue is thus whether the FMAT has adjudicative jurisdiction over the appellants, who are domiciled outside Quebec.</w:t>
      </w:r>
    </w:p>
    <w:p w14:paraId="7CFB8970" w14:textId="77777777" w:rsidR="00453883" w:rsidRPr="00453883" w:rsidRDefault="00453883" w:rsidP="00453883">
      <w:pPr>
        <w:pStyle w:val="ParaNoNdepar-AltN"/>
        <w:spacing w:before="0"/>
        <w:rPr>
          <w:rFonts w:cs="Times New Roman"/>
        </w:rPr>
      </w:pPr>
      <w:r w:rsidRPr="00453883">
        <w:rPr>
          <w:rFonts w:cs="Times New Roman"/>
        </w:rPr>
        <w:t xml:space="preserve">My analysis proceeds as follows. First, I summarize the facts and the procedural context of this dispute. Next, I explain the distinction between the constitutional applicability of legislation and the adjudicative jurisdiction of a court or administrative tribunal. Based on this analysis, I show that this dispute relates to the FMAT’s adjudicative jurisdiction, more particularly its territorial component (jurisdiction </w:t>
      </w:r>
      <w:r w:rsidRPr="00453883">
        <w:rPr>
          <w:rFonts w:cs="Times New Roman"/>
          <w:i/>
        </w:rPr>
        <w:t>ratione personae</w:t>
      </w:r>
      <w:r w:rsidRPr="00453883">
        <w:rPr>
          <w:rFonts w:cs="Times New Roman"/>
        </w:rPr>
        <w:t xml:space="preserve">), and consequently that the </w:t>
      </w:r>
      <w:r w:rsidRPr="00453883">
        <w:rPr>
          <w:rFonts w:cs="Times New Roman"/>
          <w:i/>
          <w:iCs/>
        </w:rPr>
        <w:t>C.C.Q.</w:t>
      </w:r>
      <w:r w:rsidRPr="00453883">
        <w:rPr>
          <w:rFonts w:cs="Times New Roman"/>
          <w:iCs/>
        </w:rPr>
        <w:t xml:space="preserve">’s rules on the international jurisdiction of Quebec authorities are applicable. Because there is no provision in the </w:t>
      </w:r>
      <w:r w:rsidRPr="00453883">
        <w:rPr>
          <w:rFonts w:cs="Times New Roman"/>
          <w:i/>
        </w:rPr>
        <w:t>SA</w:t>
      </w:r>
      <w:r w:rsidRPr="00453883">
        <w:rPr>
          <w:rFonts w:cs="Times New Roman"/>
        </w:rPr>
        <w:t xml:space="preserve">, the </w:t>
      </w:r>
      <w:r w:rsidRPr="00453883">
        <w:rPr>
          <w:rFonts w:cs="Times New Roman"/>
          <w:i/>
        </w:rPr>
        <w:t>Act respecting the Autorité des marchés financiers</w:t>
      </w:r>
      <w:r w:rsidRPr="00453883">
        <w:rPr>
          <w:rFonts w:cs="Times New Roman"/>
        </w:rPr>
        <w:t>, CQLR, c. A</w:t>
      </w:r>
      <w:r w:rsidRPr="00453883">
        <w:rPr>
          <w:rFonts w:cs="Times New Roman"/>
        </w:rPr>
        <w:noBreakHyphen/>
        <w:t>33.2 (“</w:t>
      </w:r>
      <w:r w:rsidRPr="00453883">
        <w:rPr>
          <w:rFonts w:cs="Times New Roman"/>
          <w:i/>
        </w:rPr>
        <w:t>AAMF</w:t>
      </w:r>
      <w:r w:rsidRPr="00453883">
        <w:rPr>
          <w:rFonts w:cs="Times New Roman"/>
        </w:rPr>
        <w:t xml:space="preserve">”), or the </w:t>
      </w:r>
      <w:r w:rsidRPr="00453883">
        <w:rPr>
          <w:rFonts w:cs="Times New Roman"/>
          <w:i/>
        </w:rPr>
        <w:t>C.C.Q.</w:t>
      </w:r>
      <w:r w:rsidRPr="001C2DEE">
        <w:rPr>
          <w:rStyle w:val="Hyperlink"/>
          <w:vertAlign w:val="superscript"/>
        </w:rPr>
        <w:footnoteReference w:id="7"/>
      </w:r>
      <w:r w:rsidRPr="00453883">
        <w:rPr>
          <w:rFonts w:cs="Times New Roman"/>
        </w:rPr>
        <w:t xml:space="preserve"> that gives the FMAT adjudicative jurisdiction over the appellants in the specific proceedings brought against them by the Autorité des marchés financiers (“AMF” or “Authority”), I conclude that the appellants’ declinatory exceptions should have been allowed</w:t>
      </w:r>
      <w:r w:rsidRPr="00453883">
        <w:rPr>
          <w:rFonts w:cs="Times New Roman"/>
          <w:szCs w:val="24"/>
        </w:rPr>
        <w:t>.</w:t>
      </w:r>
    </w:p>
    <w:p w14:paraId="58D477EF" w14:textId="77777777" w:rsidR="00453883" w:rsidRPr="00453883" w:rsidRDefault="00453883" w:rsidP="00453883">
      <w:pPr>
        <w:pStyle w:val="Title1LevelTitre1Niveau-AltL"/>
        <w:numPr>
          <w:ilvl w:val="0"/>
          <w:numId w:val="24"/>
        </w:numPr>
        <w:spacing w:before="0"/>
        <w:jc w:val="both"/>
        <w:rPr>
          <w:rFonts w:cs="Times New Roman"/>
        </w:rPr>
      </w:pPr>
      <w:r w:rsidRPr="00453883">
        <w:rPr>
          <w:rFonts w:cs="Times New Roman"/>
        </w:rPr>
        <w:t>Facts and Procedural Context</w:t>
      </w:r>
    </w:p>
    <w:p w14:paraId="6A09FB8A" w14:textId="77777777" w:rsidR="00453883" w:rsidRPr="00453883" w:rsidRDefault="00453883" w:rsidP="00453883">
      <w:pPr>
        <w:pStyle w:val="ParaNoNdepar-AltN"/>
        <w:spacing w:before="0"/>
        <w:rPr>
          <w:rFonts w:cs="Times New Roman"/>
          <w:szCs w:val="24"/>
        </w:rPr>
      </w:pPr>
      <w:r w:rsidRPr="00453883">
        <w:rPr>
          <w:rFonts w:cs="Times New Roman"/>
          <w:szCs w:val="24"/>
        </w:rPr>
        <w:t>On the whole, I agree with my colleagues’ overview of the facts and summary of the decisions below. However, I wish to clarify certain points regarding the procedural context of this dispute.</w:t>
      </w:r>
    </w:p>
    <w:p w14:paraId="1C03D6AB" w14:textId="77777777" w:rsidR="00453883" w:rsidRPr="00453883" w:rsidRDefault="00453883" w:rsidP="00453883">
      <w:pPr>
        <w:pStyle w:val="ParaNoNdepar-AltN"/>
        <w:spacing w:before="0"/>
        <w:rPr>
          <w:rFonts w:cs="Times New Roman"/>
        </w:rPr>
      </w:pPr>
      <w:r w:rsidRPr="00453883">
        <w:rPr>
          <w:rFonts w:cs="Times New Roman"/>
        </w:rPr>
        <w:t>In 2017, the AMF filed an application with the FMAT against a number of defendants, some of whom — the appellants — are residents of British Columbia. In the application, the AMF alleged that the defendants had taken part in what is commonly called a “</w:t>
      </w:r>
      <w:r w:rsidRPr="00453883">
        <w:rPr>
          <w:rFonts w:cs="Times New Roman"/>
          <w:bCs/>
        </w:rPr>
        <w:t>pump and dump scheme” or, in other words, that they had influenced or manipulated the</w:t>
      </w:r>
      <w:r w:rsidRPr="00453883">
        <w:rPr>
          <w:rFonts w:cs="Times New Roman"/>
        </w:rPr>
        <w:t xml:space="preserve"> </w:t>
      </w:r>
      <w:r w:rsidRPr="00453883">
        <w:rPr>
          <w:rFonts w:cs="Times New Roman"/>
          <w:bCs/>
        </w:rPr>
        <w:t xml:space="preserve">market price or value of a security by unfair, improper or fraudulent means and participated in transactions in securities that created an artificial price for a security, in contravention of the </w:t>
      </w:r>
      <w:r w:rsidRPr="00453883">
        <w:rPr>
          <w:rFonts w:cs="Times New Roman"/>
          <w:bCs/>
          <w:i/>
        </w:rPr>
        <w:t>SA</w:t>
      </w:r>
      <w:r w:rsidRPr="00453883">
        <w:rPr>
          <w:rFonts w:cs="Times New Roman"/>
        </w:rPr>
        <w:t xml:space="preserve">. The AMF therefore asked the FMAT to order the defendants to </w:t>
      </w:r>
      <w:r w:rsidRPr="00453883">
        <w:rPr>
          <w:rFonts w:cs="Times New Roman"/>
          <w:szCs w:val="24"/>
        </w:rPr>
        <w:t>cease any activity in respect of a transaction in securities</w:t>
      </w:r>
      <w:r w:rsidRPr="00453883">
        <w:rPr>
          <w:rFonts w:cs="Times New Roman"/>
        </w:rPr>
        <w:t xml:space="preserve">, to prohibit them from acting as directors or officers of an issuer, dealer, adviser or investment fund manager for five years, and to impose administrative penalties on them, in accordance with ss. 195.2, 199.1 para. 1(1), 265, 273.1 and 273.3 </w:t>
      </w:r>
      <w:r w:rsidRPr="00453883">
        <w:rPr>
          <w:rFonts w:cs="Times New Roman"/>
          <w:i/>
        </w:rPr>
        <w:t>SA</w:t>
      </w:r>
      <w:r w:rsidRPr="00453883">
        <w:rPr>
          <w:rFonts w:cs="Times New Roman"/>
        </w:rPr>
        <w:t>.</w:t>
      </w:r>
    </w:p>
    <w:p w14:paraId="5A4F296C" w14:textId="77777777" w:rsidR="00453883" w:rsidRPr="00453883" w:rsidRDefault="00453883" w:rsidP="00453883">
      <w:pPr>
        <w:pStyle w:val="ParaNoNdepar-AltN"/>
        <w:spacing w:before="0"/>
        <w:rPr>
          <w:rFonts w:cs="Times New Roman"/>
        </w:rPr>
      </w:pPr>
      <w:r w:rsidRPr="00453883">
        <w:rPr>
          <w:rFonts w:cs="Times New Roman"/>
        </w:rPr>
        <w:t>In response to the AMF’s application, the appellants filed preliminary exceptions in the form of declinatory exceptions, in which they argued that the FMAT lacked adjudicative jurisdiction over them. The FMAT dismissed the preliminary exceptions and found that it had jurisdiction to hear the matter. The Quebec Superior Court dismissed the applications for judicial review of that decision filed by the appellants, whose subsequent appeals to the Quebec Court of Appeal were unsuccessful.</w:t>
      </w:r>
    </w:p>
    <w:p w14:paraId="29F50321" w14:textId="77777777" w:rsidR="00453883" w:rsidRPr="00453883" w:rsidRDefault="00453883" w:rsidP="00453883">
      <w:pPr>
        <w:pStyle w:val="ParaNoNdepar-AltN"/>
        <w:rPr>
          <w:rStyle w:val="reflex3-block"/>
          <w:rFonts w:cs="Times New Roman"/>
        </w:rPr>
      </w:pPr>
      <w:r w:rsidRPr="00453883">
        <w:rPr>
          <w:rFonts w:cs="Times New Roman"/>
          <w:lang w:val="en-US"/>
        </w:rPr>
        <w:t xml:space="preserve">The appellants’ declinatory exceptions are based on the FMAT’s lack of adjudicative jurisdiction over them. As this Court explained in </w:t>
      </w:r>
      <w:r w:rsidRPr="00453883">
        <w:rPr>
          <w:rFonts w:cs="Times New Roman"/>
          <w:i/>
          <w:lang w:val="en-US"/>
        </w:rPr>
        <w:t>Newfoundland and Labrador (Attorney General) v. Uashaunnuat (Innu of Uashat and of Mani</w:t>
      </w:r>
      <w:r w:rsidRPr="00453883">
        <w:rPr>
          <w:rFonts w:cs="Times New Roman"/>
          <w:i/>
          <w:lang w:val="en-US"/>
        </w:rPr>
        <w:noBreakHyphen/>
        <w:t>Utenam)</w:t>
      </w:r>
      <w:r w:rsidRPr="00453883">
        <w:rPr>
          <w:rFonts w:cs="Times New Roman"/>
          <w:lang w:val="en-US"/>
        </w:rPr>
        <w:t>, 2020 SCC 4, [2020] 1 S.C.R. 15, “[s]uch a declinatory exception must be disposed of on a preliminary basis” (para. </w:t>
      </w:r>
      <w:r w:rsidRPr="00AF6C9B">
        <w:rPr>
          <w:rFonts w:cs="Times New Roman"/>
          <w:lang w:val="fr-CA"/>
        </w:rPr>
        <w:t xml:space="preserve">85, citing A. Rochon, with the collaboration of F. Le Colleter, </w:t>
      </w:r>
      <w:r w:rsidRPr="00AF6C9B">
        <w:rPr>
          <w:rFonts w:cs="Times New Roman"/>
          <w:i/>
          <w:lang w:val="fr-CA"/>
        </w:rPr>
        <w:t>Guide des requêtes devant le juge unique de la Cour d’appel: Procédure et pratique</w:t>
      </w:r>
      <w:r w:rsidRPr="00AF6C9B">
        <w:rPr>
          <w:rFonts w:cs="Times New Roman"/>
          <w:lang w:val="fr-CA"/>
        </w:rPr>
        <w:t xml:space="preserve"> (2013), at p. 77, and </w:t>
      </w:r>
      <w:r w:rsidRPr="00AF6C9B">
        <w:rPr>
          <w:rFonts w:cs="Times New Roman"/>
          <w:i/>
          <w:lang w:val="fr-CA"/>
        </w:rPr>
        <w:t xml:space="preserve">Transax Technologies inc. v. Red Baron Corp. </w:t>
      </w:r>
      <w:r w:rsidRPr="00453883">
        <w:rPr>
          <w:rFonts w:cs="Times New Roman"/>
          <w:i/>
        </w:rPr>
        <w:t>Ltd</w:t>
      </w:r>
      <w:r w:rsidRPr="00453883">
        <w:rPr>
          <w:rFonts w:cs="Times New Roman"/>
        </w:rPr>
        <w:t xml:space="preserve">, 2016 QCCA 1432, at para. 6 (CanLII)). </w:t>
      </w:r>
      <w:r w:rsidRPr="00453883">
        <w:rPr>
          <w:rFonts w:cs="Times New Roman"/>
          <w:lang w:val="en-US"/>
        </w:rPr>
        <w:t xml:space="preserve">Thus, at this </w:t>
      </w:r>
      <w:r w:rsidRPr="00453883">
        <w:rPr>
          <w:rFonts w:cs="Times New Roman"/>
          <w:szCs w:val="24"/>
          <w:lang w:val="en-US"/>
        </w:rPr>
        <w:t>preliminary stage of the proceedings, a court or tribunal “is not to consider the merits of the case, but rather, is to take as averred the facts that are alleged by the plaintiff to bring it within the jurisdictional competence of the Quebec courts” (</w:t>
      </w:r>
      <w:r w:rsidRPr="00453883">
        <w:rPr>
          <w:rFonts w:cs="Times New Roman"/>
          <w:i/>
          <w:lang w:val="en-US"/>
        </w:rPr>
        <w:t>Spar Aerospace Ltd. v. American Mobile Satellite Corp.</w:t>
      </w:r>
      <w:r w:rsidRPr="00453883">
        <w:rPr>
          <w:rFonts w:cs="Times New Roman"/>
          <w:lang w:val="en-US"/>
        </w:rPr>
        <w:t>, 2002 SCC 78, [2002] 4 S.C.R. 205</w:t>
      </w:r>
      <w:r w:rsidRPr="00453883">
        <w:rPr>
          <w:rFonts w:cs="Times New Roman"/>
          <w:szCs w:val="24"/>
          <w:lang w:val="en-US"/>
        </w:rPr>
        <w:t xml:space="preserve">, at para. 31, citing </w:t>
      </w:r>
      <w:r w:rsidRPr="00453883">
        <w:rPr>
          <w:rFonts w:cs="Times New Roman"/>
          <w:i/>
          <w:lang w:val="en-US"/>
        </w:rPr>
        <w:t>Air Canada v. McDonnell Douglas Corp.</w:t>
      </w:r>
      <w:r w:rsidRPr="00453883">
        <w:rPr>
          <w:rFonts w:cs="Times New Roman"/>
          <w:lang w:val="en-US"/>
        </w:rPr>
        <w:t>, [1989] 1 S.C.R. 1554</w:t>
      </w:r>
      <w:r w:rsidRPr="00453883">
        <w:rPr>
          <w:rFonts w:cs="Times New Roman"/>
          <w:szCs w:val="24"/>
          <w:lang w:val="en-US"/>
        </w:rPr>
        <w:t xml:space="preserve">, at p. 1558, and </w:t>
      </w:r>
      <w:r w:rsidRPr="00453883">
        <w:rPr>
          <w:rFonts w:cs="Times New Roman"/>
          <w:i/>
          <w:lang w:val="en-US"/>
        </w:rPr>
        <w:t>Rosdev Investments Inc. v. Allstate Insurance Co. of Canada</w:t>
      </w:r>
      <w:r w:rsidRPr="00453883">
        <w:rPr>
          <w:rFonts w:cs="Times New Roman"/>
          <w:lang w:val="en-US"/>
        </w:rPr>
        <w:t>, [1994] R.J.Q. 2966</w:t>
      </w:r>
      <w:r w:rsidRPr="00453883">
        <w:rPr>
          <w:rFonts w:cs="Times New Roman"/>
          <w:szCs w:val="24"/>
          <w:lang w:val="en-US"/>
        </w:rPr>
        <w:t xml:space="preserve"> (Sup. Ct.), at p. 2968)</w:t>
      </w:r>
      <w:r w:rsidRPr="00453883">
        <w:rPr>
          <w:rStyle w:val="reflex3-block"/>
          <w:rFonts w:cs="Times New Roman"/>
          <w:szCs w:val="24"/>
        </w:rPr>
        <w:t>. It is also important to note that when the international jurisdiction of a Quebec court or tribunal is challenged, the party arguing that the court or tribunal has jurisdiction bears the burden of demonstrating this. And where an action involves more than one defendant, as here, jurisdiction over each of them must be established.</w:t>
      </w:r>
    </w:p>
    <w:p w14:paraId="3785DC3C" w14:textId="77777777" w:rsidR="00453883" w:rsidRPr="00453883" w:rsidRDefault="00453883" w:rsidP="00453883">
      <w:pPr>
        <w:pStyle w:val="ParaNoNdepar-AltN"/>
        <w:spacing w:before="0"/>
        <w:rPr>
          <w:rFonts w:cs="Times New Roman"/>
        </w:rPr>
      </w:pPr>
      <w:r w:rsidRPr="00453883">
        <w:rPr>
          <w:rFonts w:cs="Times New Roman"/>
        </w:rPr>
        <w:t xml:space="preserve">In light of the procedural context of this dispute, the issue is therefore not whether the </w:t>
      </w:r>
      <w:r w:rsidRPr="00453883">
        <w:rPr>
          <w:rFonts w:cs="Times New Roman"/>
          <w:i/>
        </w:rPr>
        <w:t>SA</w:t>
      </w:r>
      <w:r w:rsidRPr="00453883">
        <w:rPr>
          <w:rFonts w:cs="Times New Roman"/>
        </w:rPr>
        <w:t xml:space="preserve"> applies in this case to the merits of the matter but rather whether the FMAT has jurisdiction in the proceedings brought against the appellants. For the reasons I explain more fully below, these appeals must be decided by applying the rules on the international jurisdiction of Quebec authorities found in Title Three of Book Ten of the </w:t>
      </w:r>
      <w:r w:rsidRPr="00453883">
        <w:rPr>
          <w:rFonts w:cs="Times New Roman"/>
          <w:i/>
        </w:rPr>
        <w:t>C.C.Q.</w:t>
      </w:r>
    </w:p>
    <w:p w14:paraId="255EBC12" w14:textId="77777777" w:rsidR="00453883" w:rsidRPr="00453883" w:rsidRDefault="00453883" w:rsidP="00453883">
      <w:pPr>
        <w:pStyle w:val="Title1LevelTitre1Niveau-AltL"/>
        <w:numPr>
          <w:ilvl w:val="0"/>
          <w:numId w:val="24"/>
        </w:numPr>
        <w:spacing w:before="0"/>
        <w:jc w:val="both"/>
        <w:rPr>
          <w:rFonts w:cs="Times New Roman"/>
        </w:rPr>
      </w:pPr>
      <w:r w:rsidRPr="00453883">
        <w:rPr>
          <w:rFonts w:cs="Times New Roman"/>
        </w:rPr>
        <w:t>Analysis</w:t>
      </w:r>
    </w:p>
    <w:p w14:paraId="3E61C2F3" w14:textId="77777777" w:rsidR="00453883" w:rsidRPr="00453883" w:rsidRDefault="00453883" w:rsidP="00453883">
      <w:pPr>
        <w:pStyle w:val="ParaNoNdepar-AltN"/>
        <w:spacing w:before="0"/>
        <w:rPr>
          <w:rFonts w:cs="Times New Roman"/>
        </w:rPr>
      </w:pPr>
      <w:r w:rsidRPr="00453883">
        <w:rPr>
          <w:rFonts w:cs="Times New Roman"/>
        </w:rPr>
        <w:t>To begin my analysis, I think it is appropriate to specify the points on which I agree with my colleagues.</w:t>
      </w:r>
    </w:p>
    <w:p w14:paraId="4780B7E6" w14:textId="77777777" w:rsidR="00453883" w:rsidRPr="00453883" w:rsidRDefault="00453883" w:rsidP="00453883">
      <w:pPr>
        <w:pStyle w:val="ParaNoNdepar-AltN"/>
        <w:spacing w:before="0"/>
        <w:rPr>
          <w:rFonts w:cs="Times New Roman"/>
        </w:rPr>
      </w:pPr>
      <w:r w:rsidRPr="00453883">
        <w:rPr>
          <w:rFonts w:cs="Times New Roman"/>
        </w:rPr>
        <w:t>I have already stated above that I agree with the application of the correctness standard of review. Moreover, it is self</w:t>
      </w:r>
      <w:r w:rsidRPr="00453883">
        <w:rPr>
          <w:rFonts w:cs="Times New Roman"/>
        </w:rPr>
        <w:noBreakHyphen/>
        <w:t xml:space="preserve">evident that because the </w:t>
      </w:r>
      <w:r w:rsidRPr="00453883">
        <w:rPr>
          <w:rFonts w:cs="Times New Roman"/>
          <w:i/>
        </w:rPr>
        <w:t>C.C.Q.</w:t>
      </w:r>
      <w:r w:rsidRPr="00453883">
        <w:rPr>
          <w:rFonts w:cs="Times New Roman"/>
        </w:rPr>
        <w:t xml:space="preserve"> sets out the </w:t>
      </w:r>
      <w:r w:rsidRPr="00453883">
        <w:rPr>
          <w:rFonts w:cs="Times New Roman"/>
          <w:i/>
        </w:rPr>
        <w:t>jus commune</w:t>
      </w:r>
      <w:r w:rsidRPr="00453883">
        <w:rPr>
          <w:rFonts w:cs="Times New Roman"/>
        </w:rPr>
        <w:t xml:space="preserve"> of Quebec, it does not simply lay down a body of private law rules. As its preliminary provision states, the </w:t>
      </w:r>
      <w:r w:rsidRPr="00453883">
        <w:rPr>
          <w:rFonts w:cs="Times New Roman"/>
          <w:i/>
        </w:rPr>
        <w:t>C.C.Q</w:t>
      </w:r>
      <w:r w:rsidRPr="00453883">
        <w:rPr>
          <w:rFonts w:cs="Times New Roman"/>
        </w:rPr>
        <w:t xml:space="preserve">. “is the foundation of all other laws, although other laws may complement the Code or make exceptions to it”. I therefore agree with my colleagues, and with Mainville J.A., that the rules in Title Three of Book Ten of the </w:t>
      </w:r>
      <w:r w:rsidRPr="00453883">
        <w:rPr>
          <w:rFonts w:cs="Times New Roman"/>
          <w:i/>
        </w:rPr>
        <w:t>C.C.Q.</w:t>
      </w:r>
      <w:r w:rsidRPr="00453883">
        <w:rPr>
          <w:rFonts w:cs="Times New Roman"/>
        </w:rPr>
        <w:t xml:space="preserve"> apply to determine the international jurisdiction of Quebec authorities, even the jurisdiction of an administrative tribunal, and that a conflict of jurisdiction or a conflict of laws is not necessary.</w:t>
      </w:r>
    </w:p>
    <w:p w14:paraId="301BC14E" w14:textId="77777777" w:rsidR="00453883" w:rsidRPr="00453883" w:rsidRDefault="00453883" w:rsidP="00453883">
      <w:pPr>
        <w:pStyle w:val="ParaNoNdepar-AltN"/>
        <w:spacing w:before="0"/>
        <w:rPr>
          <w:rFonts w:cs="Times New Roman"/>
        </w:rPr>
      </w:pPr>
      <w:r w:rsidRPr="00453883">
        <w:rPr>
          <w:rFonts w:cs="Times New Roman"/>
        </w:rPr>
        <w:t xml:space="preserve">Like my colleagues, and for the reasons I explain below, I am of the view that arts. 3134, 3136 and 3148 </w:t>
      </w:r>
      <w:r w:rsidRPr="00453883">
        <w:rPr>
          <w:rFonts w:cs="Times New Roman"/>
          <w:i/>
        </w:rPr>
        <w:t>C.C.Q.</w:t>
      </w:r>
      <w:r w:rsidRPr="00453883">
        <w:rPr>
          <w:rFonts w:cs="Times New Roman"/>
        </w:rPr>
        <w:t xml:space="preserve"> do not give the FMAT any jurisdiction over the appellants.</w:t>
      </w:r>
    </w:p>
    <w:p w14:paraId="33D3A381" w14:textId="77777777" w:rsidR="00453883" w:rsidRPr="00453883" w:rsidRDefault="00453883" w:rsidP="00453883">
      <w:pPr>
        <w:pStyle w:val="ParaNoNdepar-AltN"/>
        <w:spacing w:before="0"/>
        <w:rPr>
          <w:rFonts w:cs="Times New Roman"/>
        </w:rPr>
      </w:pPr>
      <w:r w:rsidRPr="00453883">
        <w:rPr>
          <w:rFonts w:cs="Times New Roman"/>
        </w:rPr>
        <w:t xml:space="preserve">I also agree with my colleagues that special laws may make exceptions to or derogate from the rules in the </w:t>
      </w:r>
      <w:r w:rsidRPr="00453883">
        <w:rPr>
          <w:rFonts w:cs="Times New Roman"/>
          <w:i/>
        </w:rPr>
        <w:t>C.C.Q.</w:t>
      </w:r>
      <w:r w:rsidRPr="00453883">
        <w:rPr>
          <w:rFonts w:cs="Times New Roman"/>
        </w:rPr>
        <w:t xml:space="preserve"> My colleagues are of the view, as am I, that neither the </w:t>
      </w:r>
      <w:r w:rsidRPr="00453883">
        <w:rPr>
          <w:rFonts w:cs="Times New Roman"/>
          <w:i/>
        </w:rPr>
        <w:t>SA</w:t>
      </w:r>
      <w:r w:rsidRPr="00453883">
        <w:rPr>
          <w:rFonts w:cs="Times New Roman"/>
        </w:rPr>
        <w:t xml:space="preserve"> nor the </w:t>
      </w:r>
      <w:r w:rsidRPr="00453883">
        <w:rPr>
          <w:rFonts w:cs="Times New Roman"/>
          <w:i/>
        </w:rPr>
        <w:t>AAMF</w:t>
      </w:r>
      <w:r w:rsidRPr="00453883">
        <w:rPr>
          <w:rFonts w:cs="Times New Roman"/>
        </w:rPr>
        <w:t xml:space="preserve">, individually or read together, </w:t>
      </w:r>
      <w:r w:rsidRPr="00453883">
        <w:rPr>
          <w:rFonts w:cs="Times New Roman"/>
          <w:i/>
        </w:rPr>
        <w:t>expressly</w:t>
      </w:r>
      <w:r w:rsidRPr="00453883">
        <w:rPr>
          <w:rFonts w:cs="Times New Roman"/>
        </w:rPr>
        <w:t xml:space="preserve"> derogates from the rules in Title Three of Book Ten of the </w:t>
      </w:r>
      <w:r w:rsidRPr="00453883">
        <w:rPr>
          <w:rFonts w:cs="Times New Roman"/>
          <w:i/>
        </w:rPr>
        <w:t>C.C.Q.</w:t>
      </w:r>
      <w:r w:rsidRPr="00453883">
        <w:rPr>
          <w:rFonts w:cs="Times New Roman"/>
        </w:rPr>
        <w:t xml:space="preserve"> so as to give the FMAT jurisdiction over the appellants, who are domiciled outside Quebec (“neither statute expressly provides for the FMAT to assert jurisdiction over out</w:t>
      </w:r>
      <w:r w:rsidRPr="00453883">
        <w:rPr>
          <w:rFonts w:cs="Times New Roman"/>
        </w:rPr>
        <w:noBreakHyphen/>
        <w:t>of</w:t>
      </w:r>
      <w:r w:rsidRPr="00453883">
        <w:rPr>
          <w:rFonts w:cs="Times New Roman"/>
        </w:rPr>
        <w:noBreakHyphen/>
        <w:t>province parties, or otherwise limits the territorial reach of the Quebec securities scheme over interprovincial or international transactions” (para. 102)).</w:t>
      </w:r>
    </w:p>
    <w:p w14:paraId="5934615B" w14:textId="77777777" w:rsidR="00453883" w:rsidRPr="00453883" w:rsidRDefault="00453883" w:rsidP="00453883">
      <w:pPr>
        <w:pStyle w:val="ParaNoNdepar-AltN"/>
        <w:rPr>
          <w:rFonts w:cs="Times New Roman"/>
        </w:rPr>
      </w:pPr>
      <w:r w:rsidRPr="00453883">
        <w:rPr>
          <w:rFonts w:cs="Times New Roman"/>
          <w:lang w:val="en-US"/>
        </w:rPr>
        <w:t xml:space="preserve">Where I disagree completely with my colleagues is on their conclusion that there is a kind of implicit derogation, which they reach by interpreting the Quebec securities scheme in light of </w:t>
      </w:r>
      <w:r w:rsidRPr="00453883">
        <w:rPr>
          <w:rFonts w:cs="Times New Roman"/>
          <w:i/>
          <w:lang w:val="en-US"/>
        </w:rPr>
        <w:t>Unifund</w:t>
      </w:r>
      <w:r w:rsidRPr="00453883">
        <w:rPr>
          <w:rFonts w:cs="Times New Roman"/>
          <w:lang w:val="en-US"/>
        </w:rPr>
        <w:t xml:space="preserve">. </w:t>
      </w:r>
      <w:r w:rsidRPr="00453883">
        <w:rPr>
          <w:rFonts w:cs="Times New Roman"/>
        </w:rPr>
        <w:t>My colleagues state that “</w:t>
      </w:r>
      <w:r w:rsidRPr="00453883">
        <w:rPr>
          <w:rFonts w:cs="Times New Roman"/>
          <w:lang w:val="en-US"/>
        </w:rPr>
        <w:t xml:space="preserve">while the </w:t>
      </w:r>
      <w:r w:rsidRPr="00453883">
        <w:rPr>
          <w:rFonts w:cs="Times New Roman"/>
          <w:i/>
          <w:lang w:val="en-US"/>
        </w:rPr>
        <w:t>C.C.Q.</w:t>
      </w:r>
      <w:r w:rsidRPr="00453883">
        <w:rPr>
          <w:rFonts w:cs="Times New Roman"/>
          <w:lang w:val="en-US"/>
        </w:rPr>
        <w:t xml:space="preserve"> does not grant the FMAT jurisdiction over the out</w:t>
      </w:r>
      <w:r w:rsidRPr="00453883">
        <w:rPr>
          <w:rFonts w:cs="Times New Roman"/>
          <w:lang w:val="en-US"/>
        </w:rPr>
        <w:noBreakHyphen/>
        <w:t>of</w:t>
      </w:r>
      <w:r w:rsidRPr="00453883">
        <w:rPr>
          <w:rFonts w:cs="Times New Roman"/>
          <w:lang w:val="en-US"/>
        </w:rPr>
        <w:noBreakHyphen/>
        <w:t xml:space="preserve">province appellants in this case, the jurisdictional provisions of the special securities scheme, properly interpreted in light of </w:t>
      </w:r>
      <w:r w:rsidRPr="00453883">
        <w:rPr>
          <w:rFonts w:cs="Times New Roman"/>
          <w:i/>
          <w:lang w:val="en-US"/>
        </w:rPr>
        <w:t>Unifund</w:t>
      </w:r>
      <w:r w:rsidRPr="00453883">
        <w:rPr>
          <w:rFonts w:cs="Times New Roman"/>
          <w:lang w:val="en-US"/>
        </w:rPr>
        <w:t>, do grant jurisdiction because the appellants, and their alleged contraventions, have a sufficient connection to Quebec</w:t>
      </w:r>
      <w:r w:rsidRPr="00453883">
        <w:rPr>
          <w:rFonts w:cs="Times New Roman"/>
        </w:rPr>
        <w:t>” (para. 41).</w:t>
      </w:r>
    </w:p>
    <w:p w14:paraId="4987C390" w14:textId="77777777" w:rsidR="00453883" w:rsidRPr="00453883" w:rsidRDefault="00453883" w:rsidP="00453883">
      <w:pPr>
        <w:pStyle w:val="ParaNoNdepar-AltN"/>
        <w:spacing w:before="0"/>
        <w:rPr>
          <w:rFonts w:cs="Times New Roman"/>
        </w:rPr>
      </w:pPr>
      <w:r w:rsidRPr="00453883">
        <w:rPr>
          <w:rFonts w:cs="Times New Roman"/>
        </w:rPr>
        <w:t xml:space="preserve">I cannot accept that reasoning, because the </w:t>
      </w:r>
      <w:r w:rsidRPr="00453883">
        <w:rPr>
          <w:rFonts w:cs="Times New Roman"/>
          <w:i/>
        </w:rPr>
        <w:t>C.C.Q.</w:t>
      </w:r>
      <w:r w:rsidRPr="00453883">
        <w:rPr>
          <w:rFonts w:cs="Times New Roman"/>
        </w:rPr>
        <w:t xml:space="preserve"> “contains a well</w:t>
      </w:r>
      <w:r w:rsidRPr="00453883">
        <w:rPr>
          <w:rFonts w:cs="Times New Roman"/>
        </w:rPr>
        <w:noBreakHyphen/>
        <w:t>developed set of rules and principles [of private international law]” (</w:t>
      </w:r>
      <w:r w:rsidRPr="00453883">
        <w:rPr>
          <w:rFonts w:cs="Times New Roman"/>
          <w:i/>
        </w:rPr>
        <w:t>Club Resorts Ltd. v. Van Breda</w:t>
      </w:r>
      <w:r w:rsidRPr="00453883">
        <w:rPr>
          <w:rFonts w:cs="Times New Roman"/>
        </w:rPr>
        <w:t xml:space="preserve">, 2012 SCC 17, [2012] 1 S.C.R. 572, at para. 21). In fact, the </w:t>
      </w:r>
      <w:r w:rsidRPr="00453883">
        <w:rPr>
          <w:rFonts w:cs="Times New Roman"/>
          <w:i/>
        </w:rPr>
        <w:t xml:space="preserve">C.C.Q. </w:t>
      </w:r>
      <w:r w:rsidRPr="00453883">
        <w:rPr>
          <w:rFonts w:cs="Times New Roman"/>
        </w:rPr>
        <w:t xml:space="preserve">codifies the “sufficient connection” test (“sufficient connection” and “real and substantial connection” are synonymous). The rules on the international jurisdiction of Quebec authorities (arts. 3134 to 3154 </w:t>
      </w:r>
      <w:r w:rsidRPr="00453883">
        <w:rPr>
          <w:rFonts w:cs="Times New Roman"/>
          <w:i/>
        </w:rPr>
        <w:t>C.C.Q.</w:t>
      </w:r>
      <w:r w:rsidRPr="00453883">
        <w:rPr>
          <w:rFonts w:cs="Times New Roman"/>
        </w:rPr>
        <w:t>) [</w:t>
      </w:r>
      <w:r w:rsidRPr="00453883">
        <w:rPr>
          <w:rFonts w:cs="Times New Roman"/>
          <w:smallCaps/>
        </w:rPr>
        <w:t>translation</w:t>
      </w:r>
      <w:r w:rsidRPr="00453883">
        <w:rPr>
          <w:rFonts w:cs="Times New Roman"/>
        </w:rPr>
        <w:t>] “</w:t>
      </w:r>
      <w:proofErr w:type="gramStart"/>
      <w:r w:rsidRPr="00453883">
        <w:rPr>
          <w:rFonts w:cs="Times New Roman"/>
        </w:rPr>
        <w:t>are</w:t>
      </w:r>
      <w:proofErr w:type="gramEnd"/>
      <w:r w:rsidRPr="00453883">
        <w:rPr>
          <w:rFonts w:cs="Times New Roman"/>
        </w:rPr>
        <w:t xml:space="preserve"> substantive rules for determining whether Quebec courts or tribunals have jurisdiction to hear a dispute . . . . [These] </w:t>
      </w:r>
      <w:proofErr w:type="gramStart"/>
      <w:r w:rsidRPr="00453883">
        <w:rPr>
          <w:rFonts w:cs="Times New Roman"/>
        </w:rPr>
        <w:t>rules .</w:t>
      </w:r>
      <w:proofErr w:type="gramEnd"/>
      <w:r w:rsidRPr="00453883">
        <w:rPr>
          <w:rFonts w:cs="Times New Roman"/>
        </w:rPr>
        <w:t> . . are intended to ensure that there are connections between Quebec and the dispute submitted that are considered sufficient” (P. Ferland and G. Laganière, “Le droit international privé”, in Collection de droit de l’École du Barreau du Québec 2023</w:t>
      </w:r>
      <w:r w:rsidRPr="00453883">
        <w:rPr>
          <w:rFonts w:cs="Times New Roman"/>
        </w:rPr>
        <w:noBreakHyphen/>
        <w:t xml:space="preserve">2024, vol. 7, </w:t>
      </w:r>
      <w:r w:rsidRPr="00453883">
        <w:rPr>
          <w:rFonts w:cs="Times New Roman"/>
          <w:i/>
        </w:rPr>
        <w:t>Contrats, sûretés, publicité des droits et droit international privé</w:t>
      </w:r>
      <w:r w:rsidRPr="00453883">
        <w:rPr>
          <w:rFonts w:cs="Times New Roman"/>
        </w:rPr>
        <w:t xml:space="preserve"> (2023), 271, at p. 303). If no special law makes exceptions to or derogates from the set of rules in Book Ten of the </w:t>
      </w:r>
      <w:r w:rsidRPr="00453883">
        <w:rPr>
          <w:rFonts w:cs="Times New Roman"/>
          <w:i/>
        </w:rPr>
        <w:t>C.C.Q.</w:t>
      </w:r>
      <w:r w:rsidRPr="00453883">
        <w:rPr>
          <w:rFonts w:cs="Times New Roman"/>
        </w:rPr>
        <w:t>, the FMAT has no jurisdiction over the appellants, who are domiciled outside Quebec.</w:t>
      </w:r>
    </w:p>
    <w:p w14:paraId="78664D8A" w14:textId="77777777" w:rsidR="00453883" w:rsidRPr="00453883" w:rsidRDefault="00453883" w:rsidP="00453883">
      <w:pPr>
        <w:pStyle w:val="ParaNoNdepar-AltN"/>
        <w:spacing w:before="0"/>
        <w:rPr>
          <w:rFonts w:cs="Times New Roman"/>
        </w:rPr>
      </w:pPr>
      <w:r w:rsidRPr="00453883">
        <w:rPr>
          <w:rFonts w:cs="Times New Roman"/>
        </w:rPr>
        <w:t xml:space="preserve">After finding that neither Book Ten of the </w:t>
      </w:r>
      <w:r w:rsidRPr="00453883">
        <w:rPr>
          <w:rFonts w:cs="Times New Roman"/>
          <w:i/>
        </w:rPr>
        <w:t>C.C.Q.</w:t>
      </w:r>
      <w:r w:rsidRPr="00453883">
        <w:rPr>
          <w:rFonts w:cs="Times New Roman"/>
        </w:rPr>
        <w:t xml:space="preserve"> nor the Quebec securities scheme expressly confers territorial jurisdiction on the FMAT, my colleagues continue their analysis by interpreting the securities scheme in light of </w:t>
      </w:r>
      <w:r w:rsidRPr="00453883">
        <w:rPr>
          <w:rFonts w:cs="Times New Roman"/>
          <w:i/>
        </w:rPr>
        <w:t>Unifund</w:t>
      </w:r>
      <w:r w:rsidRPr="00453883">
        <w:rPr>
          <w:rFonts w:cs="Times New Roman"/>
        </w:rPr>
        <w:t xml:space="preserve">. I disagree with that approach. </w:t>
      </w:r>
      <w:r w:rsidRPr="00453883">
        <w:rPr>
          <w:rFonts w:cs="Times New Roman"/>
          <w:i/>
        </w:rPr>
        <w:t>Unifund</w:t>
      </w:r>
      <w:r w:rsidRPr="00453883">
        <w:rPr>
          <w:rFonts w:cs="Times New Roman"/>
        </w:rPr>
        <w:t xml:space="preserve"> cannot serve as a safety net where the </w:t>
      </w:r>
      <w:r w:rsidRPr="00453883">
        <w:rPr>
          <w:rFonts w:cs="Times New Roman"/>
          <w:i/>
        </w:rPr>
        <w:t>C.C.Q.</w:t>
      </w:r>
      <w:r w:rsidRPr="00453883">
        <w:rPr>
          <w:rFonts w:cs="Times New Roman"/>
        </w:rPr>
        <w:t xml:space="preserve"> does not establish the territorial jurisdiction of a court or tribunal and the legislature has not otherwise conferred territorial jurisdiction on it through special legislation. In short, when there is no </w:t>
      </w:r>
      <w:proofErr w:type="gramStart"/>
      <w:r w:rsidRPr="00453883">
        <w:rPr>
          <w:rFonts w:cs="Times New Roman"/>
        </w:rPr>
        <w:t>jurisdiction, that</w:t>
      </w:r>
      <w:proofErr w:type="gramEnd"/>
      <w:r w:rsidRPr="00453883">
        <w:rPr>
          <w:rFonts w:cs="Times New Roman"/>
        </w:rPr>
        <w:t xml:space="preserve"> must be the end of the analysis. This means that recourse should not be had to </w:t>
      </w:r>
      <w:r w:rsidRPr="00453883">
        <w:rPr>
          <w:rFonts w:cs="Times New Roman"/>
          <w:i/>
        </w:rPr>
        <w:t>Unifund</w:t>
      </w:r>
      <w:r w:rsidRPr="00453883">
        <w:rPr>
          <w:rFonts w:cs="Times New Roman"/>
        </w:rPr>
        <w:t xml:space="preserve">, which concerns an entirely different situation. </w:t>
      </w:r>
      <w:r w:rsidRPr="00453883">
        <w:rPr>
          <w:rFonts w:cs="Times New Roman"/>
          <w:i/>
        </w:rPr>
        <w:t>Unifund</w:t>
      </w:r>
      <w:r w:rsidRPr="00453883">
        <w:rPr>
          <w:rFonts w:cs="Times New Roman"/>
        </w:rPr>
        <w:t xml:space="preserve"> applies once it is established that a court or tribunal has jurisdiction to deal with a matter. For example, if the AMF had invoked art. 3136 </w:t>
      </w:r>
      <w:r w:rsidRPr="00453883">
        <w:rPr>
          <w:rFonts w:cs="Times New Roman"/>
          <w:i/>
        </w:rPr>
        <w:t>C.C.Q.</w:t>
      </w:r>
      <w:r w:rsidRPr="00453883">
        <w:rPr>
          <w:rFonts w:cs="Times New Roman"/>
        </w:rPr>
        <w:t xml:space="preserve"> and thereby established the jurisdiction of the FMAT as a [</w:t>
      </w:r>
      <w:r w:rsidRPr="00453883">
        <w:rPr>
          <w:rFonts w:cs="Times New Roman"/>
          <w:smallCaps/>
        </w:rPr>
        <w:t>translation</w:t>
      </w:r>
      <w:r w:rsidRPr="00453883">
        <w:rPr>
          <w:rFonts w:cs="Times New Roman"/>
        </w:rPr>
        <w:t>] “forum of necessity” (</w:t>
      </w:r>
      <w:r w:rsidRPr="00453883">
        <w:rPr>
          <w:rFonts w:cs="Times New Roman"/>
          <w:i/>
        </w:rPr>
        <w:t>Lamborghini (Canada) Inc. v. Automobili Lamborghini S.P.A.</w:t>
      </w:r>
      <w:r w:rsidRPr="00453883">
        <w:rPr>
          <w:rFonts w:cs="Times New Roman"/>
        </w:rPr>
        <w:t xml:space="preserve">, [1997] R.J.Q. 58 (C.A.), at p. 68, quoting </w:t>
      </w:r>
      <w:r w:rsidRPr="00453883">
        <w:rPr>
          <w:rStyle w:val="ui-provider"/>
          <w:rFonts w:cs="Times New Roman"/>
        </w:rPr>
        <w:t xml:space="preserve">H. P. Glenn, “Droit international privé”, in </w:t>
      </w:r>
      <w:r w:rsidRPr="00453883">
        <w:rPr>
          <w:rStyle w:val="ui-provider"/>
          <w:rFonts w:cs="Times New Roman"/>
          <w:i/>
        </w:rPr>
        <w:t>La réforme du Code civil</w:t>
      </w:r>
      <w:r w:rsidRPr="00453883">
        <w:rPr>
          <w:rStyle w:val="ui-provider"/>
          <w:rFonts w:cs="Times New Roman"/>
        </w:rPr>
        <w:t xml:space="preserve">, vol. 3, </w:t>
      </w:r>
      <w:r w:rsidRPr="00453883">
        <w:rPr>
          <w:rStyle w:val="ui-provider"/>
          <w:rFonts w:cs="Times New Roman"/>
          <w:i/>
        </w:rPr>
        <w:t>Priorités et hypothèques, preuve et prescription, publicité des droits, droit international privé, dispositions transitoires</w:t>
      </w:r>
      <w:r w:rsidRPr="00453883">
        <w:rPr>
          <w:rStyle w:val="ui-provider"/>
          <w:rFonts w:cs="Times New Roman"/>
        </w:rPr>
        <w:t xml:space="preserve"> (1993), 669, at p. 745</w:t>
      </w:r>
      <w:r w:rsidRPr="00453883">
        <w:rPr>
          <w:rFonts w:cs="Times New Roman"/>
        </w:rPr>
        <w:t xml:space="preserve">), </w:t>
      </w:r>
      <w:r w:rsidRPr="00453883">
        <w:rPr>
          <w:rFonts w:cs="Times New Roman"/>
          <w:i/>
        </w:rPr>
        <w:t>Unifund</w:t>
      </w:r>
      <w:r w:rsidRPr="00453883">
        <w:rPr>
          <w:rFonts w:cs="Times New Roman"/>
        </w:rPr>
        <w:t xml:space="preserve"> could be relied on to determine the applicability of the </w:t>
      </w:r>
      <w:r w:rsidRPr="00453883">
        <w:rPr>
          <w:rFonts w:cs="Times New Roman"/>
          <w:i/>
        </w:rPr>
        <w:t>SA</w:t>
      </w:r>
      <w:r w:rsidRPr="00453883">
        <w:rPr>
          <w:rFonts w:cs="Times New Roman"/>
        </w:rPr>
        <w:t xml:space="preserve"> and the </w:t>
      </w:r>
      <w:r w:rsidRPr="00453883">
        <w:rPr>
          <w:rFonts w:cs="Times New Roman"/>
          <w:i/>
        </w:rPr>
        <w:t>AAMF</w:t>
      </w:r>
      <w:r w:rsidRPr="00453883">
        <w:rPr>
          <w:rFonts w:cs="Times New Roman"/>
        </w:rPr>
        <w:t xml:space="preserve"> to the appellants, who are domiciled outside Quebec.</w:t>
      </w:r>
    </w:p>
    <w:p w14:paraId="07B9AC5C" w14:textId="77777777" w:rsidR="00453883" w:rsidRPr="00453883" w:rsidRDefault="00453883" w:rsidP="00453883">
      <w:pPr>
        <w:pStyle w:val="ParaNoNdepar-AltN"/>
        <w:spacing w:before="0"/>
        <w:rPr>
          <w:rFonts w:cs="Times New Roman"/>
        </w:rPr>
      </w:pPr>
      <w:r w:rsidRPr="00453883">
        <w:rPr>
          <w:rFonts w:cs="Times New Roman"/>
          <w:i/>
        </w:rPr>
        <w:t>Unifund</w:t>
      </w:r>
      <w:r w:rsidRPr="00453883">
        <w:rPr>
          <w:rFonts w:cs="Times New Roman"/>
        </w:rPr>
        <w:t xml:space="preserve"> cannot give the provisions of the </w:t>
      </w:r>
      <w:r w:rsidRPr="00453883">
        <w:rPr>
          <w:rFonts w:cs="Times New Roman"/>
          <w:i/>
        </w:rPr>
        <w:t>SA</w:t>
      </w:r>
      <w:r w:rsidRPr="00453883">
        <w:rPr>
          <w:rFonts w:cs="Times New Roman"/>
        </w:rPr>
        <w:t xml:space="preserve"> and the </w:t>
      </w:r>
      <w:r w:rsidRPr="00453883">
        <w:rPr>
          <w:rFonts w:cs="Times New Roman"/>
          <w:i/>
        </w:rPr>
        <w:t>AAMF</w:t>
      </w:r>
      <w:r w:rsidRPr="00453883">
        <w:rPr>
          <w:rFonts w:cs="Times New Roman"/>
        </w:rPr>
        <w:t xml:space="preserve"> an effect they do not have on their own; in other words, it cannot give the FMAT territorial jurisdiction over the appellants, who are domiciled outside Quebec, in a manner that derogates from the well</w:t>
      </w:r>
      <w:r w:rsidRPr="00453883">
        <w:rPr>
          <w:rFonts w:cs="Times New Roman"/>
        </w:rPr>
        <w:noBreakHyphen/>
        <w:t xml:space="preserve">developed set of rules in the </w:t>
      </w:r>
      <w:r w:rsidRPr="00453883">
        <w:rPr>
          <w:rFonts w:cs="Times New Roman"/>
          <w:i/>
        </w:rPr>
        <w:t>C.C.Q.</w:t>
      </w:r>
      <w:r w:rsidRPr="00453883">
        <w:rPr>
          <w:rFonts w:cs="Times New Roman"/>
        </w:rPr>
        <w:t xml:space="preserve"> I therefore do not agree with my colleagues that </w:t>
      </w:r>
      <w:r w:rsidRPr="00453883">
        <w:rPr>
          <w:rFonts w:cs="Times New Roman"/>
          <w:i/>
        </w:rPr>
        <w:t>Unifund</w:t>
      </w:r>
      <w:r w:rsidRPr="00453883">
        <w:rPr>
          <w:rFonts w:cs="Times New Roman"/>
        </w:rPr>
        <w:t xml:space="preserve"> supports the conclusion that the FMAT has jurisdiction to decide this matter. I explain my thinking in detail in the reasons that follow.</w:t>
      </w:r>
    </w:p>
    <w:p w14:paraId="7915F765" w14:textId="77777777" w:rsidR="00453883" w:rsidRPr="00453883" w:rsidRDefault="00453883" w:rsidP="00453883">
      <w:pPr>
        <w:pStyle w:val="Title2LevelTitre2Niveau"/>
        <w:numPr>
          <w:ilvl w:val="1"/>
          <w:numId w:val="24"/>
        </w:numPr>
        <w:spacing w:before="0"/>
        <w:jc w:val="both"/>
        <w:rPr>
          <w:rFonts w:cs="Times New Roman"/>
        </w:rPr>
      </w:pPr>
      <w:r w:rsidRPr="00453883">
        <w:rPr>
          <w:rFonts w:cs="Times New Roman"/>
        </w:rPr>
        <w:t>Distinction Between the Constitutional Applicability of Legislation and the Adjudicative Jurisdiction of a Court or Tribunal</w:t>
      </w:r>
    </w:p>
    <w:p w14:paraId="5AC0E3D0" w14:textId="77777777" w:rsidR="00453883" w:rsidRPr="00453883" w:rsidRDefault="00453883" w:rsidP="00453883">
      <w:pPr>
        <w:pStyle w:val="ParaNoNdepar-AltN"/>
        <w:spacing w:before="0"/>
        <w:rPr>
          <w:rFonts w:cs="Times New Roman"/>
        </w:rPr>
      </w:pPr>
      <w:r w:rsidRPr="00453883">
        <w:rPr>
          <w:rFonts w:cs="Times New Roman"/>
        </w:rPr>
        <w:t xml:space="preserve">With respect, my colleagues’ approach conflates the concepts of adjudicative jurisdiction of a court or tribunal and constitutional applicability of legislation, as they deal interchangeably with the constitutional applicability of the </w:t>
      </w:r>
      <w:r w:rsidRPr="00453883">
        <w:rPr>
          <w:rFonts w:cs="Times New Roman"/>
          <w:i/>
        </w:rPr>
        <w:t>SA</w:t>
      </w:r>
      <w:r w:rsidRPr="00453883">
        <w:rPr>
          <w:rFonts w:cs="Times New Roman"/>
        </w:rPr>
        <w:t xml:space="preserve"> under the </w:t>
      </w:r>
      <w:r w:rsidRPr="00453883">
        <w:rPr>
          <w:rFonts w:cs="Times New Roman"/>
          <w:i/>
        </w:rPr>
        <w:t xml:space="preserve">Unifund </w:t>
      </w:r>
      <w:r w:rsidRPr="00453883">
        <w:rPr>
          <w:rFonts w:cs="Times New Roman"/>
        </w:rPr>
        <w:t xml:space="preserve">framework and the FMAT’s jurisdiction under the rules of private international law. Just like the majority of the Court of Appeal, my colleagues shift from a private international law analysis into an analysis of the </w:t>
      </w:r>
      <w:r w:rsidRPr="00453883">
        <w:rPr>
          <w:rFonts w:cs="Times New Roman"/>
          <w:i/>
        </w:rPr>
        <w:t>SA</w:t>
      </w:r>
      <w:r w:rsidRPr="00453883">
        <w:rPr>
          <w:rFonts w:cs="Times New Roman"/>
        </w:rPr>
        <w:t>’s constitutional applicability to foreign residents, thereby modifying the true question put before and answered by the FMAT.</w:t>
      </w:r>
    </w:p>
    <w:p w14:paraId="34F081CC" w14:textId="77777777" w:rsidR="00453883" w:rsidRPr="00453883" w:rsidRDefault="00453883" w:rsidP="00453883">
      <w:pPr>
        <w:pStyle w:val="ParaNoNdepar-AltN"/>
        <w:spacing w:before="0"/>
        <w:rPr>
          <w:rFonts w:cs="Times New Roman"/>
        </w:rPr>
      </w:pPr>
      <w:r w:rsidRPr="00453883">
        <w:rPr>
          <w:rFonts w:cs="Times New Roman"/>
        </w:rPr>
        <w:t>It will therefore be helpful to briefly explain the difference between the constitutional applicability of legislation and the adjudicative jurisdiction of a court or tribunal. Both concepts involve the existence of a real and substantial connection.</w:t>
      </w:r>
      <w:r w:rsidRPr="00453883">
        <w:rPr>
          <w:rStyle w:val="ui-provider"/>
          <w:rFonts w:cs="Times New Roman"/>
        </w:rPr>
        <w:t xml:space="preserve"> In the constitutional context, the real and substantial connection test affirms “the constitutionally imposed territorial limits that underlie the requirement of legitimacy in the exercise of the state’s power of adjudication</w:t>
      </w:r>
      <w:r w:rsidRPr="00453883">
        <w:rPr>
          <w:rFonts w:cs="Times New Roman"/>
        </w:rPr>
        <w:t xml:space="preserve">” </w:t>
      </w:r>
      <w:r w:rsidRPr="00453883">
        <w:rPr>
          <w:rStyle w:val="ui-provider"/>
          <w:rFonts w:cs="Times New Roman"/>
        </w:rPr>
        <w:t>(</w:t>
      </w:r>
      <w:r w:rsidRPr="00453883">
        <w:rPr>
          <w:rStyle w:val="ui-provider"/>
          <w:rFonts w:cs="Times New Roman"/>
          <w:i/>
        </w:rPr>
        <w:t>Van Breda</w:t>
      </w:r>
      <w:r w:rsidRPr="00453883">
        <w:rPr>
          <w:rStyle w:val="ui-provider"/>
          <w:rFonts w:cs="Times New Roman"/>
        </w:rPr>
        <w:t>,</w:t>
      </w:r>
      <w:r w:rsidRPr="00453883">
        <w:rPr>
          <w:rFonts w:cs="Times New Roman"/>
        </w:rPr>
        <w:t xml:space="preserve"> at </w:t>
      </w:r>
      <w:r w:rsidRPr="00453883">
        <w:rPr>
          <w:rStyle w:val="ui-provider"/>
          <w:rFonts w:cs="Times New Roman"/>
        </w:rPr>
        <w:t xml:space="preserve">para. 32). In </w:t>
      </w:r>
      <w:r w:rsidRPr="00453883">
        <w:rPr>
          <w:rStyle w:val="ui-provider"/>
          <w:rFonts w:cs="Times New Roman"/>
          <w:i/>
        </w:rPr>
        <w:t>Unifund</w:t>
      </w:r>
      <w:r w:rsidRPr="00453883">
        <w:rPr>
          <w:rStyle w:val="ui-provider"/>
          <w:rFonts w:cs="Times New Roman"/>
        </w:rPr>
        <w:t xml:space="preserve">, where it had to determine </w:t>
      </w:r>
      <w:r w:rsidRPr="00453883">
        <w:rPr>
          <w:rFonts w:cs="Times New Roman"/>
        </w:rPr>
        <w:t xml:space="preserve">whether an Ontario company had a viable cause of action against a British Columbia insurance company under the </w:t>
      </w:r>
      <w:r w:rsidRPr="00453883">
        <w:rPr>
          <w:rFonts w:cs="Times New Roman"/>
          <w:i/>
        </w:rPr>
        <w:t>Insurance Act</w:t>
      </w:r>
      <w:r w:rsidRPr="00453883">
        <w:rPr>
          <w:rFonts w:cs="Times New Roman"/>
        </w:rPr>
        <w:t>, R.S.O. 1990, c. I.8, this Court summarized this test from its constitutional standpoint as follows:</w:t>
      </w:r>
    </w:p>
    <w:p w14:paraId="09B043C8" w14:textId="77777777" w:rsidR="00453883" w:rsidRPr="00453883" w:rsidRDefault="00453883" w:rsidP="00453883">
      <w:pPr>
        <w:pStyle w:val="Citation-AltC"/>
        <w:tabs>
          <w:tab w:val="left" w:pos="1710"/>
        </w:tabs>
        <w:spacing w:after="240"/>
        <w:ind w:left="1440"/>
        <w:contextualSpacing w:val="0"/>
      </w:pPr>
      <w:r w:rsidRPr="00453883">
        <w:tab/>
        <w:t>Consideration of constitutional applicability can conveniently be organized around the following propositions:</w:t>
      </w:r>
    </w:p>
    <w:p w14:paraId="4A250CDF" w14:textId="77777777" w:rsidR="00453883" w:rsidRPr="00453883" w:rsidRDefault="00453883" w:rsidP="00453883">
      <w:pPr>
        <w:pStyle w:val="Citation-AltC"/>
        <w:spacing w:after="240"/>
        <w:ind w:left="1440"/>
        <w:contextualSpacing w:val="0"/>
        <w:rPr>
          <w:lang w:eastAsia="en-US"/>
        </w:rPr>
      </w:pPr>
      <w:r w:rsidRPr="00453883">
        <w:rPr>
          <w:lang w:eastAsia="en-US"/>
        </w:rPr>
        <w:t>1. The territorial limits on the scope of provincial legislative authority prevent the application of the law of a province to matters not sufficiently connected to it;</w:t>
      </w:r>
    </w:p>
    <w:p w14:paraId="0A6BB037" w14:textId="77777777" w:rsidR="00453883" w:rsidRPr="00453883" w:rsidRDefault="00453883" w:rsidP="00453883">
      <w:pPr>
        <w:pStyle w:val="Citation-AltC"/>
        <w:spacing w:after="240"/>
        <w:ind w:left="1440"/>
        <w:contextualSpacing w:val="0"/>
        <w:rPr>
          <w:lang w:eastAsia="en-US"/>
        </w:rPr>
      </w:pPr>
      <w:r w:rsidRPr="00453883">
        <w:rPr>
          <w:lang w:eastAsia="en-US"/>
        </w:rPr>
        <w:t>2. What constitutes a “sufficient” connection depends on the relationship among the enacting jurisdiction, the subject matter of the legislation and the individual or entity sought to be regulated by it;</w:t>
      </w:r>
    </w:p>
    <w:p w14:paraId="6053E25B" w14:textId="77777777" w:rsidR="00453883" w:rsidRPr="00453883" w:rsidRDefault="00453883" w:rsidP="00453883">
      <w:pPr>
        <w:pStyle w:val="Citation-AltC"/>
        <w:spacing w:after="240"/>
        <w:ind w:left="1440"/>
        <w:contextualSpacing w:val="0"/>
        <w:rPr>
          <w:lang w:eastAsia="en-US"/>
        </w:rPr>
      </w:pPr>
      <w:r w:rsidRPr="00453883">
        <w:rPr>
          <w:lang w:eastAsia="en-US"/>
        </w:rPr>
        <w:t>3. The applicability of an otherwise competent provincial legislation to out</w:t>
      </w:r>
      <w:r w:rsidRPr="00453883">
        <w:rPr>
          <w:lang w:eastAsia="en-US"/>
        </w:rPr>
        <w:noBreakHyphen/>
        <w:t>of</w:t>
      </w:r>
      <w:r w:rsidRPr="00453883">
        <w:rPr>
          <w:lang w:eastAsia="en-US"/>
        </w:rPr>
        <w:noBreakHyphen/>
        <w:t>province defendants is conditioned by the requirements of order and fairness that underlie our federal arrangements;</w:t>
      </w:r>
    </w:p>
    <w:p w14:paraId="0D1F95A1" w14:textId="77777777" w:rsidR="00453883" w:rsidRPr="00453883" w:rsidRDefault="00453883" w:rsidP="00453883">
      <w:pPr>
        <w:pStyle w:val="Citation-AltC"/>
        <w:ind w:left="1440"/>
        <w:contextualSpacing w:val="0"/>
        <w:rPr>
          <w:lang w:eastAsia="en-US"/>
        </w:rPr>
      </w:pPr>
      <w:r w:rsidRPr="00453883">
        <w:rPr>
          <w:lang w:eastAsia="en-US"/>
        </w:rPr>
        <w:t>4. The principles of order and fairness, being purposive, are applied flexibly according to the subject matter of the legislation. [Emphasis deleted; para. 56.]</w:t>
      </w:r>
    </w:p>
    <w:p w14:paraId="0FBBE96E" w14:textId="77777777" w:rsidR="00453883" w:rsidRPr="00453883" w:rsidRDefault="00453883" w:rsidP="00453883">
      <w:pPr>
        <w:pStyle w:val="ParaNoNdepar-AltN"/>
        <w:spacing w:before="0"/>
        <w:rPr>
          <w:rFonts w:cs="Times New Roman"/>
        </w:rPr>
      </w:pPr>
      <w:r w:rsidRPr="00453883">
        <w:rPr>
          <w:rFonts w:cs="Times New Roman"/>
        </w:rPr>
        <w:t>Thus, the applicability of provincial legislation to a defendant domiciled outside the province in question depends on there being a sufficient connection “between the enacting jurisdiction and the out</w:t>
      </w:r>
      <w:r w:rsidRPr="00453883">
        <w:rPr>
          <w:rFonts w:cs="Times New Roman"/>
        </w:rPr>
        <w:noBreakHyphen/>
        <w:t>of</w:t>
      </w:r>
      <w:r w:rsidRPr="00453883">
        <w:rPr>
          <w:rFonts w:cs="Times New Roman"/>
        </w:rPr>
        <w:noBreakHyphen/>
        <w:t xml:space="preserve">province individual </w:t>
      </w:r>
      <w:proofErr w:type="gramStart"/>
      <w:r w:rsidRPr="00453883">
        <w:rPr>
          <w:rFonts w:cs="Times New Roman"/>
        </w:rPr>
        <w:t>or</w:t>
      </w:r>
      <w:proofErr w:type="gramEnd"/>
      <w:r w:rsidRPr="00453883">
        <w:rPr>
          <w:rFonts w:cs="Times New Roman"/>
        </w:rPr>
        <w:t xml:space="preserve"> entity” (</w:t>
      </w:r>
      <w:r w:rsidRPr="00453883">
        <w:rPr>
          <w:rFonts w:cs="Times New Roman"/>
          <w:i/>
        </w:rPr>
        <w:t>Unifund</w:t>
      </w:r>
      <w:r w:rsidRPr="00453883">
        <w:rPr>
          <w:rFonts w:cs="Times New Roman"/>
        </w:rPr>
        <w:t xml:space="preserve">, at para. 65). Although this test relates more specifically to the connection between a province and an action, the purpose of the </w:t>
      </w:r>
      <w:r w:rsidRPr="00453883">
        <w:rPr>
          <w:rFonts w:cs="Times New Roman"/>
          <w:i/>
        </w:rPr>
        <w:t>Unifund</w:t>
      </w:r>
      <w:r w:rsidRPr="00453883">
        <w:rPr>
          <w:rFonts w:cs="Times New Roman"/>
        </w:rPr>
        <w:t xml:space="preserve"> analysis is essentially to determine whether there is a viable cause of action on the merits (see para. 14).</w:t>
      </w:r>
    </w:p>
    <w:p w14:paraId="36F6CD52" w14:textId="77777777" w:rsidR="00453883" w:rsidRPr="00453883" w:rsidRDefault="00453883" w:rsidP="00453883">
      <w:pPr>
        <w:pStyle w:val="ParaNoNdepar-AltN"/>
        <w:spacing w:before="0"/>
        <w:rPr>
          <w:rFonts w:cs="Times New Roman"/>
        </w:rPr>
      </w:pPr>
      <w:r w:rsidRPr="00453883">
        <w:rPr>
          <w:rFonts w:cs="Times New Roman"/>
        </w:rPr>
        <w:t>Conversely, from a private international law perspective, the real and substantial connection test relates to “the exercise of the state’s power of adjudication”</w:t>
      </w:r>
      <w:r w:rsidRPr="00453883">
        <w:rPr>
          <w:rStyle w:val="ui-provider"/>
          <w:rFonts w:cs="Times New Roman"/>
        </w:rPr>
        <w:t xml:space="preserve"> (</w:t>
      </w:r>
      <w:r w:rsidRPr="00453883">
        <w:rPr>
          <w:rStyle w:val="ui-provider"/>
          <w:rFonts w:cs="Times New Roman"/>
          <w:i/>
        </w:rPr>
        <w:t>Van Breda</w:t>
      </w:r>
      <w:r w:rsidRPr="00453883">
        <w:rPr>
          <w:rStyle w:val="ui-provider"/>
          <w:rFonts w:cs="Times New Roman"/>
        </w:rPr>
        <w:t>, at para. 32)</w:t>
      </w:r>
      <w:r w:rsidRPr="00453883">
        <w:rPr>
          <w:rFonts w:cs="Times New Roman"/>
        </w:rPr>
        <w:t>. The rules of private international law in force in a province are what confer adjudicative jurisdiction on a decision maker. In the common law provinces, the real and substantial connection test is an organizing principle for the rules of private international law. In Quebec, these rules are set out in Book Ten of the</w:t>
      </w:r>
      <w:r w:rsidRPr="00453883">
        <w:rPr>
          <w:rFonts w:cs="Times New Roman"/>
          <w:i/>
        </w:rPr>
        <w:t xml:space="preserve"> C.C.Q.</w:t>
      </w:r>
      <w:r w:rsidRPr="00453883">
        <w:rPr>
          <w:rFonts w:cs="Times New Roman"/>
        </w:rPr>
        <w:t xml:space="preserve"> I could not articulate these principles any better than LeBel J. did on behalf of a unanimous Court:</w:t>
      </w:r>
    </w:p>
    <w:p w14:paraId="352F8AA5" w14:textId="77777777" w:rsidR="00453883" w:rsidRPr="00453883" w:rsidRDefault="00453883" w:rsidP="00453883">
      <w:pPr>
        <w:pStyle w:val="Citation-AltC"/>
        <w:tabs>
          <w:tab w:val="left" w:pos="1440"/>
        </w:tabs>
        <w:spacing w:after="240"/>
        <w:contextualSpacing w:val="0"/>
      </w:pPr>
      <w:r w:rsidRPr="00453883">
        <w:tab/>
        <w:t xml:space="preserve">Conflicts rules must fit within Canada’s constitutional structure. Given the nature of private international law, its application inevitably raises constitutional issues. This branch of the law is concerned with the jurisdiction of courts of the Canadian provinces, with whether that jurisdiction should be exercised, with what law should apply to a dispute, and with whether a court should recognize and enforce a judgment rendered by a court of another province or country. </w:t>
      </w:r>
      <w:r w:rsidRPr="00453883">
        <w:rPr>
          <w:u w:val="single"/>
        </w:rPr>
        <w:t xml:space="preserve">The rules of private international law can be found, in the common law provinces, in the common law and in statute law and, in Quebec, in the </w:t>
      </w:r>
      <w:r w:rsidRPr="00453883">
        <w:rPr>
          <w:i/>
          <w:iCs/>
          <w:u w:val="single"/>
        </w:rPr>
        <w:t>Civil Code of Québec</w:t>
      </w:r>
      <w:r w:rsidRPr="00453883">
        <w:rPr>
          <w:u w:val="single"/>
        </w:rPr>
        <w:t xml:space="preserve">, S.Q. 1991, c. 64, </w:t>
      </w:r>
      <w:r w:rsidRPr="00453883">
        <w:rPr>
          <w:b/>
          <w:u w:val="single"/>
        </w:rPr>
        <w:t>which contains a well</w:t>
      </w:r>
      <w:r w:rsidRPr="00453883">
        <w:rPr>
          <w:b/>
          <w:u w:val="single"/>
        </w:rPr>
        <w:noBreakHyphen/>
        <w:t>developed set of rules and principles in this area</w:t>
      </w:r>
      <w:r w:rsidRPr="00453883">
        <w:rPr>
          <w:u w:val="single"/>
        </w:rPr>
        <w:t xml:space="preserve"> (see </w:t>
      </w:r>
      <w:r w:rsidRPr="00453883">
        <w:rPr>
          <w:i/>
          <w:iCs/>
          <w:u w:val="single"/>
        </w:rPr>
        <w:t>Civil Code of Québec</w:t>
      </w:r>
      <w:r w:rsidRPr="00453883">
        <w:rPr>
          <w:u w:val="single"/>
        </w:rPr>
        <w:t>, Book Ten, arts. 3076 to 3168).</w:t>
      </w:r>
      <w:r w:rsidRPr="00453883">
        <w:t xml:space="preserve"> The interplay between provincial jurisdiction and external legal situations takes place within a constitutional framework which limits the external reach of provincial laws and of a province’s courts. The Constitution assigns powers to the provinces. But these powers are subject to the restriction that they be exercised within the province in question (see P. W. Hogg, </w:t>
      </w:r>
      <w:r w:rsidRPr="00453883">
        <w:rPr>
          <w:i/>
          <w:iCs/>
        </w:rPr>
        <w:t>Constitutional Law of Canada</w:t>
      </w:r>
      <w:r w:rsidRPr="00453883">
        <w:rPr>
          <w:iCs/>
        </w:rPr>
        <w:t xml:space="preserve"> </w:t>
      </w:r>
      <w:r w:rsidRPr="00453883">
        <w:t>(5th ed. 2007), vol. 1, at pp. 364</w:t>
      </w:r>
      <w:r w:rsidRPr="00453883">
        <w:noBreakHyphen/>
        <w:t>65 and 376</w:t>
      </w:r>
      <w:r w:rsidRPr="00453883">
        <w:noBreakHyphen/>
        <w:t xml:space="preserve">77; H. Brun, G. Tremblay and E. Brouillet, </w:t>
      </w:r>
      <w:r w:rsidRPr="00453883">
        <w:rPr>
          <w:i/>
          <w:iCs/>
        </w:rPr>
        <w:t>Droit constitutionnel</w:t>
      </w:r>
      <w:r w:rsidRPr="00453883">
        <w:t xml:space="preserve"> (5th ed. 2008), at p. 569; </w:t>
      </w:r>
      <w:r w:rsidRPr="00453883">
        <w:rPr>
          <w:i/>
          <w:iCs/>
        </w:rPr>
        <w:t>British Columbia v. Imperial Tobacco Canada Ltd.</w:t>
      </w:r>
      <w:r w:rsidRPr="00453883">
        <w:t>, 2005 SCC 49, [2005] 2 S.C.R. 473, at paras. 26</w:t>
      </w:r>
      <w:r w:rsidRPr="00453883">
        <w:noBreakHyphen/>
        <w:t xml:space="preserve">28, </w:t>
      </w:r>
      <w:r w:rsidRPr="00453883">
        <w:rPr>
          <w:i/>
          <w:iCs/>
        </w:rPr>
        <w:t>per</w:t>
      </w:r>
      <w:r w:rsidRPr="00453883">
        <w:t xml:space="preserve"> Major J.), and they must be exercised in a manner consistent with the territorial restrictions created by the Constitution (see </w:t>
      </w:r>
      <w:r w:rsidRPr="00453883">
        <w:rPr>
          <w:i/>
          <w:iCs/>
        </w:rPr>
        <w:t>Castillo v. Castillo</w:t>
      </w:r>
      <w:r w:rsidRPr="00453883">
        <w:t xml:space="preserve">, 2005 SCC 83, [2005] 3 S.C.R. 870, at para. 5, </w:t>
      </w:r>
      <w:r w:rsidRPr="00453883">
        <w:rPr>
          <w:i/>
          <w:iCs/>
        </w:rPr>
        <w:t xml:space="preserve">per </w:t>
      </w:r>
      <w:r w:rsidRPr="00453883">
        <w:t xml:space="preserve">Major J.; </w:t>
      </w:r>
      <w:r w:rsidRPr="00453883">
        <w:rPr>
          <w:i/>
          <w:iCs/>
        </w:rPr>
        <w:t>Unifund Assurance Co. v. Insurance Corp. of British Columbia</w:t>
      </w:r>
      <w:r w:rsidRPr="00453883">
        <w:t xml:space="preserve">, 2003 SCC 40, [2003] 2 S.C.R. 63, at para. 51, </w:t>
      </w:r>
      <w:r w:rsidRPr="00453883">
        <w:rPr>
          <w:i/>
          <w:iCs/>
        </w:rPr>
        <w:t>per</w:t>
      </w:r>
      <w:r w:rsidRPr="00453883">
        <w:t xml:space="preserve"> Binnie J.). [Emphasis added.]</w:t>
      </w:r>
    </w:p>
    <w:p w14:paraId="7BE6BD32" w14:textId="77777777" w:rsidR="00453883" w:rsidRPr="00453883" w:rsidRDefault="00453883" w:rsidP="00453883">
      <w:pPr>
        <w:pStyle w:val="Citation-AltC"/>
        <w:ind w:hanging="360"/>
        <w:contextualSpacing w:val="0"/>
      </w:pPr>
      <w:r w:rsidRPr="00453883">
        <w:tab/>
        <w:t>(</w:t>
      </w:r>
      <w:r w:rsidRPr="00453883">
        <w:rPr>
          <w:i/>
        </w:rPr>
        <w:t>Van Breda</w:t>
      </w:r>
      <w:r w:rsidRPr="00453883">
        <w:t>, at para. 21)</w:t>
      </w:r>
    </w:p>
    <w:p w14:paraId="5DF51E86" w14:textId="77777777" w:rsidR="00453883" w:rsidRPr="00453883" w:rsidRDefault="00453883" w:rsidP="00453883">
      <w:pPr>
        <w:pStyle w:val="ParaNoNdepar-AltN"/>
        <w:spacing w:before="0"/>
        <w:rPr>
          <w:rFonts w:cs="Times New Roman"/>
        </w:rPr>
      </w:pPr>
      <w:r w:rsidRPr="00453883">
        <w:rPr>
          <w:rFonts w:cs="Times New Roman"/>
        </w:rPr>
        <w:t xml:space="preserve">Accordingly, to be able to assume jurisdiction over a dispute, a provincial court or tribunal must have adjudicative jurisdiction under provincial legislation, which must itself have been validly enacted by the province in the exercise of its legislative jurisdiction. As can be seen from the excerpt quoted in the previous paragraph, the </w:t>
      </w:r>
      <w:r w:rsidRPr="00453883">
        <w:rPr>
          <w:rFonts w:cs="Times New Roman"/>
          <w:i/>
        </w:rPr>
        <w:t>jurisdiction of courts and tribunals</w:t>
      </w:r>
      <w:r w:rsidRPr="00453883">
        <w:rPr>
          <w:rFonts w:cs="Times New Roman"/>
        </w:rPr>
        <w:t xml:space="preserve"> of the Canadian provinces, </w:t>
      </w:r>
      <w:r w:rsidRPr="00453883">
        <w:rPr>
          <w:rFonts w:cs="Times New Roman"/>
          <w:i/>
        </w:rPr>
        <w:t>the appropriateness of exercising that jurisdiction</w:t>
      </w:r>
      <w:r w:rsidRPr="00453883">
        <w:rPr>
          <w:rFonts w:cs="Times New Roman"/>
        </w:rPr>
        <w:t xml:space="preserve"> and the </w:t>
      </w:r>
      <w:r w:rsidRPr="00453883">
        <w:rPr>
          <w:rFonts w:cs="Times New Roman"/>
          <w:i/>
        </w:rPr>
        <w:t>law that should apply</w:t>
      </w:r>
      <w:r w:rsidRPr="00453883">
        <w:rPr>
          <w:rFonts w:cs="Times New Roman"/>
        </w:rPr>
        <w:t xml:space="preserve"> to a dispute are all different concepts.</w:t>
      </w:r>
    </w:p>
    <w:p w14:paraId="1FA0E228" w14:textId="77777777" w:rsidR="00453883" w:rsidRPr="00453883" w:rsidRDefault="00453883" w:rsidP="00453883">
      <w:pPr>
        <w:pStyle w:val="ParaNoNdepar-AltN"/>
        <w:tabs>
          <w:tab w:val="clear" w:pos="1152"/>
          <w:tab w:val="left" w:pos="1166"/>
        </w:tabs>
        <w:spacing w:before="0"/>
        <w:rPr>
          <w:rFonts w:cs="Times New Roman"/>
        </w:rPr>
      </w:pPr>
      <w:r w:rsidRPr="00453883">
        <w:rPr>
          <w:rFonts w:cs="Times New Roman"/>
        </w:rPr>
        <w:t xml:space="preserve">The adjudicative jurisdiction of a court or tribunal has two components: jurisdiction </w:t>
      </w:r>
      <w:r w:rsidRPr="00453883">
        <w:rPr>
          <w:rFonts w:cs="Times New Roman"/>
          <w:i/>
        </w:rPr>
        <w:t>ratione materiae</w:t>
      </w:r>
      <w:r w:rsidRPr="00453883">
        <w:rPr>
          <w:rFonts w:cs="Times New Roman"/>
        </w:rPr>
        <w:t xml:space="preserve"> (subject</w:t>
      </w:r>
      <w:r w:rsidRPr="00453883">
        <w:rPr>
          <w:rFonts w:cs="Times New Roman"/>
        </w:rPr>
        <w:noBreakHyphen/>
        <w:t xml:space="preserve">matter jurisdiction) and jurisdiction </w:t>
      </w:r>
      <w:r w:rsidRPr="00453883">
        <w:rPr>
          <w:rFonts w:cs="Times New Roman"/>
          <w:i/>
        </w:rPr>
        <w:t>ratione personae</w:t>
      </w:r>
      <w:r w:rsidRPr="00453883">
        <w:rPr>
          <w:rFonts w:cs="Times New Roman"/>
        </w:rPr>
        <w:t xml:space="preserve"> (territorial jurisdiction). The subject</w:t>
      </w:r>
      <w:r w:rsidRPr="00453883">
        <w:rPr>
          <w:rFonts w:cs="Times New Roman"/>
        </w:rPr>
        <w:noBreakHyphen/>
        <w:t>matter jurisdiction of a court or tribunal [</w:t>
      </w:r>
      <w:r w:rsidRPr="00453883">
        <w:rPr>
          <w:rFonts w:cs="Times New Roman"/>
          <w:smallCaps/>
        </w:rPr>
        <w:t>translation</w:t>
      </w:r>
      <w:r w:rsidRPr="00453883">
        <w:rPr>
          <w:rFonts w:cs="Times New Roman"/>
        </w:rPr>
        <w:t xml:space="preserve">] “is that given to [it] to hear a case by reason of its subject matter” (G. Goldstein and E. Groffier, </w:t>
      </w:r>
      <w:r w:rsidRPr="00453883">
        <w:rPr>
          <w:rFonts w:cs="Times New Roman"/>
          <w:i/>
        </w:rPr>
        <w:t>Droit international privé</w:t>
      </w:r>
      <w:r w:rsidRPr="00453883">
        <w:rPr>
          <w:rFonts w:cs="Times New Roman"/>
        </w:rPr>
        <w:t xml:space="preserve">, vol. I, </w:t>
      </w:r>
      <w:r w:rsidRPr="00453883">
        <w:rPr>
          <w:rFonts w:cs="Times New Roman"/>
          <w:i/>
        </w:rPr>
        <w:t>Théorie générale</w:t>
      </w:r>
      <w:r w:rsidRPr="00453883">
        <w:rPr>
          <w:rFonts w:cs="Times New Roman"/>
        </w:rPr>
        <w:t xml:space="preserve"> (1998), at p. 299). As Brown and Rowe JJ. (dissenting, but not on this point) clearly stated in </w:t>
      </w:r>
      <w:r w:rsidRPr="00453883">
        <w:rPr>
          <w:rFonts w:cs="Times New Roman"/>
          <w:i/>
        </w:rPr>
        <w:t>Uashaunnuat</w:t>
      </w:r>
      <w:r w:rsidRPr="00453883">
        <w:rPr>
          <w:rFonts w:cs="Times New Roman"/>
        </w:rPr>
        <w:t xml:space="preserve"> (at para. 105):</w:t>
      </w:r>
    </w:p>
    <w:p w14:paraId="7A10EC73" w14:textId="77777777" w:rsidR="00453883" w:rsidRPr="00453883" w:rsidRDefault="00453883" w:rsidP="00453883">
      <w:pPr>
        <w:pStyle w:val="Citation-AltC"/>
        <w:spacing w:after="240"/>
        <w:ind w:hanging="356"/>
        <w:contextualSpacing w:val="0"/>
      </w:pPr>
      <w:r w:rsidRPr="00453883">
        <w:tab/>
        <w:t xml:space="preserve">The Quebec Superior Court’s </w:t>
      </w:r>
      <w:r w:rsidRPr="00453883">
        <w:rPr>
          <w:i/>
          <w:iCs/>
        </w:rPr>
        <w:t>inherent jurisdiction</w:t>
      </w:r>
      <w:r w:rsidRPr="00453883">
        <w:t xml:space="preserve"> is therefore an aspect of its subject</w:t>
      </w:r>
      <w:r w:rsidRPr="00453883">
        <w:noBreakHyphen/>
        <w:t xml:space="preserve">matter jurisdiction (or jurisdiction </w:t>
      </w:r>
      <w:r w:rsidRPr="00453883">
        <w:rPr>
          <w:i/>
          <w:iCs/>
        </w:rPr>
        <w:t>ratione materiae</w:t>
      </w:r>
      <w:r w:rsidRPr="00453883">
        <w:t xml:space="preserve">), not an aspect of its territorial jurisdiction (or jurisdiction </w:t>
      </w:r>
      <w:r w:rsidRPr="00453883">
        <w:rPr>
          <w:i/>
          <w:iCs/>
        </w:rPr>
        <w:t>ratione personae vel loci</w:t>
      </w:r>
      <w:r w:rsidRPr="00453883">
        <w:t>):</w:t>
      </w:r>
    </w:p>
    <w:p w14:paraId="764BE266" w14:textId="77777777" w:rsidR="00453883" w:rsidRPr="00453883" w:rsidRDefault="00453883" w:rsidP="00453883">
      <w:pPr>
        <w:pStyle w:val="Citation-AltC"/>
        <w:spacing w:after="240"/>
        <w:ind w:left="1440" w:hanging="360"/>
        <w:contextualSpacing w:val="0"/>
      </w:pPr>
      <w:r w:rsidRPr="00453883">
        <w:tab/>
        <w:t xml:space="preserve">. . . </w:t>
      </w:r>
      <w:proofErr w:type="gramStart"/>
      <w:r w:rsidRPr="00453883">
        <w:t>subject</w:t>
      </w:r>
      <w:proofErr w:type="gramEnd"/>
      <w:r w:rsidRPr="00453883">
        <w:t xml:space="preserve"> matter competence refers to the ability of the court to hear the type of dispute in question, considering issues such as whether its jurisdiction was limited by statute. </w:t>
      </w:r>
      <w:r w:rsidRPr="00453883">
        <w:rPr>
          <w:u w:val="single"/>
        </w:rPr>
        <w:t>It deals with criteria that are not connected to the territorial reach of the court’s authority and rarely raise issues of private international law</w:t>
      </w:r>
      <w:r w:rsidRPr="00453883">
        <w:t>. [Emphasis added; footnote omitted.]</w:t>
      </w:r>
    </w:p>
    <w:p w14:paraId="58394F2D" w14:textId="77777777" w:rsidR="00453883" w:rsidRPr="00453883" w:rsidRDefault="00453883" w:rsidP="00453883">
      <w:pPr>
        <w:pStyle w:val="Citation-AltC"/>
        <w:ind w:left="1440" w:hanging="274"/>
        <w:contextualSpacing w:val="0"/>
      </w:pPr>
      <w:r w:rsidRPr="00453883">
        <w:tab/>
        <w:t>(Pitel and Rafferty, at pp. 58</w:t>
      </w:r>
      <w:r w:rsidRPr="00453883">
        <w:noBreakHyphen/>
        <w:t>59) [Emphasis in original.]</w:t>
      </w:r>
    </w:p>
    <w:p w14:paraId="299F4F62" w14:textId="77777777" w:rsidR="00453883" w:rsidRPr="00453883" w:rsidRDefault="00453883" w:rsidP="00453883">
      <w:pPr>
        <w:pStyle w:val="ContinueParaSuitedupar-AltP"/>
        <w:spacing w:before="0"/>
        <w:rPr>
          <w:rFonts w:cs="Times New Roman"/>
          <w:lang w:val="en-US"/>
        </w:rPr>
      </w:pPr>
      <w:r w:rsidRPr="00453883">
        <w:rPr>
          <w:rFonts w:cs="Times New Roman"/>
          <w:lang w:val="en-US"/>
        </w:rPr>
        <w:t>As for territorial jurisdiction, it is assessed on the basis of a geographical connection, which may arise [</w:t>
      </w:r>
      <w:r w:rsidRPr="00453883">
        <w:rPr>
          <w:rFonts w:cs="Times New Roman"/>
          <w:smallCaps/>
          <w:lang w:val="en-US"/>
        </w:rPr>
        <w:t>translation</w:t>
      </w:r>
      <w:r w:rsidRPr="00453883">
        <w:rPr>
          <w:rFonts w:cs="Times New Roman"/>
          <w:lang w:val="en-US"/>
        </w:rPr>
        <w:t>] “either from the situation of the litigant (usually the defendant) or from the location of the item in dispute or the place where the dispute arose” (Goldstein and Groffier, at p. 299). To have jurisdiction to hear a dispute, a court or tribunal must therefore have the necessary subject</w:t>
      </w:r>
      <w:r w:rsidRPr="00453883">
        <w:rPr>
          <w:rFonts w:cs="Times New Roman"/>
          <w:lang w:val="en-US"/>
        </w:rPr>
        <w:noBreakHyphen/>
        <w:t>matter jurisdiction and territorial jurisdiction (</w:t>
      </w:r>
      <w:r w:rsidRPr="00453883">
        <w:rPr>
          <w:rStyle w:val="ui-provider"/>
          <w:rFonts w:cs="Times New Roman"/>
        </w:rPr>
        <w:t>Glenn, at p. 743)</w:t>
      </w:r>
      <w:r w:rsidRPr="00453883">
        <w:rPr>
          <w:rFonts w:cs="Times New Roman"/>
          <w:lang w:val="en-US"/>
        </w:rPr>
        <w:t>.</w:t>
      </w:r>
    </w:p>
    <w:p w14:paraId="5FB53ADE" w14:textId="77777777" w:rsidR="00453883" w:rsidRPr="00453883" w:rsidRDefault="00453883" w:rsidP="00453883">
      <w:pPr>
        <w:pStyle w:val="ParaNoNdepar-AltN"/>
        <w:rPr>
          <w:rFonts w:cs="Times New Roman"/>
          <w:lang w:val="en-US"/>
        </w:rPr>
      </w:pPr>
      <w:r w:rsidRPr="00453883">
        <w:rPr>
          <w:rFonts w:cs="Times New Roman"/>
          <w:lang w:val="en-US"/>
        </w:rPr>
        <w:t xml:space="preserve">The rules on the territorial jurisdiction of Quebec courts and tribunals are divided between the </w:t>
      </w:r>
      <w:r w:rsidRPr="00453883">
        <w:rPr>
          <w:rFonts w:cs="Times New Roman"/>
          <w:i/>
          <w:lang w:val="en-US"/>
        </w:rPr>
        <w:t>Code of Civil Procedure</w:t>
      </w:r>
      <w:r w:rsidRPr="00453883">
        <w:rPr>
          <w:rFonts w:cs="Times New Roman"/>
          <w:lang w:val="en-US"/>
        </w:rPr>
        <w:t>, CQLR, c. C</w:t>
      </w:r>
      <w:r w:rsidRPr="00453883">
        <w:rPr>
          <w:rFonts w:cs="Times New Roman"/>
          <w:lang w:val="en-US"/>
        </w:rPr>
        <w:noBreakHyphen/>
        <w:t>25.01 (“</w:t>
      </w:r>
      <w:r w:rsidRPr="00453883">
        <w:rPr>
          <w:rFonts w:cs="Times New Roman"/>
          <w:i/>
          <w:lang w:val="en-US"/>
        </w:rPr>
        <w:t>C.C.P.</w:t>
      </w:r>
      <w:r w:rsidRPr="00453883">
        <w:rPr>
          <w:rFonts w:cs="Times New Roman"/>
          <w:lang w:val="en-US"/>
        </w:rPr>
        <w:t xml:space="preserve">”), and the </w:t>
      </w:r>
      <w:r w:rsidRPr="00453883">
        <w:rPr>
          <w:rFonts w:cs="Times New Roman"/>
          <w:i/>
          <w:lang w:val="en-US"/>
        </w:rPr>
        <w:t>C.C.Q.</w:t>
      </w:r>
      <w:r w:rsidRPr="00453883">
        <w:rPr>
          <w:rFonts w:cs="Times New Roman"/>
          <w:lang w:val="en-US"/>
        </w:rPr>
        <w:t xml:space="preserve">, depending on whether a dispute falls under domestic law or private international law </w:t>
      </w:r>
      <w:r w:rsidRPr="00453883">
        <w:rPr>
          <w:rFonts w:cs="Times New Roman"/>
          <w:szCs w:val="24"/>
          <w:lang w:val="en-US"/>
        </w:rPr>
        <w:t xml:space="preserve">(S. Guillemard, “Règles générales de compétence des tribunaux québécois”, in </w:t>
      </w:r>
      <w:r w:rsidRPr="00453883">
        <w:rPr>
          <w:rFonts w:cs="Times New Roman"/>
          <w:i/>
          <w:szCs w:val="24"/>
          <w:lang w:val="en-US"/>
        </w:rPr>
        <w:t xml:space="preserve">JurisClasseur Québec — Collection Droit civil — </w:t>
      </w:r>
      <w:r w:rsidRPr="00453883">
        <w:rPr>
          <w:rFonts w:cs="Times New Roman"/>
          <w:i/>
          <w:iCs/>
          <w:szCs w:val="24"/>
          <w:lang w:val="en-US"/>
        </w:rPr>
        <w:t>Droit international privé</w:t>
      </w:r>
      <w:r w:rsidRPr="00453883">
        <w:rPr>
          <w:rFonts w:cs="Times New Roman"/>
          <w:szCs w:val="24"/>
          <w:lang w:val="en-US"/>
        </w:rPr>
        <w:t xml:space="preserve"> (loose</w:t>
      </w:r>
      <w:r w:rsidRPr="00453883">
        <w:rPr>
          <w:rFonts w:cs="Times New Roman"/>
          <w:szCs w:val="24"/>
          <w:lang w:val="en-US"/>
        </w:rPr>
        <w:noBreakHyphen/>
        <w:t>leaf), fasc. </w:t>
      </w:r>
      <w:r w:rsidRPr="00453883">
        <w:rPr>
          <w:rFonts w:cs="Times New Roman"/>
          <w:szCs w:val="24"/>
        </w:rPr>
        <w:t>8, at No. 1).</w:t>
      </w:r>
      <w:r w:rsidRPr="00453883">
        <w:rPr>
          <w:rFonts w:cs="Times New Roman"/>
        </w:rPr>
        <w:t xml:space="preserve"> </w:t>
      </w:r>
      <w:r w:rsidRPr="00453883">
        <w:rPr>
          <w:rFonts w:cs="Times New Roman"/>
          <w:lang w:val="en-US"/>
        </w:rPr>
        <w:t>It is important to note here that</w:t>
      </w:r>
    </w:p>
    <w:p w14:paraId="46A02F70" w14:textId="77777777" w:rsidR="00453883" w:rsidRPr="00453883" w:rsidRDefault="00453883" w:rsidP="00453883">
      <w:pPr>
        <w:pStyle w:val="Citation-AltC"/>
        <w:tabs>
          <w:tab w:val="left" w:pos="1440"/>
        </w:tabs>
        <w:spacing w:after="240"/>
        <w:ind w:firstLine="4"/>
        <w:contextualSpacing w:val="0"/>
      </w:pPr>
      <w:r w:rsidRPr="00453883">
        <w:tab/>
        <w:t>[</w:t>
      </w:r>
      <w:r w:rsidRPr="00453883">
        <w:rPr>
          <w:smallCaps/>
        </w:rPr>
        <w:t>translation</w:t>
      </w:r>
      <w:r w:rsidRPr="00453883">
        <w:t>] the rules on the international jurisdiction of Quebec authorities should not be confused with the rules laid down by the Code of Civil Procedure regarding the territorial jurisdiction of courts under domestic law (arts. 41 to 48 C.C.P.). Although these two types of rules often echo one another, the rules on international jurisdiction are substantive rules for determining whether Quebec courts or tribunals have jurisdiction to hear a dispute, whereas the rules on domestic jurisdiction are procedural rules for determining the district in which proceedings may be instituted. Extreme caution should therefore be exercised before attempting to apply the rules in the Code of Civil Procedure to fill a gap in Book Ten of the Civil Code of Québec, an approach that hearkens back to the time when no effort to codify Quebec private international law had yet been made. [Footnote omitted.]</w:t>
      </w:r>
    </w:p>
    <w:p w14:paraId="0A48BEE5" w14:textId="77777777" w:rsidR="00453883" w:rsidRPr="00453883" w:rsidRDefault="00453883" w:rsidP="00453883">
      <w:pPr>
        <w:pStyle w:val="Citation-AltC"/>
        <w:ind w:hanging="360"/>
        <w:contextualSpacing w:val="0"/>
      </w:pPr>
      <w:r w:rsidRPr="00453883">
        <w:tab/>
        <w:t>(Ferland and Laganière, at p. 303)</w:t>
      </w:r>
    </w:p>
    <w:p w14:paraId="23D01D8D" w14:textId="77777777" w:rsidR="00453883" w:rsidRPr="00453883" w:rsidRDefault="00453883" w:rsidP="00453883">
      <w:pPr>
        <w:pStyle w:val="ParaNoNdepar-AltN"/>
        <w:tabs>
          <w:tab w:val="clear" w:pos="1152"/>
          <w:tab w:val="left" w:pos="1166"/>
        </w:tabs>
        <w:spacing w:before="0"/>
        <w:rPr>
          <w:rFonts w:cs="Times New Roman"/>
        </w:rPr>
      </w:pPr>
      <w:r w:rsidRPr="00453883">
        <w:rPr>
          <w:rFonts w:cs="Times New Roman"/>
        </w:rPr>
        <w:t>As I explain below, the appellants’ objection in this case clearly does not relate to the FMAT’s lack of subject</w:t>
      </w:r>
      <w:r w:rsidRPr="00453883">
        <w:rPr>
          <w:rFonts w:cs="Times New Roman"/>
        </w:rPr>
        <w:noBreakHyphen/>
        <w:t>matter jurisdiction. Rather, it is an objection to the FMAT’s territorial jurisdiction. And it is also important to note that private international law is concerned mainly with territorial jurisdiction</w:t>
      </w:r>
      <w:r w:rsidRPr="00453883">
        <w:rPr>
          <w:rFonts w:cs="Times New Roman"/>
          <w:szCs w:val="24"/>
        </w:rPr>
        <w:t>:</w:t>
      </w:r>
    </w:p>
    <w:p w14:paraId="020A7335" w14:textId="77777777" w:rsidR="00453883" w:rsidRPr="00453883" w:rsidRDefault="00453883" w:rsidP="00453883">
      <w:pPr>
        <w:pStyle w:val="Citation-AltC"/>
        <w:tabs>
          <w:tab w:val="left" w:pos="1440"/>
        </w:tabs>
        <w:spacing w:after="240"/>
        <w:contextualSpacing w:val="0"/>
      </w:pPr>
      <w:r w:rsidRPr="00453883">
        <w:tab/>
        <w:t>Private international law, on the other hand, is concerned with territorial jurisdiction: J.</w:t>
      </w:r>
      <w:r w:rsidRPr="00453883">
        <w:noBreakHyphen/>
        <w:t xml:space="preserve">G. Castel, </w:t>
      </w:r>
      <w:r w:rsidRPr="00453883">
        <w:rPr>
          <w:i/>
          <w:iCs/>
        </w:rPr>
        <w:t>Droit international privé québécois</w:t>
      </w:r>
      <w:r w:rsidRPr="00453883">
        <w:t xml:space="preserve"> (1980), at p. 660. The rules of subject</w:t>
      </w:r>
      <w:r w:rsidRPr="00453883">
        <w:noBreakHyphen/>
        <w:t>matter jurisdiction play a limited role in private international law. By definition, however, the rules of territorial jurisdiction impose territorial limits on the authority of provincial superior courts to exercise their subject</w:t>
      </w:r>
      <w:r w:rsidRPr="00453883">
        <w:noBreakHyphen/>
        <w:t xml:space="preserve">matter jurisdiction, including their inherent powers. In Quebec, for example, although “procedural law recognizes the courts’ inherent powers to deal with situations not provided for in the law or the rules of practice”, the fact remains that “civil procedure is subject to the general principles found in the </w:t>
      </w:r>
      <w:r w:rsidRPr="00453883">
        <w:rPr>
          <w:i/>
          <w:iCs/>
        </w:rPr>
        <w:t>Civil Code of Québec</w:t>
      </w:r>
      <w:r w:rsidRPr="00453883">
        <w:t xml:space="preserve">”, including the rules of private international law set out in Book Ten: </w:t>
      </w:r>
      <w:r w:rsidRPr="00453883">
        <w:rPr>
          <w:i/>
          <w:iCs/>
        </w:rPr>
        <w:t>Lac d’Amiante</w:t>
      </w:r>
      <w:r w:rsidRPr="00453883">
        <w:t xml:space="preserve">, at paras. 37 and 40; arts. 25 and 49 </w:t>
      </w:r>
      <w:r w:rsidRPr="00453883">
        <w:rPr>
          <w:i/>
          <w:iCs/>
        </w:rPr>
        <w:t>C.C.P</w:t>
      </w:r>
      <w:r w:rsidRPr="00453883">
        <w:rPr>
          <w:i/>
        </w:rPr>
        <w:t>.</w:t>
      </w:r>
    </w:p>
    <w:p w14:paraId="65F26895" w14:textId="77777777" w:rsidR="00453883" w:rsidRPr="00453883" w:rsidRDefault="00453883" w:rsidP="00453883">
      <w:pPr>
        <w:pStyle w:val="Citation-AltC"/>
        <w:ind w:hanging="360"/>
        <w:contextualSpacing w:val="0"/>
        <w:rPr>
          <w:szCs w:val="22"/>
        </w:rPr>
      </w:pPr>
      <w:r w:rsidRPr="00453883">
        <w:tab/>
        <w:t>(</w:t>
      </w:r>
      <w:r w:rsidRPr="00453883">
        <w:rPr>
          <w:i/>
        </w:rPr>
        <w:t>Uashaunnuat</w:t>
      </w:r>
      <w:r w:rsidRPr="00453883">
        <w:t>, at para. 106, per Brown and Rowe JJ., dissenting, but not on this point)</w:t>
      </w:r>
    </w:p>
    <w:p w14:paraId="1FA2FC0B" w14:textId="77777777" w:rsidR="00453883" w:rsidRPr="00453883" w:rsidRDefault="00453883" w:rsidP="00453883">
      <w:pPr>
        <w:pStyle w:val="Title2LevelTitre2Niveau"/>
        <w:numPr>
          <w:ilvl w:val="1"/>
          <w:numId w:val="24"/>
        </w:numPr>
        <w:spacing w:before="0"/>
        <w:jc w:val="both"/>
        <w:rPr>
          <w:rFonts w:cs="Times New Roman"/>
        </w:rPr>
      </w:pPr>
      <w:r w:rsidRPr="00453883">
        <w:rPr>
          <w:rFonts w:cs="Times New Roman"/>
        </w:rPr>
        <w:t>This Dispute Concerns the FMAT’s Territorial Jurisdiction</w:t>
      </w:r>
    </w:p>
    <w:p w14:paraId="4AABE94B" w14:textId="77777777" w:rsidR="00453883" w:rsidRPr="00453883" w:rsidRDefault="00453883" w:rsidP="00453883">
      <w:pPr>
        <w:pStyle w:val="ParaNoNdepar-AltN"/>
        <w:spacing w:before="0"/>
        <w:rPr>
          <w:rFonts w:cs="Times New Roman"/>
        </w:rPr>
      </w:pPr>
      <w:r w:rsidRPr="00453883">
        <w:rPr>
          <w:rFonts w:cs="Times New Roman"/>
        </w:rPr>
        <w:t>These appeals, as they were argued, relate to the FMAT’s territorial jurisdiction, not to the scope of Quebec’s legislative jurisdiction over securities. At this stage of the proceedings, that is, the stage of the preliminary exceptions raised by the appellants in the form of declinatory exceptions, the only question before the FMAT was as follows: Could the FMAT hear the dispute involving the appellants?</w:t>
      </w:r>
    </w:p>
    <w:p w14:paraId="4021BE09" w14:textId="77777777" w:rsidR="00453883" w:rsidRPr="00453883" w:rsidRDefault="00453883" w:rsidP="00453883">
      <w:pPr>
        <w:pStyle w:val="ParaNoNdepar-AltN"/>
        <w:spacing w:before="0"/>
        <w:rPr>
          <w:rFonts w:cs="Times New Roman"/>
        </w:rPr>
      </w:pPr>
      <w:r w:rsidRPr="00453883">
        <w:rPr>
          <w:rFonts w:cs="Times New Roman"/>
        </w:rPr>
        <w:t>Although there appears to have been some confusion in the courts and tribunal below, it is clear from a review of the record that the appellants’ motions for declinatory exception were based on the FMAT’s lack of territorial jurisdiction over them. And the appeals before this Court are from judicial reviews of a decision dismissing those motions for declinatory exception brought by the appellants. What can be said of those motions?</w:t>
      </w:r>
    </w:p>
    <w:p w14:paraId="6984264D" w14:textId="77777777" w:rsidR="00453883" w:rsidRPr="00453883" w:rsidRDefault="00453883" w:rsidP="00453883">
      <w:pPr>
        <w:pStyle w:val="ParaNoNdepar-AltN"/>
        <w:spacing w:before="0"/>
        <w:rPr>
          <w:rFonts w:cs="Times New Roman"/>
        </w:rPr>
      </w:pPr>
      <w:r w:rsidRPr="00453883">
        <w:rPr>
          <w:rFonts w:cs="Times New Roman"/>
        </w:rPr>
        <w:t>I begin by examining the declinatory exception of the appellants Shawn Van Damme, Vincenzo Antonio Carnovale and Pasquale Antonio Rocca. In their motion, they argue that the FMAT “does not have jurisdiction to hear and rule upon the charges brought against Petitioners” (A.R., at pp. 109</w:t>
      </w:r>
      <w:r w:rsidRPr="00453883">
        <w:rPr>
          <w:rFonts w:cs="Times New Roman"/>
        </w:rPr>
        <w:noBreakHyphen/>
        <w:t>10). They contend, more particularly, that there is no real and substantial connection between the proceedings brought by the AMF and the province of Quebec (p. 110), on the basis of the following allegations: (i) the defendants are not domiciled in Quebec (p. 110); (ii) the AMF’s originating application does not allege that the acts complained of were committed in Quebec or even that any fault was committed in Quebec (p. 110).</w:t>
      </w:r>
    </w:p>
    <w:p w14:paraId="0DBE394F" w14:textId="77777777" w:rsidR="00453883" w:rsidRPr="00453883" w:rsidRDefault="00453883" w:rsidP="00453883">
      <w:pPr>
        <w:pStyle w:val="ParaNoNdepar-AltN"/>
        <w:spacing w:before="0"/>
        <w:rPr>
          <w:rFonts w:cs="Times New Roman"/>
        </w:rPr>
      </w:pPr>
      <w:r w:rsidRPr="00453883">
        <w:rPr>
          <w:rFonts w:cs="Times New Roman"/>
        </w:rPr>
        <w:t xml:space="preserve">At first glance, it might be thought that these arguments relate to the constitutional applicability of the </w:t>
      </w:r>
      <w:r w:rsidRPr="00453883">
        <w:rPr>
          <w:rFonts w:cs="Times New Roman"/>
          <w:i/>
        </w:rPr>
        <w:t>SA</w:t>
      </w:r>
      <w:r w:rsidRPr="00453883">
        <w:rPr>
          <w:rFonts w:cs="Times New Roman"/>
        </w:rPr>
        <w:t>. However, the last paragraph of the motion shows beyond the shadow of a doubt that the declinatory exception is based on the FMAT’s lack of adjudicative jurisdiction over the appellants:</w:t>
      </w:r>
    </w:p>
    <w:p w14:paraId="55A93D4D" w14:textId="77777777" w:rsidR="00453883" w:rsidRPr="00453883" w:rsidRDefault="00453883" w:rsidP="00453883">
      <w:pPr>
        <w:pStyle w:val="Citation-AltC"/>
        <w:spacing w:after="240"/>
        <w:ind w:hanging="356"/>
        <w:contextualSpacing w:val="0"/>
      </w:pPr>
      <w:r w:rsidRPr="00453883">
        <w:tab/>
        <w:t xml:space="preserve">The present motion is made under strict reserve of Petitioners’ rights, including their right to claim that Quebec law (including the provisions of the Quebec </w:t>
      </w:r>
      <w:r w:rsidRPr="00453883">
        <w:rPr>
          <w:i/>
        </w:rPr>
        <w:t>Securities Act</w:t>
      </w:r>
      <w:r w:rsidRPr="00453883">
        <w:t xml:space="preserve">) does not apply to their alleged actions, that the acts allegedly committed by Petitioners do not constitute violations of section 195.2, section 199.1 or of any other provision of the </w:t>
      </w:r>
      <w:r w:rsidRPr="00453883">
        <w:rPr>
          <w:i/>
        </w:rPr>
        <w:t>Securities Act</w:t>
      </w:r>
      <w:r w:rsidRPr="00453883">
        <w:t>, and that Plaintiff Autorité des marchés financiers does not have jurisdiction to bring the present proceedings against Petitioners.</w:t>
      </w:r>
    </w:p>
    <w:p w14:paraId="58A19640" w14:textId="77777777" w:rsidR="00453883" w:rsidRPr="00453883" w:rsidRDefault="00453883" w:rsidP="00453883">
      <w:pPr>
        <w:pStyle w:val="Citation-AltC"/>
        <w:ind w:hanging="360"/>
        <w:contextualSpacing w:val="0"/>
      </w:pPr>
      <w:r w:rsidRPr="00453883">
        <w:tab/>
        <w:t>(A.R., at p. 111)</w:t>
      </w:r>
    </w:p>
    <w:p w14:paraId="4A0E08F0" w14:textId="77777777" w:rsidR="00453883" w:rsidRPr="00453883" w:rsidRDefault="00453883" w:rsidP="00453883">
      <w:pPr>
        <w:pStyle w:val="ParaNoNdepar-AltN"/>
        <w:spacing w:before="0"/>
        <w:rPr>
          <w:rFonts w:cs="Times New Roman"/>
        </w:rPr>
      </w:pPr>
      <w:r w:rsidRPr="00453883">
        <w:rPr>
          <w:rFonts w:cs="Times New Roman"/>
        </w:rPr>
        <w:t xml:space="preserve">It can be seen from the above that the appellants Van Damme, Carnovale and Rocca reserved the right to contest the constitutional applicability of the </w:t>
      </w:r>
      <w:r w:rsidRPr="00453883">
        <w:rPr>
          <w:rFonts w:cs="Times New Roman"/>
          <w:i/>
        </w:rPr>
        <w:t>SA</w:t>
      </w:r>
      <w:r w:rsidRPr="00453883">
        <w:rPr>
          <w:rFonts w:cs="Times New Roman"/>
        </w:rPr>
        <w:t xml:space="preserve"> on the basis of the test set out in </w:t>
      </w:r>
      <w:r w:rsidRPr="00453883">
        <w:rPr>
          <w:rFonts w:cs="Times New Roman"/>
          <w:i/>
        </w:rPr>
        <w:t>Unifund</w:t>
      </w:r>
      <w:r w:rsidRPr="00453883">
        <w:rPr>
          <w:rFonts w:cs="Times New Roman"/>
        </w:rPr>
        <w:t>. This statement confirms that their motion for declinatory exception dealt first and foremost with the FMAT’s territorial jurisdiction.</w:t>
      </w:r>
    </w:p>
    <w:p w14:paraId="1779CA6A" w14:textId="77777777" w:rsidR="00453883" w:rsidRPr="00453883" w:rsidRDefault="00453883" w:rsidP="00453883">
      <w:pPr>
        <w:pStyle w:val="ParaNoNdepar-AltN"/>
        <w:spacing w:before="0"/>
        <w:rPr>
          <w:rFonts w:cs="Times New Roman"/>
        </w:rPr>
      </w:pPr>
      <w:r w:rsidRPr="00453883">
        <w:rPr>
          <w:rFonts w:cs="Times New Roman"/>
        </w:rPr>
        <w:t>The arguments made by the appellant Frederick Langford Sharp in the Superior Court also concerned the FMAT’s territorial jurisdiction, notwithstanding his statement that “the Impugned Decision constitutes an unconstitutional assertion of extra</w:t>
      </w:r>
      <w:r w:rsidRPr="00453883">
        <w:rPr>
          <w:rFonts w:cs="Times New Roman"/>
        </w:rPr>
        <w:noBreakHyphen/>
        <w:t xml:space="preserve">provincial jurisdiction that should be set aside” (A.R., at p. 160). In my view, the reference to the alleged extraterritorial reach of the FMAT’s decision must be understood in light of the imperatives — which are now constitutional — recognized in </w:t>
      </w:r>
      <w:r w:rsidRPr="00453883">
        <w:rPr>
          <w:rFonts w:cs="Times New Roman"/>
          <w:i/>
        </w:rPr>
        <w:t>Morguard Investments Ltd. v. De Savoye</w:t>
      </w:r>
      <w:r w:rsidRPr="00453883">
        <w:rPr>
          <w:rFonts w:cs="Times New Roman"/>
        </w:rPr>
        <w:t>, [1990] 3 S.C.R. 1077, at pp. 1100</w:t>
      </w:r>
      <w:r w:rsidRPr="00453883">
        <w:rPr>
          <w:rFonts w:cs="Times New Roman"/>
        </w:rPr>
        <w:noBreakHyphen/>
        <w:t xml:space="preserve">1101, </w:t>
      </w:r>
      <w:r w:rsidRPr="00453883">
        <w:rPr>
          <w:rFonts w:cs="Times New Roman"/>
          <w:i/>
        </w:rPr>
        <w:t>Hunt v. T&amp;N plc</w:t>
      </w:r>
      <w:r w:rsidRPr="00453883">
        <w:rPr>
          <w:rFonts w:cs="Times New Roman"/>
        </w:rPr>
        <w:t>, [1993] 4 S.C.R. 289, at pp. 315</w:t>
      </w:r>
      <w:r w:rsidRPr="00453883">
        <w:rPr>
          <w:rFonts w:cs="Times New Roman"/>
        </w:rPr>
        <w:noBreakHyphen/>
        <w:t xml:space="preserve">17, and </w:t>
      </w:r>
      <w:r w:rsidRPr="00453883">
        <w:rPr>
          <w:rFonts w:cs="Times New Roman"/>
          <w:i/>
        </w:rPr>
        <w:t>Tolofson v. Jensen</w:t>
      </w:r>
      <w:r w:rsidRPr="00453883">
        <w:rPr>
          <w:rFonts w:cs="Times New Roman"/>
        </w:rPr>
        <w:t>, [1994] 3 S.C.R. 1022, at p. 1066. According to this jurisprudence, there are “constitutionally imposed territorial limits that underlie the requirement of legitimacy in the exercise of the state’s power of adjudication”. Considered from this perspective, the adjudicative jurisdiction of courts and tribunals raises a constitutional law issue, in the same way as the extraterritorial applicability of provincial legislation. However, this does not have the effect of “turn[ing] every private international law issue into a constitutional one” (</w:t>
      </w:r>
      <w:r w:rsidRPr="00453883">
        <w:rPr>
          <w:rFonts w:cs="Times New Roman"/>
          <w:i/>
        </w:rPr>
        <w:t>Van Breda</w:t>
      </w:r>
      <w:r w:rsidRPr="00453883">
        <w:rPr>
          <w:rFonts w:cs="Times New Roman"/>
        </w:rPr>
        <w:t>, at para. 67).</w:t>
      </w:r>
    </w:p>
    <w:p w14:paraId="3656F536" w14:textId="77777777" w:rsidR="00453883" w:rsidRPr="00453883" w:rsidRDefault="00453883" w:rsidP="00453883">
      <w:pPr>
        <w:pStyle w:val="ParaNoNdepar-AltN"/>
        <w:spacing w:before="0"/>
        <w:rPr>
          <w:rFonts w:cs="Times New Roman"/>
        </w:rPr>
      </w:pPr>
      <w:r w:rsidRPr="00453883">
        <w:rPr>
          <w:rFonts w:cs="Times New Roman"/>
        </w:rPr>
        <w:t xml:space="preserve">The appellants’ argument in this case is that no provision of the </w:t>
      </w:r>
      <w:r w:rsidRPr="00453883">
        <w:rPr>
          <w:rFonts w:cs="Times New Roman"/>
          <w:i/>
        </w:rPr>
        <w:t>SA</w:t>
      </w:r>
      <w:r w:rsidRPr="00453883">
        <w:rPr>
          <w:rFonts w:cs="Times New Roman"/>
        </w:rPr>
        <w:t xml:space="preserve">, the </w:t>
      </w:r>
      <w:r w:rsidRPr="00453883">
        <w:rPr>
          <w:rFonts w:cs="Times New Roman"/>
          <w:i/>
        </w:rPr>
        <w:t>AAMF</w:t>
      </w:r>
      <w:r w:rsidRPr="00453883">
        <w:rPr>
          <w:rFonts w:cs="Times New Roman"/>
        </w:rPr>
        <w:t xml:space="preserve"> or the </w:t>
      </w:r>
      <w:r w:rsidRPr="00453883">
        <w:rPr>
          <w:rFonts w:cs="Times New Roman"/>
          <w:i/>
        </w:rPr>
        <w:t xml:space="preserve">C.C.Q. </w:t>
      </w:r>
      <w:r w:rsidRPr="00453883">
        <w:rPr>
          <w:rFonts w:cs="Times New Roman"/>
        </w:rPr>
        <w:t xml:space="preserve">gives the FMAT jurisdiction over them. From this standpoint, the appeals relate not to the extraterritorial applicability of the </w:t>
      </w:r>
      <w:r w:rsidRPr="00453883">
        <w:rPr>
          <w:rFonts w:cs="Times New Roman"/>
          <w:i/>
        </w:rPr>
        <w:t>SA</w:t>
      </w:r>
      <w:r w:rsidRPr="00453883">
        <w:rPr>
          <w:rFonts w:cs="Times New Roman"/>
        </w:rPr>
        <w:t xml:space="preserve"> but rather to the FMAT’s territorial jurisdiction under private international law.</w:t>
      </w:r>
    </w:p>
    <w:p w14:paraId="4109F501" w14:textId="77777777" w:rsidR="00453883" w:rsidRPr="00453883" w:rsidRDefault="00453883" w:rsidP="00453883">
      <w:pPr>
        <w:pStyle w:val="ParaNoNdepar-AltN"/>
        <w:spacing w:before="0"/>
        <w:rPr>
          <w:rFonts w:cs="Times New Roman"/>
        </w:rPr>
      </w:pPr>
      <w:r w:rsidRPr="00453883">
        <w:rPr>
          <w:rFonts w:cs="Times New Roman"/>
        </w:rPr>
        <w:t xml:space="preserve">I would add that the way the case was argued in the Quebec Superior Court confirms this approach. Before that court, the appellants Van Damme, Carnovale and Rocca again made the argument they had originally made, namely that the FMAT had no jurisdiction to hear the proceedings brought by the AMF. More particularly, they submitted that the FMAT had erred in basing its jurisdiction on ss. 93 and 94 </w:t>
      </w:r>
      <w:r w:rsidRPr="00453883">
        <w:rPr>
          <w:rFonts w:cs="Times New Roman"/>
          <w:i/>
        </w:rPr>
        <w:t>AAMF</w:t>
      </w:r>
      <w:r w:rsidRPr="00453883">
        <w:rPr>
          <w:rFonts w:cs="Times New Roman"/>
        </w:rPr>
        <w:t xml:space="preserve"> rather than on the </w:t>
      </w:r>
      <w:r w:rsidRPr="00453883">
        <w:rPr>
          <w:rFonts w:cs="Times New Roman"/>
          <w:i/>
        </w:rPr>
        <w:t>C.C.Q.</w:t>
      </w:r>
      <w:r w:rsidRPr="00453883">
        <w:rPr>
          <w:rFonts w:cs="Times New Roman"/>
        </w:rPr>
        <w:t xml:space="preserve">’s rules concerning the international jurisdiction of Quebec authorities. It is clear that the rules in the </w:t>
      </w:r>
      <w:r w:rsidRPr="00453883">
        <w:rPr>
          <w:rFonts w:cs="Times New Roman"/>
          <w:i/>
        </w:rPr>
        <w:t>C.C.Q.</w:t>
      </w:r>
      <w:r w:rsidRPr="00453883">
        <w:rPr>
          <w:rFonts w:cs="Times New Roman"/>
        </w:rPr>
        <w:t xml:space="preserve"> that apply in matters of private international law relate to the adjudicative jurisdiction of Quebec courts and tribunals, not to the legitimate exercise of the state’s legislative power. In contrast, ss. 93 and 94 </w:t>
      </w:r>
      <w:r w:rsidRPr="00453883">
        <w:rPr>
          <w:rFonts w:cs="Times New Roman"/>
          <w:i/>
        </w:rPr>
        <w:t>AAMF</w:t>
      </w:r>
      <w:r w:rsidRPr="00453883">
        <w:rPr>
          <w:rFonts w:cs="Times New Roman"/>
        </w:rPr>
        <w:t xml:space="preserve"> relate to subject</w:t>
      </w:r>
      <w:r w:rsidRPr="00453883">
        <w:rPr>
          <w:rFonts w:cs="Times New Roman"/>
        </w:rPr>
        <w:noBreakHyphen/>
        <w:t>matter jurisdiction to decide the AMF’s complaint on the merits, and here, as I said above, the FMAT’s subject</w:t>
      </w:r>
      <w:r w:rsidRPr="00453883">
        <w:rPr>
          <w:rFonts w:cs="Times New Roman"/>
        </w:rPr>
        <w:noBreakHyphen/>
        <w:t>matter jurisdiction is not in issue.</w:t>
      </w:r>
    </w:p>
    <w:p w14:paraId="3608FFC8" w14:textId="77777777" w:rsidR="00453883" w:rsidRPr="00453883" w:rsidRDefault="00453883" w:rsidP="00453883">
      <w:pPr>
        <w:pStyle w:val="ParaNoNdepar-AltN"/>
        <w:spacing w:before="0"/>
        <w:rPr>
          <w:rFonts w:cs="Times New Roman"/>
        </w:rPr>
      </w:pPr>
      <w:r w:rsidRPr="00453883">
        <w:rPr>
          <w:rFonts w:cs="Times New Roman"/>
        </w:rPr>
        <w:t xml:space="preserve">I acknowledge that the real and substantial connection test has several components, which may be confusing. It would probably have been preferable for the appellants to explain further that no provision of the </w:t>
      </w:r>
      <w:r w:rsidRPr="00453883">
        <w:rPr>
          <w:rFonts w:cs="Times New Roman"/>
          <w:i/>
        </w:rPr>
        <w:t>C.C.Q.</w:t>
      </w:r>
      <w:r w:rsidRPr="00453883">
        <w:rPr>
          <w:rFonts w:cs="Times New Roman"/>
        </w:rPr>
        <w:t xml:space="preserve"> could confer jurisdiction on the FMAT in this case. In my view, however, this in no way changes the essence of the declinatory exceptions raised, which clearly relate to the FMAT’s lack of territorial jurisdiction over the appellants. The proof of this is that neither Michel Plante, who, according to the application, is domiciled in Quebec, nor </w:t>
      </w:r>
      <w:proofErr w:type="gramStart"/>
      <w:r w:rsidRPr="00453883">
        <w:rPr>
          <w:rFonts w:cs="Times New Roman"/>
        </w:rPr>
        <w:t>Solo</w:t>
      </w:r>
      <w:proofErr w:type="gramEnd"/>
      <w:r w:rsidRPr="00453883">
        <w:rPr>
          <w:rFonts w:cs="Times New Roman"/>
        </w:rPr>
        <w:t>, which, according to the application, was a reporting issuer in Quebec and operated in Montréal, brought</w:t>
      </w:r>
      <w:r w:rsidRPr="00453883">
        <w:rPr>
          <w:rFonts w:eastAsiaTheme="minorHAnsi" w:cs="Times New Roman"/>
          <w:szCs w:val="24"/>
        </w:rPr>
        <w:t xml:space="preserve"> a motion for declinatory exception.</w:t>
      </w:r>
    </w:p>
    <w:p w14:paraId="12495C06" w14:textId="77777777" w:rsidR="00453883" w:rsidRPr="00453883" w:rsidRDefault="00453883" w:rsidP="00453883">
      <w:pPr>
        <w:pStyle w:val="ParaNoNdepar-AltN"/>
        <w:spacing w:before="0"/>
        <w:rPr>
          <w:rFonts w:cs="Times New Roman"/>
        </w:rPr>
      </w:pPr>
      <w:r w:rsidRPr="00453883">
        <w:rPr>
          <w:rFonts w:cs="Times New Roman"/>
        </w:rPr>
        <w:t xml:space="preserve">In short, the appellants’ motions — declinatory exceptions based on the FMAT’s lack of adjudicative jurisdiction — must be decided by applying the rules on the international jurisdiction of Quebec authorities set out in the </w:t>
      </w:r>
      <w:r w:rsidRPr="00453883">
        <w:rPr>
          <w:rFonts w:cs="Times New Roman"/>
          <w:i/>
        </w:rPr>
        <w:t>C.C.Q.</w:t>
      </w:r>
      <w:r w:rsidRPr="00453883">
        <w:rPr>
          <w:rFonts w:cs="Times New Roman"/>
        </w:rPr>
        <w:t xml:space="preserve"> </w:t>
      </w:r>
      <w:r w:rsidRPr="00453883">
        <w:rPr>
          <w:rFonts w:cs="Times New Roman"/>
          <w:i/>
        </w:rPr>
        <w:t>Unifund</w:t>
      </w:r>
      <w:r w:rsidRPr="00453883">
        <w:rPr>
          <w:rFonts w:cs="Times New Roman"/>
        </w:rPr>
        <w:t xml:space="preserve"> is not applicable here. As mentioned above, this Court had to determine in that case whether Ontario’s </w:t>
      </w:r>
      <w:r w:rsidRPr="00453883">
        <w:rPr>
          <w:rFonts w:cs="Times New Roman"/>
          <w:i/>
        </w:rPr>
        <w:t>Insurance Act</w:t>
      </w:r>
      <w:r w:rsidRPr="00453883">
        <w:rPr>
          <w:rFonts w:cs="Times New Roman"/>
        </w:rPr>
        <w:t xml:space="preserve"> gave Unifund a viable cause of action against the appellant, which was domiciled outside the province (see paras. 9, 14, 22, 27, 48 and 58</w:t>
      </w:r>
      <w:r w:rsidRPr="00453883">
        <w:rPr>
          <w:rFonts w:cs="Times New Roman"/>
        </w:rPr>
        <w:noBreakHyphen/>
        <w:t xml:space="preserve">81). Here, however, the issue is not whether the AMF has a viable statutory remedy against the appellants under the </w:t>
      </w:r>
      <w:r w:rsidRPr="00453883">
        <w:rPr>
          <w:rFonts w:cs="Times New Roman"/>
          <w:i/>
        </w:rPr>
        <w:t>SA</w:t>
      </w:r>
      <w:r w:rsidRPr="00453883">
        <w:rPr>
          <w:rFonts w:cs="Times New Roman"/>
        </w:rPr>
        <w:t>. Rather, the debate concerns the FMAT’s territorial jurisdiction over them.</w:t>
      </w:r>
    </w:p>
    <w:p w14:paraId="235C06C8" w14:textId="77777777" w:rsidR="00453883" w:rsidRPr="00453883" w:rsidRDefault="00453883" w:rsidP="00453883">
      <w:pPr>
        <w:pStyle w:val="ParaNoNdepar-AltN"/>
        <w:spacing w:before="0"/>
        <w:rPr>
          <w:rFonts w:cs="Times New Roman"/>
        </w:rPr>
      </w:pPr>
      <w:r w:rsidRPr="00453883">
        <w:rPr>
          <w:rFonts w:cs="Times New Roman"/>
        </w:rPr>
        <w:t xml:space="preserve">I pause here to point out that if the </w:t>
      </w:r>
      <w:r w:rsidRPr="00453883">
        <w:rPr>
          <w:rFonts w:cs="Times New Roman"/>
          <w:i/>
        </w:rPr>
        <w:t>C.C.Q.</w:t>
      </w:r>
      <w:r w:rsidRPr="00453883">
        <w:rPr>
          <w:rFonts w:cs="Times New Roman"/>
        </w:rPr>
        <w:t xml:space="preserve">’s rules of private international law did not apply, this dispute would have to be decided under the analytical framework set out in </w:t>
      </w:r>
      <w:r w:rsidRPr="00453883">
        <w:rPr>
          <w:rFonts w:cs="Times New Roman"/>
          <w:i/>
        </w:rPr>
        <w:t>Van Breda</w:t>
      </w:r>
      <w:r w:rsidRPr="00453883">
        <w:rPr>
          <w:rFonts w:cs="Times New Roman"/>
        </w:rPr>
        <w:t xml:space="preserve"> and not the one laid down in </w:t>
      </w:r>
      <w:r w:rsidRPr="00453883">
        <w:rPr>
          <w:rFonts w:cs="Times New Roman"/>
          <w:i/>
        </w:rPr>
        <w:t>Unifund</w:t>
      </w:r>
      <w:r w:rsidRPr="00453883">
        <w:rPr>
          <w:rFonts w:cs="Times New Roman"/>
        </w:rPr>
        <w:t xml:space="preserve">, since the FMAT’s territorial jurisdiction is the only issue here. This is so because what must be determined at the declinatory exception stage is not whether the </w:t>
      </w:r>
      <w:r w:rsidRPr="00453883">
        <w:rPr>
          <w:rFonts w:cs="Times New Roman"/>
          <w:i/>
        </w:rPr>
        <w:t>SA</w:t>
      </w:r>
      <w:r w:rsidRPr="00453883">
        <w:rPr>
          <w:rFonts w:cs="Times New Roman"/>
        </w:rPr>
        <w:t xml:space="preserve"> applies to the facts alleged but rather whether the FMAT has territorial jurisdiction in the proceedings brought by the AMF.</w:t>
      </w:r>
    </w:p>
    <w:p w14:paraId="1C7CEDC4" w14:textId="77777777" w:rsidR="00453883" w:rsidRPr="00453883" w:rsidRDefault="00453883" w:rsidP="00453883">
      <w:pPr>
        <w:pStyle w:val="Title2LevelTitre2Niveau"/>
        <w:numPr>
          <w:ilvl w:val="1"/>
          <w:numId w:val="24"/>
        </w:numPr>
        <w:spacing w:before="0"/>
        <w:jc w:val="both"/>
        <w:rPr>
          <w:rFonts w:cs="Times New Roman"/>
        </w:rPr>
      </w:pPr>
      <w:r w:rsidRPr="00453883">
        <w:rPr>
          <w:rFonts w:cs="Times New Roman"/>
        </w:rPr>
        <w:t xml:space="preserve">The </w:t>
      </w:r>
      <w:r w:rsidRPr="00453883">
        <w:rPr>
          <w:rFonts w:cs="Times New Roman"/>
          <w:iCs/>
        </w:rPr>
        <w:t xml:space="preserve">C.C.Q.’s Rules on the International Jurisdiction of Quebec Authorities Apply to Administrative Proceedings Before the </w:t>
      </w:r>
      <w:r w:rsidRPr="00453883">
        <w:rPr>
          <w:rFonts w:cs="Times New Roman"/>
        </w:rPr>
        <w:t>FMAT</w:t>
      </w:r>
    </w:p>
    <w:p w14:paraId="7FBA3A23" w14:textId="77777777" w:rsidR="00453883" w:rsidRPr="00453883" w:rsidRDefault="00453883" w:rsidP="00453883">
      <w:pPr>
        <w:pStyle w:val="ParaNoNdepar-AltN"/>
        <w:spacing w:before="0"/>
        <w:rPr>
          <w:rFonts w:cs="Times New Roman"/>
        </w:rPr>
      </w:pPr>
      <w:r w:rsidRPr="00453883">
        <w:rPr>
          <w:rFonts w:cs="Times New Roman"/>
        </w:rPr>
        <w:t xml:space="preserve">The rules of private international law set out in the </w:t>
      </w:r>
      <w:r w:rsidRPr="00453883">
        <w:rPr>
          <w:rFonts w:cs="Times New Roman"/>
          <w:i/>
        </w:rPr>
        <w:t>C.C.Q.</w:t>
      </w:r>
      <w:r w:rsidRPr="00453883">
        <w:rPr>
          <w:rFonts w:cs="Times New Roman"/>
        </w:rPr>
        <w:t xml:space="preserve"> apply to all proceedings that may be heard by Quebec authorities pursuant to the jurisdiction conferred on the province by the Constitution. Accordingly, the rules in Title Three of Book Ten of the </w:t>
      </w:r>
      <w:r w:rsidRPr="00453883">
        <w:rPr>
          <w:rFonts w:cs="Times New Roman"/>
          <w:i/>
          <w:iCs/>
        </w:rPr>
        <w:t>C.C.Q.</w:t>
      </w:r>
      <w:r w:rsidRPr="00453883">
        <w:rPr>
          <w:rFonts w:cs="Times New Roman"/>
          <w:iCs/>
        </w:rPr>
        <w:t xml:space="preserve"> must be considered here unless a special law complements, makes exceptions to or derogates from them</w:t>
      </w:r>
      <w:r w:rsidRPr="00453883">
        <w:rPr>
          <w:rFonts w:cs="Times New Roman"/>
        </w:rPr>
        <w:t>.</w:t>
      </w:r>
    </w:p>
    <w:p w14:paraId="26554AED" w14:textId="77777777" w:rsidR="00453883" w:rsidRPr="00453883" w:rsidRDefault="00453883" w:rsidP="00453883">
      <w:pPr>
        <w:pStyle w:val="ParaNoNdepar-AltN"/>
        <w:spacing w:before="0"/>
        <w:rPr>
          <w:rFonts w:cs="Times New Roman"/>
        </w:rPr>
      </w:pPr>
      <w:r w:rsidRPr="00453883">
        <w:rPr>
          <w:rFonts w:cs="Times New Roman"/>
        </w:rPr>
        <w:t xml:space="preserve">The AMF submits that Book Ten of the </w:t>
      </w:r>
      <w:r w:rsidRPr="00453883">
        <w:rPr>
          <w:rFonts w:cs="Times New Roman"/>
          <w:i/>
        </w:rPr>
        <w:t>C.C.Q.</w:t>
      </w:r>
      <w:r w:rsidRPr="00453883">
        <w:rPr>
          <w:rFonts w:cs="Times New Roman"/>
        </w:rPr>
        <w:t xml:space="preserve"> is not applicable because the FMAT’s jurisdiction is a matter of public law. More specifically, it argues that [</w:t>
      </w:r>
      <w:r w:rsidRPr="00453883">
        <w:rPr>
          <w:rFonts w:cs="Times New Roman"/>
          <w:smallCaps/>
        </w:rPr>
        <w:t>translation</w:t>
      </w:r>
      <w:r w:rsidRPr="00453883">
        <w:rPr>
          <w:rFonts w:cs="Times New Roman"/>
        </w:rPr>
        <w:t>] “the absence of any specific reference in the [</w:t>
      </w:r>
      <w:r w:rsidRPr="00453883">
        <w:rPr>
          <w:rFonts w:cs="Times New Roman"/>
          <w:i/>
        </w:rPr>
        <w:t>C.C.Q.</w:t>
      </w:r>
      <w:r w:rsidRPr="00453883">
        <w:rPr>
          <w:rFonts w:cs="Times New Roman"/>
        </w:rPr>
        <w:t xml:space="preserve">] to the administrative proceedings that may be brought before the </w:t>
      </w:r>
      <w:proofErr w:type="gramStart"/>
      <w:r w:rsidRPr="00453883">
        <w:rPr>
          <w:rFonts w:cs="Times New Roman"/>
        </w:rPr>
        <w:t>FMAT .</w:t>
      </w:r>
      <w:proofErr w:type="gramEnd"/>
      <w:r w:rsidRPr="00453883">
        <w:rPr>
          <w:rFonts w:cs="Times New Roman"/>
        </w:rPr>
        <w:t> . . clearly indicates that the legislature deliberately planned not to include them. An analysis of the provisions of Book Ten of the [</w:t>
      </w:r>
      <w:r w:rsidRPr="00453883">
        <w:rPr>
          <w:rFonts w:cs="Times New Roman"/>
          <w:i/>
        </w:rPr>
        <w:t>C.C.Q.</w:t>
      </w:r>
      <w:r w:rsidRPr="00453883">
        <w:rPr>
          <w:rFonts w:cs="Times New Roman"/>
        </w:rPr>
        <w:t xml:space="preserve">] . . . demonstrates that the legislature intends the rules of private international law to apply only to matters of a strictly private nature” (R.F., at para. 52). The majority of the Court of Appeal was persuaded by this argument. With respect, and like my colleagues, I cannot accept it, since this position creates a dichotomy between public law and private law for which there is no support in Book Ten of the </w:t>
      </w:r>
      <w:r w:rsidRPr="00453883">
        <w:rPr>
          <w:rStyle w:val="ui-provider"/>
          <w:rFonts w:cs="Times New Roman"/>
          <w:i/>
          <w:iCs/>
        </w:rPr>
        <w:t>C.C.Q.</w:t>
      </w:r>
    </w:p>
    <w:p w14:paraId="31282377" w14:textId="77777777" w:rsidR="00453883" w:rsidRPr="00453883" w:rsidRDefault="00453883" w:rsidP="00453883">
      <w:pPr>
        <w:pStyle w:val="ParaNoNdepar-AltN"/>
        <w:spacing w:before="0"/>
        <w:rPr>
          <w:rFonts w:cs="Times New Roman"/>
        </w:rPr>
      </w:pPr>
      <w:r w:rsidRPr="00453883">
        <w:rPr>
          <w:rFonts w:cs="Times New Roman"/>
        </w:rPr>
        <w:t xml:space="preserve">It is common ground that the </w:t>
      </w:r>
      <w:r w:rsidRPr="00453883">
        <w:rPr>
          <w:rFonts w:cs="Times New Roman"/>
          <w:i/>
        </w:rPr>
        <w:t>C.C.Q.</w:t>
      </w:r>
      <w:r w:rsidRPr="00453883">
        <w:rPr>
          <w:rFonts w:cs="Times New Roman"/>
        </w:rPr>
        <w:t xml:space="preserve"> lays down the </w:t>
      </w:r>
      <w:r w:rsidRPr="00453883">
        <w:rPr>
          <w:rFonts w:cs="Times New Roman"/>
          <w:i/>
        </w:rPr>
        <w:t>jus commune</w:t>
      </w:r>
      <w:r w:rsidRPr="00453883">
        <w:rPr>
          <w:rFonts w:cs="Times New Roman"/>
        </w:rPr>
        <w:t xml:space="preserve"> in Quebec. Its preliminary provision used to read as follows:</w:t>
      </w:r>
      <w:r w:rsidRPr="001C2DEE">
        <w:rPr>
          <w:rStyle w:val="Hyperlink"/>
          <w:vertAlign w:val="superscript"/>
        </w:rPr>
        <w:footnoteReference w:id="8"/>
      </w:r>
    </w:p>
    <w:p w14:paraId="6BE55D00" w14:textId="77777777" w:rsidR="00453883" w:rsidRPr="00453883" w:rsidRDefault="00453883" w:rsidP="00453883">
      <w:pPr>
        <w:pStyle w:val="Citation-AltC"/>
        <w:tabs>
          <w:tab w:val="left" w:pos="1440"/>
        </w:tabs>
        <w:spacing w:after="240"/>
        <w:contextualSpacing w:val="0"/>
        <w:rPr>
          <w:lang w:eastAsia="en-US"/>
        </w:rPr>
      </w:pPr>
      <w:r w:rsidRPr="00453883">
        <w:rPr>
          <w:lang w:eastAsia="en-US"/>
        </w:rPr>
        <w:tab/>
        <w:t>The Civil Code of Québec, in harmony with the Charter of human rights and freedoms (chapter C</w:t>
      </w:r>
      <w:r w:rsidRPr="00453883">
        <w:rPr>
          <w:lang w:eastAsia="en-US"/>
        </w:rPr>
        <w:noBreakHyphen/>
        <w:t>12) and the general principles of law, governs persons, relations between persons, and property.</w:t>
      </w:r>
    </w:p>
    <w:p w14:paraId="592DC1DC" w14:textId="77777777" w:rsidR="00453883" w:rsidRPr="00453883" w:rsidRDefault="00453883" w:rsidP="00453883">
      <w:pPr>
        <w:pStyle w:val="Citation-AltC"/>
        <w:contextualSpacing w:val="0"/>
        <w:rPr>
          <w:lang w:eastAsia="en-US"/>
        </w:rPr>
      </w:pPr>
      <w:r w:rsidRPr="00453883">
        <w:rPr>
          <w:lang w:eastAsia="en-US"/>
        </w:rPr>
        <w:tab/>
        <w:t>The Civil Code comprises a body of rules which, in all matters within the letter, spirit or object of its provisions, lays down the jus commune, expressly or by implication. In these matters, the Code is the foundation of all other laws, although other laws may complement the Code or make exceptions to it.</w:t>
      </w:r>
    </w:p>
    <w:p w14:paraId="4B72EE50" w14:textId="77777777" w:rsidR="00453883" w:rsidRPr="00453883" w:rsidRDefault="00453883" w:rsidP="00453883">
      <w:pPr>
        <w:pStyle w:val="ParaNoNdepar-AltN"/>
        <w:rPr>
          <w:rFonts w:cs="Times New Roman"/>
          <w:lang w:val="en-US"/>
        </w:rPr>
      </w:pPr>
      <w:r w:rsidRPr="00453883">
        <w:rPr>
          <w:rFonts w:cs="Times New Roman"/>
          <w:lang w:val="en-US"/>
        </w:rPr>
        <w:t xml:space="preserve">The point of disagreement with the majority of the Court of Appeal relates to the scope of Book Ten in matters of public law. Nothing in the language of Title Three of Book Ten of the </w:t>
      </w:r>
      <w:r w:rsidRPr="00453883">
        <w:rPr>
          <w:rFonts w:cs="Times New Roman"/>
          <w:i/>
          <w:iCs/>
          <w:lang w:val="en-US"/>
        </w:rPr>
        <w:t>C.C.Q.</w:t>
      </w:r>
      <w:r w:rsidRPr="00453883">
        <w:rPr>
          <w:rFonts w:cs="Times New Roman"/>
          <w:lang w:val="en-US"/>
        </w:rPr>
        <w:t xml:space="preserve"> supports the distinction between private law and public law proposed by the AMF and accepted by the majority of the Court of Appeal. My colleagues are of the opinion that Book Ten of the </w:t>
      </w:r>
      <w:r w:rsidRPr="00453883">
        <w:rPr>
          <w:rFonts w:cs="Times New Roman"/>
          <w:i/>
          <w:lang w:val="en-US"/>
        </w:rPr>
        <w:t>C.C.Q.</w:t>
      </w:r>
      <w:r w:rsidRPr="00453883">
        <w:rPr>
          <w:rFonts w:cs="Times New Roman"/>
          <w:lang w:val="en-US"/>
        </w:rPr>
        <w:t xml:space="preserve"> is the appropriate starting point for analyzing the international jurisdiction of Quebec authorities, but they emphasize a distinction that, with respect, is in my view completely irrelevant. They refer to the </w:t>
      </w:r>
      <w:r w:rsidRPr="00453883">
        <w:rPr>
          <w:rFonts w:cs="Times New Roman"/>
          <w:i/>
          <w:lang w:val="en-US"/>
        </w:rPr>
        <w:t>SA</w:t>
      </w:r>
      <w:r w:rsidRPr="00453883">
        <w:rPr>
          <w:rFonts w:cs="Times New Roman"/>
          <w:lang w:val="en-US"/>
        </w:rPr>
        <w:t xml:space="preserve"> as having a “hybrid character” because it has a </w:t>
      </w:r>
      <w:r w:rsidRPr="00453883">
        <w:rPr>
          <w:rFonts w:cs="Times New Roman"/>
        </w:rPr>
        <w:t>fundamentally regulatory orientation but also has a title dealing with civil actions (paras. 7 and 67).</w:t>
      </w:r>
      <w:r w:rsidRPr="00453883">
        <w:rPr>
          <w:rFonts w:cs="Times New Roman"/>
          <w:lang w:val="en-US"/>
        </w:rPr>
        <w:t xml:space="preserve"> However, </w:t>
      </w:r>
      <w:r w:rsidRPr="00453883">
        <w:rPr>
          <w:rFonts w:cs="Times New Roman"/>
        </w:rPr>
        <w:t xml:space="preserve">both the regulatory law aspect and the civil law aspect are included in the </w:t>
      </w:r>
      <w:r w:rsidRPr="00453883">
        <w:rPr>
          <w:rFonts w:cs="Times New Roman"/>
          <w:i/>
        </w:rPr>
        <w:t>jus commune</w:t>
      </w:r>
      <w:r w:rsidRPr="00453883">
        <w:rPr>
          <w:rFonts w:cs="Times New Roman"/>
        </w:rPr>
        <w:t>, which means that focusing on this “hybrid character” sheds no light on the question before us.</w:t>
      </w:r>
    </w:p>
    <w:p w14:paraId="132D414A" w14:textId="77777777" w:rsidR="00453883" w:rsidRPr="00453883" w:rsidRDefault="00453883" w:rsidP="00453883">
      <w:pPr>
        <w:pStyle w:val="ParaNoNdepar-AltN"/>
        <w:rPr>
          <w:rFonts w:cs="Times New Roman"/>
        </w:rPr>
      </w:pPr>
      <w:r w:rsidRPr="00453883">
        <w:rPr>
          <w:rFonts w:cs="Times New Roman"/>
        </w:rPr>
        <w:t xml:space="preserve">The AMF’s argument and my colleagues’ emphasis on “the hybridity” of the </w:t>
      </w:r>
      <w:r w:rsidRPr="00453883">
        <w:rPr>
          <w:rFonts w:cs="Times New Roman"/>
          <w:i/>
        </w:rPr>
        <w:t>SA</w:t>
      </w:r>
      <w:r w:rsidRPr="00453883">
        <w:rPr>
          <w:rFonts w:cs="Times New Roman"/>
        </w:rPr>
        <w:t xml:space="preserve"> also conflict with the commentary of Quebec’s Minister of Justice stating that the purpose of the rules in Book Ten of the </w:t>
      </w:r>
      <w:r w:rsidRPr="00453883">
        <w:rPr>
          <w:rFonts w:cs="Times New Roman"/>
          <w:i/>
        </w:rPr>
        <w:t>C.C.Q.</w:t>
      </w:r>
      <w:r w:rsidRPr="00453883">
        <w:rPr>
          <w:rFonts w:cs="Times New Roman"/>
        </w:rPr>
        <w:t xml:space="preserve"> is to establish the international jurisdiction of Quebec authorities:</w:t>
      </w:r>
    </w:p>
    <w:p w14:paraId="4A2E7FA3" w14:textId="77777777" w:rsidR="00453883" w:rsidRPr="00453883" w:rsidRDefault="00453883" w:rsidP="00453883">
      <w:pPr>
        <w:pStyle w:val="Citation-AltC"/>
        <w:tabs>
          <w:tab w:val="left" w:pos="1440"/>
        </w:tabs>
        <w:spacing w:after="240"/>
        <w:ind w:firstLine="4"/>
        <w:contextualSpacing w:val="0"/>
        <w:rPr>
          <w:szCs w:val="24"/>
        </w:rPr>
      </w:pPr>
      <w:r w:rsidRPr="00453883">
        <w:rPr>
          <w:szCs w:val="24"/>
        </w:rPr>
        <w:tab/>
        <w:t>[</w:t>
      </w:r>
      <w:r w:rsidRPr="00453883">
        <w:rPr>
          <w:smallCaps/>
          <w:szCs w:val="24"/>
        </w:rPr>
        <w:t>translation</w:t>
      </w:r>
      <w:r w:rsidRPr="00453883">
        <w:rPr>
          <w:szCs w:val="24"/>
        </w:rPr>
        <w:t xml:space="preserve">] </w:t>
      </w:r>
      <w:r w:rsidRPr="00453883">
        <w:rPr>
          <w:szCs w:val="24"/>
          <w:u w:val="single"/>
        </w:rPr>
        <w:t>Since there were no rules</w:t>
      </w:r>
      <w:r w:rsidRPr="00453883">
        <w:rPr>
          <w:szCs w:val="24"/>
        </w:rPr>
        <w:t xml:space="preserve"> for determining whether Quebec authorities had jurisdiction over disputes with a foreign element, the courts had extended the domestic law rules of jurisdiction provided for in the Code of Civil Procedure to such situations.</w:t>
      </w:r>
    </w:p>
    <w:p w14:paraId="74E35C30" w14:textId="77777777" w:rsidR="00453883" w:rsidRPr="00453883" w:rsidRDefault="00453883" w:rsidP="00453883">
      <w:pPr>
        <w:pStyle w:val="Citation-AltC"/>
        <w:tabs>
          <w:tab w:val="left" w:pos="1440"/>
        </w:tabs>
        <w:spacing w:after="240"/>
        <w:ind w:firstLine="4"/>
        <w:contextualSpacing w:val="0"/>
        <w:rPr>
          <w:szCs w:val="24"/>
        </w:rPr>
      </w:pPr>
      <w:r w:rsidRPr="00453883">
        <w:rPr>
          <w:szCs w:val="24"/>
        </w:rPr>
        <w:tab/>
        <w:t xml:space="preserve">The general objective of Title Three </w:t>
      </w:r>
      <w:r w:rsidRPr="00453883">
        <w:rPr>
          <w:szCs w:val="24"/>
          <w:u w:val="single"/>
        </w:rPr>
        <w:t>is to remedy this deficiency</w:t>
      </w:r>
      <w:r w:rsidRPr="00453883">
        <w:rPr>
          <w:szCs w:val="24"/>
        </w:rPr>
        <w:t xml:space="preserve"> by establishing specific rules for determining the international jurisdiction of Quebec authorities — </w:t>
      </w:r>
      <w:r w:rsidRPr="00453883">
        <w:rPr>
          <w:szCs w:val="24"/>
          <w:u w:val="single"/>
        </w:rPr>
        <w:t>courts, administrative tribunals and various administrative authorities</w:t>
      </w:r>
      <w:r w:rsidRPr="00453883">
        <w:rPr>
          <w:szCs w:val="24"/>
        </w:rPr>
        <w:t xml:space="preserve">. It is divided into two chapters, one containing general provisions and the other containing specific provisions for personal matters of an extrapatrimonial or patrimonial nature and for real and mixed matters. The rules are generally </w:t>
      </w:r>
      <w:r w:rsidRPr="00453883">
        <w:rPr>
          <w:szCs w:val="24"/>
          <w:u w:val="single"/>
        </w:rPr>
        <w:t>meant</w:t>
      </w:r>
      <w:r w:rsidRPr="00453883">
        <w:rPr>
          <w:szCs w:val="24"/>
        </w:rPr>
        <w:t xml:space="preserve"> to give Quebec authorities jurisdiction </w:t>
      </w:r>
      <w:r w:rsidRPr="00453883">
        <w:rPr>
          <w:szCs w:val="24"/>
          <w:u w:val="single"/>
        </w:rPr>
        <w:t>only where disputes are closely connected with them</w:t>
      </w:r>
      <w:r w:rsidRPr="00453883">
        <w:rPr>
          <w:szCs w:val="24"/>
        </w:rPr>
        <w:t>, out of concern for international comity.</w:t>
      </w:r>
    </w:p>
    <w:p w14:paraId="5154A4AF" w14:textId="77777777" w:rsidR="00453883" w:rsidRPr="00AF6C9B" w:rsidRDefault="00453883" w:rsidP="00453883">
      <w:pPr>
        <w:pStyle w:val="Citation-AltC"/>
        <w:tabs>
          <w:tab w:val="left" w:pos="1440"/>
        </w:tabs>
        <w:spacing w:after="240"/>
        <w:ind w:firstLine="4"/>
        <w:contextualSpacing w:val="0"/>
        <w:rPr>
          <w:szCs w:val="24"/>
          <w:lang w:val="fr-CA"/>
        </w:rPr>
      </w:pPr>
      <w:r w:rsidRPr="00453883">
        <w:rPr>
          <w:szCs w:val="24"/>
        </w:rPr>
        <w:tab/>
        <w:t xml:space="preserve">The term </w:t>
      </w:r>
      <w:r w:rsidRPr="00453883">
        <w:rPr>
          <w:i/>
          <w:iCs/>
          <w:szCs w:val="24"/>
        </w:rPr>
        <w:t>authority</w:t>
      </w:r>
      <w:r w:rsidRPr="00453883">
        <w:rPr>
          <w:iCs/>
          <w:szCs w:val="24"/>
        </w:rPr>
        <w:t xml:space="preserve"> was chosen rather than</w:t>
      </w:r>
      <w:r w:rsidRPr="00453883">
        <w:rPr>
          <w:szCs w:val="24"/>
        </w:rPr>
        <w:t xml:space="preserve"> </w:t>
      </w:r>
      <w:r w:rsidRPr="00453883">
        <w:rPr>
          <w:i/>
          <w:iCs/>
          <w:szCs w:val="24"/>
        </w:rPr>
        <w:t>court</w:t>
      </w:r>
      <w:r w:rsidRPr="00453883">
        <w:rPr>
          <w:iCs/>
          <w:szCs w:val="24"/>
        </w:rPr>
        <w:t xml:space="preserve"> in order to encompass judicial, administrative and even ecclesiastical bodies, for example. However, an authority is an authority only if it is considered as such by Quebec law. In addition, the traditional expression</w:t>
      </w:r>
      <w:r w:rsidRPr="00453883">
        <w:rPr>
          <w:szCs w:val="24"/>
        </w:rPr>
        <w:t xml:space="preserve"> </w:t>
      </w:r>
      <w:r w:rsidRPr="00453883">
        <w:rPr>
          <w:i/>
          <w:iCs/>
          <w:szCs w:val="24"/>
        </w:rPr>
        <w:t>conflict of jurisdiction</w:t>
      </w:r>
      <w:r w:rsidRPr="00453883">
        <w:rPr>
          <w:iCs/>
          <w:szCs w:val="24"/>
        </w:rPr>
        <w:t xml:space="preserve"> was not used, because the purpose here is solely to determine </w:t>
      </w:r>
      <w:r w:rsidRPr="00453883">
        <w:rPr>
          <w:szCs w:val="24"/>
        </w:rPr>
        <w:t xml:space="preserve">the cases in which Quebec authorities will have jurisdiction to hear a dispute with a foreign element, not the cases in which foreign authorities will have jurisdiction. </w:t>
      </w:r>
      <w:r w:rsidRPr="00AF6C9B">
        <w:rPr>
          <w:szCs w:val="24"/>
          <w:lang w:val="fr-CA"/>
        </w:rPr>
        <w:t>[Underlining added.]</w:t>
      </w:r>
    </w:p>
    <w:p w14:paraId="373EA22B" w14:textId="77777777" w:rsidR="00453883" w:rsidRPr="00AF6C9B" w:rsidRDefault="00453883" w:rsidP="00453883">
      <w:pPr>
        <w:pStyle w:val="Citation-AltC"/>
        <w:ind w:hanging="360"/>
        <w:contextualSpacing w:val="0"/>
        <w:rPr>
          <w:szCs w:val="24"/>
          <w:lang w:val="fr-CA"/>
        </w:rPr>
      </w:pPr>
      <w:r w:rsidRPr="00AF6C9B">
        <w:rPr>
          <w:szCs w:val="24"/>
          <w:lang w:val="fr-CA"/>
        </w:rPr>
        <w:tab/>
        <w:t xml:space="preserve">(Ministère de la Justice, </w:t>
      </w:r>
      <w:r w:rsidRPr="00AF6C9B">
        <w:rPr>
          <w:i/>
          <w:iCs/>
          <w:szCs w:val="24"/>
          <w:lang w:val="fr-CA"/>
        </w:rPr>
        <w:t>Commentaires du ministre de la Justice</w:t>
      </w:r>
      <w:r w:rsidRPr="00AF6C9B">
        <w:rPr>
          <w:szCs w:val="24"/>
          <w:lang w:val="fr-CA"/>
        </w:rPr>
        <w:t xml:space="preserve">, vol. II, </w:t>
      </w:r>
      <w:r w:rsidRPr="00AF6C9B">
        <w:rPr>
          <w:i/>
          <w:szCs w:val="24"/>
          <w:lang w:val="fr-CA"/>
        </w:rPr>
        <w:t>Le Code civil du Québec — Un mouvement de société</w:t>
      </w:r>
      <w:r w:rsidRPr="00AF6C9B">
        <w:rPr>
          <w:szCs w:val="24"/>
          <w:lang w:val="fr-CA"/>
        </w:rPr>
        <w:t xml:space="preserve"> (1993), at p. 1998)</w:t>
      </w:r>
    </w:p>
    <w:p w14:paraId="78E0283B" w14:textId="77777777" w:rsidR="00453883" w:rsidRPr="00453883" w:rsidRDefault="00453883" w:rsidP="00453883">
      <w:pPr>
        <w:pStyle w:val="ParaNoNdepar-AltN"/>
        <w:rPr>
          <w:rFonts w:cs="Times New Roman"/>
        </w:rPr>
      </w:pPr>
      <w:r w:rsidRPr="00453883">
        <w:rPr>
          <w:rFonts w:cs="Times New Roman"/>
        </w:rPr>
        <w:t xml:space="preserve">The statements made by the Minister of Justice make it clear that Title Three of Book Ten of the </w:t>
      </w:r>
      <w:r w:rsidRPr="00453883">
        <w:rPr>
          <w:rFonts w:cs="Times New Roman"/>
          <w:i/>
        </w:rPr>
        <w:t>C.C.Q.</w:t>
      </w:r>
      <w:r w:rsidRPr="00453883">
        <w:rPr>
          <w:rFonts w:cs="Times New Roman"/>
        </w:rPr>
        <w:t xml:space="preserve"> is the sole starting point for determining the international jurisdiction of Quebec authorities, regardless of whether they apply a purely regulatory scheme or a scheme with regulatory and civil aspects. I repeat that [</w:t>
      </w:r>
      <w:r w:rsidRPr="00453883">
        <w:rPr>
          <w:rFonts w:cs="Times New Roman"/>
          <w:smallCaps/>
        </w:rPr>
        <w:t>translation</w:t>
      </w:r>
      <w:r w:rsidRPr="00453883">
        <w:rPr>
          <w:rFonts w:cs="Times New Roman"/>
        </w:rPr>
        <w:t>] “the rules on international jurisdiction are substantive rules for determining whether Quebec courts or tribunals have jurisdiction to hear a dispute” (Ferland and Laganière, at p. 303). Whether or not the Quebec court or tribunal has “hybrid” jurisdiction changes absolutely nothing.</w:t>
      </w:r>
    </w:p>
    <w:p w14:paraId="4A744CC1" w14:textId="77777777" w:rsidR="00453883" w:rsidRPr="00453883" w:rsidRDefault="00453883" w:rsidP="00453883">
      <w:pPr>
        <w:pStyle w:val="ParaNoNdepar-AltN"/>
        <w:spacing w:before="0"/>
        <w:rPr>
          <w:rFonts w:cs="Times New Roman"/>
        </w:rPr>
      </w:pPr>
      <w:r w:rsidRPr="00453883">
        <w:rPr>
          <w:rFonts w:cs="Times New Roman"/>
        </w:rPr>
        <w:t xml:space="preserve">Moreover, I would note that the very wording of Book Ten indicates that it applies to certain public law matters. One such matter is the enforcement of obligations arising from the taxation laws of a foreign state (arts. 3155(6) and 3162 </w:t>
      </w:r>
      <w:r w:rsidRPr="00453883">
        <w:rPr>
          <w:rFonts w:cs="Times New Roman"/>
          <w:i/>
        </w:rPr>
        <w:t>C.C.Q.</w:t>
      </w:r>
      <w:r w:rsidRPr="00453883">
        <w:rPr>
          <w:rFonts w:cs="Times New Roman"/>
        </w:rPr>
        <w:t xml:space="preserve">). The traditional position is that obligations of this kind are not enforceable in Canada, including in Quebec. For example, in </w:t>
      </w:r>
      <w:r w:rsidRPr="00453883">
        <w:rPr>
          <w:rFonts w:cs="Times New Roman"/>
          <w:i/>
        </w:rPr>
        <w:t>United States of America v. Harden</w:t>
      </w:r>
      <w:r w:rsidRPr="00453883">
        <w:rPr>
          <w:rFonts w:cs="Times New Roman"/>
        </w:rPr>
        <w:t xml:space="preserve">, [1963] S.C.R. 366, this Court refused to enforce a tax debt arising from a decision rendered by an American court. This same principle is codified in art. 3155(6) </w:t>
      </w:r>
      <w:r w:rsidRPr="00453883">
        <w:rPr>
          <w:rFonts w:cs="Times New Roman"/>
          <w:i/>
        </w:rPr>
        <w:t>C.C.Q.</w:t>
      </w:r>
      <w:r w:rsidRPr="00453883">
        <w:rPr>
          <w:rFonts w:cs="Times New Roman"/>
        </w:rPr>
        <w:t xml:space="preserve"> However, under art. 3162 </w:t>
      </w:r>
      <w:r w:rsidRPr="00453883">
        <w:rPr>
          <w:rFonts w:cs="Times New Roman"/>
          <w:i/>
        </w:rPr>
        <w:t>C.C.Q.</w:t>
      </w:r>
      <w:r w:rsidRPr="00453883">
        <w:rPr>
          <w:rFonts w:cs="Times New Roman"/>
        </w:rPr>
        <w:t xml:space="preserve">, the rules of private international law allow the recognition of obligations resulting from foreign taxation laws if there is a reciprocity mechanism between Quebec and the foreign state. Of course, this presupposes the existence of a foreign court with jurisdiction to decide the dispute, in accordance with </w:t>
      </w:r>
      <w:r w:rsidRPr="00453883">
        <w:rPr>
          <w:rFonts w:cs="Times New Roman"/>
          <w:bCs/>
          <w:szCs w:val="24"/>
        </w:rPr>
        <w:t xml:space="preserve">Title Three of Book Ten of the </w:t>
      </w:r>
      <w:r w:rsidRPr="00453883">
        <w:rPr>
          <w:rFonts w:cs="Times New Roman"/>
          <w:bCs/>
          <w:i/>
          <w:szCs w:val="24"/>
        </w:rPr>
        <w:t>C.C.Q.</w:t>
      </w:r>
      <w:r w:rsidRPr="00453883">
        <w:rPr>
          <w:rFonts w:cs="Times New Roman"/>
          <w:bCs/>
          <w:szCs w:val="24"/>
        </w:rPr>
        <w:t xml:space="preserve">, as provided for in art. 3164 </w:t>
      </w:r>
      <w:r w:rsidRPr="00453883">
        <w:rPr>
          <w:rFonts w:cs="Times New Roman"/>
          <w:bCs/>
          <w:i/>
          <w:szCs w:val="24"/>
        </w:rPr>
        <w:t>C.C.Q.</w:t>
      </w:r>
      <w:r w:rsidRPr="00453883">
        <w:rPr>
          <w:rFonts w:cs="Times New Roman"/>
          <w:bCs/>
          <w:szCs w:val="24"/>
        </w:rPr>
        <w:t xml:space="preserve"> Therefore, and contrary to what the AMF argues, the foregoing clearly shows that the legislature intended </w:t>
      </w:r>
      <w:r w:rsidRPr="00453883">
        <w:rPr>
          <w:rFonts w:cs="Times New Roman"/>
        </w:rPr>
        <w:t xml:space="preserve">Title Three of Book Ten of the </w:t>
      </w:r>
      <w:r w:rsidRPr="00453883">
        <w:rPr>
          <w:rFonts w:cs="Times New Roman"/>
          <w:i/>
        </w:rPr>
        <w:t>C.C.Q.</w:t>
      </w:r>
      <w:r w:rsidRPr="00453883">
        <w:rPr>
          <w:rFonts w:cs="Times New Roman"/>
        </w:rPr>
        <w:t xml:space="preserve"> to apply to jurisdictional issues of </w:t>
      </w:r>
      <w:r w:rsidRPr="00453883">
        <w:rPr>
          <w:rFonts w:cs="Times New Roman"/>
          <w:bCs/>
          <w:szCs w:val="24"/>
        </w:rPr>
        <w:t>public law.</w:t>
      </w:r>
    </w:p>
    <w:p w14:paraId="6AB1628D" w14:textId="77777777" w:rsidR="00453883" w:rsidRPr="00453883" w:rsidRDefault="00453883" w:rsidP="00453883">
      <w:pPr>
        <w:pStyle w:val="ParaNoNdepar-AltN"/>
        <w:spacing w:before="0"/>
        <w:rPr>
          <w:rFonts w:cs="Times New Roman"/>
        </w:rPr>
      </w:pPr>
      <w:r w:rsidRPr="00453883">
        <w:rPr>
          <w:rFonts w:cs="Times New Roman"/>
        </w:rPr>
        <w:t xml:space="preserve">It would be incongruous to find that the provisions of Title Three can ground the jurisdiction of a foreign authority dealing with a public law issue, but not the jurisdiction of a Quebec authority </w:t>
      </w:r>
      <w:r w:rsidRPr="00453883">
        <w:rPr>
          <w:rFonts w:cs="Times New Roman"/>
          <w:szCs w:val="24"/>
        </w:rPr>
        <w:t>dealing with such an issue. Moreover, Quebec private international law generally recognizes the mirror principle, according to which “[t]he foreign authority is deemed to have jurisdiction if the Quebec court would, by applying its own rules, have accepted jurisdiction in the same situation” (</w:t>
      </w:r>
      <w:r w:rsidRPr="00453883">
        <w:rPr>
          <w:rFonts w:cs="Times New Roman"/>
          <w:i/>
          <w:szCs w:val="24"/>
        </w:rPr>
        <w:t>Canada Post Corp. v. Lépine</w:t>
      </w:r>
      <w:r w:rsidRPr="00453883">
        <w:rPr>
          <w:rFonts w:cs="Times New Roman"/>
          <w:szCs w:val="24"/>
        </w:rPr>
        <w:t>, 2009 SCC 16, [2009] 1 S.C.R. 549, at para. 25, citing Goldstein and Groffier, at p. 416).</w:t>
      </w:r>
      <w:r w:rsidRPr="00453883">
        <w:rPr>
          <w:rFonts w:cs="Times New Roman"/>
        </w:rPr>
        <w:t xml:space="preserve"> In the above example, this principle makes the jurisdiction of Quebec authorities subject to the provisions of Title Three, notwithstanding the public nature of tax law.</w:t>
      </w:r>
    </w:p>
    <w:p w14:paraId="321E9E47" w14:textId="77777777" w:rsidR="00453883" w:rsidRPr="00453883" w:rsidRDefault="00453883" w:rsidP="00453883">
      <w:pPr>
        <w:pStyle w:val="ParaNoNdepar-AltN"/>
        <w:spacing w:before="0"/>
        <w:rPr>
          <w:rFonts w:cs="Times New Roman"/>
        </w:rPr>
      </w:pPr>
      <w:r w:rsidRPr="00453883">
        <w:rPr>
          <w:rFonts w:cs="Times New Roman"/>
        </w:rPr>
        <w:t xml:space="preserve">Unlike the common law provinces, Quebec has codified the rules of private international law, which are set out in Book Ten of the </w:t>
      </w:r>
      <w:r w:rsidRPr="00453883">
        <w:rPr>
          <w:rFonts w:cs="Times New Roman"/>
          <w:i/>
        </w:rPr>
        <w:t>C.C.Q.</w:t>
      </w:r>
      <w:r w:rsidRPr="00453883">
        <w:rPr>
          <w:rFonts w:cs="Times New Roman"/>
        </w:rPr>
        <w:t xml:space="preserve"> In that book, the Quebec legislature has established a comprehensive system of rules and principles “to codify the </w:t>
      </w:r>
      <w:r w:rsidRPr="00453883">
        <w:rPr>
          <w:rFonts w:cs="Times New Roman"/>
          <w:u w:val="single"/>
        </w:rPr>
        <w:t>entire</w:t>
      </w:r>
      <w:r w:rsidRPr="00453883">
        <w:rPr>
          <w:rFonts w:cs="Times New Roman"/>
        </w:rPr>
        <w:t xml:space="preserve"> field of private international law” (</w:t>
      </w:r>
      <w:r w:rsidRPr="00453883">
        <w:rPr>
          <w:rFonts w:cs="Times New Roman"/>
          <w:i/>
        </w:rPr>
        <w:t>Van Breda</w:t>
      </w:r>
      <w:r w:rsidRPr="00453883">
        <w:rPr>
          <w:rFonts w:cs="Times New Roman"/>
        </w:rPr>
        <w:t xml:space="preserve">, at para. 42 (emphasis added); see also </w:t>
      </w:r>
      <w:r w:rsidRPr="00453883">
        <w:rPr>
          <w:rFonts w:cs="Times New Roman"/>
          <w:i/>
        </w:rPr>
        <w:t>Uashaunnuat</w:t>
      </w:r>
      <w:r w:rsidRPr="00453883">
        <w:rPr>
          <w:rFonts w:cs="Times New Roman"/>
        </w:rPr>
        <w:t xml:space="preserve">, at para. 102, citing </w:t>
      </w:r>
      <w:r w:rsidRPr="00453883">
        <w:rPr>
          <w:rFonts w:cs="Times New Roman"/>
          <w:i/>
          <w:iCs/>
        </w:rPr>
        <w:t>Van Breda</w:t>
      </w:r>
      <w:r w:rsidRPr="00453883">
        <w:rPr>
          <w:rFonts w:cs="Times New Roman"/>
        </w:rPr>
        <w:t xml:space="preserve">, at para. 21, </w:t>
      </w:r>
      <w:r w:rsidRPr="00453883">
        <w:rPr>
          <w:rFonts w:cs="Times New Roman"/>
          <w:i/>
          <w:iCs/>
        </w:rPr>
        <w:t>Barer v. Knight Brothers LL</w:t>
      </w:r>
      <w:r w:rsidRPr="00453883">
        <w:rPr>
          <w:rFonts w:cs="Times New Roman"/>
          <w:i/>
        </w:rPr>
        <w:t>C</w:t>
      </w:r>
      <w:r w:rsidRPr="00453883">
        <w:rPr>
          <w:rFonts w:cs="Times New Roman"/>
        </w:rPr>
        <w:t>, 2019 SCC 13, [2019] 1 S.C.R. 573, at paras. 131</w:t>
      </w:r>
      <w:r w:rsidRPr="00453883">
        <w:rPr>
          <w:rFonts w:cs="Times New Roman"/>
        </w:rPr>
        <w:noBreakHyphen/>
        <w:t xml:space="preserve">32, per Brown J., and G. Saumier, “The Recognition of Foreign Judgments in Quebec — The Mirror Crack’d?” (2002), 81 </w:t>
      </w:r>
      <w:r w:rsidRPr="00453883">
        <w:rPr>
          <w:rFonts w:cs="Times New Roman"/>
          <w:i/>
          <w:iCs/>
        </w:rPr>
        <w:t xml:space="preserve">Can. Bar Rev. </w:t>
      </w:r>
      <w:r w:rsidRPr="00453883">
        <w:rPr>
          <w:rFonts w:cs="Times New Roman"/>
        </w:rPr>
        <w:t xml:space="preserve">677, at p. 693). Because of this codification, “courts must interpret those rules by first examining the specific wording of the provisions of the </w:t>
      </w:r>
      <w:r w:rsidRPr="00453883">
        <w:rPr>
          <w:rFonts w:cs="Times New Roman"/>
          <w:i/>
        </w:rPr>
        <w:t>C.C.Q.</w:t>
      </w:r>
      <w:r w:rsidRPr="00453883">
        <w:rPr>
          <w:rFonts w:cs="Times New Roman"/>
        </w:rPr>
        <w:t xml:space="preserve"> and then inquiring whether or not their interpretation is consistent with the principles which underlie the rules” (</w:t>
      </w:r>
      <w:r w:rsidRPr="00453883">
        <w:rPr>
          <w:rFonts w:cs="Times New Roman"/>
          <w:i/>
        </w:rPr>
        <w:t>Spar Aerospace Ltd.</w:t>
      </w:r>
      <w:r w:rsidRPr="00453883">
        <w:rPr>
          <w:rFonts w:cs="Times New Roman"/>
        </w:rPr>
        <w:t>, at para. 23).</w:t>
      </w:r>
    </w:p>
    <w:p w14:paraId="5BAAE893" w14:textId="77777777" w:rsidR="00453883" w:rsidRPr="00453883" w:rsidRDefault="00453883" w:rsidP="00453883">
      <w:pPr>
        <w:pStyle w:val="ParaNoNdepar-AltN"/>
        <w:spacing w:before="0"/>
        <w:rPr>
          <w:rFonts w:cs="Times New Roman"/>
        </w:rPr>
      </w:pPr>
      <w:r w:rsidRPr="00453883">
        <w:rPr>
          <w:rFonts w:cs="Times New Roman"/>
        </w:rPr>
        <w:t xml:space="preserve">As its name indicates, Title Three of Book Ten of the </w:t>
      </w:r>
      <w:r w:rsidRPr="00453883">
        <w:rPr>
          <w:rFonts w:cs="Times New Roman"/>
          <w:i/>
        </w:rPr>
        <w:t>C.C.Q.</w:t>
      </w:r>
      <w:r w:rsidRPr="00453883">
        <w:rPr>
          <w:rFonts w:cs="Times New Roman"/>
        </w:rPr>
        <w:t xml:space="preserve"> deals with the international jurisdiction of Quebec authorities. The rules in Title Three “rely on specific facts linking the subject matter of the litigation to the jurisdiction [in order to justify the application] of the conflicts rules” designed to ensure that there is a “lin[k] [between] the subject matter of the litigation [and] the jurisdiction” (</w:t>
      </w:r>
      <w:r w:rsidRPr="00453883">
        <w:rPr>
          <w:rFonts w:cs="Times New Roman"/>
          <w:i/>
        </w:rPr>
        <w:t>Van Breda</w:t>
      </w:r>
      <w:r w:rsidRPr="00453883">
        <w:rPr>
          <w:rFonts w:cs="Times New Roman"/>
        </w:rPr>
        <w:t>, at para. 76). Upon examining Title Three, it becomes apparent that the requirement of a real and substantial connection “is reflected in the overall scheme established by Book Ten” (</w:t>
      </w:r>
      <w:r w:rsidRPr="00453883">
        <w:rPr>
          <w:rFonts w:cs="Times New Roman"/>
          <w:i/>
        </w:rPr>
        <w:t>Spar Aerospace Ltd.</w:t>
      </w:r>
      <w:r w:rsidRPr="00453883">
        <w:rPr>
          <w:rFonts w:cs="Times New Roman"/>
        </w:rPr>
        <w:t>, at para. 63). Indeed, Book Ten helps to “safeguard against the improper assumption of jurisdiction” (</w:t>
      </w:r>
      <w:r w:rsidRPr="00453883">
        <w:rPr>
          <w:rFonts w:cs="Times New Roman"/>
          <w:i/>
        </w:rPr>
        <w:t>Spar Aerospace Ltd.</w:t>
      </w:r>
      <w:r w:rsidRPr="00453883">
        <w:rPr>
          <w:rFonts w:cs="Times New Roman"/>
        </w:rPr>
        <w:t xml:space="preserve">, at para. 57). Given the codification of these rules, there is no reason to resort to the real and substantial connection test from </w:t>
      </w:r>
      <w:r w:rsidRPr="00453883">
        <w:rPr>
          <w:rFonts w:cs="Times New Roman"/>
          <w:i/>
        </w:rPr>
        <w:t>Van Breda</w:t>
      </w:r>
      <w:r w:rsidRPr="00453883">
        <w:rPr>
          <w:rFonts w:cs="Times New Roman"/>
        </w:rPr>
        <w:t>.</w:t>
      </w:r>
    </w:p>
    <w:p w14:paraId="46A946FD" w14:textId="77777777" w:rsidR="00453883" w:rsidRPr="00453883" w:rsidRDefault="00453883" w:rsidP="00453883">
      <w:pPr>
        <w:pStyle w:val="ParaNoNdepar-AltN"/>
        <w:spacing w:before="0"/>
        <w:rPr>
          <w:rFonts w:cs="Times New Roman"/>
        </w:rPr>
      </w:pPr>
      <w:r w:rsidRPr="00453883">
        <w:rPr>
          <w:rFonts w:cs="Times New Roman"/>
        </w:rPr>
        <w:t xml:space="preserve">Articles 3134 to 3154 </w:t>
      </w:r>
      <w:r w:rsidRPr="00453883">
        <w:rPr>
          <w:rFonts w:cs="Times New Roman"/>
          <w:i/>
        </w:rPr>
        <w:t>C.C.Q.</w:t>
      </w:r>
      <w:r w:rsidRPr="00453883">
        <w:rPr>
          <w:rFonts w:cs="Times New Roman"/>
        </w:rPr>
        <w:t xml:space="preserve"> are meant </w:t>
      </w:r>
      <w:r w:rsidRPr="00453883">
        <w:rPr>
          <w:rStyle w:val="qt"/>
          <w:rFonts w:eastAsiaTheme="minorHAnsi" w:cs="Times New Roman"/>
        </w:rPr>
        <w:t>[</w:t>
      </w:r>
      <w:r w:rsidRPr="00453883">
        <w:rPr>
          <w:rStyle w:val="qt"/>
          <w:rFonts w:eastAsiaTheme="minorHAnsi" w:cs="Times New Roman"/>
          <w:smallCaps/>
        </w:rPr>
        <w:t>translation</w:t>
      </w:r>
      <w:r w:rsidRPr="00453883">
        <w:rPr>
          <w:rStyle w:val="qt"/>
          <w:rFonts w:eastAsiaTheme="minorHAnsi" w:cs="Times New Roman"/>
        </w:rPr>
        <w:t>] “to</w:t>
      </w:r>
      <w:r w:rsidRPr="00453883">
        <w:rPr>
          <w:rFonts w:cs="Times New Roman"/>
        </w:rPr>
        <w:t xml:space="preserve"> be exhaustive in setting out the international jurisdiction of Quebec authorities” (</w:t>
      </w:r>
      <w:r w:rsidRPr="00453883">
        <w:rPr>
          <w:rFonts w:cs="Times New Roman"/>
          <w:i/>
        </w:rPr>
        <w:t>Lamborghini</w:t>
      </w:r>
      <w:r w:rsidRPr="00453883">
        <w:rPr>
          <w:rFonts w:cs="Times New Roman"/>
        </w:rPr>
        <w:t xml:space="preserve">, at p. 68, quoting </w:t>
      </w:r>
      <w:r w:rsidRPr="00453883">
        <w:rPr>
          <w:rFonts w:cs="Times New Roman"/>
          <w:i/>
        </w:rPr>
        <w:t>Commentaires du ministre de la Justice</w:t>
      </w:r>
      <w:r w:rsidRPr="00453883">
        <w:rPr>
          <w:rFonts w:cs="Times New Roman"/>
        </w:rPr>
        <w:t xml:space="preserve">, at p. 2000). Exceptionally, art. 3076 </w:t>
      </w:r>
      <w:r w:rsidRPr="00453883">
        <w:rPr>
          <w:rFonts w:cs="Times New Roman"/>
          <w:i/>
        </w:rPr>
        <w:t>C.C.Q.</w:t>
      </w:r>
      <w:r w:rsidRPr="00453883">
        <w:rPr>
          <w:rFonts w:cs="Times New Roman"/>
        </w:rPr>
        <w:t xml:space="preserve"> provides that Book Ten applies “subject to those rules of law in force in Québec which are applicable by reason of their particular object”. In this case, those rules might include the </w:t>
      </w:r>
      <w:r w:rsidRPr="00453883">
        <w:rPr>
          <w:rFonts w:cs="Times New Roman"/>
          <w:i/>
        </w:rPr>
        <w:t>SA</w:t>
      </w:r>
      <w:r w:rsidRPr="00453883">
        <w:rPr>
          <w:rFonts w:cs="Times New Roman"/>
        </w:rPr>
        <w:t xml:space="preserve"> and the </w:t>
      </w:r>
      <w:r w:rsidRPr="00453883">
        <w:rPr>
          <w:rFonts w:cs="Times New Roman"/>
          <w:i/>
        </w:rPr>
        <w:t>AAMF</w:t>
      </w:r>
      <w:r w:rsidRPr="00453883">
        <w:rPr>
          <w:rFonts w:cs="Times New Roman"/>
        </w:rPr>
        <w:t xml:space="preserve">. But as I explain below, and contrary to what my colleagues argue, the </w:t>
      </w:r>
      <w:r w:rsidRPr="00453883">
        <w:rPr>
          <w:rFonts w:cs="Times New Roman"/>
          <w:i/>
        </w:rPr>
        <w:t>SA</w:t>
      </w:r>
      <w:r w:rsidRPr="00453883">
        <w:rPr>
          <w:rFonts w:cs="Times New Roman"/>
        </w:rPr>
        <w:t xml:space="preserve"> and the </w:t>
      </w:r>
      <w:r w:rsidRPr="00453883">
        <w:rPr>
          <w:rFonts w:cs="Times New Roman"/>
          <w:i/>
        </w:rPr>
        <w:t>AAMF</w:t>
      </w:r>
      <w:r w:rsidRPr="00453883">
        <w:rPr>
          <w:rFonts w:cs="Times New Roman"/>
        </w:rPr>
        <w:t xml:space="preserve"> do not themselves make exceptions to, derogate from or complement the </w:t>
      </w:r>
      <w:r w:rsidRPr="00453883">
        <w:rPr>
          <w:rFonts w:cs="Times New Roman"/>
          <w:i/>
        </w:rPr>
        <w:t>C.C.Q.</w:t>
      </w:r>
      <w:r w:rsidRPr="00453883">
        <w:rPr>
          <w:rFonts w:cs="Times New Roman"/>
        </w:rPr>
        <w:t>’s rules of private international law when it comes to the administrative proceedings brought by the AMF.</w:t>
      </w:r>
    </w:p>
    <w:p w14:paraId="67152DDA" w14:textId="77777777" w:rsidR="00453883" w:rsidRPr="00453883" w:rsidRDefault="00453883" w:rsidP="00453883">
      <w:pPr>
        <w:pStyle w:val="ParaNoNdepar-AltN"/>
        <w:spacing w:before="0"/>
        <w:rPr>
          <w:rFonts w:cs="Times New Roman"/>
        </w:rPr>
      </w:pPr>
      <w:r w:rsidRPr="00453883">
        <w:rPr>
          <w:rFonts w:cs="Times New Roman"/>
        </w:rPr>
        <w:t xml:space="preserve">It is clear from reading the provisions of the </w:t>
      </w:r>
      <w:r w:rsidRPr="00453883">
        <w:rPr>
          <w:rFonts w:cs="Times New Roman"/>
          <w:i/>
        </w:rPr>
        <w:t>SA</w:t>
      </w:r>
      <w:r w:rsidRPr="00453883">
        <w:rPr>
          <w:rFonts w:cs="Times New Roman"/>
        </w:rPr>
        <w:t xml:space="preserve"> and the </w:t>
      </w:r>
      <w:r w:rsidRPr="00453883">
        <w:rPr>
          <w:rFonts w:cs="Times New Roman"/>
          <w:i/>
        </w:rPr>
        <w:t>AAMF</w:t>
      </w:r>
      <w:r w:rsidRPr="00453883">
        <w:rPr>
          <w:rFonts w:cs="Times New Roman"/>
        </w:rPr>
        <w:t xml:space="preserve"> that the legislature intended them to be supplemented by the </w:t>
      </w:r>
      <w:r w:rsidRPr="00453883">
        <w:rPr>
          <w:rFonts w:cs="Times New Roman"/>
          <w:i/>
        </w:rPr>
        <w:t>C.C.Q.</w:t>
      </w:r>
      <w:r w:rsidRPr="00453883">
        <w:rPr>
          <w:rFonts w:cs="Times New Roman"/>
        </w:rPr>
        <w:t xml:space="preserve">’s provisions on the international jurisdiction of Quebec authorities. Let me explain. First, in civil matters, the Quebec legislature enacted the rule in s. 236.1 </w:t>
      </w:r>
      <w:r w:rsidRPr="00453883">
        <w:rPr>
          <w:rFonts w:cs="Times New Roman"/>
          <w:i/>
        </w:rPr>
        <w:t>SA</w:t>
      </w:r>
      <w:r w:rsidRPr="00453883">
        <w:rPr>
          <w:rFonts w:cs="Times New Roman"/>
        </w:rPr>
        <w:t xml:space="preserve">. This provision gives precedence to the </w:t>
      </w:r>
      <w:r w:rsidRPr="00453883">
        <w:rPr>
          <w:rFonts w:cs="Times New Roman"/>
          <w:i/>
        </w:rPr>
        <w:t>SA</w:t>
      </w:r>
      <w:r w:rsidRPr="00453883">
        <w:rPr>
          <w:rFonts w:cs="Times New Roman"/>
        </w:rPr>
        <w:t xml:space="preserve"> in matters pertaining to the distribution of securities to Quebec residents and states that, in contrast to the usual rule, “any action under the ordinary rules of law in respect of facts related to the distribution of a security” may be brought “before the court of the plaintiff’s residence”.</w:t>
      </w:r>
    </w:p>
    <w:p w14:paraId="328CEB26" w14:textId="77777777" w:rsidR="00453883" w:rsidRPr="00453883" w:rsidRDefault="00453883" w:rsidP="00453883">
      <w:pPr>
        <w:pStyle w:val="ParaNoNdepar-AltN"/>
        <w:spacing w:before="0"/>
        <w:rPr>
          <w:rFonts w:cs="Times New Roman"/>
        </w:rPr>
      </w:pPr>
      <w:r w:rsidRPr="00453883">
        <w:rPr>
          <w:rFonts w:cs="Times New Roman"/>
        </w:rPr>
        <w:t xml:space="preserve">Similarly, in penal matters, art. 142 of the </w:t>
      </w:r>
      <w:r w:rsidRPr="00453883">
        <w:rPr>
          <w:rFonts w:cs="Times New Roman"/>
          <w:i/>
          <w:iCs/>
        </w:rPr>
        <w:t>Code of Penal Procedure</w:t>
      </w:r>
      <w:r w:rsidRPr="00453883">
        <w:rPr>
          <w:rFonts w:cs="Times New Roman"/>
          <w:iCs/>
        </w:rPr>
        <w:t>, CQLR, c. C</w:t>
      </w:r>
      <w:r w:rsidRPr="00453883">
        <w:rPr>
          <w:rFonts w:cs="Times New Roman"/>
        </w:rPr>
        <w:noBreakHyphen/>
        <w:t xml:space="preserve">25.1, provides, for the purposes of ss. 202 and 210 </w:t>
      </w:r>
      <w:r w:rsidRPr="00453883">
        <w:rPr>
          <w:rFonts w:cs="Times New Roman"/>
          <w:i/>
        </w:rPr>
        <w:t>SA</w:t>
      </w:r>
      <w:r w:rsidRPr="00453883">
        <w:rPr>
          <w:rFonts w:cs="Times New Roman"/>
        </w:rPr>
        <w:t>, that all penal proceedings must be instituted either in the judicial district where the defendant resides (or is in detention, where such is the case) or in the district where the defendant “committed the offence”.</w:t>
      </w:r>
    </w:p>
    <w:p w14:paraId="6325DA4F" w14:textId="77777777" w:rsidR="00453883" w:rsidRPr="00453883" w:rsidRDefault="00453883" w:rsidP="00453883">
      <w:pPr>
        <w:pStyle w:val="ParaNoNdepar-AltN"/>
        <w:spacing w:before="0"/>
        <w:rPr>
          <w:rFonts w:cs="Times New Roman"/>
        </w:rPr>
      </w:pPr>
      <w:r w:rsidRPr="00453883">
        <w:rPr>
          <w:rFonts w:cs="Times New Roman"/>
        </w:rPr>
        <w:t xml:space="preserve">In administrative matters, on the other hand, the Quebec legislature did not enact specific provisions concerning the FMAT’s international jurisdiction in addition to the rules in the </w:t>
      </w:r>
      <w:r w:rsidRPr="00453883">
        <w:rPr>
          <w:rFonts w:cs="Times New Roman"/>
          <w:i/>
        </w:rPr>
        <w:t>C.C.Q.</w:t>
      </w:r>
      <w:r w:rsidRPr="00453883">
        <w:rPr>
          <w:rFonts w:cs="Times New Roman"/>
        </w:rPr>
        <w:t xml:space="preserve"> The provisions of the </w:t>
      </w:r>
      <w:r w:rsidRPr="00453883">
        <w:rPr>
          <w:rFonts w:cs="Times New Roman"/>
          <w:i/>
        </w:rPr>
        <w:t>SA</w:t>
      </w:r>
      <w:r w:rsidRPr="00453883">
        <w:rPr>
          <w:rFonts w:cs="Times New Roman"/>
        </w:rPr>
        <w:t xml:space="preserve"> in question here are ss. 265, 273.1 and 273.3. They allow the FMAT to order a person to cease any activity in respect of a transaction in securities (s. 265), to impose an administrative penalty on the person and have it collected by the AMF (s. 273.1), and to prohibit a person from acting as a director or officer of an issuer, dealer, adviser or investment fund manager (s. 273.3):</w:t>
      </w:r>
    </w:p>
    <w:p w14:paraId="3E34E9CF" w14:textId="77777777" w:rsidR="00453883" w:rsidRPr="00453883" w:rsidRDefault="00453883" w:rsidP="00453883">
      <w:pPr>
        <w:pStyle w:val="Citation-AltC"/>
        <w:spacing w:after="240"/>
        <w:ind w:hanging="356"/>
        <w:contextualSpacing w:val="0"/>
        <w:rPr>
          <w:rStyle w:val="subsection"/>
          <w:bCs/>
          <w:szCs w:val="24"/>
        </w:rPr>
      </w:pPr>
      <w:r w:rsidRPr="00453883">
        <w:rPr>
          <w:rStyle w:val="subsection"/>
          <w:b/>
          <w:bCs/>
          <w:szCs w:val="24"/>
        </w:rPr>
        <w:tab/>
        <w:t>265.</w:t>
      </w:r>
      <w:r w:rsidRPr="00453883">
        <w:rPr>
          <w:rStyle w:val="subsection"/>
          <w:bCs/>
          <w:szCs w:val="24"/>
        </w:rPr>
        <w:t> The Financial Markets Administrative Tribunal may order a person to cease any activity in respect of a transaction in securities.</w:t>
      </w:r>
    </w:p>
    <w:p w14:paraId="0EFA6D43" w14:textId="77777777" w:rsidR="00453883" w:rsidRPr="00453883" w:rsidRDefault="00453883" w:rsidP="00453883">
      <w:pPr>
        <w:pStyle w:val="Citation-AltC"/>
        <w:spacing w:after="240"/>
        <w:ind w:left="4590" w:hanging="356"/>
        <w:contextualSpacing w:val="0"/>
        <w:rPr>
          <w:szCs w:val="24"/>
        </w:rPr>
      </w:pPr>
      <w:r w:rsidRPr="00453883">
        <w:rPr>
          <w:rStyle w:val="subsection"/>
          <w:b/>
          <w:bCs/>
          <w:szCs w:val="24"/>
        </w:rPr>
        <w:tab/>
      </w:r>
      <w:r w:rsidRPr="00453883">
        <w:rPr>
          <w:szCs w:val="24"/>
        </w:rPr>
        <w:t>. . .</w:t>
      </w:r>
    </w:p>
    <w:p w14:paraId="383E6C9F" w14:textId="77777777" w:rsidR="00453883" w:rsidRPr="00453883" w:rsidRDefault="00453883" w:rsidP="00453883">
      <w:pPr>
        <w:pStyle w:val="Citation-AltC"/>
        <w:spacing w:after="240"/>
        <w:ind w:hanging="356"/>
        <w:contextualSpacing w:val="0"/>
        <w:rPr>
          <w:szCs w:val="24"/>
        </w:rPr>
      </w:pPr>
      <w:r w:rsidRPr="00453883">
        <w:rPr>
          <w:b/>
          <w:bCs/>
          <w:szCs w:val="24"/>
        </w:rPr>
        <w:tab/>
        <w:t>273.1.</w:t>
      </w:r>
      <w:r w:rsidRPr="00453883">
        <w:rPr>
          <w:szCs w:val="24"/>
        </w:rPr>
        <w:t> Where the Financial Markets Administrative Tribunal becomes aware of facts establishing that a person has, by an act or omission, contravened, or aided in the contravention of, a provision under this Act or a regulation made under its authority, the Tribunal may impose an administrative penalty on the offender and have it collected by the Authority.</w:t>
      </w:r>
    </w:p>
    <w:p w14:paraId="4DD9DBF7" w14:textId="77777777" w:rsidR="00453883" w:rsidRPr="00453883" w:rsidRDefault="00453883" w:rsidP="00453883">
      <w:pPr>
        <w:pStyle w:val="Citation-AltC"/>
        <w:spacing w:after="240"/>
        <w:ind w:left="4590" w:hanging="356"/>
        <w:contextualSpacing w:val="0"/>
        <w:rPr>
          <w:szCs w:val="24"/>
        </w:rPr>
      </w:pPr>
      <w:r w:rsidRPr="00453883">
        <w:rPr>
          <w:b/>
          <w:bCs/>
          <w:szCs w:val="24"/>
        </w:rPr>
        <w:tab/>
      </w:r>
      <w:r w:rsidRPr="00453883">
        <w:rPr>
          <w:szCs w:val="24"/>
        </w:rPr>
        <w:t>. . .</w:t>
      </w:r>
    </w:p>
    <w:p w14:paraId="39D86228" w14:textId="77777777" w:rsidR="00453883" w:rsidRPr="00453883" w:rsidRDefault="00453883" w:rsidP="00453883">
      <w:pPr>
        <w:pStyle w:val="Citation-AltC"/>
        <w:ind w:hanging="360"/>
        <w:contextualSpacing w:val="0"/>
        <w:rPr>
          <w:szCs w:val="24"/>
        </w:rPr>
      </w:pPr>
      <w:r w:rsidRPr="00453883">
        <w:rPr>
          <w:b/>
          <w:bCs/>
          <w:szCs w:val="24"/>
        </w:rPr>
        <w:tab/>
        <w:t>273.3.</w:t>
      </w:r>
      <w:r w:rsidRPr="00453883">
        <w:rPr>
          <w:szCs w:val="24"/>
        </w:rPr>
        <w:t> The Financial Markets Administrative Tribunal may prohibit a person from acting as a director or officer of an issuer, dealer, adviser or investment fund manager on the grounds set out in article 329 of the Civil Code, or where a penalty has been imposed on the person under this Act, the Act respecting the distribution of financial products and services (chapter D</w:t>
      </w:r>
      <w:r w:rsidRPr="00453883">
        <w:rPr>
          <w:szCs w:val="24"/>
        </w:rPr>
        <w:noBreakHyphen/>
        <w:t>9.2) or the Derivatives Act (chapter I</w:t>
      </w:r>
      <w:r w:rsidRPr="00453883">
        <w:rPr>
          <w:szCs w:val="24"/>
        </w:rPr>
        <w:noBreakHyphen/>
        <w:t>14.01).</w:t>
      </w:r>
    </w:p>
    <w:p w14:paraId="3D3A60B0" w14:textId="77777777" w:rsidR="00453883" w:rsidRPr="00453883" w:rsidRDefault="00453883" w:rsidP="00453883">
      <w:pPr>
        <w:pStyle w:val="ParaNoNdepar-AltN"/>
        <w:rPr>
          <w:rFonts w:cs="Times New Roman"/>
          <w:lang w:val="en-US"/>
        </w:rPr>
      </w:pPr>
      <w:r w:rsidRPr="00453883">
        <w:rPr>
          <w:rFonts w:cs="Times New Roman"/>
          <w:lang w:val="en-US"/>
        </w:rPr>
        <w:t xml:space="preserve">According to my colleagues, none of these provisions “limits the territorial reach of the Quebec securities scheme over interprovincial or international transactions. </w:t>
      </w:r>
      <w:r w:rsidRPr="00453883">
        <w:rPr>
          <w:rFonts w:eastAsia="Times New Roman" w:cs="Times New Roman"/>
          <w:lang w:val="en-US"/>
        </w:rPr>
        <w:t>To evaluate whether these statutes may be applied in such circumstances, the Quebec securities scheme must be interpreted to determine its territorial reach</w:t>
      </w:r>
      <w:r w:rsidRPr="00453883">
        <w:rPr>
          <w:rFonts w:cs="Times New Roman"/>
          <w:lang w:val="en-US"/>
        </w:rPr>
        <w:t xml:space="preserve">” (para. 102). However, these statements need to be qualified; while ss. 265, 273.1 and 273.3 </w:t>
      </w:r>
      <w:r w:rsidRPr="00453883">
        <w:rPr>
          <w:rFonts w:cs="Times New Roman"/>
          <w:i/>
          <w:lang w:val="en-US"/>
        </w:rPr>
        <w:t>SA</w:t>
      </w:r>
      <w:r w:rsidRPr="00453883">
        <w:rPr>
          <w:rFonts w:cs="Times New Roman"/>
          <w:lang w:val="en-US"/>
        </w:rPr>
        <w:t xml:space="preserve"> do not specify their territorial reach, this does not mean that it can be unlimited. Such an interpretation would be contrary to the principle of territoriality, whereby a provincial legislature is presumed to intend its laws to apply to [</w:t>
      </w:r>
      <w:r w:rsidRPr="00453883">
        <w:rPr>
          <w:rFonts w:cs="Times New Roman"/>
          <w:smallCaps/>
          <w:lang w:val="en-US"/>
        </w:rPr>
        <w:t>translation</w:t>
      </w:r>
      <w:r w:rsidRPr="00453883">
        <w:rPr>
          <w:rFonts w:cs="Times New Roman"/>
          <w:lang w:val="en-US"/>
        </w:rPr>
        <w:t>] “</w:t>
      </w:r>
      <w:r w:rsidRPr="00453883">
        <w:rPr>
          <w:rFonts w:cs="Times New Roman"/>
        </w:rPr>
        <w:t>persons, property, juridical acts and events within the territorial boundaries of its jurisdiction</w:t>
      </w:r>
      <w:r w:rsidRPr="00453883">
        <w:rPr>
          <w:rFonts w:cs="Times New Roman"/>
          <w:lang w:val="en-US"/>
        </w:rPr>
        <w:t>” (P.</w:t>
      </w:r>
      <w:r w:rsidRPr="00453883">
        <w:rPr>
          <w:rFonts w:cs="Times New Roman"/>
          <w:lang w:val="en-US"/>
        </w:rPr>
        <w:noBreakHyphen/>
        <w:t xml:space="preserve">A. Côté and M. Devinat, </w:t>
      </w:r>
      <w:r w:rsidRPr="00453883">
        <w:rPr>
          <w:rFonts w:cs="Times New Roman"/>
          <w:i/>
          <w:lang w:val="en-US"/>
        </w:rPr>
        <w:t>Interprétation des lois</w:t>
      </w:r>
      <w:r w:rsidRPr="00453883">
        <w:rPr>
          <w:rFonts w:cs="Times New Roman"/>
          <w:lang w:val="en-US"/>
        </w:rPr>
        <w:t xml:space="preserve"> (5th ed. 2021), at para. 779), not to all persons regardless of their place of domicile or residence.</w:t>
      </w:r>
    </w:p>
    <w:p w14:paraId="039C16B5" w14:textId="77777777" w:rsidR="00453883" w:rsidRPr="00453883" w:rsidRDefault="00453883" w:rsidP="00453883">
      <w:pPr>
        <w:pStyle w:val="ParaNoNdepar-AltN"/>
        <w:spacing w:before="0"/>
        <w:rPr>
          <w:rFonts w:cs="Times New Roman"/>
        </w:rPr>
      </w:pPr>
      <w:r w:rsidRPr="00453883">
        <w:rPr>
          <w:rFonts w:cs="Times New Roman"/>
        </w:rPr>
        <w:t xml:space="preserve">My colleagues therefore fall back on s. 93 </w:t>
      </w:r>
      <w:r w:rsidRPr="00453883">
        <w:rPr>
          <w:rFonts w:cs="Times New Roman"/>
          <w:i/>
        </w:rPr>
        <w:t>AAMF</w:t>
      </w:r>
      <w:r w:rsidRPr="00453883">
        <w:rPr>
          <w:rFonts w:cs="Times New Roman"/>
        </w:rPr>
        <w:t xml:space="preserve"> to make up for the legislature’s silence regarding the territorial reach of the Quebec securities scheme. But as they recognize at para. 101, s. 93 </w:t>
      </w:r>
      <w:r w:rsidRPr="00453883">
        <w:rPr>
          <w:rFonts w:cs="Times New Roman"/>
          <w:i/>
        </w:rPr>
        <w:t>AAMF</w:t>
      </w:r>
      <w:r w:rsidRPr="00453883">
        <w:rPr>
          <w:rFonts w:cs="Times New Roman"/>
        </w:rPr>
        <w:t xml:space="preserve"> establishes the FMAT’s subject</w:t>
      </w:r>
      <w:r w:rsidRPr="00453883">
        <w:rPr>
          <w:rFonts w:cs="Times New Roman"/>
        </w:rPr>
        <w:noBreakHyphen/>
        <w:t xml:space="preserve">matter jurisdiction in administrative proceedings instituted by the AMF under the </w:t>
      </w:r>
      <w:r w:rsidRPr="00453883">
        <w:rPr>
          <w:rFonts w:cs="Times New Roman"/>
          <w:i/>
        </w:rPr>
        <w:t>SA</w:t>
      </w:r>
      <w:r w:rsidRPr="00453883">
        <w:rPr>
          <w:rFonts w:cs="Times New Roman"/>
        </w:rPr>
        <w:t xml:space="preserve">. At the time the AMF brought its proceedings before the FMAT, the </w:t>
      </w:r>
      <w:r w:rsidRPr="00453883">
        <w:rPr>
          <w:rFonts w:cs="Times New Roman"/>
          <w:i/>
        </w:rPr>
        <w:t>AAMF</w:t>
      </w:r>
      <w:r w:rsidRPr="00453883">
        <w:rPr>
          <w:rFonts w:cs="Times New Roman"/>
        </w:rPr>
        <w:t xml:space="preserve"> was in force. In 2018, it was amended and renamed the </w:t>
      </w:r>
      <w:r w:rsidRPr="00453883">
        <w:rPr>
          <w:rFonts w:cs="Times New Roman"/>
          <w:i/>
        </w:rPr>
        <w:t>Act respecting the regulation of the financial sector</w:t>
      </w:r>
      <w:r w:rsidRPr="00453883">
        <w:rPr>
          <w:rFonts w:cs="Times New Roman"/>
        </w:rPr>
        <w:t>, CQLR, c. E</w:t>
      </w:r>
      <w:r w:rsidRPr="00453883">
        <w:rPr>
          <w:rFonts w:cs="Times New Roman"/>
        </w:rPr>
        <w:noBreakHyphen/>
        <w:t>6.1. I agree with my colleagues that the former version of s. 93 continues to apply in this case under the applicable transitional rules (fn. 4).</w:t>
      </w:r>
    </w:p>
    <w:p w14:paraId="161FDE45" w14:textId="77777777" w:rsidR="00453883" w:rsidRPr="00453883" w:rsidRDefault="00453883" w:rsidP="00453883">
      <w:pPr>
        <w:pStyle w:val="ParaNoNdepar-AltN"/>
        <w:spacing w:before="0"/>
        <w:rPr>
          <w:rFonts w:cs="Times New Roman"/>
        </w:rPr>
      </w:pPr>
      <w:r w:rsidRPr="00453883">
        <w:rPr>
          <w:rFonts w:cs="Times New Roman"/>
        </w:rPr>
        <w:t xml:space="preserve">The applicable version of s. 93 </w:t>
      </w:r>
      <w:r w:rsidRPr="00453883">
        <w:rPr>
          <w:rFonts w:cs="Times New Roman"/>
          <w:i/>
        </w:rPr>
        <w:t>AAMF</w:t>
      </w:r>
      <w:r w:rsidRPr="00453883">
        <w:rPr>
          <w:rFonts w:cs="Times New Roman"/>
        </w:rPr>
        <w:t xml:space="preserve"> is as follows:</w:t>
      </w:r>
    </w:p>
    <w:p w14:paraId="5F9EBF9A" w14:textId="77777777" w:rsidR="00453883" w:rsidRPr="00453883" w:rsidRDefault="00453883" w:rsidP="00453883">
      <w:pPr>
        <w:pStyle w:val="Citation-AltC"/>
        <w:spacing w:after="240"/>
        <w:ind w:hanging="360"/>
        <w:contextualSpacing w:val="0"/>
        <w:rPr>
          <w:rStyle w:val="label-section"/>
        </w:rPr>
      </w:pPr>
      <w:r w:rsidRPr="00453883">
        <w:rPr>
          <w:rStyle w:val="label-section"/>
          <w:b/>
        </w:rPr>
        <w:tab/>
        <w:t>93.</w:t>
      </w:r>
      <w:r w:rsidRPr="00453883">
        <w:rPr>
          <w:rStyle w:val="label-section"/>
        </w:rPr>
        <w:t> On the request of the Authority or of any interested person, the Tribunal shall exercise the functions and powers assigned to it under this Act, the Act respecting the distribution of financial products and services (chapter D</w:t>
      </w:r>
      <w:r w:rsidRPr="00453883">
        <w:rPr>
          <w:rStyle w:val="label-section"/>
        </w:rPr>
        <w:noBreakHyphen/>
        <w:t>9.2), the Money</w:t>
      </w:r>
      <w:r w:rsidRPr="00453883">
        <w:rPr>
          <w:rStyle w:val="label-section"/>
        </w:rPr>
        <w:noBreakHyphen/>
        <w:t>Services Businesses Act (chapter E</w:t>
      </w:r>
      <w:r w:rsidRPr="00453883">
        <w:rPr>
          <w:rStyle w:val="label-section"/>
        </w:rPr>
        <w:noBreakHyphen/>
        <w:t>12.000001), the Derivatives Act (chapter I</w:t>
      </w:r>
      <w:r w:rsidRPr="00453883">
        <w:rPr>
          <w:rStyle w:val="label-section"/>
        </w:rPr>
        <w:noBreakHyphen/>
        <w:t>14.01) and the Securities Act (chapter V</w:t>
      </w:r>
      <w:r w:rsidRPr="00453883">
        <w:rPr>
          <w:rStyle w:val="label-section"/>
        </w:rPr>
        <w:noBreakHyphen/>
        <w:t>1.1).</w:t>
      </w:r>
    </w:p>
    <w:p w14:paraId="68295C2C" w14:textId="77777777" w:rsidR="00453883" w:rsidRPr="00453883" w:rsidRDefault="00453883" w:rsidP="00453883">
      <w:pPr>
        <w:pStyle w:val="Citation-AltC"/>
        <w:tabs>
          <w:tab w:val="left" w:pos="1440"/>
        </w:tabs>
        <w:spacing w:after="240"/>
        <w:ind w:firstLine="4"/>
        <w:contextualSpacing w:val="0"/>
        <w:rPr>
          <w:rStyle w:val="label-section"/>
        </w:rPr>
      </w:pPr>
      <w:r w:rsidRPr="00453883">
        <w:rPr>
          <w:rStyle w:val="label-section"/>
        </w:rPr>
        <w:tab/>
        <w:t>The Tribunal shall exercise its discretion in the public interest.</w:t>
      </w:r>
    </w:p>
    <w:p w14:paraId="15C1ED09" w14:textId="77777777" w:rsidR="00453883" w:rsidRPr="00453883" w:rsidRDefault="00453883" w:rsidP="00453883">
      <w:pPr>
        <w:pStyle w:val="Citation-AltC"/>
        <w:contextualSpacing w:val="0"/>
        <w:rPr>
          <w:rStyle w:val="label-section"/>
        </w:rPr>
      </w:pPr>
      <w:r w:rsidRPr="00453883">
        <w:rPr>
          <w:rStyle w:val="label-section"/>
        </w:rPr>
        <w:tab/>
        <w:t>The Tribunal may not, when assessing the facts or the law for the purposes of those Acts, substitute its assessment of the public interest for that made by the Authority in making a decision.</w:t>
      </w:r>
    </w:p>
    <w:p w14:paraId="4BAF3F12" w14:textId="77777777" w:rsidR="00453883" w:rsidRPr="00453883" w:rsidRDefault="00453883" w:rsidP="00453883">
      <w:pPr>
        <w:pStyle w:val="ParaNoNdepar-AltN"/>
        <w:tabs>
          <w:tab w:val="clear" w:pos="1152"/>
          <w:tab w:val="left" w:pos="1166"/>
        </w:tabs>
        <w:spacing w:before="0"/>
        <w:rPr>
          <w:rStyle w:val="label-section"/>
          <w:rFonts w:cs="Times New Roman"/>
        </w:rPr>
      </w:pPr>
      <w:r w:rsidRPr="00453883">
        <w:rPr>
          <w:rStyle w:val="label-section"/>
          <w:rFonts w:cs="Times New Roman"/>
        </w:rPr>
        <w:t xml:space="preserve">And s. 93 as it reads in the </w:t>
      </w:r>
      <w:r w:rsidRPr="00453883">
        <w:rPr>
          <w:rStyle w:val="label-section"/>
          <w:rFonts w:cs="Times New Roman"/>
          <w:i/>
        </w:rPr>
        <w:t>Act respecting the regulation of the financial sector</w:t>
      </w:r>
      <w:r w:rsidRPr="00453883">
        <w:rPr>
          <w:rStyle w:val="label-section"/>
          <w:rFonts w:cs="Times New Roman"/>
        </w:rPr>
        <w:t>, which came into force following the 2018 amendments, is as follows:</w:t>
      </w:r>
    </w:p>
    <w:p w14:paraId="1D137659" w14:textId="77777777" w:rsidR="00453883" w:rsidRPr="00453883" w:rsidRDefault="00453883" w:rsidP="00453883">
      <w:pPr>
        <w:pStyle w:val="Citation-AltC"/>
        <w:spacing w:after="240"/>
        <w:ind w:hanging="356"/>
        <w:contextualSpacing w:val="0"/>
        <w:rPr>
          <w:rStyle w:val="subsection"/>
        </w:rPr>
      </w:pPr>
      <w:r w:rsidRPr="00453883">
        <w:rPr>
          <w:rStyle w:val="label-section"/>
          <w:b/>
        </w:rPr>
        <w:tab/>
        <w:t>93.</w:t>
      </w:r>
      <w:r w:rsidRPr="00453883">
        <w:t xml:space="preserve"> The function of the Tribunal is to make determinations with respect to matters brought under this Act and the Acts listed in Schedule I. Except where otherwise provided by law, the Tribunal shall exercise its jurisdiction </w:t>
      </w:r>
      <w:r w:rsidRPr="00453883">
        <w:rPr>
          <w:u w:val="single"/>
        </w:rPr>
        <w:t>to the exclusion of any other tribunal or adjudicative body</w:t>
      </w:r>
      <w:r w:rsidRPr="00453883">
        <w:t>.</w:t>
      </w:r>
    </w:p>
    <w:p w14:paraId="0EB001E3" w14:textId="77777777" w:rsidR="00453883" w:rsidRPr="00453883" w:rsidRDefault="00453883" w:rsidP="00453883">
      <w:pPr>
        <w:pStyle w:val="Citation-AltC"/>
        <w:tabs>
          <w:tab w:val="left" w:pos="1440"/>
        </w:tabs>
        <w:spacing w:after="240"/>
        <w:ind w:firstLine="4"/>
        <w:contextualSpacing w:val="0"/>
        <w:rPr>
          <w:rStyle w:val="subsection"/>
        </w:rPr>
      </w:pPr>
      <w:r w:rsidRPr="00453883">
        <w:rPr>
          <w:rStyle w:val="subsection"/>
        </w:rPr>
        <w:tab/>
        <w:t>The Tribunal shall exercise its discretion in the public interest.</w:t>
      </w:r>
    </w:p>
    <w:p w14:paraId="114514DE" w14:textId="77777777" w:rsidR="00453883" w:rsidRPr="00453883" w:rsidRDefault="00453883" w:rsidP="00453883">
      <w:pPr>
        <w:pStyle w:val="Citation-AltC"/>
        <w:tabs>
          <w:tab w:val="left" w:pos="1440"/>
        </w:tabs>
        <w:spacing w:after="240"/>
        <w:ind w:firstLine="4"/>
        <w:contextualSpacing w:val="0"/>
        <w:rPr>
          <w:rStyle w:val="subsection"/>
        </w:rPr>
      </w:pPr>
      <w:r w:rsidRPr="00453883">
        <w:rPr>
          <w:rStyle w:val="subsection"/>
        </w:rPr>
        <w:tab/>
        <w:t>In reviewing a decision rendered by the Authority under the Securities Act (chapter V</w:t>
      </w:r>
      <w:r w:rsidRPr="00453883">
        <w:rPr>
          <w:rStyle w:val="subsection"/>
        </w:rPr>
        <w:noBreakHyphen/>
        <w:t>1.1) or the Derivatives Act (chapter I</w:t>
      </w:r>
      <w:r w:rsidRPr="00453883">
        <w:rPr>
          <w:rStyle w:val="subsection"/>
        </w:rPr>
        <w:noBreakHyphen/>
        <w:t>14.01), the Tribunal may not, when assessing the facts or the law for the purposes of those Acts, substitute its assessment of the public interest for that made by the Authority in making a decision.</w:t>
      </w:r>
    </w:p>
    <w:p w14:paraId="223E535B" w14:textId="77777777" w:rsidR="00453883" w:rsidRPr="00453883" w:rsidRDefault="00453883" w:rsidP="00453883">
      <w:pPr>
        <w:pStyle w:val="Citation-AltC"/>
        <w:tabs>
          <w:tab w:val="left" w:pos="1440"/>
        </w:tabs>
        <w:contextualSpacing w:val="0"/>
      </w:pPr>
      <w:r w:rsidRPr="00453883">
        <w:rPr>
          <w:rStyle w:val="subsection"/>
        </w:rPr>
        <w:tab/>
        <w:t>In this Title, unless the context indicates otherwise, “matters” also includes any application, complaint, contestation or motion, as well as any action falling within the jurisdiction of the Tribunal.</w:t>
      </w:r>
    </w:p>
    <w:p w14:paraId="4C108135" w14:textId="77777777" w:rsidR="00453883" w:rsidRPr="00453883" w:rsidRDefault="00453883" w:rsidP="00453883">
      <w:pPr>
        <w:pStyle w:val="ParaNoNdepar-AltN"/>
        <w:spacing w:before="0"/>
        <w:rPr>
          <w:rFonts w:cs="Times New Roman"/>
        </w:rPr>
      </w:pPr>
      <w:r w:rsidRPr="00453883">
        <w:rPr>
          <w:rFonts w:cs="Times New Roman"/>
        </w:rPr>
        <w:t xml:space="preserve">In my colleagues’ view, s. 93 </w:t>
      </w:r>
      <w:r w:rsidRPr="00453883">
        <w:rPr>
          <w:rFonts w:cs="Times New Roman"/>
          <w:i/>
        </w:rPr>
        <w:t>AAMF</w:t>
      </w:r>
      <w:r w:rsidRPr="00453883">
        <w:rPr>
          <w:rFonts w:cs="Times New Roman"/>
        </w:rPr>
        <w:t xml:space="preserve"> — which provides for the FMAT’s subject</w:t>
      </w:r>
      <w:r w:rsidRPr="00453883">
        <w:rPr>
          <w:rFonts w:cs="Times New Roman"/>
        </w:rPr>
        <w:noBreakHyphen/>
        <w:t xml:space="preserve">matter jurisdiction — is sufficient to ground the FMAT’s international jurisdiction in the proceedings brought by the AMF, subject only to </w:t>
      </w:r>
      <w:r w:rsidRPr="00453883">
        <w:rPr>
          <w:rFonts w:cs="Times New Roman"/>
          <w:i/>
        </w:rPr>
        <w:t>Unifund</w:t>
      </w:r>
      <w:r w:rsidRPr="00453883">
        <w:rPr>
          <w:rFonts w:cs="Times New Roman"/>
        </w:rPr>
        <w:t>. According to them, this section thus derogates from the well</w:t>
      </w:r>
      <w:r w:rsidRPr="00453883">
        <w:rPr>
          <w:rFonts w:cs="Times New Roman"/>
        </w:rPr>
        <w:noBreakHyphen/>
        <w:t xml:space="preserve">developed set of rules in the </w:t>
      </w:r>
      <w:r w:rsidRPr="00453883">
        <w:rPr>
          <w:rFonts w:cs="Times New Roman"/>
          <w:i/>
        </w:rPr>
        <w:t>C.C.Q.</w:t>
      </w:r>
      <w:r w:rsidRPr="00453883">
        <w:rPr>
          <w:rFonts w:cs="Times New Roman"/>
        </w:rPr>
        <w:t xml:space="preserve"> With respect, I disagree with such an interpretation of s. 93 </w:t>
      </w:r>
      <w:r w:rsidRPr="00453883">
        <w:rPr>
          <w:rFonts w:cs="Times New Roman"/>
          <w:i/>
        </w:rPr>
        <w:t>AAMF</w:t>
      </w:r>
      <w:r w:rsidRPr="00453883">
        <w:rPr>
          <w:rFonts w:cs="Times New Roman"/>
        </w:rPr>
        <w:t>.</w:t>
      </w:r>
    </w:p>
    <w:p w14:paraId="30399C1B" w14:textId="77777777" w:rsidR="00453883" w:rsidRPr="00453883" w:rsidRDefault="00453883" w:rsidP="00453883">
      <w:pPr>
        <w:pStyle w:val="ParaNoNdepar-AltN"/>
        <w:spacing w:before="0"/>
        <w:rPr>
          <w:rFonts w:cs="Times New Roman"/>
        </w:rPr>
      </w:pPr>
      <w:r w:rsidRPr="00453883">
        <w:rPr>
          <w:rFonts w:cs="Times New Roman"/>
        </w:rPr>
        <w:t>My colleagues’ argument rests on a premise that essentially relates to a question of subject</w:t>
      </w:r>
      <w:r w:rsidRPr="00453883">
        <w:rPr>
          <w:rFonts w:cs="Times New Roman"/>
        </w:rPr>
        <w:noBreakHyphen/>
        <w:t xml:space="preserve">matter jurisdiction (jurisdiction </w:t>
      </w:r>
      <w:r w:rsidRPr="00453883">
        <w:rPr>
          <w:rFonts w:cs="Times New Roman"/>
          <w:i/>
        </w:rPr>
        <w:t>ratione materiae</w:t>
      </w:r>
      <w:r w:rsidRPr="00453883">
        <w:rPr>
          <w:rFonts w:cs="Times New Roman"/>
        </w:rPr>
        <w:t xml:space="preserve">), which has nothing to do with the FMAT’s territorial jurisdiction (jurisdiction </w:t>
      </w:r>
      <w:r w:rsidRPr="00453883">
        <w:rPr>
          <w:rFonts w:cs="Times New Roman"/>
          <w:i/>
        </w:rPr>
        <w:t>ratione personae</w:t>
      </w:r>
      <w:r w:rsidRPr="00453883">
        <w:rPr>
          <w:rFonts w:cs="Times New Roman"/>
        </w:rPr>
        <w:t>). As noted above, the subject</w:t>
      </w:r>
      <w:r w:rsidRPr="00453883">
        <w:rPr>
          <w:rFonts w:cs="Times New Roman"/>
        </w:rPr>
        <w:noBreakHyphen/>
        <w:t>matter jurisdiction of a court or tribunal and its territorial jurisdiction are distinct. While subject</w:t>
      </w:r>
      <w:r w:rsidRPr="00453883">
        <w:rPr>
          <w:rFonts w:cs="Times New Roman"/>
        </w:rPr>
        <w:noBreakHyphen/>
        <w:t>matter jurisdiction concerns the subject or nature of the dispute, territorial jurisdiction is assessed on the basis of the connection that serves to link a dispute to a jurisdiction. Although the proceedings brought by the AMF are within the FMAT’s subject</w:t>
      </w:r>
      <w:r w:rsidRPr="00453883">
        <w:rPr>
          <w:rFonts w:cs="Times New Roman"/>
        </w:rPr>
        <w:noBreakHyphen/>
        <w:t>matter jurisdiction, it does not follow that the FMAT has extraterritorial jurisdiction over the appellants. The subject</w:t>
      </w:r>
      <w:r w:rsidRPr="00453883">
        <w:rPr>
          <w:rFonts w:cs="Times New Roman"/>
        </w:rPr>
        <w:noBreakHyphen/>
        <w:t xml:space="preserve">matter jurisdiction conferred on the FMAT by s. 93 </w:t>
      </w:r>
      <w:r w:rsidRPr="00453883">
        <w:rPr>
          <w:rFonts w:cs="Times New Roman"/>
          <w:i/>
        </w:rPr>
        <w:t>AAMF</w:t>
      </w:r>
      <w:r w:rsidRPr="00453883">
        <w:rPr>
          <w:rFonts w:cs="Times New Roman"/>
        </w:rPr>
        <w:t xml:space="preserve"> simply means that, within Quebec’s adjudicative and administrative system, it is this tribunal that has jurisdiction and not some other tribunal or body. As a result, I cannot accept my colleagues’ argument that s. 93 </w:t>
      </w:r>
      <w:r w:rsidRPr="00453883">
        <w:rPr>
          <w:rFonts w:cs="Times New Roman"/>
          <w:i/>
        </w:rPr>
        <w:t>AAMF</w:t>
      </w:r>
      <w:r w:rsidRPr="00453883">
        <w:rPr>
          <w:rFonts w:cs="Times New Roman"/>
        </w:rPr>
        <w:t xml:space="preserve"> — which confers subject</w:t>
      </w:r>
      <w:r w:rsidRPr="00453883">
        <w:rPr>
          <w:rFonts w:cs="Times New Roman"/>
        </w:rPr>
        <w:noBreakHyphen/>
        <w:t>matter jurisdiction — gives the FMAT territorial jurisdiction.</w:t>
      </w:r>
    </w:p>
    <w:p w14:paraId="2D268716" w14:textId="77777777" w:rsidR="00453883" w:rsidRPr="00453883" w:rsidRDefault="00453883" w:rsidP="00453883">
      <w:pPr>
        <w:pStyle w:val="ParaNoNdepar-AltN"/>
        <w:tabs>
          <w:tab w:val="clear" w:pos="1152"/>
          <w:tab w:val="left" w:pos="1166"/>
        </w:tabs>
        <w:spacing w:before="0"/>
        <w:rPr>
          <w:rFonts w:cs="Times New Roman"/>
        </w:rPr>
      </w:pPr>
      <w:r w:rsidRPr="00453883">
        <w:rPr>
          <w:rFonts w:cs="Times New Roman"/>
        </w:rPr>
        <w:t xml:space="preserve">My colleagues also rely on s. 94 </w:t>
      </w:r>
      <w:r w:rsidRPr="00453883">
        <w:rPr>
          <w:rFonts w:cs="Times New Roman"/>
          <w:i/>
        </w:rPr>
        <w:t>AAMF</w:t>
      </w:r>
      <w:r w:rsidRPr="00453883">
        <w:rPr>
          <w:rFonts w:cs="Times New Roman"/>
        </w:rPr>
        <w:t>, which allows the FMAT to exercise the subject</w:t>
      </w:r>
      <w:r w:rsidRPr="00453883">
        <w:rPr>
          <w:rFonts w:cs="Times New Roman"/>
        </w:rPr>
        <w:noBreakHyphen/>
        <w:t>matter jurisdiction conferred on it by s. 93 by taking any measure conducive to ensuring compliance with any of the statutes listed in s. 93. The version of s. 94 that was in force at the time the proceedings were instituted, and that is applicable in this case, is as follows:</w:t>
      </w:r>
    </w:p>
    <w:p w14:paraId="3A191136" w14:textId="77777777" w:rsidR="00453883" w:rsidRPr="00453883" w:rsidRDefault="00453883" w:rsidP="00453883">
      <w:pPr>
        <w:pStyle w:val="Citation-AltC"/>
        <w:ind w:hanging="356"/>
        <w:contextualSpacing w:val="0"/>
      </w:pPr>
      <w:r w:rsidRPr="00453883">
        <w:rPr>
          <w:b/>
        </w:rPr>
        <w:tab/>
        <w:t>94.</w:t>
      </w:r>
      <w:r w:rsidRPr="00453883">
        <w:t> At the request of the Authority, the Tribunal may take any measure conducive to ensuring compliance with an undertaking given under this Act, the Act respecting the distribution of financial products and services (chapter D</w:t>
      </w:r>
      <w:r w:rsidRPr="00453883">
        <w:noBreakHyphen/>
        <w:t>9.2), the Money</w:t>
      </w:r>
      <w:r w:rsidRPr="00453883">
        <w:noBreakHyphen/>
        <w:t>Services Businesses Act (chapter E</w:t>
      </w:r>
      <w:r w:rsidRPr="00453883">
        <w:noBreakHyphen/>
        <w:t>12.000001), the Derivatives Act (chapter I</w:t>
      </w:r>
      <w:r w:rsidRPr="00453883">
        <w:noBreakHyphen/>
        <w:t>14.01) or the Securities Act (chapter V</w:t>
      </w:r>
      <w:r w:rsidRPr="00453883">
        <w:noBreakHyphen/>
        <w:t>1.1) or compliance with those Acts.</w:t>
      </w:r>
    </w:p>
    <w:p w14:paraId="6EB623A0" w14:textId="77777777" w:rsidR="00453883" w:rsidRPr="00453883" w:rsidRDefault="00453883" w:rsidP="00453883">
      <w:pPr>
        <w:pStyle w:val="ContinueParaSuitedupar-AltP"/>
        <w:spacing w:before="0"/>
        <w:rPr>
          <w:rFonts w:cs="Times New Roman"/>
          <w:lang w:val="en-US"/>
        </w:rPr>
      </w:pPr>
      <w:r w:rsidRPr="00453883">
        <w:rPr>
          <w:rFonts w:cs="Times New Roman"/>
          <w:lang w:val="en-US"/>
        </w:rPr>
        <w:t xml:space="preserve">This section is not concerned in any way with territorial jurisdiction but relates rather to the measures that the FMAT may take once it is established that it has jurisdiction </w:t>
      </w:r>
      <w:r w:rsidRPr="00453883">
        <w:rPr>
          <w:rFonts w:cs="Times New Roman"/>
          <w:i/>
          <w:lang w:val="en-US"/>
        </w:rPr>
        <w:t>ratione personae</w:t>
      </w:r>
      <w:r w:rsidRPr="00453883">
        <w:rPr>
          <w:rFonts w:cs="Times New Roman"/>
          <w:lang w:val="en-US"/>
        </w:rPr>
        <w:t xml:space="preserve"> to deal with a matter. This is also the case of ss. 265, 273.1 and 273.3 </w:t>
      </w:r>
      <w:r w:rsidRPr="00453883">
        <w:rPr>
          <w:rFonts w:cs="Times New Roman"/>
          <w:i/>
          <w:lang w:val="en-US"/>
        </w:rPr>
        <w:t>SA</w:t>
      </w:r>
      <w:r w:rsidRPr="00453883">
        <w:rPr>
          <w:rFonts w:cs="Times New Roman"/>
          <w:lang w:val="en-US"/>
        </w:rPr>
        <w:t xml:space="preserve">, which authorize the FMAT to impose prohibitions and administrative penalties. As my colleagues note, these provisions empower the FMAT to act in a broad range of circumstances, but this is true only where the FMAT has jurisdiction over the persons involved in the dispute before it. The mere existence of these sections cannot establish the FMAT’s jurisdiction over persons domiciled outside Quebec. Consequently, the FMAT can take the measures contemplated in s. 94 </w:t>
      </w:r>
      <w:r w:rsidRPr="00453883">
        <w:rPr>
          <w:rFonts w:cs="Times New Roman"/>
          <w:i/>
          <w:lang w:val="en-US"/>
        </w:rPr>
        <w:t>AAMF</w:t>
      </w:r>
      <w:r w:rsidRPr="00453883">
        <w:rPr>
          <w:rFonts w:cs="Times New Roman"/>
          <w:lang w:val="en-US"/>
        </w:rPr>
        <w:t xml:space="preserve">, or in ss. 265, 273.1 and 273.3 </w:t>
      </w:r>
      <w:r w:rsidRPr="00453883">
        <w:rPr>
          <w:rFonts w:cs="Times New Roman"/>
          <w:i/>
          <w:lang w:val="en-US"/>
        </w:rPr>
        <w:t>SA</w:t>
      </w:r>
      <w:r w:rsidRPr="00453883">
        <w:rPr>
          <w:rFonts w:cs="Times New Roman"/>
          <w:lang w:val="en-US"/>
        </w:rPr>
        <w:t xml:space="preserve">, only where it has jurisdiction under the rules of private international law set out in the </w:t>
      </w:r>
      <w:r w:rsidRPr="00453883">
        <w:rPr>
          <w:rFonts w:cs="Times New Roman"/>
          <w:i/>
          <w:lang w:val="en-US"/>
        </w:rPr>
        <w:t>C.C.Q.</w:t>
      </w:r>
    </w:p>
    <w:p w14:paraId="5C819740" w14:textId="77777777" w:rsidR="00453883" w:rsidRPr="00453883" w:rsidRDefault="00453883" w:rsidP="00453883">
      <w:pPr>
        <w:pStyle w:val="ParaNoNdepar-AltN"/>
        <w:spacing w:before="0"/>
        <w:rPr>
          <w:rFonts w:cs="Times New Roman"/>
        </w:rPr>
      </w:pPr>
      <w:r w:rsidRPr="00453883">
        <w:rPr>
          <w:rFonts w:cs="Times New Roman"/>
        </w:rPr>
        <w:t xml:space="preserve">As my colleagues in fact seem to recognize, when the legislature intends to make exceptions to or derogate from the rules in the </w:t>
      </w:r>
      <w:r w:rsidRPr="00453883">
        <w:rPr>
          <w:rFonts w:cs="Times New Roman"/>
          <w:i/>
        </w:rPr>
        <w:t>C.C.Q.</w:t>
      </w:r>
      <w:r w:rsidRPr="00453883">
        <w:rPr>
          <w:rFonts w:cs="Times New Roman"/>
        </w:rPr>
        <w:t xml:space="preserve">, it does so clearly, using “detailed and specific” language (para. 54, citing </w:t>
      </w:r>
      <w:r w:rsidRPr="00453883">
        <w:rPr>
          <w:rFonts w:cs="Times New Roman"/>
          <w:i/>
          <w:lang w:val="en-US"/>
        </w:rPr>
        <w:t>Compagnie d’immeubles Yale ltée v. Kirkland (Ville de)</w:t>
      </w:r>
      <w:r w:rsidRPr="00453883">
        <w:rPr>
          <w:rFonts w:cs="Times New Roman"/>
          <w:lang w:val="en-US"/>
        </w:rPr>
        <w:t xml:space="preserve">, [1996] R.J.Q. 502 (C.Q.), at p. 507; see also </w:t>
      </w:r>
      <w:r w:rsidRPr="00453883">
        <w:rPr>
          <w:rFonts w:cs="Times New Roman"/>
          <w:i/>
        </w:rPr>
        <w:t>Perron</w:t>
      </w:r>
      <w:r w:rsidRPr="00453883">
        <w:rPr>
          <w:rFonts w:cs="Times New Roman"/>
          <w:i/>
        </w:rPr>
        <w:noBreakHyphen/>
        <w:t>Malenfant v. Malenfant (Trustee of)</w:t>
      </w:r>
      <w:r w:rsidRPr="00453883">
        <w:rPr>
          <w:rFonts w:cs="Times New Roman"/>
        </w:rPr>
        <w:t xml:space="preserve">, [1999] 3 S.C.R. 375, at para. 42). This principle is reflected, for example, in s. 236.1 </w:t>
      </w:r>
      <w:r w:rsidRPr="00453883">
        <w:rPr>
          <w:rFonts w:cs="Times New Roman"/>
          <w:i/>
        </w:rPr>
        <w:t>SA</w:t>
      </w:r>
      <w:r w:rsidRPr="00453883">
        <w:rPr>
          <w:rFonts w:cs="Times New Roman"/>
        </w:rPr>
        <w:t xml:space="preserve">, which derogates expressly from the rules of private international law in the </w:t>
      </w:r>
      <w:r w:rsidRPr="00453883">
        <w:rPr>
          <w:rFonts w:cs="Times New Roman"/>
          <w:i/>
        </w:rPr>
        <w:t>C.C.Q.</w:t>
      </w:r>
      <w:r w:rsidRPr="00453883">
        <w:rPr>
          <w:rFonts w:cs="Times New Roman"/>
        </w:rPr>
        <w:t xml:space="preserve"> by stating that “[i]n matters pertaining to the distribution of a security, the laws of Québec are applicable where the subscriber or purchaser resides in Québec, regardless of the place of the contract”. My colleagues say that s. 236.1 “confirms that not all of the rules bearing on the international jurisdiction of Quebec authorities are to be found in the </w:t>
      </w:r>
      <w:r w:rsidRPr="00453883">
        <w:rPr>
          <w:rFonts w:cs="Times New Roman"/>
          <w:i/>
        </w:rPr>
        <w:t>C.C.Q.</w:t>
      </w:r>
      <w:r w:rsidRPr="00453883">
        <w:rPr>
          <w:rFonts w:cs="Times New Roman"/>
        </w:rPr>
        <w:t>” (para. 69). This is true, but only insofar as</w:t>
      </w:r>
      <w:r w:rsidRPr="00453883">
        <w:rPr>
          <w:rStyle w:val="ui-provider"/>
          <w:rFonts w:cs="Times New Roman"/>
        </w:rPr>
        <w:t xml:space="preserve"> the legislation expressly derogates from the </w:t>
      </w:r>
      <w:r w:rsidRPr="00453883">
        <w:rPr>
          <w:rStyle w:val="ui-provider"/>
          <w:rFonts w:cs="Times New Roman"/>
          <w:i/>
        </w:rPr>
        <w:t>C.C.Q.</w:t>
      </w:r>
      <w:r w:rsidRPr="00453883">
        <w:rPr>
          <w:rStyle w:val="ui-provider"/>
          <w:rFonts w:cs="Times New Roman"/>
        </w:rPr>
        <w:t xml:space="preserve">, like in s. 236.1. The derogating effect of s. 236.1 cannot be extended to another part of the </w:t>
      </w:r>
      <w:r w:rsidRPr="00453883">
        <w:rPr>
          <w:rStyle w:val="ui-provider"/>
          <w:rFonts w:cs="Times New Roman"/>
          <w:i/>
        </w:rPr>
        <w:t>SA</w:t>
      </w:r>
      <w:r w:rsidRPr="00453883">
        <w:rPr>
          <w:rStyle w:val="ui-provider"/>
          <w:rFonts w:cs="Times New Roman"/>
        </w:rPr>
        <w:t xml:space="preserve"> or to the </w:t>
      </w:r>
      <w:r w:rsidRPr="00453883">
        <w:rPr>
          <w:rStyle w:val="ui-provider"/>
          <w:rFonts w:cs="Times New Roman"/>
          <w:i/>
        </w:rPr>
        <w:t>SA</w:t>
      </w:r>
      <w:r w:rsidRPr="00453883">
        <w:rPr>
          <w:rStyle w:val="ui-provider"/>
          <w:rFonts w:cs="Times New Roman"/>
        </w:rPr>
        <w:t xml:space="preserve"> as a whole. If the legislature had wanted to make exceptions to or derogate from the </w:t>
      </w:r>
      <w:r w:rsidRPr="00453883">
        <w:rPr>
          <w:rStyle w:val="ui-provider"/>
          <w:rFonts w:cs="Times New Roman"/>
          <w:i/>
        </w:rPr>
        <w:t>C.C.Q.</w:t>
      </w:r>
      <w:r w:rsidRPr="00453883">
        <w:rPr>
          <w:rStyle w:val="ui-provider"/>
          <w:rFonts w:cs="Times New Roman"/>
        </w:rPr>
        <w:t xml:space="preserve"> in other respects, it would have expressed a clear intention to do so.</w:t>
      </w:r>
      <w:r w:rsidRPr="00453883">
        <w:rPr>
          <w:rFonts w:cs="Times New Roman"/>
        </w:rPr>
        <w:t xml:space="preserve"> But unlike in the case of s. 236.1 </w:t>
      </w:r>
      <w:r w:rsidRPr="00453883">
        <w:rPr>
          <w:rFonts w:cs="Times New Roman"/>
          <w:i/>
        </w:rPr>
        <w:t>SA</w:t>
      </w:r>
      <w:r w:rsidRPr="00453883">
        <w:rPr>
          <w:rFonts w:cs="Times New Roman"/>
        </w:rPr>
        <w:t xml:space="preserve">, I do not see in ss. 93 and 94 </w:t>
      </w:r>
      <w:r w:rsidRPr="00453883">
        <w:rPr>
          <w:rFonts w:cs="Times New Roman"/>
          <w:i/>
        </w:rPr>
        <w:t>AAMF</w:t>
      </w:r>
      <w:r w:rsidRPr="00453883">
        <w:rPr>
          <w:rFonts w:cs="Times New Roman"/>
        </w:rPr>
        <w:t xml:space="preserve">, or in ss. 265, 273.1 and 273.3 </w:t>
      </w:r>
      <w:r w:rsidRPr="00453883">
        <w:rPr>
          <w:rFonts w:cs="Times New Roman"/>
          <w:i/>
        </w:rPr>
        <w:t>SA</w:t>
      </w:r>
      <w:r w:rsidRPr="00453883">
        <w:rPr>
          <w:rFonts w:cs="Times New Roman"/>
        </w:rPr>
        <w:t xml:space="preserve">, any expression of the legislature’s intention to make exceptions to or derogate from the rules in the </w:t>
      </w:r>
      <w:r w:rsidRPr="00453883">
        <w:rPr>
          <w:rFonts w:cs="Times New Roman"/>
          <w:i/>
        </w:rPr>
        <w:t>C.C.Q.</w:t>
      </w:r>
      <w:r w:rsidRPr="00453883">
        <w:rPr>
          <w:rFonts w:cs="Times New Roman"/>
        </w:rPr>
        <w:t xml:space="preserve"> Absent a clear intention to the contrary, I am of the opinion that the </w:t>
      </w:r>
      <w:r w:rsidRPr="00453883">
        <w:rPr>
          <w:rFonts w:cs="Times New Roman"/>
          <w:i/>
        </w:rPr>
        <w:t>C.C.Q.</w:t>
      </w:r>
      <w:r w:rsidRPr="00453883">
        <w:rPr>
          <w:rFonts w:cs="Times New Roman"/>
        </w:rPr>
        <w:t>’s rules of private international law, that is, arts. 3134 to 3154, are what govern the FMAT’s international jurisdiction.</w:t>
      </w:r>
    </w:p>
    <w:p w14:paraId="72946244" w14:textId="77777777" w:rsidR="00453883" w:rsidRPr="00453883" w:rsidRDefault="00453883" w:rsidP="00453883">
      <w:pPr>
        <w:pStyle w:val="ParaNoNdepar-AltN"/>
        <w:spacing w:before="0"/>
        <w:rPr>
          <w:rFonts w:cs="Times New Roman"/>
        </w:rPr>
      </w:pPr>
      <w:r w:rsidRPr="00453883">
        <w:rPr>
          <w:rFonts w:cs="Times New Roman"/>
        </w:rPr>
        <w:t xml:space="preserve">Finally, my colleagues’ interpretation of ss. 93 and 94 </w:t>
      </w:r>
      <w:r w:rsidRPr="00453883">
        <w:rPr>
          <w:rFonts w:cs="Times New Roman"/>
          <w:i/>
        </w:rPr>
        <w:t>AAMF</w:t>
      </w:r>
      <w:r w:rsidRPr="00453883">
        <w:rPr>
          <w:rFonts w:cs="Times New Roman"/>
        </w:rPr>
        <w:t xml:space="preserve"> and ss. 265, 273.1 and 273.3 </w:t>
      </w:r>
      <w:r w:rsidRPr="00453883">
        <w:rPr>
          <w:rFonts w:cs="Times New Roman"/>
          <w:i/>
        </w:rPr>
        <w:t>SA</w:t>
      </w:r>
      <w:r w:rsidRPr="00453883">
        <w:rPr>
          <w:rFonts w:cs="Times New Roman"/>
        </w:rPr>
        <w:t xml:space="preserve"> is refuted by the specific context of the legislative scheme in issue in this case. Their approach completely ignores the provisions of Chapter II of Title X of the </w:t>
      </w:r>
      <w:r w:rsidRPr="00453883">
        <w:rPr>
          <w:rFonts w:cs="Times New Roman"/>
          <w:i/>
        </w:rPr>
        <w:t>SA</w:t>
      </w:r>
      <w:r w:rsidRPr="00453883">
        <w:rPr>
          <w:rFonts w:cs="Times New Roman"/>
        </w:rPr>
        <w:t xml:space="preserve"> concerning interjurisdictional cooperation</w:t>
      </w:r>
      <w:r w:rsidRPr="00453883">
        <w:rPr>
          <w:rFonts w:cs="Times New Roman"/>
          <w:bCs/>
        </w:rPr>
        <w:t>. That chapter sets out various rules — including with respect to cooperation between regulators at the national and international levels — that allow the AMF and the FMAT to perform their respective functions and exercise their respective authority despite the globalization of markets. These rules provide, for example, that the AMF may “delegate a Québec authority to an extra</w:t>
      </w:r>
      <w:r w:rsidRPr="00453883">
        <w:rPr>
          <w:rFonts w:cs="Times New Roman"/>
          <w:bCs/>
        </w:rPr>
        <w:noBreakHyphen/>
        <w:t>provincial securities commission and accept to exercise an extra</w:t>
      </w:r>
      <w:r w:rsidRPr="00453883">
        <w:rPr>
          <w:rFonts w:cs="Times New Roman"/>
          <w:bCs/>
        </w:rPr>
        <w:noBreakHyphen/>
        <w:t>provincial authority” (ss. 307 and 307.1). What would be the point of this interprovincial cooperation scheme if the legislature truly intended to confer potentially unlimited international jurisdiction on the FMAT? To ask the question is to answer it. The legislature does not legislate in vain and, with respect, I cannot agree with my colleagues’ conclusion, which in my view disregards the fact that legislation must be interpreted coherently and contributes to creating uncertainty and unpredictability with respect to international jurisdiction.</w:t>
      </w:r>
    </w:p>
    <w:p w14:paraId="418AB9BF" w14:textId="77777777" w:rsidR="00453883" w:rsidRPr="00453883" w:rsidRDefault="00453883" w:rsidP="00453883">
      <w:pPr>
        <w:pStyle w:val="ParaNoNdepar-AltN"/>
        <w:spacing w:before="0"/>
        <w:rPr>
          <w:rFonts w:cs="Times New Roman"/>
        </w:rPr>
      </w:pPr>
      <w:r w:rsidRPr="00453883">
        <w:rPr>
          <w:rFonts w:cs="Times New Roman"/>
        </w:rPr>
        <w:t xml:space="preserve">In sum, neither the </w:t>
      </w:r>
      <w:r w:rsidRPr="00453883">
        <w:rPr>
          <w:rFonts w:cs="Times New Roman"/>
          <w:i/>
        </w:rPr>
        <w:t>SA</w:t>
      </w:r>
      <w:r w:rsidRPr="00453883">
        <w:rPr>
          <w:rFonts w:cs="Times New Roman"/>
        </w:rPr>
        <w:t xml:space="preserve"> nor the </w:t>
      </w:r>
      <w:r w:rsidRPr="00453883">
        <w:rPr>
          <w:rFonts w:cs="Times New Roman"/>
          <w:i/>
        </w:rPr>
        <w:t>AAMF</w:t>
      </w:r>
      <w:r w:rsidRPr="00453883">
        <w:rPr>
          <w:rFonts w:cs="Times New Roman"/>
        </w:rPr>
        <w:t xml:space="preserve"> makes exceptions to or derogates, either expressly or by implication, from the </w:t>
      </w:r>
      <w:r w:rsidRPr="00453883">
        <w:rPr>
          <w:rFonts w:cs="Times New Roman"/>
          <w:i/>
        </w:rPr>
        <w:t>C.C.Q.</w:t>
      </w:r>
      <w:r w:rsidRPr="00453883">
        <w:rPr>
          <w:rFonts w:cs="Times New Roman"/>
        </w:rPr>
        <w:t xml:space="preserve">’s rules when it comes to the FMAT’s jurisdiction in administrative matters. Because the </w:t>
      </w:r>
      <w:r w:rsidRPr="00453883">
        <w:rPr>
          <w:rFonts w:cs="Times New Roman"/>
          <w:i/>
        </w:rPr>
        <w:t>SA</w:t>
      </w:r>
      <w:r w:rsidRPr="00453883">
        <w:rPr>
          <w:rFonts w:cs="Times New Roman"/>
        </w:rPr>
        <w:t xml:space="preserve"> and the </w:t>
      </w:r>
      <w:r w:rsidRPr="00453883">
        <w:rPr>
          <w:rFonts w:cs="Times New Roman"/>
          <w:i/>
        </w:rPr>
        <w:t>AAMF</w:t>
      </w:r>
      <w:r w:rsidRPr="00453883">
        <w:rPr>
          <w:rFonts w:cs="Times New Roman"/>
        </w:rPr>
        <w:t xml:space="preserve"> are silent in this regard, it is necessary in this case to refer to the </w:t>
      </w:r>
      <w:r w:rsidRPr="00453883">
        <w:rPr>
          <w:rFonts w:cs="Times New Roman"/>
          <w:i/>
        </w:rPr>
        <w:t>C.C.Q.</w:t>
      </w:r>
      <w:r w:rsidRPr="00453883">
        <w:rPr>
          <w:rFonts w:cs="Times New Roman"/>
        </w:rPr>
        <w:t xml:space="preserve">’s provisions on the extraterritorial jurisdiction of Quebec authorities, that is, arts. 3134 to 3154 </w:t>
      </w:r>
      <w:r w:rsidRPr="00453883">
        <w:rPr>
          <w:rFonts w:cs="Times New Roman"/>
          <w:i/>
        </w:rPr>
        <w:t>C.C.Q.</w:t>
      </w:r>
      <w:r w:rsidRPr="00453883">
        <w:rPr>
          <w:rFonts w:cs="Times New Roman"/>
        </w:rPr>
        <w:t>, which are exhaustive in defining the situations in which Quebec authorities have jurisdiction.</w:t>
      </w:r>
    </w:p>
    <w:p w14:paraId="0204B5B9" w14:textId="77777777" w:rsidR="00453883" w:rsidRPr="00453883" w:rsidRDefault="00453883" w:rsidP="00453883">
      <w:pPr>
        <w:pStyle w:val="Title2LevelTitre2Niveau"/>
        <w:numPr>
          <w:ilvl w:val="1"/>
          <w:numId w:val="24"/>
        </w:numPr>
        <w:spacing w:before="0"/>
        <w:jc w:val="both"/>
        <w:rPr>
          <w:rFonts w:cs="Times New Roman"/>
        </w:rPr>
      </w:pPr>
      <w:r w:rsidRPr="00453883">
        <w:rPr>
          <w:rFonts w:cs="Times New Roman"/>
        </w:rPr>
        <w:t>No Provision of the C.C.Q. Gives the FMAT Jurisdiction Over the Appellants</w:t>
      </w:r>
    </w:p>
    <w:p w14:paraId="09BC2BD0" w14:textId="77777777" w:rsidR="00453883" w:rsidRPr="00453883" w:rsidRDefault="00453883" w:rsidP="00453883">
      <w:pPr>
        <w:pStyle w:val="ParaNoNdepar-AltN"/>
        <w:spacing w:before="0"/>
        <w:rPr>
          <w:rFonts w:cs="Times New Roman"/>
          <w:szCs w:val="24"/>
        </w:rPr>
      </w:pPr>
      <w:r w:rsidRPr="00453883">
        <w:rPr>
          <w:rFonts w:cs="Times New Roman"/>
        </w:rPr>
        <w:t xml:space="preserve">Title Three of Book Ten of the </w:t>
      </w:r>
      <w:r w:rsidRPr="00453883">
        <w:rPr>
          <w:rFonts w:cs="Times New Roman"/>
          <w:i/>
        </w:rPr>
        <w:t>C.C.Q.</w:t>
      </w:r>
      <w:r w:rsidRPr="00453883">
        <w:rPr>
          <w:rFonts w:cs="Times New Roman"/>
        </w:rPr>
        <w:t xml:space="preserve"> sets out general rules and specific rules to ground the international jurisdiction of Quebec authorities. </w:t>
      </w:r>
      <w:r w:rsidRPr="00453883">
        <w:rPr>
          <w:rFonts w:cs="Times New Roman"/>
          <w:lang w:val="en-US"/>
        </w:rPr>
        <w:t xml:space="preserve">These rules lay down conditions that must necessarily be met in order for a Quebec authority to deal with a dispute. </w:t>
      </w:r>
      <w:r w:rsidRPr="00453883">
        <w:rPr>
          <w:rFonts w:cs="Times New Roman"/>
        </w:rPr>
        <w:t>As this Court has repeatedly stated, “[a]s a whole, these rules ensure compliance with the basic requirement that there be a real and substantial connection between the Quebec court and the dispute”</w:t>
      </w:r>
      <w:r w:rsidRPr="00453883">
        <w:rPr>
          <w:rFonts w:cs="Times New Roman"/>
          <w:szCs w:val="24"/>
        </w:rPr>
        <w:t xml:space="preserve"> (</w:t>
      </w:r>
      <w:r w:rsidRPr="00453883">
        <w:rPr>
          <w:rFonts w:cs="Times New Roman"/>
          <w:i/>
          <w:szCs w:val="24"/>
        </w:rPr>
        <w:t>Lépine</w:t>
      </w:r>
      <w:r w:rsidRPr="00453883">
        <w:rPr>
          <w:rFonts w:cs="Times New Roman"/>
          <w:szCs w:val="24"/>
        </w:rPr>
        <w:t xml:space="preserve">, at para. 19, citing </w:t>
      </w:r>
      <w:r w:rsidRPr="00453883">
        <w:rPr>
          <w:rStyle w:val="reflex"/>
          <w:rFonts w:cs="Times New Roman"/>
          <w:i/>
          <w:iCs/>
          <w:szCs w:val="24"/>
        </w:rPr>
        <w:t>Spar Aerospace Ltd.</w:t>
      </w:r>
      <w:r w:rsidRPr="00453883">
        <w:rPr>
          <w:rStyle w:val="reflex3-block"/>
          <w:rFonts w:cs="Times New Roman"/>
          <w:szCs w:val="24"/>
        </w:rPr>
        <w:t>, at paras. </w:t>
      </w:r>
      <w:r w:rsidRPr="00453883">
        <w:rPr>
          <w:rFonts w:cs="Times New Roman"/>
          <w:szCs w:val="24"/>
        </w:rPr>
        <w:t>55</w:t>
      </w:r>
      <w:r w:rsidRPr="00453883">
        <w:rPr>
          <w:rFonts w:cs="Times New Roman"/>
          <w:szCs w:val="24"/>
        </w:rPr>
        <w:noBreakHyphen/>
        <w:t>56).</w:t>
      </w:r>
    </w:p>
    <w:p w14:paraId="12E9877C" w14:textId="77777777" w:rsidR="00453883" w:rsidRPr="00453883" w:rsidRDefault="00453883" w:rsidP="00453883">
      <w:pPr>
        <w:pStyle w:val="ParaNoNdepar-AltN"/>
        <w:spacing w:before="0"/>
        <w:rPr>
          <w:rFonts w:cs="Times New Roman"/>
        </w:rPr>
      </w:pPr>
      <w:r w:rsidRPr="00453883">
        <w:rPr>
          <w:rFonts w:cs="Times New Roman"/>
        </w:rPr>
        <w:t xml:space="preserve">Title Three of Book Ten has two chapters: Chapter I (“General Provisions”) and Chapter II (“Special Provisions”). The first provision in Chapter I, art. 3134 </w:t>
      </w:r>
      <w:r w:rsidRPr="00453883">
        <w:rPr>
          <w:rFonts w:cs="Times New Roman"/>
          <w:i/>
        </w:rPr>
        <w:t>C.C.Q.</w:t>
      </w:r>
      <w:r w:rsidRPr="00453883">
        <w:rPr>
          <w:rFonts w:cs="Times New Roman"/>
        </w:rPr>
        <w:t>, sets out the general rule of jurisdiction: “</w:t>
      </w:r>
      <w:r w:rsidRPr="00453883">
        <w:rPr>
          <w:rFonts w:cs="Times New Roman"/>
          <w:szCs w:val="24"/>
        </w:rPr>
        <w:t>In the absence of any special provision, Québec authorities have jurisdiction when the defendant is domiciled in Québec.”</w:t>
      </w:r>
      <w:r w:rsidRPr="00453883">
        <w:rPr>
          <w:rFonts w:cs="Times New Roman"/>
        </w:rPr>
        <w:t xml:space="preserve"> The special provisions to which art. 3134 </w:t>
      </w:r>
      <w:r w:rsidRPr="00453883">
        <w:rPr>
          <w:rFonts w:cs="Times New Roman"/>
          <w:i/>
        </w:rPr>
        <w:t>C.C.Q.</w:t>
      </w:r>
      <w:r w:rsidRPr="00453883">
        <w:rPr>
          <w:rFonts w:cs="Times New Roman"/>
        </w:rPr>
        <w:t xml:space="preserve"> refers are found in Chapter II of Title Three.</w:t>
      </w:r>
    </w:p>
    <w:p w14:paraId="23FF5E01" w14:textId="77777777" w:rsidR="00453883" w:rsidRPr="00453883" w:rsidRDefault="00453883" w:rsidP="00453883">
      <w:pPr>
        <w:pStyle w:val="ParaNoNdepar-AltN"/>
        <w:spacing w:before="0"/>
        <w:rPr>
          <w:rFonts w:cs="Times New Roman"/>
        </w:rPr>
      </w:pPr>
      <w:r w:rsidRPr="00453883">
        <w:rPr>
          <w:rFonts w:cs="Times New Roman"/>
        </w:rPr>
        <w:t xml:space="preserve">In this case, the provisions that might ground the FMAT’s jurisdiction are arts. 3134, 3136 and 3148 </w:t>
      </w:r>
      <w:r w:rsidRPr="00453883">
        <w:rPr>
          <w:rFonts w:cs="Times New Roman"/>
          <w:i/>
        </w:rPr>
        <w:t>C.C.Q.</w:t>
      </w:r>
      <w:r w:rsidRPr="00453883">
        <w:rPr>
          <w:rFonts w:cs="Times New Roman"/>
        </w:rPr>
        <w:t xml:space="preserve"> I analyze each of these provisions below based on their application to the facts of this dispute. In this analysis, I conclude, as my colleagues do, that none of them is capable of giving the FMAT jurisdiction over the appellants.</w:t>
      </w:r>
    </w:p>
    <w:p w14:paraId="16C61F46" w14:textId="77777777" w:rsidR="00453883" w:rsidRPr="00453883" w:rsidRDefault="00453883" w:rsidP="00453883">
      <w:pPr>
        <w:pStyle w:val="Title3LevelTitre3Niveau"/>
        <w:numPr>
          <w:ilvl w:val="2"/>
          <w:numId w:val="24"/>
        </w:numPr>
        <w:spacing w:before="0"/>
        <w:jc w:val="both"/>
        <w:rPr>
          <w:rFonts w:cs="Times New Roman"/>
        </w:rPr>
      </w:pPr>
      <w:r w:rsidRPr="00453883">
        <w:rPr>
          <w:rFonts w:cs="Times New Roman"/>
        </w:rPr>
        <w:t xml:space="preserve">Article 3134 </w:t>
      </w:r>
      <w:r w:rsidRPr="00453883">
        <w:rPr>
          <w:rFonts w:cs="Times New Roman"/>
          <w:i/>
        </w:rPr>
        <w:t>C.C.Q.</w:t>
      </w:r>
    </w:p>
    <w:p w14:paraId="49AA8686" w14:textId="77777777" w:rsidR="00453883" w:rsidRPr="00453883" w:rsidRDefault="00453883" w:rsidP="00453883">
      <w:pPr>
        <w:pStyle w:val="ParaNoNdepar-AltN"/>
        <w:spacing w:before="0"/>
        <w:rPr>
          <w:rFonts w:cs="Times New Roman"/>
        </w:rPr>
      </w:pPr>
      <w:r w:rsidRPr="00453883">
        <w:rPr>
          <w:rFonts w:cs="Times New Roman"/>
        </w:rPr>
        <w:t xml:space="preserve">As mentioned above, art. 3134 </w:t>
      </w:r>
      <w:r w:rsidRPr="00453883">
        <w:rPr>
          <w:rFonts w:cs="Times New Roman"/>
          <w:i/>
          <w:iCs/>
        </w:rPr>
        <w:t>C.C.Q.</w:t>
      </w:r>
      <w:r w:rsidRPr="00453883">
        <w:rPr>
          <w:rFonts w:cs="Times New Roman"/>
          <w:iCs/>
        </w:rPr>
        <w:t xml:space="preserve"> sets out the general rule that, i</w:t>
      </w:r>
      <w:r w:rsidRPr="00453883">
        <w:rPr>
          <w:rFonts w:cs="Times New Roman"/>
        </w:rPr>
        <w:t>n the absence of any special provision, Quebec authorities have jurisdiction when the defendant is domiciled in Quebec. Because the appellants are not domiciled in Quebec, this provision cannot give the FMAT jurisdiction in the proceedings brought by the AMF.</w:t>
      </w:r>
    </w:p>
    <w:p w14:paraId="2DF7ACD1" w14:textId="77777777" w:rsidR="00453883" w:rsidRPr="00453883" w:rsidRDefault="00453883" w:rsidP="00453883">
      <w:pPr>
        <w:pStyle w:val="Title3LevelTitre3Niveau"/>
        <w:numPr>
          <w:ilvl w:val="2"/>
          <w:numId w:val="8"/>
        </w:numPr>
        <w:spacing w:before="0"/>
        <w:jc w:val="both"/>
        <w:rPr>
          <w:rFonts w:cs="Times New Roman"/>
          <w:lang w:val="fr-CA"/>
        </w:rPr>
      </w:pPr>
      <w:r w:rsidRPr="00453883">
        <w:rPr>
          <w:rFonts w:cs="Times New Roman"/>
          <w:lang w:val="fr-CA"/>
        </w:rPr>
        <w:t xml:space="preserve">Article 3148 Paragraph 1(3) </w:t>
      </w:r>
      <w:r w:rsidRPr="00453883">
        <w:rPr>
          <w:rFonts w:cs="Times New Roman"/>
          <w:i/>
          <w:lang w:val="fr-CA"/>
        </w:rPr>
        <w:t>C.C.Q.</w:t>
      </w:r>
    </w:p>
    <w:p w14:paraId="11AD9FE7" w14:textId="77777777" w:rsidR="00453883" w:rsidRPr="00453883" w:rsidRDefault="00453883" w:rsidP="00453883">
      <w:pPr>
        <w:pStyle w:val="ParaNoNdepar-AltN"/>
        <w:spacing w:before="0"/>
        <w:rPr>
          <w:rFonts w:cs="Times New Roman"/>
        </w:rPr>
      </w:pPr>
      <w:r w:rsidRPr="00453883">
        <w:rPr>
          <w:rFonts w:cs="Times New Roman"/>
        </w:rPr>
        <w:t xml:space="preserve">Under art. 3148 para. 1(3) </w:t>
      </w:r>
      <w:r w:rsidRPr="00453883">
        <w:rPr>
          <w:rFonts w:cs="Times New Roman"/>
          <w:i/>
          <w:iCs/>
        </w:rPr>
        <w:t>C.C.Q.</w:t>
      </w:r>
      <w:r w:rsidRPr="00453883">
        <w:rPr>
          <w:rFonts w:cs="Times New Roman"/>
        </w:rPr>
        <w:t>, “Quebec authorities have jurisdiction over an action in extra</w:t>
      </w:r>
      <w:r w:rsidRPr="00453883">
        <w:rPr>
          <w:rFonts w:cs="Times New Roman"/>
        </w:rPr>
        <w:noBreakHyphen/>
        <w:t>contractual liability where a fault was committed in Quebec or the injury was suffered there” (</w:t>
      </w:r>
      <w:r w:rsidRPr="00453883">
        <w:rPr>
          <w:rFonts w:cs="Times New Roman"/>
          <w:i/>
        </w:rPr>
        <w:t>Lapointe Rosenstein Marchand Melançon LLP v. Cassels Brock &amp; Blackwell LLP</w:t>
      </w:r>
      <w:r w:rsidRPr="00453883">
        <w:rPr>
          <w:rFonts w:cs="Times New Roman"/>
        </w:rPr>
        <w:t>, 2016 SCC 30, [2016] 1 S.C.R. 851, at para. 33). Like my colleagues, and contrary to what was suggested in the concurring reasons given in the Court of Appeal, I am of the view that no analogy can be drawn between a personal action of a patrimonial nature and the proceedings brought by the AMF.</w:t>
      </w:r>
    </w:p>
    <w:p w14:paraId="4CDC0974" w14:textId="77777777" w:rsidR="00453883" w:rsidRPr="00AF6C9B" w:rsidRDefault="00453883" w:rsidP="00453883">
      <w:pPr>
        <w:pStyle w:val="ParaNoNdepar-AltN"/>
        <w:spacing w:before="0"/>
        <w:rPr>
          <w:rFonts w:cs="Times New Roman"/>
          <w:lang w:val="fr-CA"/>
        </w:rPr>
      </w:pPr>
      <w:r w:rsidRPr="00453883">
        <w:rPr>
          <w:rFonts w:cs="Times New Roman"/>
        </w:rPr>
        <w:t>It is important to remember that [</w:t>
      </w:r>
      <w:r w:rsidRPr="00453883">
        <w:rPr>
          <w:rFonts w:cs="Times New Roman"/>
          <w:smallCaps/>
        </w:rPr>
        <w:t>translation</w:t>
      </w:r>
      <w:r w:rsidRPr="00453883">
        <w:rPr>
          <w:rFonts w:cs="Times New Roman"/>
        </w:rPr>
        <w:t>] “[t]he AMF is the specialized body to which the Quebec legislator has entrusted the application of the SA and the AAMF, in the public interest” (</w:t>
      </w:r>
      <w:r w:rsidRPr="00453883">
        <w:rPr>
          <w:rFonts w:cs="Times New Roman"/>
          <w:i/>
          <w:szCs w:val="24"/>
        </w:rPr>
        <w:t>Autorité des marchés financiers v. Fournier</w:t>
      </w:r>
      <w:r w:rsidRPr="00453883">
        <w:rPr>
          <w:rFonts w:cs="Times New Roman"/>
          <w:szCs w:val="24"/>
        </w:rPr>
        <w:t>, 2012 QCCA 1179</w:t>
      </w:r>
      <w:r w:rsidRPr="00453883">
        <w:rPr>
          <w:rFonts w:cs="Times New Roman"/>
        </w:rPr>
        <w:t xml:space="preserve">, at para. 28 (CanLII)). When it applies to the FMAT for an administrative penalty under s. 273.1 </w:t>
      </w:r>
      <w:r w:rsidRPr="00453883">
        <w:rPr>
          <w:rFonts w:cs="Times New Roman"/>
          <w:i/>
        </w:rPr>
        <w:t>SA</w:t>
      </w:r>
      <w:r w:rsidRPr="00453883">
        <w:rPr>
          <w:rFonts w:cs="Times New Roman"/>
        </w:rPr>
        <w:t>, the AMF is thus acting [</w:t>
      </w:r>
      <w:r w:rsidRPr="00453883">
        <w:rPr>
          <w:rFonts w:cs="Times New Roman"/>
          <w:smallCaps/>
        </w:rPr>
        <w:t>translation</w:t>
      </w:r>
      <w:r w:rsidRPr="00453883">
        <w:rPr>
          <w:rFonts w:cs="Times New Roman"/>
        </w:rPr>
        <w:t>] “in the context of its mission to protect the financial market and to maintain investors’ confidence in the system” (</w:t>
      </w:r>
      <w:r w:rsidRPr="00453883">
        <w:rPr>
          <w:rFonts w:cs="Times New Roman"/>
          <w:i/>
        </w:rPr>
        <w:t>Donaldson v. Autorité des marchés financiers</w:t>
      </w:r>
      <w:r w:rsidRPr="00453883">
        <w:rPr>
          <w:rFonts w:cs="Times New Roman"/>
        </w:rPr>
        <w:t xml:space="preserve">, 2020 QCCA 401, at para. 25 (CanLII)). Therefore, when it applies to the FMAT for an administrative penalty, the AMF is not bringing a “personal actio[n] of a patrimonial nature” (art. 3148 </w:t>
      </w:r>
      <w:r w:rsidRPr="00453883">
        <w:rPr>
          <w:rFonts w:cs="Times New Roman"/>
          <w:i/>
        </w:rPr>
        <w:t>C.C.Q.</w:t>
      </w:r>
      <w:r w:rsidRPr="00453883">
        <w:rPr>
          <w:rFonts w:cs="Times New Roman"/>
        </w:rPr>
        <w:t>). Rather, it is taking administrative action as part of its role of supervising the financial market (</w:t>
      </w:r>
      <w:r w:rsidRPr="00453883">
        <w:rPr>
          <w:rFonts w:cs="Times New Roman"/>
          <w:i/>
        </w:rPr>
        <w:t>Donaldson</w:t>
      </w:r>
      <w:r w:rsidRPr="00453883">
        <w:rPr>
          <w:rFonts w:cs="Times New Roman"/>
        </w:rPr>
        <w:t>, at para. </w:t>
      </w:r>
      <w:r w:rsidRPr="00AF6C9B">
        <w:rPr>
          <w:rFonts w:cs="Times New Roman"/>
          <w:lang w:val="fr-CA"/>
        </w:rPr>
        <w:t xml:space="preserve">42, quoting S. Rousseau, “L’application de la législation sur les valeurs mobilières au Québec: une étude du rôle du Tribunal administratif des marchés financiers” (2017), 76 </w:t>
      </w:r>
      <w:r w:rsidRPr="00AF6C9B">
        <w:rPr>
          <w:rFonts w:cs="Times New Roman"/>
          <w:i/>
          <w:iCs/>
          <w:lang w:val="fr-CA"/>
        </w:rPr>
        <w:t>R. du B. </w:t>
      </w:r>
      <w:r w:rsidRPr="00AF6C9B">
        <w:rPr>
          <w:rFonts w:cs="Times New Roman"/>
          <w:lang w:val="fr-CA"/>
        </w:rPr>
        <w:t>1, at p. 13).</w:t>
      </w:r>
    </w:p>
    <w:p w14:paraId="30638B3F" w14:textId="77777777" w:rsidR="00453883" w:rsidRPr="00453883" w:rsidRDefault="00453883" w:rsidP="00453883">
      <w:pPr>
        <w:pStyle w:val="ParaNoNdepar-AltN"/>
        <w:spacing w:before="0"/>
        <w:rPr>
          <w:rFonts w:cs="Times New Roman"/>
        </w:rPr>
      </w:pPr>
      <w:r w:rsidRPr="00453883">
        <w:rPr>
          <w:rFonts w:cs="Times New Roman"/>
        </w:rPr>
        <w:t xml:space="preserve">As my colleagues recognize at para. 80, reasoning by analogy is a perfectly acceptable tool “to ensure that the </w:t>
      </w:r>
      <w:r w:rsidRPr="00453883">
        <w:rPr>
          <w:rFonts w:cs="Times New Roman"/>
          <w:i/>
        </w:rPr>
        <w:t>Civil Code of Québec</w:t>
      </w:r>
      <w:r w:rsidRPr="00453883">
        <w:rPr>
          <w:rFonts w:cs="Times New Roman"/>
        </w:rPr>
        <w:t xml:space="preserve"> functions properly” (</w:t>
      </w:r>
      <w:r w:rsidRPr="00453883">
        <w:rPr>
          <w:rFonts w:cs="Times New Roman"/>
          <w:i/>
          <w:szCs w:val="24"/>
        </w:rPr>
        <w:t>Fédération des producteurs acéricoles du Québec v. Regroupement pour la commercialisation des produits de l’érable inc.</w:t>
      </w:r>
      <w:r w:rsidRPr="00453883">
        <w:rPr>
          <w:rFonts w:cs="Times New Roman"/>
          <w:szCs w:val="24"/>
        </w:rPr>
        <w:t>, 2006 SCC 50, [2006] 2 S.C.R. 591</w:t>
      </w:r>
      <w:r w:rsidRPr="00453883">
        <w:rPr>
          <w:rFonts w:cs="Times New Roman"/>
        </w:rPr>
        <w:t xml:space="preserve">, at para. 29), but this tool must always be used wisely (see </w:t>
      </w:r>
      <w:r w:rsidRPr="00453883">
        <w:rPr>
          <w:rFonts w:cs="Times New Roman"/>
          <w:i/>
          <w:szCs w:val="24"/>
        </w:rPr>
        <w:t>Fédération des producteurs acéricoles du Québec</w:t>
      </w:r>
      <w:r w:rsidRPr="00453883">
        <w:rPr>
          <w:rFonts w:cs="Times New Roman"/>
        </w:rPr>
        <w:t xml:space="preserve">, at para. 29; see also </w:t>
      </w:r>
      <w:r w:rsidRPr="00453883">
        <w:rPr>
          <w:rFonts w:cs="Times New Roman"/>
          <w:i/>
          <w:szCs w:val="24"/>
        </w:rPr>
        <w:t>Yared v. Karam</w:t>
      </w:r>
      <w:r w:rsidRPr="00453883">
        <w:rPr>
          <w:rFonts w:cs="Times New Roman"/>
          <w:szCs w:val="24"/>
        </w:rPr>
        <w:t>, 2019 SCC 62, [2019] 4 S.C.R. 498</w:t>
      </w:r>
      <w:r w:rsidRPr="00453883">
        <w:rPr>
          <w:rFonts w:cs="Times New Roman"/>
        </w:rPr>
        <w:t xml:space="preserve">, at para. 28). Moreover, while this goes without saying, an analogy must relate to things or concepts that are actually analogous. In this case, a personal action of a patrimonial nature is not analogous to an application to the FMAT for an administrative penalty, which means that, </w:t>
      </w:r>
      <w:r w:rsidRPr="00453883">
        <w:rPr>
          <w:rFonts w:cs="Times New Roman"/>
          <w:szCs w:val="24"/>
        </w:rPr>
        <w:t>and I say this with respect</w:t>
      </w:r>
      <w:r w:rsidRPr="00453883">
        <w:rPr>
          <w:rFonts w:cs="Times New Roman"/>
        </w:rPr>
        <w:t xml:space="preserve">, the reasoning in the concurring reasons given in the Court of Appeal in fact involves modifying art. 3148 para. 1(3) </w:t>
      </w:r>
      <w:r w:rsidRPr="00453883">
        <w:rPr>
          <w:rFonts w:cs="Times New Roman"/>
          <w:i/>
        </w:rPr>
        <w:t>C.C.Q.</w:t>
      </w:r>
    </w:p>
    <w:p w14:paraId="75E1BD23" w14:textId="77777777" w:rsidR="00453883" w:rsidRPr="00453883" w:rsidRDefault="00453883" w:rsidP="00453883">
      <w:pPr>
        <w:pStyle w:val="ParaNoNdepar-AltN"/>
        <w:spacing w:before="0"/>
        <w:rPr>
          <w:rFonts w:cs="Times New Roman"/>
        </w:rPr>
      </w:pPr>
      <w:r w:rsidRPr="00453883">
        <w:rPr>
          <w:rFonts w:cs="Times New Roman"/>
        </w:rPr>
        <w:t xml:space="preserve">Having regard to the administrative nature of an application by the AMF for a penalty under s. 273.1 </w:t>
      </w:r>
      <w:r w:rsidRPr="00453883">
        <w:rPr>
          <w:rFonts w:cs="Times New Roman"/>
          <w:i/>
        </w:rPr>
        <w:t>SA</w:t>
      </w:r>
      <w:r w:rsidRPr="00453883">
        <w:rPr>
          <w:rFonts w:cs="Times New Roman"/>
        </w:rPr>
        <w:t xml:space="preserve">, I am of the view that art. 3148 para. 1(3) </w:t>
      </w:r>
      <w:r w:rsidRPr="00453883">
        <w:rPr>
          <w:rFonts w:cs="Times New Roman"/>
          <w:i/>
        </w:rPr>
        <w:t>C.C.Q.</w:t>
      </w:r>
      <w:r w:rsidRPr="00453883">
        <w:rPr>
          <w:rFonts w:cs="Times New Roman"/>
        </w:rPr>
        <w:t xml:space="preserve"> cannot confer jurisdiction on the FMAT. In addition, even if an analogy were possible, none of the criteria in art. 3148 para. 1(3) </w:t>
      </w:r>
      <w:r w:rsidRPr="00453883">
        <w:rPr>
          <w:rFonts w:cs="Times New Roman"/>
          <w:i/>
        </w:rPr>
        <w:t>C.C.Q.</w:t>
      </w:r>
      <w:r w:rsidRPr="00453883">
        <w:rPr>
          <w:rFonts w:cs="Times New Roman"/>
        </w:rPr>
        <w:t xml:space="preserve"> is met in this case. The AMF is not alleging that the appellants committed faults in Quebec, and it did not bring its proceedings against them in order to compensate investors who had suffered losses.</w:t>
      </w:r>
    </w:p>
    <w:p w14:paraId="7021CBF7" w14:textId="77777777" w:rsidR="00453883" w:rsidRPr="00453883" w:rsidRDefault="00453883" w:rsidP="00453883">
      <w:pPr>
        <w:pStyle w:val="Title3LevelTitre3Niveau"/>
        <w:numPr>
          <w:ilvl w:val="2"/>
          <w:numId w:val="24"/>
        </w:numPr>
        <w:spacing w:before="0"/>
        <w:jc w:val="both"/>
        <w:rPr>
          <w:rFonts w:cs="Times New Roman"/>
        </w:rPr>
      </w:pPr>
      <w:r w:rsidRPr="00453883">
        <w:rPr>
          <w:rFonts w:cs="Times New Roman"/>
        </w:rPr>
        <w:t xml:space="preserve">Article 3136 </w:t>
      </w:r>
      <w:r w:rsidRPr="00453883">
        <w:rPr>
          <w:rFonts w:cs="Times New Roman"/>
          <w:i/>
        </w:rPr>
        <w:t>C.C.Q.</w:t>
      </w:r>
    </w:p>
    <w:p w14:paraId="5B9AC46E" w14:textId="77777777" w:rsidR="00453883" w:rsidRPr="00453883" w:rsidRDefault="00453883" w:rsidP="00453883">
      <w:pPr>
        <w:pStyle w:val="ParaNoNdepar-AltN"/>
        <w:spacing w:before="0"/>
        <w:rPr>
          <w:rFonts w:cs="Times New Roman"/>
        </w:rPr>
      </w:pPr>
      <w:r w:rsidRPr="00AF6C9B">
        <w:rPr>
          <w:rFonts w:cs="Times New Roman"/>
          <w:lang w:val="fr-CA"/>
        </w:rPr>
        <w:t>A</w:t>
      </w:r>
      <w:r w:rsidRPr="00AF6C9B">
        <w:rPr>
          <w:rFonts w:cs="Times New Roman"/>
          <w:szCs w:val="24"/>
          <w:lang w:val="fr-CA"/>
        </w:rPr>
        <w:t>rticle 3136</w:t>
      </w:r>
      <w:r w:rsidRPr="00AF6C9B">
        <w:rPr>
          <w:rFonts w:cs="Times New Roman"/>
          <w:lang w:val="fr-CA"/>
        </w:rPr>
        <w:t xml:space="preserve"> </w:t>
      </w:r>
      <w:r w:rsidRPr="00AF6C9B">
        <w:rPr>
          <w:rFonts w:cs="Times New Roman"/>
          <w:i/>
          <w:iCs/>
          <w:szCs w:val="24"/>
          <w:lang w:val="fr-CA"/>
        </w:rPr>
        <w:t>C.C.Q.</w:t>
      </w:r>
      <w:r w:rsidRPr="00AF6C9B">
        <w:rPr>
          <w:rFonts w:cs="Times New Roman"/>
          <w:iCs/>
          <w:lang w:val="fr-CA"/>
        </w:rPr>
        <w:t xml:space="preserve"> recognizes the “forum of necessity” doctrine (</w:t>
      </w:r>
      <w:r w:rsidRPr="00AF6C9B">
        <w:rPr>
          <w:rFonts w:cs="Times New Roman"/>
          <w:i/>
          <w:iCs/>
          <w:szCs w:val="24"/>
          <w:lang w:val="fr-CA"/>
        </w:rPr>
        <w:t>Lamborghini</w:t>
      </w:r>
      <w:r w:rsidRPr="00AF6C9B">
        <w:rPr>
          <w:rFonts w:cs="Times New Roman"/>
          <w:iCs/>
          <w:szCs w:val="24"/>
          <w:lang w:val="fr-CA"/>
        </w:rPr>
        <w:t xml:space="preserve">, at p. 68, quoting </w:t>
      </w:r>
      <w:r w:rsidRPr="00AF6C9B">
        <w:rPr>
          <w:rStyle w:val="ui-provider"/>
          <w:rFonts w:cs="Times New Roman"/>
          <w:lang w:val="fr-CA"/>
        </w:rPr>
        <w:t xml:space="preserve">H. P. Glenn, “Droit international privé”, in </w:t>
      </w:r>
      <w:r w:rsidRPr="00AF6C9B">
        <w:rPr>
          <w:rStyle w:val="ui-provider"/>
          <w:rFonts w:cs="Times New Roman"/>
          <w:i/>
          <w:lang w:val="fr-CA"/>
        </w:rPr>
        <w:t>La réforme du Code civil</w:t>
      </w:r>
      <w:r w:rsidRPr="00AF6C9B">
        <w:rPr>
          <w:rStyle w:val="ui-provider"/>
          <w:rFonts w:cs="Times New Roman"/>
          <w:lang w:val="fr-CA"/>
        </w:rPr>
        <w:t xml:space="preserve">, vol. 3, </w:t>
      </w:r>
      <w:r w:rsidRPr="00AF6C9B">
        <w:rPr>
          <w:rStyle w:val="ui-provider"/>
          <w:rFonts w:cs="Times New Roman"/>
          <w:i/>
          <w:lang w:val="fr-CA"/>
        </w:rPr>
        <w:t>Priorités et hypothèques, preuve et prescription, publicité des droits, droit international privé, dispositions transitoires</w:t>
      </w:r>
      <w:r w:rsidRPr="00AF6C9B">
        <w:rPr>
          <w:rStyle w:val="ui-provider"/>
          <w:rFonts w:cs="Times New Roman"/>
          <w:lang w:val="fr-CA"/>
        </w:rPr>
        <w:t xml:space="preserve"> (1993), 669, at p. 745; </w:t>
      </w:r>
      <w:r w:rsidRPr="00AF6C9B">
        <w:rPr>
          <w:rFonts w:cs="Times New Roman"/>
          <w:iCs/>
          <w:szCs w:val="24"/>
          <w:lang w:val="fr-CA"/>
        </w:rPr>
        <w:t xml:space="preserve">see also </w:t>
      </w:r>
      <w:r w:rsidRPr="00AF6C9B">
        <w:rPr>
          <w:rFonts w:cs="Times New Roman"/>
          <w:i/>
          <w:iCs/>
          <w:lang w:val="fr-CA"/>
        </w:rPr>
        <w:t>Van Breda</w:t>
      </w:r>
      <w:r w:rsidRPr="00AF6C9B">
        <w:rPr>
          <w:rFonts w:cs="Times New Roman"/>
          <w:iCs/>
          <w:lang w:val="fr-CA"/>
        </w:rPr>
        <w:t>, at para. </w:t>
      </w:r>
      <w:r w:rsidRPr="00453883">
        <w:rPr>
          <w:rFonts w:cs="Times New Roman"/>
          <w:iCs/>
        </w:rPr>
        <w:t>59), which can serve as an exceptional basis for the jurisdiction of Quebec authorities (</w:t>
      </w:r>
      <w:r w:rsidRPr="00453883">
        <w:rPr>
          <w:rFonts w:cs="Times New Roman"/>
          <w:i/>
          <w:iCs/>
        </w:rPr>
        <w:t>Van Breda</w:t>
      </w:r>
      <w:r w:rsidRPr="00453883">
        <w:rPr>
          <w:rFonts w:cs="Times New Roman"/>
          <w:iCs/>
        </w:rPr>
        <w:t>, at para. 59). The article provides that “</w:t>
      </w:r>
      <w:r w:rsidRPr="00453883">
        <w:rPr>
          <w:rFonts w:cs="Times New Roman"/>
        </w:rPr>
        <w:t>[e]ven though a Québec authority has no jurisdiction to hear a dispute, it may nevertheless hear it provided the dispute has a sufficient connection with Québec, if proceedings abroad prove impossible or the institution of proceedings abroad cannot reasonably be required.” This provision [</w:t>
      </w:r>
      <w:r w:rsidRPr="00453883">
        <w:rPr>
          <w:rFonts w:cs="Times New Roman"/>
          <w:smallCaps/>
        </w:rPr>
        <w:t>translation</w:t>
      </w:r>
      <w:r w:rsidRPr="00453883">
        <w:rPr>
          <w:rFonts w:cs="Times New Roman"/>
        </w:rPr>
        <w:t>] “sets out an exceptional rule based on the demonstrated impossibility of having access to a foreign court in a dispute that has a sufficient connection with Quebec” (</w:t>
      </w:r>
      <w:r w:rsidRPr="00453883">
        <w:rPr>
          <w:rFonts w:cs="Times New Roman"/>
          <w:i/>
          <w:iCs/>
        </w:rPr>
        <w:t>Lamborghini</w:t>
      </w:r>
      <w:r w:rsidRPr="00453883">
        <w:rPr>
          <w:rFonts w:cs="Times New Roman"/>
          <w:iCs/>
        </w:rPr>
        <w:t>, at p. 69</w:t>
      </w:r>
      <w:r w:rsidRPr="00453883">
        <w:rPr>
          <w:rFonts w:cs="Times New Roman"/>
        </w:rPr>
        <w:t>). In this sense, the purpose of the provision is to permit a Quebec authority to deal with a dispute, even though it would ordinarily have no jurisdiction over the dispute, in order [</w:t>
      </w:r>
      <w:r w:rsidRPr="00453883">
        <w:rPr>
          <w:rFonts w:cs="Times New Roman"/>
          <w:smallCaps/>
        </w:rPr>
        <w:t>translation</w:t>
      </w:r>
      <w:r w:rsidRPr="00453883">
        <w:rPr>
          <w:rFonts w:cs="Times New Roman"/>
        </w:rPr>
        <w:t>] “to prevent a denial of justice” (</w:t>
      </w:r>
      <w:r w:rsidRPr="00453883">
        <w:rPr>
          <w:rFonts w:cs="Times New Roman"/>
          <w:i/>
        </w:rPr>
        <w:t>Otsuka Pharmaceutical Company Limited v. Pohoresky</w:t>
      </w:r>
      <w:r w:rsidRPr="00453883">
        <w:rPr>
          <w:rFonts w:cs="Times New Roman"/>
        </w:rPr>
        <w:t xml:space="preserve">, 2022 QCCA 1230, at para. 7 </w:t>
      </w:r>
      <w:r w:rsidRPr="00453883">
        <w:rPr>
          <w:rFonts w:cs="Times New Roman"/>
          <w:iCs/>
        </w:rPr>
        <w:t>(CanLII)</w:t>
      </w:r>
      <w:r w:rsidRPr="00453883">
        <w:rPr>
          <w:rFonts w:cs="Times New Roman"/>
        </w:rPr>
        <w:t>, quoting Glenn, at p. 745).</w:t>
      </w:r>
    </w:p>
    <w:p w14:paraId="5B6E99FC" w14:textId="77777777" w:rsidR="00453883" w:rsidRPr="00453883" w:rsidRDefault="00453883" w:rsidP="00453883">
      <w:pPr>
        <w:pStyle w:val="ParaNoNdepar-AltN"/>
        <w:spacing w:before="0"/>
        <w:rPr>
          <w:rFonts w:cs="Times New Roman"/>
        </w:rPr>
      </w:pPr>
      <w:r w:rsidRPr="00453883">
        <w:rPr>
          <w:rFonts w:cs="Times New Roman"/>
        </w:rPr>
        <w:t xml:space="preserve">My colleagues and I agree that art. 3136 </w:t>
      </w:r>
      <w:r w:rsidRPr="00453883">
        <w:rPr>
          <w:rFonts w:cs="Times New Roman"/>
          <w:i/>
          <w:iCs/>
          <w:szCs w:val="24"/>
        </w:rPr>
        <w:t>C.C.Q.</w:t>
      </w:r>
      <w:r w:rsidRPr="00453883">
        <w:rPr>
          <w:rFonts w:cs="Times New Roman"/>
        </w:rPr>
        <w:t xml:space="preserve"> can be applied only if one of the parties raises it, since a court or tribunal cannot raise it of its own motion (</w:t>
      </w:r>
      <w:r w:rsidRPr="00453883">
        <w:rPr>
          <w:rFonts w:cs="Times New Roman"/>
          <w:i/>
        </w:rPr>
        <w:t>GreCon Dimter inc. v. J.R. Normand inc.</w:t>
      </w:r>
      <w:r w:rsidRPr="00453883">
        <w:rPr>
          <w:rFonts w:cs="Times New Roman"/>
        </w:rPr>
        <w:t xml:space="preserve">, 2005 SCC 46, [2005] 2 S.C.R. 401, at para. 33, citing </w:t>
      </w:r>
      <w:r w:rsidRPr="00453883">
        <w:rPr>
          <w:rFonts w:cs="Times New Roman"/>
          <w:i/>
        </w:rPr>
        <w:t>Spar Aerospace Ltd.</w:t>
      </w:r>
      <w:r w:rsidRPr="00453883">
        <w:rPr>
          <w:rFonts w:cs="Times New Roman"/>
        </w:rPr>
        <w:t xml:space="preserve">, at para. 69). In this case, the AMF did not raise art. 3136 </w:t>
      </w:r>
      <w:r w:rsidRPr="00453883">
        <w:rPr>
          <w:rFonts w:cs="Times New Roman"/>
          <w:i/>
        </w:rPr>
        <w:t>C.C.Q.</w:t>
      </w:r>
      <w:r w:rsidRPr="00453883">
        <w:rPr>
          <w:rFonts w:cs="Times New Roman"/>
        </w:rPr>
        <w:t xml:space="preserve"> as a basis for the FMAT’s jurisdiction. It did not demonstrate that proceedings abroad had proved impossible or that it could not reasonably require the institution of proceedings abroad. Nor did it explain why it had not applied to the authorities having jurisdiction, in accordance with the provisions of Chapter II of Title X of the </w:t>
      </w:r>
      <w:r w:rsidRPr="00453883">
        <w:rPr>
          <w:rFonts w:cs="Times New Roman"/>
          <w:i/>
        </w:rPr>
        <w:t>SA</w:t>
      </w:r>
      <w:r w:rsidRPr="00453883">
        <w:rPr>
          <w:rFonts w:cs="Times New Roman"/>
        </w:rPr>
        <w:t xml:space="preserve"> concerning interjurisdictional cooperation. As a result, the AMF cannot rely on art. 3136 </w:t>
      </w:r>
      <w:r w:rsidRPr="00453883">
        <w:rPr>
          <w:rFonts w:cs="Times New Roman"/>
          <w:i/>
        </w:rPr>
        <w:t>C.C.Q.</w:t>
      </w:r>
      <w:r w:rsidRPr="00453883">
        <w:rPr>
          <w:rFonts w:cs="Times New Roman"/>
        </w:rPr>
        <w:t xml:space="preserve"> to establish the FMAT’s jurisdiction over the appellants.</w:t>
      </w:r>
    </w:p>
    <w:p w14:paraId="3D163336" w14:textId="77777777" w:rsidR="00453883" w:rsidRPr="00453883" w:rsidRDefault="00453883" w:rsidP="00453883">
      <w:pPr>
        <w:pStyle w:val="ParaNoNdepar-AltN"/>
        <w:spacing w:before="0"/>
        <w:rPr>
          <w:rFonts w:cs="Times New Roman"/>
        </w:rPr>
      </w:pPr>
      <w:r w:rsidRPr="00453883">
        <w:rPr>
          <w:rFonts w:cs="Times New Roman"/>
          <w:szCs w:val="24"/>
        </w:rPr>
        <w:t xml:space="preserve">In light of the foregoing, I am of the view that no provision of the </w:t>
      </w:r>
      <w:r w:rsidRPr="00453883">
        <w:rPr>
          <w:rFonts w:cs="Times New Roman"/>
          <w:i/>
        </w:rPr>
        <w:t>C.C.Q.</w:t>
      </w:r>
      <w:r w:rsidRPr="00453883">
        <w:rPr>
          <w:rFonts w:cs="Times New Roman"/>
        </w:rPr>
        <w:t xml:space="preserve"> can ground the FMAT’s jurisdiction in the proceedings brought by the AMF.</w:t>
      </w:r>
    </w:p>
    <w:p w14:paraId="17B77038" w14:textId="77777777" w:rsidR="00453883" w:rsidRPr="00453883" w:rsidRDefault="00453883" w:rsidP="00453883">
      <w:pPr>
        <w:pStyle w:val="ParaNoNdepar-AltN"/>
        <w:spacing w:before="0"/>
        <w:rPr>
          <w:rFonts w:cs="Times New Roman"/>
        </w:rPr>
      </w:pPr>
      <w:r w:rsidRPr="00453883">
        <w:rPr>
          <w:rFonts w:cs="Times New Roman"/>
        </w:rPr>
        <w:t xml:space="preserve">I am also of the view, for the reasons explained more fully above, that the </w:t>
      </w:r>
      <w:r w:rsidRPr="00453883">
        <w:rPr>
          <w:rFonts w:cs="Times New Roman"/>
          <w:i/>
        </w:rPr>
        <w:t>Unifund</w:t>
      </w:r>
      <w:r w:rsidRPr="00453883">
        <w:rPr>
          <w:rFonts w:cs="Times New Roman"/>
        </w:rPr>
        <w:t xml:space="preserve"> test is of no assistance to the AMF and cannot ground the FMAT’s adjudicative jurisdiction over the appellants.</w:t>
      </w:r>
    </w:p>
    <w:p w14:paraId="7358C066" w14:textId="77777777" w:rsidR="00453883" w:rsidRPr="00453883" w:rsidRDefault="00453883" w:rsidP="00453883">
      <w:pPr>
        <w:pStyle w:val="Title1LevelTitre1Niveau-AltL"/>
        <w:numPr>
          <w:ilvl w:val="0"/>
          <w:numId w:val="24"/>
        </w:numPr>
        <w:spacing w:before="0"/>
        <w:jc w:val="both"/>
        <w:rPr>
          <w:rFonts w:cs="Times New Roman"/>
        </w:rPr>
      </w:pPr>
      <w:r w:rsidRPr="00453883">
        <w:rPr>
          <w:rFonts w:cs="Times New Roman"/>
        </w:rPr>
        <w:t>Conclusion</w:t>
      </w:r>
    </w:p>
    <w:p w14:paraId="2EDA01C4" w14:textId="6F5C28CB" w:rsidR="00453883" w:rsidRPr="0061360F" w:rsidRDefault="00453883" w:rsidP="00453883">
      <w:pPr>
        <w:pStyle w:val="ParaNoNdepar-AltN"/>
        <w:spacing w:before="0"/>
        <w:rPr>
          <w:rFonts w:cs="Times New Roman"/>
        </w:rPr>
      </w:pPr>
      <w:r w:rsidRPr="00453883">
        <w:rPr>
          <w:rFonts w:cs="Times New Roman"/>
        </w:rPr>
        <w:t>For these reasons, I would allow the appeals and set aside the FMAT’s decision on the appellants’ declinatory exceptions, with costs. Because the FMAT has no adjudicative jurisdiction to hear the AMF’s proceedings against the appellants, the proceedings should be dismissed, and there is no need to refer the matter back to the FMA</w:t>
      </w:r>
      <w:r w:rsidR="0061360F">
        <w:rPr>
          <w:rFonts w:cs="Times New Roman"/>
        </w:rPr>
        <w:t>T</w:t>
      </w:r>
      <w:r w:rsidRPr="00453883">
        <w:rPr>
          <w:rFonts w:cs="Times New Roman"/>
        </w:rPr>
        <w:t>.</w:t>
      </w:r>
    </w:p>
    <w:p w14:paraId="7C8287A7" w14:textId="77777777" w:rsidR="00453883" w:rsidRPr="0061360F" w:rsidRDefault="00453883" w:rsidP="00453883">
      <w:pPr>
        <w:rPr>
          <w:rFonts w:eastAsiaTheme="minorHAnsi"/>
          <w:szCs w:val="22"/>
          <w:lang w:eastAsia="en-US"/>
        </w:rPr>
      </w:pPr>
      <w:r w:rsidRPr="0061360F">
        <w:br w:type="page"/>
      </w:r>
    </w:p>
    <w:p w14:paraId="369B0E80" w14:textId="77777777" w:rsidR="00453883" w:rsidRPr="00453883" w:rsidRDefault="00453883" w:rsidP="00453883">
      <w:pPr>
        <w:pStyle w:val="ContinueParaSuitedupar-AltP"/>
        <w:spacing w:before="0"/>
        <w:jc w:val="center"/>
        <w:rPr>
          <w:rFonts w:cs="Times New Roman"/>
          <w:b/>
          <w:u w:val="single"/>
        </w:rPr>
      </w:pPr>
      <w:r w:rsidRPr="00453883">
        <w:rPr>
          <w:rFonts w:cs="Times New Roman"/>
          <w:b/>
          <w:u w:val="single"/>
        </w:rPr>
        <w:t>APPENDIX</w:t>
      </w:r>
    </w:p>
    <w:p w14:paraId="75880FA6" w14:textId="77777777" w:rsidR="00453883" w:rsidRPr="00453883" w:rsidRDefault="00453883" w:rsidP="00453883">
      <w:pPr>
        <w:pStyle w:val="ContinueParaSuitedupar-AltP"/>
        <w:spacing w:before="0" w:line="240" w:lineRule="auto"/>
        <w:rPr>
          <w:rFonts w:cs="Times New Roman"/>
          <w:u w:val="single"/>
        </w:rPr>
      </w:pPr>
      <w:r w:rsidRPr="00453883">
        <w:rPr>
          <w:rFonts w:cs="Times New Roman"/>
          <w:u w:val="single"/>
        </w:rPr>
        <w:t>Relevant Statutory Provisions</w:t>
      </w:r>
    </w:p>
    <w:p w14:paraId="7FCD5A9F" w14:textId="77777777" w:rsidR="00453883" w:rsidRPr="00453883" w:rsidRDefault="00453883" w:rsidP="00453883">
      <w:pPr>
        <w:spacing w:after="240"/>
        <w:jc w:val="both"/>
        <w:rPr>
          <w:rFonts w:eastAsiaTheme="minorEastAsia"/>
          <w:szCs w:val="24"/>
        </w:rPr>
      </w:pPr>
      <w:r w:rsidRPr="00453883">
        <w:rPr>
          <w:i/>
          <w:iCs/>
          <w:szCs w:val="24"/>
        </w:rPr>
        <w:t>Securities Act</w:t>
      </w:r>
      <w:r w:rsidRPr="00453883">
        <w:rPr>
          <w:szCs w:val="24"/>
        </w:rPr>
        <w:t xml:space="preserve">, </w:t>
      </w:r>
      <w:r w:rsidRPr="00453883">
        <w:rPr>
          <w:rFonts w:eastAsiaTheme="minorEastAsia"/>
          <w:szCs w:val="24"/>
        </w:rPr>
        <w:t>CQLR, c. V</w:t>
      </w:r>
      <w:r w:rsidRPr="00453883">
        <w:rPr>
          <w:rFonts w:eastAsiaTheme="minorEastAsia"/>
          <w:szCs w:val="24"/>
        </w:rPr>
        <w:noBreakHyphen/>
        <w:t>1.1</w:t>
      </w:r>
    </w:p>
    <w:p w14:paraId="041A87C4" w14:textId="77777777" w:rsidR="00453883" w:rsidRPr="00453883" w:rsidRDefault="00453883" w:rsidP="00453883">
      <w:pPr>
        <w:spacing w:after="240"/>
        <w:jc w:val="both"/>
        <w:rPr>
          <w:rStyle w:val="subsection"/>
          <w:szCs w:val="24"/>
        </w:rPr>
      </w:pPr>
      <w:r w:rsidRPr="00453883">
        <w:rPr>
          <w:rStyle w:val="canliisection"/>
          <w:b/>
          <w:bCs/>
          <w:szCs w:val="24"/>
        </w:rPr>
        <w:t>195.2</w:t>
      </w:r>
      <w:r w:rsidRPr="00453883">
        <w:rPr>
          <w:rStyle w:val="label-section"/>
          <w:rFonts w:eastAsiaTheme="majorEastAsia"/>
          <w:b/>
          <w:szCs w:val="24"/>
        </w:rPr>
        <w:t>.</w:t>
      </w:r>
      <w:r w:rsidRPr="00453883">
        <w:rPr>
          <w:szCs w:val="24"/>
        </w:rPr>
        <w:t> </w:t>
      </w:r>
      <w:r w:rsidRPr="00453883">
        <w:rPr>
          <w:rStyle w:val="subsection"/>
          <w:szCs w:val="24"/>
        </w:rPr>
        <w:t>Influencing or attempting to influence the market price or the value of securities by means of unfair, improper or fraudulent practices is an offence.</w:t>
      </w:r>
    </w:p>
    <w:p w14:paraId="08D72361" w14:textId="77777777" w:rsidR="00453883" w:rsidRPr="00453883" w:rsidRDefault="00453883" w:rsidP="00453883">
      <w:pPr>
        <w:spacing w:after="240"/>
        <w:jc w:val="both"/>
        <w:rPr>
          <w:szCs w:val="24"/>
          <w:lang w:eastAsia="en-US"/>
        </w:rPr>
      </w:pPr>
      <w:r w:rsidRPr="00453883">
        <w:rPr>
          <w:b/>
          <w:bCs/>
          <w:szCs w:val="24"/>
          <w:lang w:eastAsia="en-US"/>
        </w:rPr>
        <w:t>199.1.</w:t>
      </w:r>
      <w:r w:rsidRPr="00453883">
        <w:rPr>
          <w:szCs w:val="24"/>
          <w:lang w:eastAsia="en-US"/>
        </w:rPr>
        <w:t> </w:t>
      </w:r>
      <w:r w:rsidRPr="00453883">
        <w:rPr>
          <w:rStyle w:val="subsection"/>
          <w:szCs w:val="24"/>
        </w:rPr>
        <w:t>A person who directly or indirectly engages or participates in any transaction or series of transactions in securities or any trading method relating to a transaction in securities, or in any act, practice or course of conduct is guilty of an offence if the person knows, or ought reasonably to know, that the transaction, series of transactions, trading method, act, practice or course of conduct</w:t>
      </w:r>
    </w:p>
    <w:p w14:paraId="4074E40E" w14:textId="77777777" w:rsidR="00453883" w:rsidRPr="00453883" w:rsidRDefault="00453883" w:rsidP="00453883">
      <w:pPr>
        <w:tabs>
          <w:tab w:val="left" w:pos="270"/>
        </w:tabs>
        <w:spacing w:after="240"/>
        <w:jc w:val="both"/>
        <w:rPr>
          <w:szCs w:val="24"/>
          <w:lang w:eastAsia="en-US"/>
        </w:rPr>
      </w:pPr>
      <w:r w:rsidRPr="00453883">
        <w:rPr>
          <w:szCs w:val="24"/>
          <w:lang w:eastAsia="en-US"/>
        </w:rPr>
        <w:tab/>
        <w:t>(1) </w:t>
      </w:r>
      <w:proofErr w:type="gramStart"/>
      <w:r w:rsidRPr="00453883">
        <w:rPr>
          <w:rStyle w:val="paragraph"/>
          <w:szCs w:val="24"/>
        </w:rPr>
        <w:t>creates</w:t>
      </w:r>
      <w:proofErr w:type="gramEnd"/>
      <w:r w:rsidRPr="00453883">
        <w:rPr>
          <w:rStyle w:val="paragraph"/>
          <w:szCs w:val="24"/>
        </w:rPr>
        <w:t xml:space="preserve"> or contributes to a misleading appearance of trading activity in, or an artificial price for, a security; or</w:t>
      </w:r>
    </w:p>
    <w:p w14:paraId="5F5DC02E" w14:textId="77777777" w:rsidR="00453883" w:rsidRPr="00453883" w:rsidRDefault="00453883" w:rsidP="00453883">
      <w:pPr>
        <w:spacing w:after="240"/>
        <w:ind w:left="270" w:hanging="270"/>
        <w:jc w:val="both"/>
        <w:rPr>
          <w:szCs w:val="24"/>
          <w:lang w:eastAsia="en-US"/>
        </w:rPr>
      </w:pPr>
      <w:r w:rsidRPr="00453883">
        <w:rPr>
          <w:szCs w:val="24"/>
          <w:lang w:eastAsia="en-US"/>
        </w:rPr>
        <w:tab/>
        <w:t>(2) </w:t>
      </w:r>
      <w:proofErr w:type="gramStart"/>
      <w:r w:rsidRPr="00453883">
        <w:rPr>
          <w:rStyle w:val="paragraph"/>
          <w:szCs w:val="24"/>
        </w:rPr>
        <w:t>perpetrates</w:t>
      </w:r>
      <w:proofErr w:type="gramEnd"/>
      <w:r w:rsidRPr="00453883">
        <w:rPr>
          <w:rStyle w:val="paragraph"/>
          <w:szCs w:val="24"/>
        </w:rPr>
        <w:t xml:space="preserve"> a fraud on any person.</w:t>
      </w:r>
    </w:p>
    <w:p w14:paraId="2AA28F69" w14:textId="77777777" w:rsidR="00453883" w:rsidRPr="00453883" w:rsidRDefault="00453883" w:rsidP="00453883">
      <w:pPr>
        <w:spacing w:after="240"/>
        <w:jc w:val="both"/>
        <w:rPr>
          <w:rStyle w:val="subsection"/>
          <w:szCs w:val="24"/>
        </w:rPr>
      </w:pPr>
      <w:r w:rsidRPr="00453883">
        <w:rPr>
          <w:rStyle w:val="canliisection"/>
          <w:b/>
          <w:bCs/>
          <w:szCs w:val="24"/>
        </w:rPr>
        <w:t>265</w:t>
      </w:r>
      <w:r w:rsidRPr="00453883">
        <w:rPr>
          <w:rStyle w:val="label-section"/>
          <w:rFonts w:eastAsiaTheme="majorEastAsia"/>
          <w:b/>
          <w:szCs w:val="24"/>
        </w:rPr>
        <w:t>.</w:t>
      </w:r>
      <w:r w:rsidRPr="00453883">
        <w:rPr>
          <w:szCs w:val="24"/>
        </w:rPr>
        <w:t> </w:t>
      </w:r>
      <w:r w:rsidRPr="00453883">
        <w:rPr>
          <w:rStyle w:val="subsection"/>
          <w:szCs w:val="24"/>
        </w:rPr>
        <w:t>The Financial Markets Administrative Tribunal may order a person to cease any activity in respect of a transaction in securities.</w:t>
      </w:r>
    </w:p>
    <w:p w14:paraId="39647BCC" w14:textId="77777777" w:rsidR="00453883" w:rsidRPr="00453883" w:rsidRDefault="00453883" w:rsidP="00453883">
      <w:pPr>
        <w:tabs>
          <w:tab w:val="left" w:pos="270"/>
          <w:tab w:val="left" w:pos="360"/>
        </w:tabs>
        <w:spacing w:after="240"/>
        <w:jc w:val="both"/>
        <w:rPr>
          <w:szCs w:val="24"/>
        </w:rPr>
      </w:pPr>
      <w:r w:rsidRPr="00453883">
        <w:rPr>
          <w:rStyle w:val="subsection"/>
          <w:szCs w:val="24"/>
        </w:rPr>
        <w:tab/>
        <w:t>The Financial Markets Administrative Tribunal may, furthermore, order any person or category of persons to cease any activity in respect of a transaction in a particular security.</w:t>
      </w:r>
    </w:p>
    <w:p w14:paraId="5EEE13FA" w14:textId="77777777" w:rsidR="00453883" w:rsidRPr="00453883" w:rsidRDefault="00453883" w:rsidP="00453883">
      <w:pPr>
        <w:tabs>
          <w:tab w:val="left" w:pos="270"/>
          <w:tab w:val="left" w:pos="360"/>
        </w:tabs>
        <w:spacing w:after="240"/>
        <w:jc w:val="both"/>
        <w:rPr>
          <w:szCs w:val="24"/>
        </w:rPr>
      </w:pPr>
      <w:r w:rsidRPr="00453883">
        <w:rPr>
          <w:rStyle w:val="subsection"/>
          <w:szCs w:val="24"/>
        </w:rPr>
        <w:tab/>
        <w:t>In the case of failure by a reporting issuer to provide periodic disclosure about its business and internal affairs in accordance with the conditions determined by regulation or failure by an issuer or another person to provide any other disclosure prescribed by regulation in accordance with the conditions determined by regulation, the power to order a person to cease any activity in respect of a transaction in securities shall be exercised by the Authority.</w:t>
      </w:r>
    </w:p>
    <w:p w14:paraId="6E8159F9" w14:textId="77777777" w:rsidR="00453883" w:rsidRPr="00453883" w:rsidRDefault="00453883" w:rsidP="00453883">
      <w:pPr>
        <w:tabs>
          <w:tab w:val="left" w:pos="270"/>
          <w:tab w:val="left" w:pos="360"/>
        </w:tabs>
        <w:spacing w:after="240"/>
        <w:jc w:val="both"/>
        <w:rPr>
          <w:rStyle w:val="subsection"/>
          <w:szCs w:val="24"/>
        </w:rPr>
      </w:pPr>
      <w:r w:rsidRPr="00453883">
        <w:rPr>
          <w:rStyle w:val="subsection"/>
          <w:szCs w:val="24"/>
        </w:rPr>
        <w:tab/>
        <w:t xml:space="preserve">Despite the first paragraph of </w:t>
      </w:r>
      <w:r w:rsidRPr="00453883">
        <w:rPr>
          <w:rFonts w:eastAsiaTheme="minorEastAsia"/>
          <w:szCs w:val="24"/>
        </w:rPr>
        <w:t>section 318</w:t>
      </w:r>
      <w:r w:rsidRPr="00453883">
        <w:rPr>
          <w:rStyle w:val="subsection"/>
          <w:szCs w:val="24"/>
        </w:rPr>
        <w:t>, the Authority may exercise the power conferred on it by the third paragraph without allowing the person to present observations or submit documents to complete the person’s record.</w:t>
      </w:r>
    </w:p>
    <w:p w14:paraId="7365A4D5" w14:textId="77777777" w:rsidR="00453883" w:rsidRPr="00453883" w:rsidRDefault="00453883" w:rsidP="00453883">
      <w:pPr>
        <w:spacing w:after="240"/>
        <w:jc w:val="both"/>
        <w:rPr>
          <w:rStyle w:val="subsection"/>
          <w:szCs w:val="24"/>
        </w:rPr>
      </w:pPr>
      <w:r w:rsidRPr="00453883">
        <w:rPr>
          <w:b/>
          <w:bCs/>
          <w:szCs w:val="24"/>
          <w:lang w:eastAsia="en-US"/>
        </w:rPr>
        <w:t>273.1.</w:t>
      </w:r>
      <w:r w:rsidRPr="00453883">
        <w:rPr>
          <w:szCs w:val="24"/>
          <w:lang w:eastAsia="en-US"/>
        </w:rPr>
        <w:t> </w:t>
      </w:r>
      <w:r w:rsidRPr="00453883">
        <w:rPr>
          <w:rStyle w:val="subsection"/>
          <w:szCs w:val="24"/>
        </w:rPr>
        <w:t>Where the Financial Markets Administrative Tribunal becomes aware of facts establishing that a person has, by an act or omission, contravened, or aided in the contravention of, a provision under this Act or a regulation made under its authority, the Tribunal may impose an administrative penalty on the offender and have it collected by the Authority.</w:t>
      </w:r>
    </w:p>
    <w:p w14:paraId="1D71777E" w14:textId="77777777" w:rsidR="00453883" w:rsidRPr="00453883" w:rsidRDefault="00453883" w:rsidP="00453883">
      <w:pPr>
        <w:tabs>
          <w:tab w:val="left" w:pos="270"/>
        </w:tabs>
        <w:spacing w:after="240"/>
        <w:jc w:val="both"/>
        <w:rPr>
          <w:rStyle w:val="subsection"/>
          <w:szCs w:val="24"/>
        </w:rPr>
      </w:pPr>
      <w:r w:rsidRPr="00453883">
        <w:rPr>
          <w:rStyle w:val="subsection"/>
          <w:szCs w:val="24"/>
        </w:rPr>
        <w:tab/>
        <w:t>The amount of the penalty may in no case exceed $2,000,000 for each contravention.</w:t>
      </w:r>
    </w:p>
    <w:p w14:paraId="2501D6D8" w14:textId="77777777" w:rsidR="00453883" w:rsidRPr="00453883" w:rsidRDefault="00453883" w:rsidP="00453883">
      <w:pPr>
        <w:spacing w:after="240"/>
        <w:jc w:val="both"/>
        <w:rPr>
          <w:rStyle w:val="subsection"/>
          <w:szCs w:val="24"/>
        </w:rPr>
      </w:pPr>
      <w:r w:rsidRPr="00453883">
        <w:rPr>
          <w:rStyle w:val="canliisection"/>
          <w:b/>
          <w:bCs/>
          <w:szCs w:val="24"/>
        </w:rPr>
        <w:t>273.3</w:t>
      </w:r>
      <w:r w:rsidRPr="00453883">
        <w:rPr>
          <w:rStyle w:val="label-section"/>
          <w:rFonts w:eastAsiaTheme="majorEastAsia"/>
          <w:b/>
          <w:szCs w:val="24"/>
        </w:rPr>
        <w:t>.</w:t>
      </w:r>
      <w:r w:rsidRPr="00453883">
        <w:rPr>
          <w:szCs w:val="24"/>
        </w:rPr>
        <w:t> </w:t>
      </w:r>
      <w:r w:rsidRPr="00453883">
        <w:rPr>
          <w:rStyle w:val="subsection"/>
          <w:szCs w:val="24"/>
        </w:rPr>
        <w:t xml:space="preserve">The Financial Markets Administrative Tribunal may prohibit a person from acting as a director or officer of an issuer, dealer, adviser or investment fund manager on the grounds set out in </w:t>
      </w:r>
      <w:r w:rsidRPr="00453883">
        <w:rPr>
          <w:rFonts w:eastAsiaTheme="minorEastAsia"/>
          <w:szCs w:val="24"/>
        </w:rPr>
        <w:t>article 329</w:t>
      </w:r>
      <w:r w:rsidRPr="00453883">
        <w:rPr>
          <w:rStyle w:val="subsection"/>
          <w:szCs w:val="24"/>
        </w:rPr>
        <w:t xml:space="preserve"> of the </w:t>
      </w:r>
      <w:r w:rsidRPr="00453883">
        <w:rPr>
          <w:rFonts w:eastAsiaTheme="minorEastAsia"/>
          <w:szCs w:val="24"/>
        </w:rPr>
        <w:t>Civil Code</w:t>
      </w:r>
      <w:r w:rsidRPr="00453883">
        <w:rPr>
          <w:rStyle w:val="subsection"/>
          <w:szCs w:val="24"/>
        </w:rPr>
        <w:t xml:space="preserve">, or where a penalty has been imposed on the person under this Act, the </w:t>
      </w:r>
      <w:r w:rsidRPr="00453883">
        <w:rPr>
          <w:rFonts w:eastAsiaTheme="minorEastAsia"/>
          <w:szCs w:val="24"/>
        </w:rPr>
        <w:t>Act respecting the distribution of financial products and services (chapter D</w:t>
      </w:r>
      <w:r w:rsidRPr="00453883">
        <w:rPr>
          <w:rFonts w:eastAsiaTheme="minorEastAsia"/>
          <w:szCs w:val="24"/>
        </w:rPr>
        <w:noBreakHyphen/>
        <w:t>9.2</w:t>
      </w:r>
      <w:r w:rsidRPr="00453883">
        <w:rPr>
          <w:rStyle w:val="subsection"/>
          <w:szCs w:val="24"/>
        </w:rPr>
        <w:t xml:space="preserve">) or the </w:t>
      </w:r>
      <w:r w:rsidRPr="00453883">
        <w:rPr>
          <w:rFonts w:eastAsiaTheme="minorEastAsia"/>
          <w:szCs w:val="24"/>
        </w:rPr>
        <w:t>Derivatives Act (chapter I</w:t>
      </w:r>
      <w:r w:rsidRPr="00453883">
        <w:rPr>
          <w:rFonts w:eastAsiaTheme="minorEastAsia"/>
          <w:szCs w:val="24"/>
        </w:rPr>
        <w:noBreakHyphen/>
        <w:t>14.01</w:t>
      </w:r>
      <w:r w:rsidRPr="00453883">
        <w:rPr>
          <w:rStyle w:val="subsection"/>
          <w:szCs w:val="24"/>
        </w:rPr>
        <w:t>).</w:t>
      </w:r>
    </w:p>
    <w:p w14:paraId="529BED8A" w14:textId="77777777" w:rsidR="00453883" w:rsidRPr="00453883" w:rsidRDefault="00453883" w:rsidP="00453883">
      <w:pPr>
        <w:tabs>
          <w:tab w:val="left" w:pos="270"/>
        </w:tabs>
        <w:spacing w:after="240"/>
        <w:jc w:val="both"/>
        <w:rPr>
          <w:rStyle w:val="subsection"/>
          <w:szCs w:val="24"/>
        </w:rPr>
      </w:pPr>
      <w:r w:rsidRPr="00453883">
        <w:rPr>
          <w:rStyle w:val="subsection"/>
          <w:szCs w:val="24"/>
        </w:rPr>
        <w:tab/>
        <w:t>The prohibition imposed by the Financial Markets Administrative Tribunal may not exceed five years.</w:t>
      </w:r>
    </w:p>
    <w:p w14:paraId="42F4B581" w14:textId="77777777" w:rsidR="00453883" w:rsidRPr="00453883" w:rsidRDefault="00453883" w:rsidP="00453883">
      <w:pPr>
        <w:tabs>
          <w:tab w:val="left" w:pos="270"/>
        </w:tabs>
        <w:spacing w:after="480"/>
        <w:jc w:val="both"/>
        <w:rPr>
          <w:szCs w:val="24"/>
        </w:rPr>
      </w:pPr>
      <w:r w:rsidRPr="00453883">
        <w:rPr>
          <w:rStyle w:val="subsection"/>
          <w:szCs w:val="24"/>
        </w:rPr>
        <w:tab/>
        <w:t>The Financial Markets Administrative Tribunal may, at the request of the person concerned, lift the prohibition on such conditions as it considers appropriate.</w:t>
      </w:r>
    </w:p>
    <w:p w14:paraId="40E3DEB2" w14:textId="77777777" w:rsidR="00453883" w:rsidRPr="00453883" w:rsidRDefault="00453883" w:rsidP="00453883">
      <w:pPr>
        <w:spacing w:after="240"/>
        <w:jc w:val="both"/>
        <w:rPr>
          <w:rStyle w:val="subsection"/>
          <w:szCs w:val="24"/>
        </w:rPr>
      </w:pPr>
      <w:r w:rsidRPr="00453883">
        <w:rPr>
          <w:i/>
          <w:szCs w:val="24"/>
        </w:rPr>
        <w:t>Act respecting the Autorité des marchés financiers</w:t>
      </w:r>
      <w:r w:rsidRPr="00453883">
        <w:rPr>
          <w:szCs w:val="24"/>
        </w:rPr>
        <w:t>, CQLR, c. A</w:t>
      </w:r>
      <w:r w:rsidRPr="00453883">
        <w:rPr>
          <w:szCs w:val="24"/>
        </w:rPr>
        <w:noBreakHyphen/>
        <w:t>33.2</w:t>
      </w:r>
    </w:p>
    <w:p w14:paraId="00E31B6C" w14:textId="77777777" w:rsidR="00453883" w:rsidRPr="00453883" w:rsidRDefault="00453883" w:rsidP="00453883">
      <w:pPr>
        <w:spacing w:after="240"/>
        <w:jc w:val="both"/>
        <w:rPr>
          <w:rStyle w:val="canliisection"/>
          <w:bCs/>
          <w:szCs w:val="24"/>
        </w:rPr>
      </w:pPr>
      <w:r w:rsidRPr="00453883">
        <w:rPr>
          <w:rStyle w:val="canliisection"/>
          <w:b/>
          <w:bCs/>
          <w:szCs w:val="24"/>
        </w:rPr>
        <w:t>93.</w:t>
      </w:r>
      <w:r w:rsidRPr="00453883">
        <w:rPr>
          <w:rStyle w:val="canliisection"/>
          <w:bCs/>
          <w:szCs w:val="24"/>
        </w:rPr>
        <w:t xml:space="preserve"> On the request of the Authority or of any interested person, the Tribunal shall exercise the functions and powers assigned to it under this Act, the Act respecting the distribution of financial products and services (chapter D</w:t>
      </w:r>
      <w:r w:rsidRPr="00453883">
        <w:rPr>
          <w:rStyle w:val="canliisection"/>
          <w:bCs/>
          <w:szCs w:val="24"/>
        </w:rPr>
        <w:noBreakHyphen/>
        <w:t>9.2), the Money-Services Businesses Act (chapter E</w:t>
      </w:r>
      <w:r w:rsidRPr="00453883">
        <w:rPr>
          <w:rStyle w:val="canliisection"/>
          <w:bCs/>
          <w:szCs w:val="24"/>
        </w:rPr>
        <w:noBreakHyphen/>
        <w:t>12.000001), the Derivatives Act (chapter I</w:t>
      </w:r>
      <w:r w:rsidRPr="00453883">
        <w:rPr>
          <w:rStyle w:val="canliisection"/>
          <w:bCs/>
          <w:szCs w:val="24"/>
        </w:rPr>
        <w:noBreakHyphen/>
        <w:t>14.01) and the Securities Act (chapter V</w:t>
      </w:r>
      <w:r w:rsidRPr="00453883">
        <w:rPr>
          <w:rStyle w:val="canliisection"/>
          <w:bCs/>
          <w:szCs w:val="24"/>
        </w:rPr>
        <w:noBreakHyphen/>
        <w:t>1.1).</w:t>
      </w:r>
    </w:p>
    <w:p w14:paraId="239FC006" w14:textId="77777777" w:rsidR="00453883" w:rsidRPr="00453883" w:rsidRDefault="00453883" w:rsidP="00453883">
      <w:pPr>
        <w:tabs>
          <w:tab w:val="left" w:pos="270"/>
        </w:tabs>
        <w:spacing w:after="240"/>
        <w:jc w:val="both"/>
        <w:rPr>
          <w:rStyle w:val="canliisection"/>
          <w:bCs/>
          <w:szCs w:val="24"/>
        </w:rPr>
      </w:pPr>
      <w:r w:rsidRPr="00453883">
        <w:rPr>
          <w:rStyle w:val="canliisection"/>
          <w:bCs/>
          <w:szCs w:val="24"/>
        </w:rPr>
        <w:tab/>
        <w:t>The Tribunal shall exercise its discretion in the public interest.</w:t>
      </w:r>
    </w:p>
    <w:p w14:paraId="42966C17" w14:textId="77777777" w:rsidR="00453883" w:rsidRPr="00453883" w:rsidRDefault="00453883" w:rsidP="00453883">
      <w:pPr>
        <w:tabs>
          <w:tab w:val="left" w:pos="270"/>
        </w:tabs>
        <w:spacing w:after="240"/>
        <w:jc w:val="both"/>
        <w:rPr>
          <w:rStyle w:val="canliisection"/>
          <w:bCs/>
          <w:szCs w:val="24"/>
        </w:rPr>
      </w:pPr>
      <w:r w:rsidRPr="00453883">
        <w:rPr>
          <w:rStyle w:val="canliisection"/>
          <w:bCs/>
          <w:szCs w:val="24"/>
        </w:rPr>
        <w:tab/>
        <w:t>The Tribunal may not, when assessing the facts or the law for the purposes of those Acts, substitute its assessment of the public interest for that made by the Authority in making a decision.</w:t>
      </w:r>
    </w:p>
    <w:p w14:paraId="1FBD7F65" w14:textId="77777777" w:rsidR="00453883" w:rsidRPr="00453883" w:rsidRDefault="00453883" w:rsidP="00453883">
      <w:pPr>
        <w:spacing w:after="480"/>
        <w:jc w:val="both"/>
        <w:rPr>
          <w:rStyle w:val="canliisection"/>
          <w:bCs/>
          <w:szCs w:val="24"/>
        </w:rPr>
      </w:pPr>
      <w:r w:rsidRPr="00453883">
        <w:rPr>
          <w:rStyle w:val="canliisection"/>
          <w:b/>
          <w:bCs/>
          <w:szCs w:val="24"/>
        </w:rPr>
        <w:t>94.</w:t>
      </w:r>
      <w:r w:rsidRPr="00453883">
        <w:rPr>
          <w:rStyle w:val="canliisection"/>
          <w:bCs/>
          <w:szCs w:val="24"/>
        </w:rPr>
        <w:t xml:space="preserve"> At the request of the Authority, the Tribunal may take any measure conducive to ensuring compliance with an undertaking given under this Act, the Act respecting the distribution of financial products and services (chapter D</w:t>
      </w:r>
      <w:r w:rsidRPr="00453883">
        <w:rPr>
          <w:rStyle w:val="canliisection"/>
          <w:bCs/>
          <w:szCs w:val="24"/>
        </w:rPr>
        <w:noBreakHyphen/>
        <w:t>9.2), the Money</w:t>
      </w:r>
      <w:r w:rsidRPr="00453883">
        <w:rPr>
          <w:rStyle w:val="canliisection"/>
          <w:bCs/>
          <w:szCs w:val="24"/>
        </w:rPr>
        <w:noBreakHyphen/>
        <w:t>Services Businesses Act (chapter E</w:t>
      </w:r>
      <w:r w:rsidRPr="00453883">
        <w:rPr>
          <w:rStyle w:val="canliisection"/>
          <w:bCs/>
          <w:szCs w:val="24"/>
        </w:rPr>
        <w:noBreakHyphen/>
        <w:t>12.000001), the Derivatives Act (chapter I</w:t>
      </w:r>
      <w:r w:rsidRPr="00453883">
        <w:rPr>
          <w:rStyle w:val="canliisection"/>
          <w:bCs/>
          <w:szCs w:val="24"/>
        </w:rPr>
        <w:noBreakHyphen/>
        <w:t>14.01) or the Securities Act (chapter V</w:t>
      </w:r>
      <w:r w:rsidRPr="00453883">
        <w:rPr>
          <w:rStyle w:val="canliisection"/>
          <w:bCs/>
          <w:szCs w:val="24"/>
        </w:rPr>
        <w:noBreakHyphen/>
        <w:t>1.1) or compliance with those Acts.</w:t>
      </w:r>
    </w:p>
    <w:p w14:paraId="43CCF6FF" w14:textId="77777777" w:rsidR="00453883" w:rsidRPr="00453883" w:rsidRDefault="00453883" w:rsidP="00453883">
      <w:pPr>
        <w:spacing w:after="240"/>
        <w:jc w:val="both"/>
        <w:rPr>
          <w:szCs w:val="24"/>
        </w:rPr>
      </w:pPr>
      <w:r w:rsidRPr="00453883">
        <w:rPr>
          <w:i/>
          <w:szCs w:val="24"/>
        </w:rPr>
        <w:t>Act respecting the regulation of the financial sector</w:t>
      </w:r>
      <w:r w:rsidRPr="00453883">
        <w:rPr>
          <w:szCs w:val="24"/>
        </w:rPr>
        <w:t xml:space="preserve">, </w:t>
      </w:r>
      <w:r w:rsidRPr="00453883">
        <w:rPr>
          <w:rFonts w:eastAsiaTheme="minorEastAsia"/>
          <w:szCs w:val="24"/>
        </w:rPr>
        <w:t>CQLR, c. E</w:t>
      </w:r>
      <w:r w:rsidRPr="00453883">
        <w:rPr>
          <w:rFonts w:eastAsiaTheme="minorEastAsia"/>
          <w:szCs w:val="24"/>
        </w:rPr>
        <w:noBreakHyphen/>
        <w:t>6.1</w:t>
      </w:r>
    </w:p>
    <w:p w14:paraId="292C5C0C" w14:textId="77777777" w:rsidR="00453883" w:rsidRPr="00453883" w:rsidRDefault="00453883" w:rsidP="00453883">
      <w:pPr>
        <w:spacing w:after="240"/>
        <w:jc w:val="both"/>
        <w:rPr>
          <w:bCs/>
          <w:szCs w:val="24"/>
        </w:rPr>
      </w:pPr>
      <w:r w:rsidRPr="00453883">
        <w:rPr>
          <w:rStyle w:val="canliisection"/>
          <w:b/>
          <w:bCs/>
          <w:szCs w:val="24"/>
        </w:rPr>
        <w:t>93</w:t>
      </w:r>
      <w:r w:rsidRPr="00453883">
        <w:rPr>
          <w:rStyle w:val="label-section"/>
          <w:rFonts w:eastAsiaTheme="majorEastAsia"/>
          <w:b/>
          <w:szCs w:val="24"/>
        </w:rPr>
        <w:t>.</w:t>
      </w:r>
      <w:r w:rsidRPr="00453883">
        <w:rPr>
          <w:szCs w:val="24"/>
        </w:rPr>
        <w:t> </w:t>
      </w:r>
      <w:r w:rsidRPr="00453883">
        <w:rPr>
          <w:rStyle w:val="subsection"/>
          <w:szCs w:val="24"/>
        </w:rPr>
        <w:t>The function of the Tribunal is to make determinations with respect to matters brought under this Act and the Acts listed in Schedule I. Except where otherwise provided by law, the Tribunal shall exercise its jurisdiction to the exclusion of any other tribunal or adjudicative body.</w:t>
      </w:r>
    </w:p>
    <w:p w14:paraId="25D3EFCF" w14:textId="77777777" w:rsidR="00453883" w:rsidRPr="00453883" w:rsidRDefault="00453883" w:rsidP="00453883">
      <w:pPr>
        <w:tabs>
          <w:tab w:val="left" w:pos="270"/>
        </w:tabs>
        <w:spacing w:after="240"/>
        <w:jc w:val="both"/>
        <w:rPr>
          <w:szCs w:val="24"/>
        </w:rPr>
      </w:pPr>
      <w:r w:rsidRPr="00453883">
        <w:rPr>
          <w:rStyle w:val="subsection"/>
          <w:szCs w:val="24"/>
        </w:rPr>
        <w:tab/>
        <w:t>The Tribunal shall exercise its discretion in the public interest.</w:t>
      </w:r>
    </w:p>
    <w:p w14:paraId="4EA39B8F" w14:textId="77777777" w:rsidR="00453883" w:rsidRPr="00453883" w:rsidRDefault="00453883" w:rsidP="00453883">
      <w:pPr>
        <w:tabs>
          <w:tab w:val="left" w:pos="270"/>
        </w:tabs>
        <w:spacing w:after="240"/>
        <w:jc w:val="both"/>
        <w:rPr>
          <w:rStyle w:val="subsection"/>
          <w:szCs w:val="24"/>
        </w:rPr>
      </w:pPr>
      <w:r w:rsidRPr="00453883">
        <w:rPr>
          <w:rStyle w:val="subsection"/>
          <w:szCs w:val="24"/>
        </w:rPr>
        <w:tab/>
        <w:t xml:space="preserve">In reviewing a decision rendered by the Authority under the </w:t>
      </w:r>
      <w:r w:rsidRPr="00453883">
        <w:rPr>
          <w:rFonts w:eastAsiaTheme="minorEastAsia"/>
          <w:szCs w:val="24"/>
        </w:rPr>
        <w:t>Securities Act (chapter V</w:t>
      </w:r>
      <w:r w:rsidRPr="00453883">
        <w:rPr>
          <w:rFonts w:eastAsiaTheme="minorEastAsia"/>
          <w:szCs w:val="24"/>
        </w:rPr>
        <w:noBreakHyphen/>
        <w:t>1.1</w:t>
      </w:r>
      <w:r w:rsidRPr="00453883">
        <w:rPr>
          <w:rStyle w:val="subsection"/>
          <w:szCs w:val="24"/>
        </w:rPr>
        <w:t xml:space="preserve">) or the </w:t>
      </w:r>
      <w:r w:rsidRPr="00453883">
        <w:rPr>
          <w:rFonts w:eastAsiaTheme="minorEastAsia"/>
          <w:szCs w:val="24"/>
        </w:rPr>
        <w:t>Derivatives Act (chapter I</w:t>
      </w:r>
      <w:r w:rsidRPr="00453883">
        <w:rPr>
          <w:rFonts w:eastAsiaTheme="minorEastAsia"/>
          <w:szCs w:val="24"/>
        </w:rPr>
        <w:noBreakHyphen/>
        <w:t>14.01</w:t>
      </w:r>
      <w:r w:rsidRPr="00453883">
        <w:rPr>
          <w:rStyle w:val="subsection"/>
          <w:szCs w:val="24"/>
        </w:rPr>
        <w:t>), the Tribunal may not, when assessing the facts or the law for the purposes of those Acts, substitute its assessment of the public interest for that made by the Authority in making a decision.</w:t>
      </w:r>
    </w:p>
    <w:p w14:paraId="7593A219" w14:textId="77777777" w:rsidR="00453883" w:rsidRPr="00453883" w:rsidRDefault="00453883" w:rsidP="00453883">
      <w:pPr>
        <w:tabs>
          <w:tab w:val="left" w:pos="270"/>
        </w:tabs>
        <w:spacing w:after="240"/>
        <w:jc w:val="both"/>
        <w:rPr>
          <w:rStyle w:val="subsection"/>
          <w:szCs w:val="24"/>
        </w:rPr>
      </w:pPr>
      <w:r w:rsidRPr="00453883">
        <w:rPr>
          <w:rStyle w:val="subsection"/>
          <w:szCs w:val="24"/>
        </w:rPr>
        <w:tab/>
        <w:t>In this Title, unless the context indicates otherwise, “matters” also includes any application, complaint, contestation or motion, as well as any action falling within the jurisdiction of the Tribunal.</w:t>
      </w:r>
    </w:p>
    <w:p w14:paraId="3BBEA187" w14:textId="77777777" w:rsidR="00453883" w:rsidRPr="00453883" w:rsidRDefault="00453883" w:rsidP="00453883">
      <w:pPr>
        <w:tabs>
          <w:tab w:val="left" w:pos="6978"/>
        </w:tabs>
        <w:spacing w:after="480"/>
        <w:jc w:val="both"/>
        <w:rPr>
          <w:szCs w:val="24"/>
        </w:rPr>
      </w:pPr>
      <w:r w:rsidRPr="00453883">
        <w:rPr>
          <w:rStyle w:val="canliisection"/>
          <w:b/>
          <w:bCs/>
          <w:szCs w:val="24"/>
        </w:rPr>
        <w:t>94</w:t>
      </w:r>
      <w:r w:rsidRPr="00453883">
        <w:rPr>
          <w:rStyle w:val="label-section"/>
          <w:rFonts w:eastAsiaTheme="majorEastAsia"/>
          <w:b/>
          <w:szCs w:val="24"/>
        </w:rPr>
        <w:t>.</w:t>
      </w:r>
      <w:r w:rsidRPr="00453883">
        <w:rPr>
          <w:szCs w:val="24"/>
        </w:rPr>
        <w:t> </w:t>
      </w:r>
      <w:r w:rsidRPr="00453883">
        <w:rPr>
          <w:rStyle w:val="subsection"/>
          <w:szCs w:val="24"/>
        </w:rPr>
        <w:t xml:space="preserve">At the request of the Authority, the Tribunal may take any measure conducive to ensuring compliance with an undertaking given to the Authority under any of the Acts listed in the first paragraph of </w:t>
      </w:r>
      <w:r w:rsidRPr="00453883">
        <w:rPr>
          <w:rFonts w:eastAsiaTheme="minorEastAsia"/>
          <w:szCs w:val="24"/>
        </w:rPr>
        <w:t>section 93</w:t>
      </w:r>
      <w:r w:rsidRPr="00453883">
        <w:rPr>
          <w:rStyle w:val="subsection"/>
          <w:szCs w:val="24"/>
        </w:rPr>
        <w:t xml:space="preserve"> or compliance with those Acts.</w:t>
      </w:r>
    </w:p>
    <w:p w14:paraId="1B47890B" w14:textId="77777777" w:rsidR="00453883" w:rsidRPr="00453883" w:rsidRDefault="00453883" w:rsidP="00453883">
      <w:pPr>
        <w:spacing w:after="240"/>
        <w:jc w:val="both"/>
        <w:rPr>
          <w:szCs w:val="24"/>
        </w:rPr>
      </w:pPr>
      <w:r w:rsidRPr="00453883">
        <w:rPr>
          <w:i/>
          <w:szCs w:val="24"/>
        </w:rPr>
        <w:t>Civil Code of Québec</w:t>
      </w:r>
    </w:p>
    <w:p w14:paraId="22612C09" w14:textId="77777777" w:rsidR="00453883" w:rsidRPr="00453883" w:rsidRDefault="00453883" w:rsidP="00453883">
      <w:pPr>
        <w:spacing w:after="240"/>
        <w:jc w:val="both"/>
        <w:rPr>
          <w:szCs w:val="24"/>
        </w:rPr>
      </w:pPr>
      <w:r w:rsidRPr="00453883">
        <w:rPr>
          <w:b/>
          <w:bCs/>
          <w:szCs w:val="24"/>
        </w:rPr>
        <w:t>3134.</w:t>
      </w:r>
      <w:r w:rsidRPr="00453883">
        <w:rPr>
          <w:szCs w:val="24"/>
        </w:rPr>
        <w:t> </w:t>
      </w:r>
      <w:r w:rsidRPr="00453883">
        <w:rPr>
          <w:rStyle w:val="subsection"/>
          <w:rFonts w:eastAsiaTheme="majorEastAsia"/>
          <w:szCs w:val="24"/>
        </w:rPr>
        <w:t>In the absence of any special provision, Québec authorities have jurisdiction when the defendant is domiciled in Québec.</w:t>
      </w:r>
    </w:p>
    <w:p w14:paraId="04E3223A" w14:textId="77777777" w:rsidR="00453883" w:rsidRPr="00453883" w:rsidRDefault="00453883" w:rsidP="00453883">
      <w:pPr>
        <w:spacing w:after="240"/>
        <w:jc w:val="both"/>
        <w:rPr>
          <w:rStyle w:val="subsection"/>
          <w:szCs w:val="24"/>
        </w:rPr>
      </w:pPr>
      <w:r w:rsidRPr="00453883">
        <w:rPr>
          <w:rStyle w:val="canliisection"/>
          <w:b/>
          <w:bCs/>
          <w:szCs w:val="24"/>
        </w:rPr>
        <w:t>3135</w:t>
      </w:r>
      <w:r w:rsidRPr="00453883">
        <w:rPr>
          <w:rStyle w:val="label-section"/>
          <w:rFonts w:eastAsiaTheme="majorEastAsia"/>
          <w:b/>
          <w:szCs w:val="24"/>
        </w:rPr>
        <w:t>.</w:t>
      </w:r>
      <w:r w:rsidRPr="00453883">
        <w:rPr>
          <w:szCs w:val="24"/>
        </w:rPr>
        <w:t> </w:t>
      </w:r>
      <w:r w:rsidRPr="00453883">
        <w:rPr>
          <w:rStyle w:val="subsection"/>
          <w:szCs w:val="24"/>
        </w:rPr>
        <w:t>Even though a Québec authority has jurisdiction to hear a dispute, it may, exceptionally and on an application by a party, decline jurisdiction if it considers that the authorities of another State are in a better position to decide the dispute.</w:t>
      </w:r>
    </w:p>
    <w:p w14:paraId="18A4AD17" w14:textId="77777777" w:rsidR="00453883" w:rsidRPr="00453883" w:rsidRDefault="00453883" w:rsidP="00453883">
      <w:pPr>
        <w:spacing w:after="240"/>
        <w:jc w:val="both"/>
        <w:rPr>
          <w:rStyle w:val="subsection"/>
          <w:szCs w:val="24"/>
        </w:rPr>
      </w:pPr>
      <w:r w:rsidRPr="00453883">
        <w:rPr>
          <w:rStyle w:val="canliisection"/>
          <w:b/>
          <w:bCs/>
          <w:szCs w:val="24"/>
        </w:rPr>
        <w:t>3136</w:t>
      </w:r>
      <w:r w:rsidRPr="00453883">
        <w:rPr>
          <w:rStyle w:val="label-section"/>
          <w:rFonts w:eastAsiaTheme="majorEastAsia"/>
          <w:b/>
          <w:szCs w:val="24"/>
        </w:rPr>
        <w:t>.</w:t>
      </w:r>
      <w:r w:rsidRPr="00453883">
        <w:rPr>
          <w:szCs w:val="24"/>
        </w:rPr>
        <w:t> </w:t>
      </w:r>
      <w:r w:rsidRPr="00453883">
        <w:rPr>
          <w:rStyle w:val="subsection"/>
          <w:szCs w:val="24"/>
        </w:rPr>
        <w:t>Even though a Québec authority has no jurisdiction to hear a dispute, it may nevertheless hear it provided the dispute has a sufficient connection with Québec, if proceedings abroad prove impossible or the institution of proceedings abroad cannot reasonably be required.</w:t>
      </w:r>
    </w:p>
    <w:p w14:paraId="009110AB" w14:textId="77777777" w:rsidR="00453883" w:rsidRPr="00453883" w:rsidRDefault="00453883" w:rsidP="00453883">
      <w:pPr>
        <w:spacing w:after="240"/>
        <w:jc w:val="both"/>
        <w:rPr>
          <w:rStyle w:val="subsection"/>
          <w:b/>
          <w:bCs/>
          <w:szCs w:val="24"/>
        </w:rPr>
      </w:pPr>
      <w:r w:rsidRPr="00453883">
        <w:rPr>
          <w:rStyle w:val="canliisection"/>
          <w:b/>
          <w:bCs/>
          <w:szCs w:val="24"/>
        </w:rPr>
        <w:t>3137</w:t>
      </w:r>
      <w:r w:rsidRPr="00453883">
        <w:rPr>
          <w:rStyle w:val="label-section"/>
          <w:rFonts w:eastAsiaTheme="majorEastAsia"/>
          <w:b/>
          <w:szCs w:val="24"/>
        </w:rPr>
        <w:t>.</w:t>
      </w:r>
      <w:r w:rsidRPr="00453883">
        <w:rPr>
          <w:szCs w:val="24"/>
        </w:rPr>
        <w:t> </w:t>
      </w:r>
      <w:r w:rsidRPr="00453883">
        <w:rPr>
          <w:rStyle w:val="subsection"/>
          <w:szCs w:val="24"/>
        </w:rPr>
        <w:t>On the application of a party, a Québec authority may stay its ruling on an action brought before it if another action, between the same parties, based on the same facts and having the same subject is pending before a foreign authority, provided that the latter action can result in a decision which may be recognized in Québec, or if such a decision has already been rendered by a foreign authority.</w:t>
      </w:r>
    </w:p>
    <w:p w14:paraId="58392445" w14:textId="77777777" w:rsidR="00453883" w:rsidRPr="00453883" w:rsidRDefault="00453883" w:rsidP="00453883">
      <w:pPr>
        <w:spacing w:after="240"/>
        <w:jc w:val="both"/>
        <w:rPr>
          <w:rStyle w:val="subsection"/>
          <w:szCs w:val="24"/>
        </w:rPr>
      </w:pPr>
      <w:r w:rsidRPr="00453883">
        <w:rPr>
          <w:rStyle w:val="canliisection"/>
          <w:b/>
          <w:bCs/>
          <w:szCs w:val="24"/>
        </w:rPr>
        <w:t>3138</w:t>
      </w:r>
      <w:r w:rsidRPr="00453883">
        <w:rPr>
          <w:rStyle w:val="label-section"/>
          <w:rFonts w:eastAsiaTheme="majorEastAsia"/>
          <w:b/>
          <w:szCs w:val="24"/>
        </w:rPr>
        <w:t>.</w:t>
      </w:r>
      <w:r w:rsidRPr="00453883">
        <w:rPr>
          <w:szCs w:val="24"/>
        </w:rPr>
        <w:t> </w:t>
      </w:r>
      <w:r w:rsidRPr="00453883">
        <w:rPr>
          <w:rStyle w:val="subsection"/>
          <w:szCs w:val="24"/>
        </w:rPr>
        <w:t>A Québec authority may order provisional or conservatory measures even if it has no jurisdiction over the merits of the dispute.</w:t>
      </w:r>
    </w:p>
    <w:p w14:paraId="23315518" w14:textId="77777777" w:rsidR="00453883" w:rsidRPr="00453883" w:rsidRDefault="00453883" w:rsidP="00453883">
      <w:pPr>
        <w:spacing w:after="240"/>
        <w:jc w:val="both"/>
        <w:rPr>
          <w:rStyle w:val="subsection"/>
          <w:szCs w:val="24"/>
        </w:rPr>
      </w:pPr>
      <w:r w:rsidRPr="00453883">
        <w:rPr>
          <w:rStyle w:val="canliisection"/>
          <w:b/>
          <w:bCs/>
          <w:szCs w:val="24"/>
        </w:rPr>
        <w:t>3139</w:t>
      </w:r>
      <w:r w:rsidRPr="00453883">
        <w:rPr>
          <w:rStyle w:val="label-section"/>
          <w:rFonts w:eastAsiaTheme="majorEastAsia"/>
          <w:b/>
          <w:szCs w:val="24"/>
        </w:rPr>
        <w:t>.</w:t>
      </w:r>
      <w:r w:rsidRPr="00453883">
        <w:rPr>
          <w:szCs w:val="24"/>
        </w:rPr>
        <w:t> </w:t>
      </w:r>
      <w:r w:rsidRPr="00453883">
        <w:rPr>
          <w:rStyle w:val="subsection"/>
          <w:szCs w:val="24"/>
        </w:rPr>
        <w:t>Where a Québec authority has jurisdiction to rule on the principal demand, it also has jurisdiction to rule on an incidental demand or a cross demand.</w:t>
      </w:r>
    </w:p>
    <w:p w14:paraId="369A397C" w14:textId="77777777" w:rsidR="00453883" w:rsidRPr="00453883" w:rsidRDefault="00453883" w:rsidP="00453883">
      <w:pPr>
        <w:spacing w:after="240"/>
        <w:jc w:val="both"/>
        <w:rPr>
          <w:szCs w:val="24"/>
        </w:rPr>
      </w:pPr>
      <w:r w:rsidRPr="00453883">
        <w:rPr>
          <w:rStyle w:val="canliisection"/>
          <w:b/>
          <w:bCs/>
          <w:szCs w:val="24"/>
        </w:rPr>
        <w:t>3140</w:t>
      </w:r>
      <w:r w:rsidRPr="00453883">
        <w:rPr>
          <w:rStyle w:val="label-section"/>
          <w:rFonts w:eastAsiaTheme="majorEastAsia"/>
          <w:b/>
          <w:szCs w:val="24"/>
        </w:rPr>
        <w:t>.</w:t>
      </w:r>
      <w:r w:rsidRPr="00453883">
        <w:rPr>
          <w:szCs w:val="24"/>
        </w:rPr>
        <w:t> </w:t>
      </w:r>
      <w:r w:rsidRPr="00453883">
        <w:rPr>
          <w:rStyle w:val="subsection"/>
          <w:szCs w:val="24"/>
        </w:rPr>
        <w:t>In cases of emergency or serious inconvenience, Québec authorities may also take such measures as they consider necessary for the protection of a person present in Québec or of the person’s property if it is situated there.</w:t>
      </w:r>
    </w:p>
    <w:p w14:paraId="559C13A0" w14:textId="77777777" w:rsidR="00453883" w:rsidRPr="00453883" w:rsidRDefault="00453883" w:rsidP="00453883">
      <w:pPr>
        <w:spacing w:after="240"/>
        <w:jc w:val="both"/>
        <w:rPr>
          <w:szCs w:val="24"/>
          <w:lang w:eastAsia="en-US"/>
        </w:rPr>
      </w:pPr>
      <w:r w:rsidRPr="00453883">
        <w:rPr>
          <w:b/>
          <w:bCs/>
          <w:szCs w:val="24"/>
          <w:lang w:eastAsia="en-US"/>
        </w:rPr>
        <w:t>3148.</w:t>
      </w:r>
      <w:r w:rsidRPr="00453883">
        <w:rPr>
          <w:szCs w:val="24"/>
          <w:lang w:eastAsia="en-US"/>
        </w:rPr>
        <w:t> In personal actions of a patrimonial nature, Québec authorities have jurisdiction in the following cases:</w:t>
      </w:r>
    </w:p>
    <w:p w14:paraId="5FA9C933" w14:textId="77777777" w:rsidR="00453883" w:rsidRPr="00453883" w:rsidRDefault="00453883" w:rsidP="00453883">
      <w:pPr>
        <w:tabs>
          <w:tab w:val="left" w:pos="270"/>
        </w:tabs>
        <w:spacing w:after="240"/>
        <w:jc w:val="both"/>
        <w:rPr>
          <w:szCs w:val="24"/>
          <w:lang w:eastAsia="en-US"/>
        </w:rPr>
      </w:pPr>
      <w:r w:rsidRPr="00453883">
        <w:rPr>
          <w:szCs w:val="24"/>
          <w:lang w:eastAsia="en-US"/>
        </w:rPr>
        <w:tab/>
        <w:t>(1) </w:t>
      </w:r>
      <w:proofErr w:type="gramStart"/>
      <w:r w:rsidRPr="00453883">
        <w:rPr>
          <w:szCs w:val="24"/>
        </w:rPr>
        <w:t>the</w:t>
      </w:r>
      <w:proofErr w:type="gramEnd"/>
      <w:r w:rsidRPr="00453883">
        <w:rPr>
          <w:szCs w:val="24"/>
        </w:rPr>
        <w:t xml:space="preserve"> defendant has his domicile or his residence in Québec;</w:t>
      </w:r>
    </w:p>
    <w:p w14:paraId="0F988ED5" w14:textId="77777777" w:rsidR="00453883" w:rsidRPr="00453883" w:rsidRDefault="00453883" w:rsidP="00453883">
      <w:pPr>
        <w:tabs>
          <w:tab w:val="left" w:pos="270"/>
        </w:tabs>
        <w:spacing w:after="240"/>
        <w:jc w:val="both"/>
        <w:rPr>
          <w:szCs w:val="24"/>
          <w:lang w:eastAsia="en-US"/>
        </w:rPr>
      </w:pPr>
      <w:r w:rsidRPr="00453883">
        <w:rPr>
          <w:szCs w:val="24"/>
          <w:lang w:eastAsia="en-US"/>
        </w:rPr>
        <w:tab/>
        <w:t>(2) </w:t>
      </w:r>
      <w:proofErr w:type="gramStart"/>
      <w:r w:rsidRPr="00453883">
        <w:rPr>
          <w:szCs w:val="24"/>
        </w:rPr>
        <w:t>the</w:t>
      </w:r>
      <w:proofErr w:type="gramEnd"/>
      <w:r w:rsidRPr="00453883">
        <w:rPr>
          <w:szCs w:val="24"/>
        </w:rPr>
        <w:t xml:space="preserve"> defendant is a legal person, is not domiciled in Québec but has an establishment in Québec, and the dispute relates to its activities in Québec;</w:t>
      </w:r>
    </w:p>
    <w:p w14:paraId="6AAC4B08" w14:textId="77777777" w:rsidR="00453883" w:rsidRPr="00453883" w:rsidRDefault="00453883" w:rsidP="00453883">
      <w:pPr>
        <w:tabs>
          <w:tab w:val="left" w:pos="270"/>
        </w:tabs>
        <w:spacing w:after="480" w:line="480" w:lineRule="auto"/>
        <w:rPr>
          <w:szCs w:val="24"/>
        </w:rPr>
      </w:pPr>
      <w:r w:rsidRPr="00453883">
        <w:rPr>
          <w:szCs w:val="24"/>
        </w:rPr>
        <w:tab/>
        <w:t>(3) </w:t>
      </w:r>
      <w:proofErr w:type="gramStart"/>
      <w:r w:rsidRPr="00453883">
        <w:rPr>
          <w:szCs w:val="24"/>
        </w:rPr>
        <w:t>a</w:t>
      </w:r>
      <w:proofErr w:type="gramEnd"/>
      <w:r w:rsidRPr="00453883">
        <w:rPr>
          <w:szCs w:val="24"/>
        </w:rPr>
        <w:t xml:space="preserve"> fault was committed in Québec, injury was suffered in Québec, an injurious act or omission occurred in Québec or one of the obligations arising from a contract was to be performed in Québec;</w:t>
      </w:r>
    </w:p>
    <w:p w14:paraId="750865EB" w14:textId="32B5CF5B" w:rsidR="009B57B3" w:rsidRPr="00453883" w:rsidRDefault="009B57B3" w:rsidP="00061413">
      <w:pPr>
        <w:pStyle w:val="SCCNormalDoubleSpacing"/>
        <w:spacing w:after="480"/>
      </w:pPr>
      <w:r w:rsidRPr="00453883">
        <w:tab/>
      </w:r>
      <w:r w:rsidR="00BF612E" w:rsidRPr="00453883">
        <w:rPr>
          <w:i/>
        </w:rPr>
        <w:t>Appeal</w:t>
      </w:r>
      <w:r w:rsidR="00C853A8" w:rsidRPr="00453883">
        <w:rPr>
          <w:i/>
        </w:rPr>
        <w:t>s</w:t>
      </w:r>
      <w:r w:rsidR="00BF612E" w:rsidRPr="00453883">
        <w:rPr>
          <w:i/>
        </w:rPr>
        <w:t xml:space="preserve"> dismissed</w:t>
      </w:r>
      <w:r w:rsidR="000512BF" w:rsidRPr="00453883">
        <w:rPr>
          <w:i/>
        </w:rPr>
        <w:t xml:space="preserve"> with costs</w:t>
      </w:r>
      <w:r w:rsidR="00785249" w:rsidRPr="00453883">
        <w:rPr>
          <w:rStyle w:val="solexhl"/>
          <w:rFonts w:eastAsiaTheme="majorEastAsia"/>
          <w:i/>
          <w:iCs/>
          <w:color w:val="000000"/>
        </w:rPr>
        <w:t>, </w:t>
      </w:r>
      <w:r w:rsidR="00785249" w:rsidRPr="00453883">
        <w:rPr>
          <w:rStyle w:val="solexhl"/>
          <w:rFonts w:eastAsiaTheme="majorEastAsia"/>
          <w:smallCaps/>
          <w:color w:val="000000"/>
        </w:rPr>
        <w:t>Côté J. </w:t>
      </w:r>
      <w:r w:rsidR="00785249" w:rsidRPr="00453883">
        <w:rPr>
          <w:rStyle w:val="solexhl"/>
          <w:rFonts w:eastAsiaTheme="majorEastAsia"/>
          <w:i/>
          <w:iCs/>
          <w:color w:val="000000"/>
        </w:rPr>
        <w:t>dissenting</w:t>
      </w:r>
      <w:r w:rsidR="00BF612E" w:rsidRPr="00453883">
        <w:rPr>
          <w:i/>
        </w:rPr>
        <w:t>.</w:t>
      </w:r>
    </w:p>
    <w:p w14:paraId="12587F6A" w14:textId="1055C95B" w:rsidR="00FB2C98" w:rsidRPr="00453883" w:rsidRDefault="00C86B27" w:rsidP="00061413">
      <w:pPr>
        <w:pStyle w:val="SCCLawFirm"/>
        <w:spacing w:after="480"/>
      </w:pPr>
      <w:r w:rsidRPr="00453883">
        <w:tab/>
        <w:t>Solicitors</w:t>
      </w:r>
      <w:r w:rsidR="003B29DE" w:rsidRPr="00453883">
        <w:t xml:space="preserve"> for </w:t>
      </w:r>
      <w:r w:rsidR="00E36AC8" w:rsidRPr="00453883">
        <w:t>the appellant</w:t>
      </w:r>
      <w:r w:rsidR="006603E2" w:rsidRPr="006603E2">
        <w:t>/intervener</w:t>
      </w:r>
      <w:r w:rsidR="00E36AC8" w:rsidRPr="00453883">
        <w:t xml:space="preserve"> </w:t>
      </w:r>
      <w:r w:rsidRPr="00453883">
        <w:rPr>
          <w:lang w:val="en-US"/>
        </w:rPr>
        <w:t>Frederick Langford Sharp</w:t>
      </w:r>
      <w:r w:rsidRPr="00453883">
        <w:t>: Langlois Lawyers</w:t>
      </w:r>
      <w:r w:rsidR="003B29DE" w:rsidRPr="00453883">
        <w:t>, Montréal.</w:t>
      </w:r>
    </w:p>
    <w:p w14:paraId="32B4B8EA" w14:textId="0BDA5047" w:rsidR="00FB2C98" w:rsidRPr="00453883" w:rsidRDefault="00C86B27" w:rsidP="00061413">
      <w:pPr>
        <w:pStyle w:val="SCCLawFirm"/>
        <w:spacing w:after="480"/>
        <w:rPr>
          <w:lang w:val="en-US"/>
        </w:rPr>
      </w:pPr>
      <w:r w:rsidRPr="00453883">
        <w:tab/>
      </w:r>
      <w:r w:rsidRPr="00453883">
        <w:rPr>
          <w:lang w:val="en-US"/>
        </w:rPr>
        <w:t>Solicitors</w:t>
      </w:r>
      <w:r w:rsidR="003B29DE" w:rsidRPr="00453883">
        <w:rPr>
          <w:lang w:val="en-US"/>
        </w:rPr>
        <w:t xml:space="preserve"> for </w:t>
      </w:r>
      <w:r w:rsidR="00E36AC8" w:rsidRPr="00453883">
        <w:rPr>
          <w:lang w:val="en-US"/>
        </w:rPr>
        <w:t>the appellants</w:t>
      </w:r>
      <w:r w:rsidR="006603E2" w:rsidRPr="006603E2">
        <w:rPr>
          <w:lang w:val="en-US"/>
        </w:rPr>
        <w:t>/intervener</w:t>
      </w:r>
      <w:r w:rsidR="006603E2">
        <w:rPr>
          <w:lang w:val="en-US"/>
        </w:rPr>
        <w:t>s</w:t>
      </w:r>
      <w:bookmarkStart w:id="0" w:name="_GoBack"/>
      <w:bookmarkEnd w:id="0"/>
      <w:r w:rsidR="00E36AC8" w:rsidRPr="00453883">
        <w:rPr>
          <w:lang w:val="en-US"/>
        </w:rPr>
        <w:t xml:space="preserve"> </w:t>
      </w:r>
      <w:r w:rsidRPr="00453883">
        <w:rPr>
          <w:rStyle w:val="SCCCounselPartyRoleChar"/>
          <w:lang w:val="en-US"/>
        </w:rPr>
        <w:t>Shawn Van Damme, Vincenzo Antonio Carnovale and Pasquale Antonio Rocca</w:t>
      </w:r>
      <w:r w:rsidR="003B29DE" w:rsidRPr="00453883">
        <w:rPr>
          <w:lang w:val="en-US"/>
        </w:rPr>
        <w:t xml:space="preserve">: LCM </w:t>
      </w:r>
      <w:r w:rsidR="00AD2C7C" w:rsidRPr="00453883">
        <w:rPr>
          <w:lang w:val="en-US"/>
        </w:rPr>
        <w:t xml:space="preserve">Attorneys </w:t>
      </w:r>
      <w:r w:rsidR="003B29DE" w:rsidRPr="00453883">
        <w:rPr>
          <w:lang w:val="en-US"/>
        </w:rPr>
        <w:t>inc., Montréal.</w:t>
      </w:r>
    </w:p>
    <w:p w14:paraId="1CC2E85C" w14:textId="77777777" w:rsidR="00FB2C98" w:rsidRPr="00453883" w:rsidRDefault="003B29DE" w:rsidP="00061413">
      <w:pPr>
        <w:pStyle w:val="SCCLawFirm"/>
        <w:spacing w:after="480"/>
        <w:rPr>
          <w:lang w:val="fr-CA"/>
        </w:rPr>
      </w:pPr>
      <w:r w:rsidRPr="00453883">
        <w:tab/>
      </w:r>
      <w:r w:rsidR="00926C35" w:rsidRPr="00453883">
        <w:rPr>
          <w:lang w:val="fr-CA"/>
        </w:rPr>
        <w:t>Solicitor</w:t>
      </w:r>
      <w:r w:rsidRPr="00453883">
        <w:rPr>
          <w:lang w:val="fr-CA"/>
        </w:rPr>
        <w:t xml:space="preserve"> for the respondent: Autorité des marchés financiers, Montréal.</w:t>
      </w:r>
    </w:p>
    <w:p w14:paraId="75CB4E9C" w14:textId="7203B36F" w:rsidR="00595373" w:rsidRPr="00453883" w:rsidRDefault="00595373" w:rsidP="00061413">
      <w:pPr>
        <w:pStyle w:val="SCCLawFirm"/>
        <w:spacing w:after="480"/>
      </w:pPr>
      <w:r w:rsidRPr="00453883">
        <w:rPr>
          <w:lang w:val="fr-CA"/>
        </w:rPr>
        <w:tab/>
      </w:r>
      <w:r w:rsidR="00926C35" w:rsidRPr="00453883">
        <w:t>Solicitor</w:t>
      </w:r>
      <w:r w:rsidRPr="00453883">
        <w:t xml:space="preserve"> for the intervener </w:t>
      </w:r>
      <w:r w:rsidR="00926C35" w:rsidRPr="00453883">
        <w:t xml:space="preserve">the </w:t>
      </w:r>
      <w:r w:rsidRPr="00453883">
        <w:t xml:space="preserve">Attorney General of Quebec: </w:t>
      </w:r>
      <w:r w:rsidR="00926C35" w:rsidRPr="00453883">
        <w:t>Attorney General of Quebec</w:t>
      </w:r>
      <w:r w:rsidRPr="00453883">
        <w:t>, Québec.</w:t>
      </w:r>
    </w:p>
    <w:p w14:paraId="24010AF4" w14:textId="77777777" w:rsidR="00FB2C98" w:rsidRDefault="00926C35" w:rsidP="00061413">
      <w:pPr>
        <w:pStyle w:val="SCCLawFirm"/>
        <w:spacing w:after="480"/>
      </w:pPr>
      <w:r w:rsidRPr="00453883">
        <w:tab/>
        <w:t>Solicitor</w:t>
      </w:r>
      <w:r w:rsidR="003B29DE" w:rsidRPr="00453883">
        <w:t xml:space="preserve"> for the intervener </w:t>
      </w:r>
      <w:r w:rsidRPr="00453883">
        <w:t xml:space="preserve">the </w:t>
      </w:r>
      <w:r w:rsidR="003B29DE" w:rsidRPr="00453883">
        <w:t>Ontario Securities Commission: Ontario Securities Commission, Toronto.</w:t>
      </w:r>
    </w:p>
    <w:sectPr w:rsidR="00FB2C98" w:rsidSect="000648CC">
      <w:headerReference w:type="even" r:id="rId12"/>
      <w:headerReference w:type="default" r:id="rId13"/>
      <w:footerReference w:type="even" r:id="rId14"/>
      <w:footerReference w:type="default" r:id="rId15"/>
      <w:headerReference w:type="first" r:id="rId16"/>
      <w:footerReference w:type="first" r:id="rId17"/>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76F9B2" w14:textId="77777777" w:rsidR="00AF6C9B" w:rsidRDefault="00AF6C9B">
      <w:r>
        <w:separator/>
      </w:r>
    </w:p>
  </w:endnote>
  <w:endnote w:type="continuationSeparator" w:id="0">
    <w:p w14:paraId="2238E083" w14:textId="77777777" w:rsidR="00AF6C9B" w:rsidRDefault="00AF6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A91B8" w14:textId="77777777" w:rsidR="00AF6C9B" w:rsidRDefault="00AF6C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29553" w14:textId="77777777" w:rsidR="00AF6C9B" w:rsidRDefault="00AF6C9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37A0D" w14:textId="77777777" w:rsidR="00AF6C9B" w:rsidRDefault="00AF6C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A0A9BD" w14:textId="77777777" w:rsidR="00AF6C9B" w:rsidRDefault="00AF6C9B">
      <w:r>
        <w:separator/>
      </w:r>
    </w:p>
  </w:footnote>
  <w:footnote w:type="continuationSeparator" w:id="0">
    <w:p w14:paraId="3F223D35" w14:textId="77777777" w:rsidR="00AF6C9B" w:rsidRDefault="00AF6C9B">
      <w:r>
        <w:continuationSeparator/>
      </w:r>
    </w:p>
  </w:footnote>
  <w:footnote w:id="1">
    <w:p w14:paraId="37A86B96" w14:textId="1D39C1B5" w:rsidR="00AF6C9B" w:rsidRPr="006E5C6D" w:rsidRDefault="00AF6C9B">
      <w:pPr>
        <w:pStyle w:val="FootnoteText"/>
        <w:rPr>
          <w:lang w:val="en-US"/>
        </w:rPr>
      </w:pPr>
      <w:r w:rsidRPr="006E5C6D">
        <w:rPr>
          <w:rStyle w:val="FootnoteReference"/>
        </w:rPr>
        <w:sym w:font="Symbol" w:char="F02A"/>
      </w:r>
      <w:r>
        <w:t> </w:t>
      </w:r>
      <w:r w:rsidRPr="006E5C6D">
        <w:t>Brown J. did not participate in the final disposition of the judgment.</w:t>
      </w:r>
    </w:p>
  </w:footnote>
  <w:footnote w:id="2">
    <w:p w14:paraId="235AF019" w14:textId="77777777" w:rsidR="00AF6C9B" w:rsidRPr="00464FF2" w:rsidRDefault="00AF6C9B" w:rsidP="00453883">
      <w:pPr>
        <w:pStyle w:val="FootnoteText"/>
      </w:pPr>
      <w:r>
        <w:rPr>
          <w:rStyle w:val="FootnoteReference"/>
        </w:rPr>
        <w:footnoteRef/>
      </w:r>
      <w:r>
        <w:t xml:space="preserve"> </w:t>
      </w:r>
      <w:r w:rsidRPr="00292B05">
        <w:t xml:space="preserve">Amended and renamed the </w:t>
      </w:r>
      <w:r w:rsidRPr="00292B05">
        <w:rPr>
          <w:i/>
        </w:rPr>
        <w:t>Act respecting the regulation of the financial sector</w:t>
      </w:r>
      <w:r w:rsidRPr="00292B05">
        <w:t>, CQLR, c. E</w:t>
      </w:r>
      <w:r w:rsidRPr="00292B05">
        <w:noBreakHyphen/>
        <w:t>6.1</w:t>
      </w:r>
      <w:r w:rsidRPr="00292B05">
        <w:rPr>
          <w:i/>
        </w:rPr>
        <w:t xml:space="preserve"> </w:t>
      </w:r>
      <w:r w:rsidRPr="00292B05">
        <w:t>(</w:t>
      </w:r>
      <w:r w:rsidRPr="00292B05">
        <w:rPr>
          <w:i/>
        </w:rPr>
        <w:t>An Act mainly to improve the regulation of the financial sector, the protection of deposits of money and the operation of financial institutions</w:t>
      </w:r>
      <w:r w:rsidRPr="00292B05">
        <w:t>,</w:t>
      </w:r>
      <w:r w:rsidRPr="00292B05">
        <w:rPr>
          <w:i/>
        </w:rPr>
        <w:t xml:space="preserve"> </w:t>
      </w:r>
      <w:r w:rsidRPr="00292B05">
        <w:t>S.Q. 2018, c. 23, Part IV) in 2018.</w:t>
      </w:r>
    </w:p>
  </w:footnote>
  <w:footnote w:id="3">
    <w:p w14:paraId="72B9C2D9" w14:textId="77777777" w:rsidR="00AF6C9B" w:rsidRPr="00666567" w:rsidRDefault="00AF6C9B" w:rsidP="00453883">
      <w:pPr>
        <w:pStyle w:val="FootnoteText"/>
        <w:rPr>
          <w:lang w:val="en-US"/>
        </w:rPr>
      </w:pPr>
      <w:r>
        <w:rPr>
          <w:rStyle w:val="FootnoteReference"/>
        </w:rPr>
        <w:footnoteRef/>
      </w:r>
      <w:r>
        <w:t xml:space="preserve"> The appellants did not file a notice of </w:t>
      </w:r>
      <w:r>
        <w:rPr>
          <w:lang w:val="en-US"/>
        </w:rPr>
        <w:t xml:space="preserve">constitutional question in this Court under the </w:t>
      </w:r>
      <w:r w:rsidRPr="002509A8">
        <w:rPr>
          <w:i/>
          <w:lang w:val="en-US"/>
        </w:rPr>
        <w:t>Rules of the Supreme Court of Canada</w:t>
      </w:r>
      <w:r>
        <w:rPr>
          <w:lang w:val="en-US"/>
        </w:rPr>
        <w:t xml:space="preserve">, SOR/2002-156, r. 33(2), presumably because their position is that the </w:t>
      </w:r>
      <w:r w:rsidRPr="002509A8">
        <w:rPr>
          <w:i/>
          <w:lang w:val="en-US"/>
        </w:rPr>
        <w:t>C.C.Q.</w:t>
      </w:r>
      <w:r>
        <w:rPr>
          <w:lang w:val="en-US"/>
        </w:rPr>
        <w:t xml:space="preserve"> governs whether the FMAT has jurisdiction over them, and thus they did not ask for the Quebec </w:t>
      </w:r>
      <w:r w:rsidRPr="00C15728">
        <w:rPr>
          <w:lang w:val="en-US"/>
        </w:rPr>
        <w:t>securities scheme</w:t>
      </w:r>
      <w:r>
        <w:rPr>
          <w:lang w:val="en-US"/>
        </w:rPr>
        <w:t xml:space="preserve"> to be found constitutionally </w:t>
      </w:r>
      <w:r w:rsidRPr="00D24AFD">
        <w:rPr>
          <w:lang w:val="en-US"/>
        </w:rPr>
        <w:t>inapplicable.</w:t>
      </w:r>
    </w:p>
  </w:footnote>
  <w:footnote w:id="4">
    <w:p w14:paraId="5B7501E1" w14:textId="77777777" w:rsidR="00AF6C9B" w:rsidRPr="0021777F" w:rsidRDefault="00AF6C9B" w:rsidP="00453883">
      <w:pPr>
        <w:pStyle w:val="FootnoteText"/>
      </w:pPr>
      <w:r>
        <w:rPr>
          <w:rStyle w:val="FootnoteReference"/>
        </w:rPr>
        <w:footnoteRef/>
      </w:r>
      <w:r>
        <w:t xml:space="preserve"> The preliminary provision of the </w:t>
      </w:r>
      <w:r>
        <w:rPr>
          <w:i/>
        </w:rPr>
        <w:t xml:space="preserve">C.C.Q. </w:t>
      </w:r>
      <w:r>
        <w:t xml:space="preserve">was amended on June 1, 2022 by the </w:t>
      </w:r>
      <w:r>
        <w:rPr>
          <w:i/>
        </w:rPr>
        <w:t>Act respecting French, the official and common language of Québec</w:t>
      </w:r>
      <w:r>
        <w:t xml:space="preserve">, S.Q. 2022, c. 14, to add a reference to the </w:t>
      </w:r>
      <w:r>
        <w:rPr>
          <w:i/>
        </w:rPr>
        <w:t xml:space="preserve">Charter of the French </w:t>
      </w:r>
      <w:r w:rsidRPr="00DE72DC">
        <w:rPr>
          <w:i/>
        </w:rPr>
        <w:t>language</w:t>
      </w:r>
      <w:r>
        <w:t xml:space="preserve">, </w:t>
      </w:r>
      <w:r w:rsidRPr="00DE72DC">
        <w:t>CQLR</w:t>
      </w:r>
      <w:r>
        <w:t>,</w:t>
      </w:r>
      <w:r w:rsidRPr="00DE72DC">
        <w:t xml:space="preserve"> c</w:t>
      </w:r>
      <w:r>
        <w:t>.</w:t>
      </w:r>
      <w:r w:rsidRPr="00DE72DC">
        <w:t xml:space="preserve"> C-11</w:t>
      </w:r>
      <w:r>
        <w:t>. The preliminary provision is cited here as it read at the time the FMAT decision was rendered.</w:t>
      </w:r>
    </w:p>
  </w:footnote>
  <w:footnote w:id="5">
    <w:p w14:paraId="32D6091A" w14:textId="77777777" w:rsidR="00AF6C9B" w:rsidRPr="00C15728" w:rsidRDefault="00AF6C9B" w:rsidP="00453883">
      <w:pPr>
        <w:pStyle w:val="FootnoteText"/>
      </w:pPr>
      <w:r w:rsidRPr="00C15728">
        <w:rPr>
          <w:rStyle w:val="FootnoteReference"/>
        </w:rPr>
        <w:footnoteRef/>
      </w:r>
      <w:r w:rsidRPr="00C15728">
        <w:rPr>
          <w:lang w:val="en-US"/>
        </w:rPr>
        <w:t xml:space="preserve"> Section 93 was amended in 2018 and now reads:</w:t>
      </w:r>
      <w:r w:rsidRPr="00C15728">
        <w:t xml:space="preserve"> </w:t>
      </w:r>
    </w:p>
    <w:p w14:paraId="582807A8" w14:textId="77777777" w:rsidR="00AF6C9B" w:rsidRPr="00C15728" w:rsidRDefault="00AF6C9B" w:rsidP="00453883">
      <w:pPr>
        <w:pStyle w:val="FootnoteText"/>
      </w:pPr>
    </w:p>
    <w:p w14:paraId="12BA9060" w14:textId="77777777" w:rsidR="00AF6C9B" w:rsidRPr="00C15728" w:rsidRDefault="00AF6C9B" w:rsidP="00453883">
      <w:pPr>
        <w:pStyle w:val="FootnoteText"/>
        <w:ind w:left="1166"/>
        <w:rPr>
          <w:lang w:val="en-US"/>
        </w:rPr>
      </w:pPr>
      <w:r w:rsidRPr="00F45A51">
        <w:rPr>
          <w:b/>
          <w:lang w:val="en-US"/>
        </w:rPr>
        <w:t>93.</w:t>
      </w:r>
      <w:r w:rsidRPr="00C15728">
        <w:rPr>
          <w:lang w:val="en-US"/>
        </w:rPr>
        <w:t xml:space="preserve"> The function of the Tribunal is to make determinations with respect to matters brought under this Act and the Acts listed in Schedule I. Except where otherwise provided by law, the Tribunal shall exercise its jurisdiction to the exclusion of any other tribunal or adjudicative body.</w:t>
      </w:r>
    </w:p>
    <w:p w14:paraId="1A416C46" w14:textId="77777777" w:rsidR="00AF6C9B" w:rsidRPr="00C15728" w:rsidRDefault="00AF6C9B" w:rsidP="00453883">
      <w:pPr>
        <w:pStyle w:val="FootnoteText"/>
        <w:rPr>
          <w:lang w:val="en-US"/>
        </w:rPr>
      </w:pPr>
    </w:p>
    <w:p w14:paraId="5AE37226" w14:textId="77777777" w:rsidR="00AF6C9B" w:rsidRPr="00C15728" w:rsidRDefault="00AF6C9B" w:rsidP="00453883">
      <w:pPr>
        <w:pStyle w:val="FootnoteText"/>
        <w:ind w:left="1440"/>
        <w:rPr>
          <w:lang w:val="en-US"/>
        </w:rPr>
      </w:pPr>
      <w:r>
        <w:rPr>
          <w:lang w:val="en-US"/>
        </w:rPr>
        <w:tab/>
      </w:r>
      <w:r w:rsidRPr="00C15728">
        <w:rPr>
          <w:lang w:val="en-US"/>
        </w:rPr>
        <w:t>The Tribunal shall exercise its discretion in the public interest.</w:t>
      </w:r>
    </w:p>
    <w:p w14:paraId="629F08E6" w14:textId="77777777" w:rsidR="00AF6C9B" w:rsidRPr="00C15728" w:rsidRDefault="00AF6C9B" w:rsidP="00453883">
      <w:pPr>
        <w:pStyle w:val="FootnoteText"/>
        <w:rPr>
          <w:lang w:val="en-US"/>
        </w:rPr>
      </w:pPr>
    </w:p>
    <w:p w14:paraId="0A254B61" w14:textId="77777777" w:rsidR="00AF6C9B" w:rsidRPr="00C15728" w:rsidRDefault="00AF6C9B" w:rsidP="00453883">
      <w:pPr>
        <w:pStyle w:val="FootnoteText"/>
        <w:ind w:left="1166"/>
        <w:rPr>
          <w:lang w:val="en-US"/>
        </w:rPr>
      </w:pPr>
      <w:r>
        <w:rPr>
          <w:lang w:val="en-US"/>
        </w:rPr>
        <w:tab/>
      </w:r>
      <w:r w:rsidRPr="00C15728">
        <w:rPr>
          <w:lang w:val="en-US"/>
        </w:rPr>
        <w:t>In reviewing a decision rendered by the Authority under the Securities Act (chapter V-1.1) or the Derivatives Act (chapter I-14.01), the Tribunal may not, when assessing the facts or the law for the purposes of those Acts, substitute its assessment of the public interest for that made by the Authority in making a decision.</w:t>
      </w:r>
    </w:p>
    <w:p w14:paraId="53C98A53" w14:textId="77777777" w:rsidR="00AF6C9B" w:rsidRPr="00C15728" w:rsidRDefault="00AF6C9B" w:rsidP="00453883">
      <w:pPr>
        <w:pStyle w:val="FootnoteText"/>
        <w:rPr>
          <w:lang w:val="en-US"/>
        </w:rPr>
      </w:pPr>
    </w:p>
    <w:p w14:paraId="75CC73EE" w14:textId="77777777" w:rsidR="00AF6C9B" w:rsidRPr="00C15728" w:rsidRDefault="00AF6C9B" w:rsidP="00453883">
      <w:pPr>
        <w:pStyle w:val="FootnoteText"/>
        <w:ind w:left="1166"/>
        <w:rPr>
          <w:lang w:val="en-US"/>
        </w:rPr>
      </w:pPr>
      <w:r>
        <w:rPr>
          <w:lang w:val="en-US"/>
        </w:rPr>
        <w:tab/>
      </w:r>
      <w:r w:rsidRPr="00C15728">
        <w:rPr>
          <w:lang w:val="en-US"/>
        </w:rPr>
        <w:t>In this Title, unless the context indicates otherwise, “matters” also includes any application, complaint, contestation or motion, as well as any action falling within the jurisdiction of the Tribunal.</w:t>
      </w:r>
    </w:p>
    <w:p w14:paraId="3F88733D" w14:textId="77777777" w:rsidR="00AF6C9B" w:rsidRPr="00C15728" w:rsidRDefault="00AF6C9B" w:rsidP="00453883">
      <w:pPr>
        <w:pStyle w:val="FootnoteText"/>
        <w:rPr>
          <w:lang w:val="en-US"/>
        </w:rPr>
      </w:pPr>
    </w:p>
    <w:p w14:paraId="70B9B5B6" w14:textId="77777777" w:rsidR="00AF6C9B" w:rsidRDefault="00AF6C9B" w:rsidP="00453883">
      <w:pPr>
        <w:pStyle w:val="FootnoteText"/>
      </w:pPr>
      <w:r>
        <w:tab/>
      </w:r>
      <w:r w:rsidRPr="00C15728">
        <w:t xml:space="preserve">The former version of s. 93, in force at the time when the AMF instituted proceedings before the FMAT, continues to apply to these proceedings under the applicable transitional rules because the provision is substantive (it relates to the FMAT’s jurisdiction) and not procedural (see </w:t>
      </w:r>
      <w:r w:rsidRPr="00C15728">
        <w:rPr>
          <w:i/>
        </w:rPr>
        <w:t>Interpretation Act</w:t>
      </w:r>
      <w:r>
        <w:t xml:space="preserve">, CQLR, c. I-16, ss. 12 and </w:t>
      </w:r>
      <w:r w:rsidRPr="00C15728">
        <w:t xml:space="preserve">13; </w:t>
      </w:r>
      <w:r>
        <w:rPr>
          <w:i/>
        </w:rPr>
        <w:t xml:space="preserve">Dell </w:t>
      </w:r>
      <w:r w:rsidRPr="00D43B65">
        <w:rPr>
          <w:i/>
        </w:rPr>
        <w:t>Computer</w:t>
      </w:r>
      <w:r>
        <w:t xml:space="preserve">, at para. </w:t>
      </w:r>
      <w:r w:rsidRPr="00755A24">
        <w:t>160</w:t>
      </w:r>
      <w:r>
        <w:t>, per</w:t>
      </w:r>
      <w:r w:rsidRPr="00755A24">
        <w:t xml:space="preserve"> </w:t>
      </w:r>
      <w:r w:rsidRPr="006D35B1">
        <w:t xml:space="preserve">Bastarache and LeBel JJ., </w:t>
      </w:r>
      <w:r>
        <w:t>dissenting</w:t>
      </w:r>
      <w:r w:rsidRPr="00755A24">
        <w:t>;</w:t>
      </w:r>
      <w:r>
        <w:t xml:space="preserve"> </w:t>
      </w:r>
      <w:r w:rsidRPr="00755A24">
        <w:t xml:space="preserve">Côté and Devinat, </w:t>
      </w:r>
      <w:r>
        <w:t xml:space="preserve">at </w:t>
      </w:r>
      <w:r w:rsidRPr="00C15728">
        <w:t xml:space="preserve">p. 219; </w:t>
      </w:r>
      <w:r>
        <w:t xml:space="preserve">R. </w:t>
      </w:r>
      <w:r w:rsidRPr="00C15728">
        <w:t>Sullivan</w:t>
      </w:r>
      <w:r>
        <w:t xml:space="preserve">, </w:t>
      </w:r>
      <w:r>
        <w:rPr>
          <w:i/>
        </w:rPr>
        <w:t>The Construction of Statutes</w:t>
      </w:r>
      <w:r>
        <w:t xml:space="preserve"> (7th ed. 2022), at pp. 788-89).</w:t>
      </w:r>
    </w:p>
    <w:p w14:paraId="1F7CFD0F" w14:textId="77777777" w:rsidR="00AF6C9B" w:rsidRPr="00122599" w:rsidRDefault="00AF6C9B" w:rsidP="00453883">
      <w:pPr>
        <w:pStyle w:val="FootnoteText"/>
      </w:pPr>
    </w:p>
  </w:footnote>
  <w:footnote w:id="6">
    <w:p w14:paraId="1904D855" w14:textId="77777777" w:rsidR="00AF6C9B" w:rsidRDefault="00AF6C9B" w:rsidP="00453883">
      <w:pPr>
        <w:pStyle w:val="FootnoteText"/>
      </w:pPr>
      <w:r w:rsidRPr="00C15728">
        <w:rPr>
          <w:rStyle w:val="FootnoteReference"/>
        </w:rPr>
        <w:footnoteRef/>
      </w:r>
      <w:r w:rsidRPr="00C15728">
        <w:t xml:space="preserve"> The wording of </w:t>
      </w:r>
      <w:r w:rsidRPr="00C15728">
        <w:rPr>
          <w:lang w:val="en-US"/>
        </w:rPr>
        <w:t>s</w:t>
      </w:r>
      <w:r>
        <w:rPr>
          <w:lang w:val="en-US"/>
        </w:rPr>
        <w:t>.</w:t>
      </w:r>
      <w:r w:rsidRPr="00C15728">
        <w:rPr>
          <w:lang w:val="en-US"/>
        </w:rPr>
        <w:t xml:space="preserve"> 94 was modified in 2018 and now reads:</w:t>
      </w:r>
      <w:r w:rsidRPr="00A7279E">
        <w:t xml:space="preserve"> </w:t>
      </w:r>
    </w:p>
    <w:p w14:paraId="69EBEAFA" w14:textId="77777777" w:rsidR="00AF6C9B" w:rsidRDefault="00AF6C9B" w:rsidP="00453883">
      <w:pPr>
        <w:pStyle w:val="FootnoteText"/>
        <w:ind w:left="720"/>
      </w:pPr>
      <w:r>
        <w:tab/>
      </w:r>
    </w:p>
    <w:p w14:paraId="1AA25835" w14:textId="77777777" w:rsidR="00AF6C9B" w:rsidRPr="00A7279E" w:rsidRDefault="00AF6C9B" w:rsidP="00453883">
      <w:pPr>
        <w:pStyle w:val="FootnoteText"/>
        <w:ind w:left="1166"/>
        <w:rPr>
          <w:lang w:val="en-US"/>
        </w:rPr>
      </w:pPr>
      <w:r w:rsidRPr="00F45A51">
        <w:rPr>
          <w:b/>
          <w:lang w:val="en-US"/>
        </w:rPr>
        <w:t>94.</w:t>
      </w:r>
      <w:r w:rsidRPr="00C15728">
        <w:rPr>
          <w:lang w:val="en-US"/>
        </w:rPr>
        <w:t xml:space="preserve"> At the request of the Authority, the Tribunal may take any measure conducive to ensuring compliance with an undertaking given to the Authority under any of the Acts listed in the first paragraph of section 93 or compliance with those Acts.</w:t>
      </w:r>
    </w:p>
  </w:footnote>
  <w:footnote w:id="7">
    <w:p w14:paraId="6EC760F3" w14:textId="77777777" w:rsidR="00AF6C9B" w:rsidRPr="005119DB" w:rsidRDefault="00AF6C9B" w:rsidP="00453883">
      <w:pPr>
        <w:pStyle w:val="FootnoteText"/>
      </w:pPr>
      <w:r w:rsidRPr="005119DB">
        <w:rPr>
          <w:rStyle w:val="FootnoteReference"/>
        </w:rPr>
        <w:footnoteRef/>
      </w:r>
      <w:r>
        <w:t> The relevant provisions are reproduced in an appendix to these reasons</w:t>
      </w:r>
      <w:r w:rsidRPr="005119DB">
        <w:t>.</w:t>
      </w:r>
    </w:p>
  </w:footnote>
  <w:footnote w:id="8">
    <w:p w14:paraId="71DF2B75" w14:textId="77777777" w:rsidR="00AF6C9B" w:rsidRPr="00043169" w:rsidRDefault="00AF6C9B" w:rsidP="00453883">
      <w:pPr>
        <w:pStyle w:val="FootnoteText"/>
      </w:pPr>
      <w:r w:rsidRPr="00043169">
        <w:rPr>
          <w:rStyle w:val="FootnoteReference"/>
        </w:rPr>
        <w:footnoteRef/>
      </w:r>
      <w:r>
        <w:t> The preliminary provision was amended in 2022, but</w:t>
      </w:r>
      <w:r w:rsidRPr="00043169">
        <w:t xml:space="preserve"> </w:t>
      </w:r>
      <w:r>
        <w:t>I refer to the version that was in force at the time the proceedings before the FMAT were instituted</w:t>
      </w:r>
      <w:r w:rsidRPr="00043169">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90D76" w14:textId="77777777" w:rsidR="00AF6C9B" w:rsidRDefault="00AF6C9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C68AF" w14:textId="77777777" w:rsidR="00AF6C9B" w:rsidRPr="00450352" w:rsidRDefault="00AF6C9B" w:rsidP="0045035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1D631F" w14:textId="77777777" w:rsidR="00AF6C9B" w:rsidRDefault="00AF6C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2A6B61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1BA7D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BC4DB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2A69C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A24844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B033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2A59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9667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A326A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42DA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4F42C6"/>
    <w:multiLevelType w:val="hybridMultilevel"/>
    <w:tmpl w:val="1D522C2E"/>
    <w:lvl w:ilvl="0" w:tplc="F9D402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5A3BF9"/>
    <w:multiLevelType w:val="hybridMultilevel"/>
    <w:tmpl w:val="6BF61DE2"/>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15:restartNumberingAfterBreak="0">
    <w:nsid w:val="08030486"/>
    <w:multiLevelType w:val="hybridMultilevel"/>
    <w:tmpl w:val="33406B30"/>
    <w:lvl w:ilvl="0" w:tplc="1E20072A">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0DCB5FA0"/>
    <w:multiLevelType w:val="hybridMultilevel"/>
    <w:tmpl w:val="9E407500"/>
    <w:lvl w:ilvl="0" w:tplc="F9D402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614B70"/>
    <w:multiLevelType w:val="hybridMultilevel"/>
    <w:tmpl w:val="8FA0970C"/>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0F7F2E66"/>
    <w:multiLevelType w:val="hybridMultilevel"/>
    <w:tmpl w:val="5EF44772"/>
    <w:lvl w:ilvl="0" w:tplc="F9D402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286E3732"/>
    <w:multiLevelType w:val="hybridMultilevel"/>
    <w:tmpl w:val="5ACEF278"/>
    <w:lvl w:ilvl="0" w:tplc="F8C66B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EB2128"/>
    <w:multiLevelType w:val="hybridMultilevel"/>
    <w:tmpl w:val="896C9EEE"/>
    <w:lvl w:ilvl="0" w:tplc="F9D402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B75511"/>
    <w:multiLevelType w:val="hybridMultilevel"/>
    <w:tmpl w:val="DCF64884"/>
    <w:lvl w:ilvl="0" w:tplc="87B25FB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6C4B01"/>
    <w:multiLevelType w:val="hybridMultilevel"/>
    <w:tmpl w:val="3BAC899C"/>
    <w:lvl w:ilvl="0" w:tplc="AFFE1A1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A269BE"/>
    <w:multiLevelType w:val="hybridMultilevel"/>
    <w:tmpl w:val="424E113C"/>
    <w:lvl w:ilvl="0" w:tplc="846E0020">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603130A"/>
    <w:multiLevelType w:val="multilevel"/>
    <w:tmpl w:val="57642F48"/>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24" w15:restartNumberingAfterBreak="0">
    <w:nsid w:val="4AC64FE2"/>
    <w:multiLevelType w:val="hybridMultilevel"/>
    <w:tmpl w:val="0B76EEBC"/>
    <w:lvl w:ilvl="0" w:tplc="434646E8">
      <w:start w:val="1"/>
      <w:numFmt w:val="decimal"/>
      <w:lvlText w:val="[%1]"/>
      <w:lvlJc w:val="left"/>
      <w:pPr>
        <w:ind w:left="36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26"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14A534C"/>
    <w:multiLevelType w:val="hybridMultilevel"/>
    <w:tmpl w:val="E08E2702"/>
    <w:lvl w:ilvl="0" w:tplc="8230020C">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83EE8"/>
    <w:multiLevelType w:val="multilevel"/>
    <w:tmpl w:val="EB8ABD54"/>
    <w:lvl w:ilvl="0">
      <w:start w:val="1"/>
      <w:numFmt w:val="decimal"/>
      <w:pStyle w:val="ParaNoNdepar-AltN"/>
      <w:lvlText w:val="[%1]"/>
      <w:lvlJc w:val="left"/>
      <w:pPr>
        <w:tabs>
          <w:tab w:val="num" w:pos="1152"/>
        </w:tabs>
        <w:ind w:left="0" w:firstLine="0"/>
      </w:pPr>
      <w:rPr>
        <w:rFonts w:ascii="Times New Roman" w:hAnsi="Times New Roman" w:hint="default"/>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66A479C4"/>
    <w:multiLevelType w:val="hybridMultilevel"/>
    <w:tmpl w:val="45F40FFC"/>
    <w:lvl w:ilvl="0" w:tplc="7BEEB4E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36" w:hanging="360"/>
      </w:pPr>
      <w:rPr>
        <w:rFonts w:ascii="Courier New" w:hAnsi="Courier New" w:cs="Courier New" w:hint="default"/>
      </w:rPr>
    </w:lvl>
    <w:lvl w:ilvl="2" w:tplc="04090005" w:tentative="1">
      <w:start w:val="1"/>
      <w:numFmt w:val="bullet"/>
      <w:lvlText w:val=""/>
      <w:lvlJc w:val="left"/>
      <w:pPr>
        <w:ind w:left="684" w:hanging="360"/>
      </w:pPr>
      <w:rPr>
        <w:rFonts w:ascii="Wingdings" w:hAnsi="Wingdings" w:hint="default"/>
      </w:rPr>
    </w:lvl>
    <w:lvl w:ilvl="3" w:tplc="04090001" w:tentative="1">
      <w:start w:val="1"/>
      <w:numFmt w:val="bullet"/>
      <w:lvlText w:val=""/>
      <w:lvlJc w:val="left"/>
      <w:pPr>
        <w:ind w:left="1404" w:hanging="360"/>
      </w:pPr>
      <w:rPr>
        <w:rFonts w:ascii="Symbol" w:hAnsi="Symbol" w:hint="default"/>
      </w:rPr>
    </w:lvl>
    <w:lvl w:ilvl="4" w:tplc="04090003" w:tentative="1">
      <w:start w:val="1"/>
      <w:numFmt w:val="bullet"/>
      <w:lvlText w:val="o"/>
      <w:lvlJc w:val="left"/>
      <w:pPr>
        <w:ind w:left="2124" w:hanging="360"/>
      </w:pPr>
      <w:rPr>
        <w:rFonts w:ascii="Courier New" w:hAnsi="Courier New" w:cs="Courier New" w:hint="default"/>
      </w:rPr>
    </w:lvl>
    <w:lvl w:ilvl="5" w:tplc="04090005" w:tentative="1">
      <w:start w:val="1"/>
      <w:numFmt w:val="bullet"/>
      <w:lvlText w:val=""/>
      <w:lvlJc w:val="left"/>
      <w:pPr>
        <w:ind w:left="2844" w:hanging="360"/>
      </w:pPr>
      <w:rPr>
        <w:rFonts w:ascii="Wingdings" w:hAnsi="Wingdings" w:hint="default"/>
      </w:rPr>
    </w:lvl>
    <w:lvl w:ilvl="6" w:tplc="04090001" w:tentative="1">
      <w:start w:val="1"/>
      <w:numFmt w:val="bullet"/>
      <w:lvlText w:val=""/>
      <w:lvlJc w:val="left"/>
      <w:pPr>
        <w:ind w:left="3564" w:hanging="360"/>
      </w:pPr>
      <w:rPr>
        <w:rFonts w:ascii="Symbol" w:hAnsi="Symbol" w:hint="default"/>
      </w:rPr>
    </w:lvl>
    <w:lvl w:ilvl="7" w:tplc="04090003" w:tentative="1">
      <w:start w:val="1"/>
      <w:numFmt w:val="bullet"/>
      <w:lvlText w:val="o"/>
      <w:lvlJc w:val="left"/>
      <w:pPr>
        <w:ind w:left="4284" w:hanging="360"/>
      </w:pPr>
      <w:rPr>
        <w:rFonts w:ascii="Courier New" w:hAnsi="Courier New" w:cs="Courier New" w:hint="default"/>
      </w:rPr>
    </w:lvl>
    <w:lvl w:ilvl="8" w:tplc="04090005" w:tentative="1">
      <w:start w:val="1"/>
      <w:numFmt w:val="bullet"/>
      <w:lvlText w:val=""/>
      <w:lvlJc w:val="left"/>
      <w:pPr>
        <w:ind w:left="5004" w:hanging="360"/>
      </w:pPr>
      <w:rPr>
        <w:rFonts w:ascii="Wingdings" w:hAnsi="Wingdings" w:hint="default"/>
      </w:rPr>
    </w:lvl>
  </w:abstractNum>
  <w:abstractNum w:abstractNumId="31" w15:restartNumberingAfterBreak="0">
    <w:nsid w:val="75965D04"/>
    <w:multiLevelType w:val="hybridMultilevel"/>
    <w:tmpl w:val="3C588F08"/>
    <w:lvl w:ilvl="0" w:tplc="F9D402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B56CED"/>
    <w:multiLevelType w:val="hybridMultilevel"/>
    <w:tmpl w:val="0B588FF0"/>
    <w:lvl w:ilvl="0" w:tplc="F9D402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7"/>
  </w:num>
  <w:num w:numId="3">
    <w:abstractNumId w:val="13"/>
  </w:num>
  <w:num w:numId="4">
    <w:abstractNumId w:val="25"/>
  </w:num>
  <w:num w:numId="5">
    <w:abstractNumId w:val="26"/>
  </w:num>
  <w:num w:numId="6">
    <w:abstractNumId w:val="28"/>
  </w:num>
  <w:num w:numId="7">
    <w:abstractNumId w:val="23"/>
  </w:num>
  <w:num w:numId="8">
    <w:abstractNumId w:val="23"/>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9">
    <w:abstractNumId w:val="30"/>
  </w:num>
  <w:num w:numId="1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2"/>
  </w:num>
  <w:num w:numId="23">
    <w:abstractNumId w:val="15"/>
  </w:num>
  <w:num w:numId="24">
    <w:abstractNumId w:val="23"/>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25">
    <w:abstractNumId w:val="32"/>
  </w:num>
  <w:num w:numId="26">
    <w:abstractNumId w:val="21"/>
  </w:num>
  <w:num w:numId="27">
    <w:abstractNumId w:val="31"/>
  </w:num>
  <w:num w:numId="28">
    <w:abstractNumId w:val="19"/>
  </w:num>
  <w:num w:numId="29">
    <w:abstractNumId w:val="16"/>
  </w:num>
  <w:num w:numId="30">
    <w:abstractNumId w:val="10"/>
  </w:num>
  <w:num w:numId="31">
    <w:abstractNumId w:val="11"/>
  </w:num>
  <w:num w:numId="32">
    <w:abstractNumId w:val="20"/>
  </w:num>
  <w:num w:numId="33">
    <w:abstractNumId w:val="14"/>
  </w:num>
  <w:num w:numId="34">
    <w:abstractNumId w:val="18"/>
  </w:num>
  <w:num w:numId="35">
    <w:abstractNumId w:val="12"/>
  </w:num>
  <w:num w:numId="36">
    <w:abstractNumId w:val="27"/>
  </w:num>
  <w:num w:numId="37">
    <w:abstractNumId w:val="23"/>
    <w:lvlOverride w:ilvl="0">
      <w:startOverride w:val="1"/>
      <w:lvl w:ilvl="0">
        <w:start w:val="1"/>
        <w:numFmt w:val="upperRoman"/>
        <w:pStyle w:val="Title1LevelTitre1Niveau-AltL"/>
        <w:lvlText w:val="%1."/>
        <w:lvlJc w:val="left"/>
        <w:pPr>
          <w:tabs>
            <w:tab w:val="num" w:pos="576"/>
          </w:tabs>
          <w:ind w:left="576" w:hanging="576"/>
        </w:pPr>
        <w:rPr>
          <w:rFonts w:hint="default"/>
          <w:sz w:val="24"/>
        </w:rPr>
      </w:lvl>
    </w:lvlOverride>
    <w:lvlOverride w:ilvl="1">
      <w:startOverride w:va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startOverride w:val="1"/>
      <w:lvl w:ilvl="2">
        <w:start w:val="1"/>
        <w:numFmt w:val="decimal"/>
        <w:pStyle w:val="Title3LevelTitre3Niveau"/>
        <w:lvlText w:val="(%3)"/>
        <w:lvlJc w:val="left"/>
        <w:pPr>
          <w:tabs>
            <w:tab w:val="num" w:pos="1152"/>
          </w:tabs>
          <w:ind w:left="1152" w:hanging="576"/>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startOverride w:val="1"/>
      <w:lvl w:ilvl="3">
        <w:start w:val="1"/>
        <w:numFmt w:val="lowerLetter"/>
        <w:pStyle w:val="Title4LevelTitre4Niveau"/>
        <w:lvlText w:val="(%4)"/>
        <w:lvlJc w:val="left"/>
        <w:pPr>
          <w:tabs>
            <w:tab w:val="num" w:pos="1152"/>
          </w:tabs>
          <w:ind w:left="1152" w:hanging="576"/>
        </w:pPr>
        <w:rPr>
          <w:rFonts w:hint="default"/>
          <w:b w:val="0"/>
          <w:i w:val="0"/>
        </w:rPr>
      </w:lvl>
    </w:lvlOverride>
    <w:lvlOverride w:ilvl="4">
      <w:startOverride w:val="1"/>
      <w:lvl w:ilvl="4">
        <w:start w:val="1"/>
        <w:numFmt w:val="lowerRoman"/>
        <w:pStyle w:val="Title5LevelTitre5Niveau"/>
        <w:lvlText w:val="(%5)"/>
        <w:lvlJc w:val="left"/>
        <w:pPr>
          <w:tabs>
            <w:tab w:val="num" w:pos="1728"/>
          </w:tabs>
          <w:ind w:left="1728" w:hanging="576"/>
        </w:pPr>
        <w:rPr>
          <w:rFonts w:hint="default"/>
        </w:rPr>
      </w:lvl>
    </w:lvlOverride>
    <w:lvlOverride w:ilvl="5">
      <w:startOverride w:val="1"/>
      <w:lvl w:ilvl="5">
        <w:start w:val="1"/>
        <w:numFmt w:val="decimal"/>
        <w:pStyle w:val="Title6LevelTitre6Niveau"/>
        <w:lvlText w:val="%6."/>
        <w:lvlJc w:val="left"/>
        <w:pPr>
          <w:tabs>
            <w:tab w:val="num" w:pos="1728"/>
          </w:tabs>
          <w:ind w:left="1728" w:hanging="576"/>
        </w:pPr>
        <w:rPr>
          <w:rFonts w:hint="default"/>
          <w:b w:val="0"/>
          <w:i w:val="0"/>
        </w:rPr>
      </w:lvl>
    </w:lvlOverride>
    <w:lvlOverride w:ilvl="6">
      <w:startOverride w:val="1"/>
      <w:lvl w:ilvl="6">
        <w:start w:val="1"/>
        <w:numFmt w:val="decimal"/>
        <w:lvlText w:val="%7."/>
        <w:lvlJc w:val="left"/>
        <w:pPr>
          <w:ind w:left="8208" w:hanging="432"/>
        </w:pPr>
        <w:rPr>
          <w:rFonts w:hint="default"/>
        </w:rPr>
      </w:lvl>
    </w:lvlOverride>
    <w:lvlOverride w:ilvl="7">
      <w:startOverride w:val="1"/>
      <w:lvl w:ilvl="7">
        <w:start w:val="1"/>
        <w:numFmt w:val="lowerLetter"/>
        <w:lvlText w:val="%8."/>
        <w:lvlJc w:val="left"/>
        <w:pPr>
          <w:ind w:left="8640" w:hanging="432"/>
        </w:pPr>
        <w:rPr>
          <w:rFonts w:hint="default"/>
        </w:rPr>
      </w:lvl>
    </w:lvlOverride>
    <w:lvlOverride w:ilvl="8">
      <w:startOverride w:val="1"/>
      <w:lvl w:ilvl="8">
        <w:start w:val="1"/>
        <w:numFmt w:val="lowerRoman"/>
        <w:lvlText w:val="%9."/>
        <w:lvlJc w:val="left"/>
        <w:pPr>
          <w:ind w:left="9072" w:hanging="432"/>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01B2E"/>
    <w:rsid w:val="00002B1F"/>
    <w:rsid w:val="00004517"/>
    <w:rsid w:val="00005328"/>
    <w:rsid w:val="00006C17"/>
    <w:rsid w:val="00014F01"/>
    <w:rsid w:val="0002481E"/>
    <w:rsid w:val="00025198"/>
    <w:rsid w:val="00027D32"/>
    <w:rsid w:val="000351AD"/>
    <w:rsid w:val="0003741B"/>
    <w:rsid w:val="00041EB2"/>
    <w:rsid w:val="0004373E"/>
    <w:rsid w:val="00045612"/>
    <w:rsid w:val="000512BF"/>
    <w:rsid w:val="00056139"/>
    <w:rsid w:val="000578A3"/>
    <w:rsid w:val="000613EC"/>
    <w:rsid w:val="00061413"/>
    <w:rsid w:val="000648CC"/>
    <w:rsid w:val="0007189A"/>
    <w:rsid w:val="000813B5"/>
    <w:rsid w:val="00081659"/>
    <w:rsid w:val="00082B86"/>
    <w:rsid w:val="00082DFF"/>
    <w:rsid w:val="0008305B"/>
    <w:rsid w:val="000832AE"/>
    <w:rsid w:val="00092771"/>
    <w:rsid w:val="00097D8F"/>
    <w:rsid w:val="000B6C42"/>
    <w:rsid w:val="000C5650"/>
    <w:rsid w:val="000C59B8"/>
    <w:rsid w:val="000C6AF0"/>
    <w:rsid w:val="000D0FEB"/>
    <w:rsid w:val="000D6948"/>
    <w:rsid w:val="000E4D84"/>
    <w:rsid w:val="000F1FD3"/>
    <w:rsid w:val="00104DCC"/>
    <w:rsid w:val="00104F33"/>
    <w:rsid w:val="00107B04"/>
    <w:rsid w:val="00111DE2"/>
    <w:rsid w:val="001128BE"/>
    <w:rsid w:val="0011451E"/>
    <w:rsid w:val="00116B38"/>
    <w:rsid w:val="00117911"/>
    <w:rsid w:val="00120456"/>
    <w:rsid w:val="00124A87"/>
    <w:rsid w:val="001264EA"/>
    <w:rsid w:val="00135406"/>
    <w:rsid w:val="00135972"/>
    <w:rsid w:val="0014044D"/>
    <w:rsid w:val="001426A9"/>
    <w:rsid w:val="00145AA8"/>
    <w:rsid w:val="00154D7C"/>
    <w:rsid w:val="001570B0"/>
    <w:rsid w:val="0015752C"/>
    <w:rsid w:val="00157737"/>
    <w:rsid w:val="0016115D"/>
    <w:rsid w:val="00162EAA"/>
    <w:rsid w:val="00162EB2"/>
    <w:rsid w:val="00165277"/>
    <w:rsid w:val="00166A42"/>
    <w:rsid w:val="0016763B"/>
    <w:rsid w:val="00170592"/>
    <w:rsid w:val="0017231C"/>
    <w:rsid w:val="0017334A"/>
    <w:rsid w:val="00175C53"/>
    <w:rsid w:val="001857CB"/>
    <w:rsid w:val="00186351"/>
    <w:rsid w:val="00195D83"/>
    <w:rsid w:val="001A00C1"/>
    <w:rsid w:val="001A1B5C"/>
    <w:rsid w:val="001A417F"/>
    <w:rsid w:val="001B33E0"/>
    <w:rsid w:val="001B4573"/>
    <w:rsid w:val="001B4601"/>
    <w:rsid w:val="001B4C8B"/>
    <w:rsid w:val="001B61FB"/>
    <w:rsid w:val="001C0577"/>
    <w:rsid w:val="001C2DEE"/>
    <w:rsid w:val="001C3905"/>
    <w:rsid w:val="001C5C52"/>
    <w:rsid w:val="001C779F"/>
    <w:rsid w:val="001D2AC1"/>
    <w:rsid w:val="001D4E88"/>
    <w:rsid w:val="001E1567"/>
    <w:rsid w:val="001F63DA"/>
    <w:rsid w:val="002073F4"/>
    <w:rsid w:val="002078CC"/>
    <w:rsid w:val="00217111"/>
    <w:rsid w:val="00220B66"/>
    <w:rsid w:val="00220FC2"/>
    <w:rsid w:val="0022197A"/>
    <w:rsid w:val="002222F4"/>
    <w:rsid w:val="00223D1C"/>
    <w:rsid w:val="00224FC0"/>
    <w:rsid w:val="002255CE"/>
    <w:rsid w:val="00225EA4"/>
    <w:rsid w:val="00226EAF"/>
    <w:rsid w:val="00230A99"/>
    <w:rsid w:val="00231F3A"/>
    <w:rsid w:val="00232587"/>
    <w:rsid w:val="00234199"/>
    <w:rsid w:val="002406EE"/>
    <w:rsid w:val="00243EC8"/>
    <w:rsid w:val="0024746A"/>
    <w:rsid w:val="002526F7"/>
    <w:rsid w:val="00256B50"/>
    <w:rsid w:val="00263261"/>
    <w:rsid w:val="00264903"/>
    <w:rsid w:val="00265D46"/>
    <w:rsid w:val="00270D93"/>
    <w:rsid w:val="002745CC"/>
    <w:rsid w:val="00290EF7"/>
    <w:rsid w:val="002A155D"/>
    <w:rsid w:val="002B7924"/>
    <w:rsid w:val="002C57B3"/>
    <w:rsid w:val="002C5A95"/>
    <w:rsid w:val="002C6AF2"/>
    <w:rsid w:val="002D28C3"/>
    <w:rsid w:val="002D39A4"/>
    <w:rsid w:val="002E6705"/>
    <w:rsid w:val="00301D08"/>
    <w:rsid w:val="0030329A"/>
    <w:rsid w:val="0031086F"/>
    <w:rsid w:val="0031414C"/>
    <w:rsid w:val="00314E01"/>
    <w:rsid w:val="003164BA"/>
    <w:rsid w:val="0032089D"/>
    <w:rsid w:val="003310DE"/>
    <w:rsid w:val="00331964"/>
    <w:rsid w:val="003323B0"/>
    <w:rsid w:val="00332788"/>
    <w:rsid w:val="0033323C"/>
    <w:rsid w:val="003332FA"/>
    <w:rsid w:val="0033664E"/>
    <w:rsid w:val="00340CFC"/>
    <w:rsid w:val="00350165"/>
    <w:rsid w:val="0035169A"/>
    <w:rsid w:val="0035231B"/>
    <w:rsid w:val="0035259D"/>
    <w:rsid w:val="003536D1"/>
    <w:rsid w:val="00361018"/>
    <w:rsid w:val="003626E3"/>
    <w:rsid w:val="00362F38"/>
    <w:rsid w:val="00363697"/>
    <w:rsid w:val="00364060"/>
    <w:rsid w:val="00364B18"/>
    <w:rsid w:val="00365B3A"/>
    <w:rsid w:val="00372099"/>
    <w:rsid w:val="00375492"/>
    <w:rsid w:val="00390052"/>
    <w:rsid w:val="003A125D"/>
    <w:rsid w:val="003A3666"/>
    <w:rsid w:val="003A4C70"/>
    <w:rsid w:val="003A79DD"/>
    <w:rsid w:val="003B1277"/>
    <w:rsid w:val="003B215F"/>
    <w:rsid w:val="003B29DE"/>
    <w:rsid w:val="003B78D7"/>
    <w:rsid w:val="003C0DB6"/>
    <w:rsid w:val="003C1529"/>
    <w:rsid w:val="003C799C"/>
    <w:rsid w:val="003D0399"/>
    <w:rsid w:val="003D5DCF"/>
    <w:rsid w:val="003D75C4"/>
    <w:rsid w:val="003E03F0"/>
    <w:rsid w:val="003E0F30"/>
    <w:rsid w:val="003E1C71"/>
    <w:rsid w:val="003F0D22"/>
    <w:rsid w:val="003F327B"/>
    <w:rsid w:val="00406166"/>
    <w:rsid w:val="0040704B"/>
    <w:rsid w:val="00410A55"/>
    <w:rsid w:val="00411300"/>
    <w:rsid w:val="00415417"/>
    <w:rsid w:val="00426659"/>
    <w:rsid w:val="00427032"/>
    <w:rsid w:val="004326E9"/>
    <w:rsid w:val="00436309"/>
    <w:rsid w:val="0044003D"/>
    <w:rsid w:val="004408BB"/>
    <w:rsid w:val="00442D7C"/>
    <w:rsid w:val="00443456"/>
    <w:rsid w:val="00450352"/>
    <w:rsid w:val="00453883"/>
    <w:rsid w:val="00454BDB"/>
    <w:rsid w:val="00463E42"/>
    <w:rsid w:val="00464800"/>
    <w:rsid w:val="00465132"/>
    <w:rsid w:val="004751C7"/>
    <w:rsid w:val="00475D33"/>
    <w:rsid w:val="00480C90"/>
    <w:rsid w:val="0048396F"/>
    <w:rsid w:val="00483CF3"/>
    <w:rsid w:val="004840E0"/>
    <w:rsid w:val="00493C18"/>
    <w:rsid w:val="004A600C"/>
    <w:rsid w:val="004A6118"/>
    <w:rsid w:val="004B63AB"/>
    <w:rsid w:val="004C478D"/>
    <w:rsid w:val="004D349A"/>
    <w:rsid w:val="004D65F9"/>
    <w:rsid w:val="004D7264"/>
    <w:rsid w:val="004E2C26"/>
    <w:rsid w:val="004E4890"/>
    <w:rsid w:val="004F36FF"/>
    <w:rsid w:val="004F5A35"/>
    <w:rsid w:val="00500931"/>
    <w:rsid w:val="00500B0C"/>
    <w:rsid w:val="005011B8"/>
    <w:rsid w:val="00501513"/>
    <w:rsid w:val="00507010"/>
    <w:rsid w:val="005125A8"/>
    <w:rsid w:val="00516B73"/>
    <w:rsid w:val="00521AE8"/>
    <w:rsid w:val="005222ED"/>
    <w:rsid w:val="00527180"/>
    <w:rsid w:val="00535E28"/>
    <w:rsid w:val="0053720D"/>
    <w:rsid w:val="00537A8B"/>
    <w:rsid w:val="00540512"/>
    <w:rsid w:val="0054201E"/>
    <w:rsid w:val="00545B44"/>
    <w:rsid w:val="00546A7F"/>
    <w:rsid w:val="00555291"/>
    <w:rsid w:val="00565BE6"/>
    <w:rsid w:val="00566AD1"/>
    <w:rsid w:val="0056727F"/>
    <w:rsid w:val="005754C7"/>
    <w:rsid w:val="00583EDE"/>
    <w:rsid w:val="0058513D"/>
    <w:rsid w:val="00595373"/>
    <w:rsid w:val="00597A0F"/>
    <w:rsid w:val="005A4FD9"/>
    <w:rsid w:val="005A6079"/>
    <w:rsid w:val="005B1A52"/>
    <w:rsid w:val="005B2679"/>
    <w:rsid w:val="005B36E8"/>
    <w:rsid w:val="005B4666"/>
    <w:rsid w:val="005B4AB5"/>
    <w:rsid w:val="005B7D50"/>
    <w:rsid w:val="005C0560"/>
    <w:rsid w:val="005D27FF"/>
    <w:rsid w:val="005E3ACA"/>
    <w:rsid w:val="005E4698"/>
    <w:rsid w:val="005E767D"/>
    <w:rsid w:val="005F3399"/>
    <w:rsid w:val="006013DF"/>
    <w:rsid w:val="00610539"/>
    <w:rsid w:val="00613114"/>
    <w:rsid w:val="0061313F"/>
    <w:rsid w:val="0061360F"/>
    <w:rsid w:val="00613969"/>
    <w:rsid w:val="0061398F"/>
    <w:rsid w:val="00614A8F"/>
    <w:rsid w:val="006205D3"/>
    <w:rsid w:val="00623F08"/>
    <w:rsid w:val="00625C35"/>
    <w:rsid w:val="00630A0D"/>
    <w:rsid w:val="00633ADB"/>
    <w:rsid w:val="00637FC3"/>
    <w:rsid w:val="006553CA"/>
    <w:rsid w:val="00655EE8"/>
    <w:rsid w:val="00656313"/>
    <w:rsid w:val="006565F4"/>
    <w:rsid w:val="006603E2"/>
    <w:rsid w:val="006609E1"/>
    <w:rsid w:val="006627BB"/>
    <w:rsid w:val="00664FA9"/>
    <w:rsid w:val="00672151"/>
    <w:rsid w:val="00672169"/>
    <w:rsid w:val="00681809"/>
    <w:rsid w:val="00684EEA"/>
    <w:rsid w:val="00684FE8"/>
    <w:rsid w:val="00685FB8"/>
    <w:rsid w:val="00694812"/>
    <w:rsid w:val="0069689B"/>
    <w:rsid w:val="006A0B34"/>
    <w:rsid w:val="006A1551"/>
    <w:rsid w:val="006A3881"/>
    <w:rsid w:val="006A652C"/>
    <w:rsid w:val="006B0BF4"/>
    <w:rsid w:val="006B3579"/>
    <w:rsid w:val="006B4C17"/>
    <w:rsid w:val="006B5FF5"/>
    <w:rsid w:val="006B735F"/>
    <w:rsid w:val="006B7418"/>
    <w:rsid w:val="006E28C6"/>
    <w:rsid w:val="006E302F"/>
    <w:rsid w:val="006E5C6D"/>
    <w:rsid w:val="006E67D3"/>
    <w:rsid w:val="006F30AF"/>
    <w:rsid w:val="006F3975"/>
    <w:rsid w:val="006F3A66"/>
    <w:rsid w:val="00701759"/>
    <w:rsid w:val="007021C4"/>
    <w:rsid w:val="00705C15"/>
    <w:rsid w:val="00706DE4"/>
    <w:rsid w:val="00711335"/>
    <w:rsid w:val="0071600E"/>
    <w:rsid w:val="007208D1"/>
    <w:rsid w:val="00732142"/>
    <w:rsid w:val="00734218"/>
    <w:rsid w:val="00747288"/>
    <w:rsid w:val="00747DD3"/>
    <w:rsid w:val="007549C8"/>
    <w:rsid w:val="00754A0B"/>
    <w:rsid w:val="00755DF4"/>
    <w:rsid w:val="007666BB"/>
    <w:rsid w:val="00766D14"/>
    <w:rsid w:val="00767A0F"/>
    <w:rsid w:val="007742CD"/>
    <w:rsid w:val="007761A2"/>
    <w:rsid w:val="007803C8"/>
    <w:rsid w:val="00781B8A"/>
    <w:rsid w:val="00785249"/>
    <w:rsid w:val="00785C48"/>
    <w:rsid w:val="00793306"/>
    <w:rsid w:val="007A05F6"/>
    <w:rsid w:val="007A5586"/>
    <w:rsid w:val="007B0284"/>
    <w:rsid w:val="007B31CA"/>
    <w:rsid w:val="007B5755"/>
    <w:rsid w:val="007B6F4A"/>
    <w:rsid w:val="007C1B2B"/>
    <w:rsid w:val="007D241D"/>
    <w:rsid w:val="007E1C47"/>
    <w:rsid w:val="007E337A"/>
    <w:rsid w:val="007E5C70"/>
    <w:rsid w:val="007F2FF5"/>
    <w:rsid w:val="007F3F08"/>
    <w:rsid w:val="00804A02"/>
    <w:rsid w:val="00804CC6"/>
    <w:rsid w:val="00817190"/>
    <w:rsid w:val="0082031E"/>
    <w:rsid w:val="00820EE5"/>
    <w:rsid w:val="00822924"/>
    <w:rsid w:val="008260E2"/>
    <w:rsid w:val="008264ED"/>
    <w:rsid w:val="00826AA2"/>
    <w:rsid w:val="0083122A"/>
    <w:rsid w:val="008322BD"/>
    <w:rsid w:val="00833E0A"/>
    <w:rsid w:val="00834F73"/>
    <w:rsid w:val="00841160"/>
    <w:rsid w:val="00841287"/>
    <w:rsid w:val="00846DE0"/>
    <w:rsid w:val="00853BE7"/>
    <w:rsid w:val="00854997"/>
    <w:rsid w:val="008573AB"/>
    <w:rsid w:val="008619F5"/>
    <w:rsid w:val="00861FD7"/>
    <w:rsid w:val="008630F4"/>
    <w:rsid w:val="00864CF8"/>
    <w:rsid w:val="00865D8F"/>
    <w:rsid w:val="00866D1A"/>
    <w:rsid w:val="00867630"/>
    <w:rsid w:val="00872819"/>
    <w:rsid w:val="00874914"/>
    <w:rsid w:val="00877F63"/>
    <w:rsid w:val="00886A82"/>
    <w:rsid w:val="00890D75"/>
    <w:rsid w:val="00891422"/>
    <w:rsid w:val="00892109"/>
    <w:rsid w:val="00892E1A"/>
    <w:rsid w:val="008938D7"/>
    <w:rsid w:val="00896215"/>
    <w:rsid w:val="008A3F29"/>
    <w:rsid w:val="008A65BE"/>
    <w:rsid w:val="008A77E8"/>
    <w:rsid w:val="008B660A"/>
    <w:rsid w:val="008B6775"/>
    <w:rsid w:val="008C01DA"/>
    <w:rsid w:val="008C4281"/>
    <w:rsid w:val="008C5648"/>
    <w:rsid w:val="008C7ACF"/>
    <w:rsid w:val="008D35FA"/>
    <w:rsid w:val="008E2031"/>
    <w:rsid w:val="008E2C2C"/>
    <w:rsid w:val="008E6E55"/>
    <w:rsid w:val="008F46CB"/>
    <w:rsid w:val="008F617F"/>
    <w:rsid w:val="008F78E9"/>
    <w:rsid w:val="009029F9"/>
    <w:rsid w:val="00911989"/>
    <w:rsid w:val="009119C6"/>
    <w:rsid w:val="009179F9"/>
    <w:rsid w:val="00926C35"/>
    <w:rsid w:val="00933E5E"/>
    <w:rsid w:val="00935218"/>
    <w:rsid w:val="009403F3"/>
    <w:rsid w:val="00942ABB"/>
    <w:rsid w:val="00950950"/>
    <w:rsid w:val="00951A23"/>
    <w:rsid w:val="009555B7"/>
    <w:rsid w:val="009567AA"/>
    <w:rsid w:val="0095719F"/>
    <w:rsid w:val="00967374"/>
    <w:rsid w:val="00974D5F"/>
    <w:rsid w:val="0097630D"/>
    <w:rsid w:val="0098011B"/>
    <w:rsid w:val="00985746"/>
    <w:rsid w:val="009860E2"/>
    <w:rsid w:val="009912E3"/>
    <w:rsid w:val="00993215"/>
    <w:rsid w:val="009A343A"/>
    <w:rsid w:val="009A3747"/>
    <w:rsid w:val="009A7DD7"/>
    <w:rsid w:val="009B0AC6"/>
    <w:rsid w:val="009B2F23"/>
    <w:rsid w:val="009B57B3"/>
    <w:rsid w:val="009C44CC"/>
    <w:rsid w:val="009C5B92"/>
    <w:rsid w:val="009D0FFE"/>
    <w:rsid w:val="009D2920"/>
    <w:rsid w:val="009D2BDA"/>
    <w:rsid w:val="009D5AEB"/>
    <w:rsid w:val="009D7417"/>
    <w:rsid w:val="009E2485"/>
    <w:rsid w:val="009F0E33"/>
    <w:rsid w:val="009F3106"/>
    <w:rsid w:val="00A030CE"/>
    <w:rsid w:val="00A149DF"/>
    <w:rsid w:val="00A1755C"/>
    <w:rsid w:val="00A21B90"/>
    <w:rsid w:val="00A24076"/>
    <w:rsid w:val="00A41805"/>
    <w:rsid w:val="00A42DCD"/>
    <w:rsid w:val="00A43C92"/>
    <w:rsid w:val="00A52AFB"/>
    <w:rsid w:val="00A537C2"/>
    <w:rsid w:val="00A548CB"/>
    <w:rsid w:val="00A5521C"/>
    <w:rsid w:val="00A643E7"/>
    <w:rsid w:val="00A6641F"/>
    <w:rsid w:val="00A6646D"/>
    <w:rsid w:val="00A70070"/>
    <w:rsid w:val="00A73B24"/>
    <w:rsid w:val="00A73C38"/>
    <w:rsid w:val="00A8363D"/>
    <w:rsid w:val="00A87026"/>
    <w:rsid w:val="00A9624A"/>
    <w:rsid w:val="00AA337C"/>
    <w:rsid w:val="00AB670D"/>
    <w:rsid w:val="00AC566B"/>
    <w:rsid w:val="00AD0CE2"/>
    <w:rsid w:val="00AD2C7C"/>
    <w:rsid w:val="00AD4F28"/>
    <w:rsid w:val="00AD7769"/>
    <w:rsid w:val="00AE4535"/>
    <w:rsid w:val="00AF03C5"/>
    <w:rsid w:val="00AF6C9B"/>
    <w:rsid w:val="00B000D8"/>
    <w:rsid w:val="00B00F75"/>
    <w:rsid w:val="00B105BC"/>
    <w:rsid w:val="00B11F18"/>
    <w:rsid w:val="00B145B6"/>
    <w:rsid w:val="00B23232"/>
    <w:rsid w:val="00B26ED0"/>
    <w:rsid w:val="00B279EB"/>
    <w:rsid w:val="00B319E3"/>
    <w:rsid w:val="00B402E2"/>
    <w:rsid w:val="00B4211E"/>
    <w:rsid w:val="00B50C81"/>
    <w:rsid w:val="00B54F95"/>
    <w:rsid w:val="00B557F8"/>
    <w:rsid w:val="00B71308"/>
    <w:rsid w:val="00B71840"/>
    <w:rsid w:val="00B7432F"/>
    <w:rsid w:val="00B77234"/>
    <w:rsid w:val="00B80C1E"/>
    <w:rsid w:val="00B815FC"/>
    <w:rsid w:val="00B82ABF"/>
    <w:rsid w:val="00B8669D"/>
    <w:rsid w:val="00B93D72"/>
    <w:rsid w:val="00B93FBC"/>
    <w:rsid w:val="00B94105"/>
    <w:rsid w:val="00B96461"/>
    <w:rsid w:val="00B97248"/>
    <w:rsid w:val="00BA33C9"/>
    <w:rsid w:val="00BA4CBF"/>
    <w:rsid w:val="00BA706F"/>
    <w:rsid w:val="00BA7DA0"/>
    <w:rsid w:val="00BB2EE4"/>
    <w:rsid w:val="00BB4C60"/>
    <w:rsid w:val="00BB7A60"/>
    <w:rsid w:val="00BC1943"/>
    <w:rsid w:val="00BC2108"/>
    <w:rsid w:val="00BC2593"/>
    <w:rsid w:val="00BC6147"/>
    <w:rsid w:val="00BD0422"/>
    <w:rsid w:val="00BD0E9E"/>
    <w:rsid w:val="00BD1BEC"/>
    <w:rsid w:val="00BD1C57"/>
    <w:rsid w:val="00BD32FF"/>
    <w:rsid w:val="00BD7E9E"/>
    <w:rsid w:val="00BE1401"/>
    <w:rsid w:val="00BF4945"/>
    <w:rsid w:val="00BF612E"/>
    <w:rsid w:val="00BF7DDC"/>
    <w:rsid w:val="00C00655"/>
    <w:rsid w:val="00C02092"/>
    <w:rsid w:val="00C106BD"/>
    <w:rsid w:val="00C11D8D"/>
    <w:rsid w:val="00C166C5"/>
    <w:rsid w:val="00C24D91"/>
    <w:rsid w:val="00C30753"/>
    <w:rsid w:val="00C53F14"/>
    <w:rsid w:val="00C600CF"/>
    <w:rsid w:val="00C6084F"/>
    <w:rsid w:val="00C62A66"/>
    <w:rsid w:val="00C62FB3"/>
    <w:rsid w:val="00C65AD9"/>
    <w:rsid w:val="00C71458"/>
    <w:rsid w:val="00C71536"/>
    <w:rsid w:val="00C77613"/>
    <w:rsid w:val="00C828E7"/>
    <w:rsid w:val="00C853A8"/>
    <w:rsid w:val="00C859F3"/>
    <w:rsid w:val="00C86719"/>
    <w:rsid w:val="00C86B27"/>
    <w:rsid w:val="00C91580"/>
    <w:rsid w:val="00C921DD"/>
    <w:rsid w:val="00CA4D75"/>
    <w:rsid w:val="00CA58EA"/>
    <w:rsid w:val="00CA6391"/>
    <w:rsid w:val="00CA6F0B"/>
    <w:rsid w:val="00CB4115"/>
    <w:rsid w:val="00CC34BD"/>
    <w:rsid w:val="00CD1F00"/>
    <w:rsid w:val="00CE13EE"/>
    <w:rsid w:val="00CE161A"/>
    <w:rsid w:val="00CE3171"/>
    <w:rsid w:val="00CE7B1A"/>
    <w:rsid w:val="00CF1601"/>
    <w:rsid w:val="00D0172F"/>
    <w:rsid w:val="00D02081"/>
    <w:rsid w:val="00D068A7"/>
    <w:rsid w:val="00D079EC"/>
    <w:rsid w:val="00D10BF0"/>
    <w:rsid w:val="00D1251A"/>
    <w:rsid w:val="00D16C23"/>
    <w:rsid w:val="00D17476"/>
    <w:rsid w:val="00D32086"/>
    <w:rsid w:val="00D37A3F"/>
    <w:rsid w:val="00D4431D"/>
    <w:rsid w:val="00D4667A"/>
    <w:rsid w:val="00D63A1C"/>
    <w:rsid w:val="00D6696E"/>
    <w:rsid w:val="00D740AC"/>
    <w:rsid w:val="00D7516F"/>
    <w:rsid w:val="00D855EB"/>
    <w:rsid w:val="00D8579F"/>
    <w:rsid w:val="00D95F8E"/>
    <w:rsid w:val="00D96112"/>
    <w:rsid w:val="00DA0590"/>
    <w:rsid w:val="00DA29A9"/>
    <w:rsid w:val="00DA68B1"/>
    <w:rsid w:val="00DB74A9"/>
    <w:rsid w:val="00DB7BEA"/>
    <w:rsid w:val="00DC1739"/>
    <w:rsid w:val="00DC1788"/>
    <w:rsid w:val="00DD4D5C"/>
    <w:rsid w:val="00DE319C"/>
    <w:rsid w:val="00DF0CA8"/>
    <w:rsid w:val="00DF2B48"/>
    <w:rsid w:val="00DF49A7"/>
    <w:rsid w:val="00DF7A36"/>
    <w:rsid w:val="00E04885"/>
    <w:rsid w:val="00E055D5"/>
    <w:rsid w:val="00E075F3"/>
    <w:rsid w:val="00E07EE2"/>
    <w:rsid w:val="00E07FD1"/>
    <w:rsid w:val="00E15299"/>
    <w:rsid w:val="00E15EA1"/>
    <w:rsid w:val="00E176D8"/>
    <w:rsid w:val="00E17790"/>
    <w:rsid w:val="00E24573"/>
    <w:rsid w:val="00E25E1E"/>
    <w:rsid w:val="00E27EE7"/>
    <w:rsid w:val="00E30CE4"/>
    <w:rsid w:val="00E35404"/>
    <w:rsid w:val="00E36AC8"/>
    <w:rsid w:val="00E37B56"/>
    <w:rsid w:val="00E41315"/>
    <w:rsid w:val="00E45109"/>
    <w:rsid w:val="00E47B7A"/>
    <w:rsid w:val="00E50D7D"/>
    <w:rsid w:val="00E54D3F"/>
    <w:rsid w:val="00E54FDF"/>
    <w:rsid w:val="00E56A44"/>
    <w:rsid w:val="00E60269"/>
    <w:rsid w:val="00E71847"/>
    <w:rsid w:val="00E74B66"/>
    <w:rsid w:val="00E77932"/>
    <w:rsid w:val="00E81AB2"/>
    <w:rsid w:val="00E86124"/>
    <w:rsid w:val="00E95CC8"/>
    <w:rsid w:val="00E97804"/>
    <w:rsid w:val="00E97830"/>
    <w:rsid w:val="00EA2F7B"/>
    <w:rsid w:val="00EC76FC"/>
    <w:rsid w:val="00ED28DE"/>
    <w:rsid w:val="00ED4593"/>
    <w:rsid w:val="00EE0EA4"/>
    <w:rsid w:val="00EE643C"/>
    <w:rsid w:val="00EF0683"/>
    <w:rsid w:val="00EF0ADE"/>
    <w:rsid w:val="00EF3F55"/>
    <w:rsid w:val="00EF69D2"/>
    <w:rsid w:val="00EF766E"/>
    <w:rsid w:val="00F0070C"/>
    <w:rsid w:val="00F00EB7"/>
    <w:rsid w:val="00F07569"/>
    <w:rsid w:val="00F104EE"/>
    <w:rsid w:val="00F12379"/>
    <w:rsid w:val="00F1532D"/>
    <w:rsid w:val="00F27246"/>
    <w:rsid w:val="00F30251"/>
    <w:rsid w:val="00F3252C"/>
    <w:rsid w:val="00F36382"/>
    <w:rsid w:val="00F36AB6"/>
    <w:rsid w:val="00F37A09"/>
    <w:rsid w:val="00F409CE"/>
    <w:rsid w:val="00F434CA"/>
    <w:rsid w:val="00F4379D"/>
    <w:rsid w:val="00F45AFF"/>
    <w:rsid w:val="00F46F46"/>
    <w:rsid w:val="00F50D2D"/>
    <w:rsid w:val="00F54ACF"/>
    <w:rsid w:val="00F56940"/>
    <w:rsid w:val="00F56C8B"/>
    <w:rsid w:val="00F65071"/>
    <w:rsid w:val="00F66810"/>
    <w:rsid w:val="00F82CC1"/>
    <w:rsid w:val="00F846D9"/>
    <w:rsid w:val="00F84DF4"/>
    <w:rsid w:val="00F85C97"/>
    <w:rsid w:val="00F90C2D"/>
    <w:rsid w:val="00F9204D"/>
    <w:rsid w:val="00F944BE"/>
    <w:rsid w:val="00F971D9"/>
    <w:rsid w:val="00F97A0A"/>
    <w:rsid w:val="00FA41F4"/>
    <w:rsid w:val="00FB2C98"/>
    <w:rsid w:val="00FB33C2"/>
    <w:rsid w:val="00FB37D2"/>
    <w:rsid w:val="00FC2B52"/>
    <w:rsid w:val="00FC4EFB"/>
    <w:rsid w:val="00FC5C58"/>
    <w:rsid w:val="00FD068D"/>
    <w:rsid w:val="00FD421C"/>
    <w:rsid w:val="00FD4F28"/>
    <w:rsid w:val="00FE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514D1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DEE"/>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53883"/>
    <w:pPr>
      <w:keepNext/>
      <w:keepLines/>
      <w:spacing w:before="200"/>
      <w:outlineLvl w:val="2"/>
    </w:pPr>
    <w:rPr>
      <w:rFonts w:asciiTheme="majorHAnsi" w:eastAsiaTheme="majorEastAsia" w:hAnsiTheme="majorHAnsi" w:cstheme="majorBidi"/>
      <w:b/>
      <w:bCs/>
      <w:color w:val="4F81BD" w:themeColor="accent1"/>
      <w:szCs w:val="22"/>
      <w:lang w:val="en-US" w:eastAsia="en-US" w:bidi="en-US"/>
    </w:rPr>
  </w:style>
  <w:style w:type="paragraph" w:styleId="Heading4">
    <w:name w:val="heading 4"/>
    <w:basedOn w:val="Normal"/>
    <w:next w:val="Normal"/>
    <w:link w:val="Heading4Char"/>
    <w:uiPriority w:val="9"/>
    <w:semiHidden/>
    <w:unhideWhenUsed/>
    <w:qFormat/>
    <w:rsid w:val="00453883"/>
    <w:pPr>
      <w:keepNext/>
      <w:keepLines/>
      <w:spacing w:before="200"/>
      <w:outlineLvl w:val="3"/>
    </w:pPr>
    <w:rPr>
      <w:rFonts w:asciiTheme="majorHAnsi" w:eastAsiaTheme="majorEastAsia" w:hAnsiTheme="majorHAnsi" w:cstheme="majorBidi"/>
      <w:b/>
      <w:bCs/>
      <w:i/>
      <w:iCs/>
      <w:color w:val="4F81BD" w:themeColor="accent1"/>
      <w:szCs w:val="22"/>
      <w:lang w:val="en-US" w:eastAsia="en-US" w:bidi="en-US"/>
    </w:rPr>
  </w:style>
  <w:style w:type="paragraph" w:styleId="Heading5">
    <w:name w:val="heading 5"/>
    <w:basedOn w:val="Normal"/>
    <w:next w:val="Normal"/>
    <w:link w:val="Heading5Char"/>
    <w:uiPriority w:val="9"/>
    <w:semiHidden/>
    <w:unhideWhenUsed/>
    <w:qFormat/>
    <w:rsid w:val="00453883"/>
    <w:pPr>
      <w:keepNext/>
      <w:keepLines/>
      <w:spacing w:before="200"/>
      <w:outlineLvl w:val="4"/>
    </w:pPr>
    <w:rPr>
      <w:rFonts w:asciiTheme="majorHAnsi" w:eastAsiaTheme="majorEastAsia" w:hAnsiTheme="majorHAnsi" w:cstheme="majorBidi"/>
      <w:color w:val="243F60" w:themeColor="accent1" w:themeShade="7F"/>
      <w:szCs w:val="22"/>
      <w:lang w:val="en-US" w:eastAsia="en-US" w:bidi="en-US"/>
    </w:rPr>
  </w:style>
  <w:style w:type="paragraph" w:styleId="Heading6">
    <w:name w:val="heading 6"/>
    <w:basedOn w:val="Normal"/>
    <w:next w:val="Normal"/>
    <w:link w:val="Heading6Char"/>
    <w:uiPriority w:val="9"/>
    <w:semiHidden/>
    <w:unhideWhenUsed/>
    <w:qFormat/>
    <w:rsid w:val="00453883"/>
    <w:pPr>
      <w:keepNext/>
      <w:keepLines/>
      <w:spacing w:before="200"/>
      <w:outlineLvl w:val="5"/>
    </w:pPr>
    <w:rPr>
      <w:rFonts w:asciiTheme="majorHAnsi" w:eastAsiaTheme="majorEastAsia" w:hAnsiTheme="majorHAnsi" w:cstheme="majorBidi"/>
      <w:i/>
      <w:iCs/>
      <w:color w:val="243F60" w:themeColor="accent1" w:themeShade="7F"/>
      <w:szCs w:val="22"/>
      <w:lang w:val="en-US" w:eastAsia="en-US" w:bidi="en-US"/>
    </w:rPr>
  </w:style>
  <w:style w:type="paragraph" w:styleId="Heading7">
    <w:name w:val="heading 7"/>
    <w:basedOn w:val="Normal"/>
    <w:next w:val="Normal"/>
    <w:link w:val="Heading7Char"/>
    <w:uiPriority w:val="9"/>
    <w:semiHidden/>
    <w:unhideWhenUsed/>
    <w:qFormat/>
    <w:rsid w:val="00453883"/>
    <w:pPr>
      <w:keepNext/>
      <w:keepLines/>
      <w:spacing w:before="200"/>
      <w:outlineLvl w:val="6"/>
    </w:pPr>
    <w:rPr>
      <w:rFonts w:asciiTheme="majorHAnsi" w:eastAsiaTheme="majorEastAsia" w:hAnsiTheme="majorHAnsi" w:cstheme="majorBidi"/>
      <w:i/>
      <w:iCs/>
      <w:color w:val="404040" w:themeColor="text1" w:themeTint="BF"/>
      <w:szCs w:val="22"/>
      <w:lang w:val="en-US" w:eastAsia="en-US" w:bidi="en-US"/>
    </w:rPr>
  </w:style>
  <w:style w:type="paragraph" w:styleId="Heading8">
    <w:name w:val="heading 8"/>
    <w:basedOn w:val="Normal"/>
    <w:next w:val="Normal"/>
    <w:link w:val="Heading8Char"/>
    <w:uiPriority w:val="9"/>
    <w:semiHidden/>
    <w:unhideWhenUsed/>
    <w:qFormat/>
    <w:rsid w:val="00453883"/>
    <w:pPr>
      <w:keepNext/>
      <w:keepLines/>
      <w:spacing w:before="200"/>
      <w:outlineLvl w:val="7"/>
    </w:pPr>
    <w:rPr>
      <w:rFonts w:asciiTheme="majorHAnsi" w:eastAsiaTheme="majorEastAsia" w:hAnsiTheme="majorHAnsi" w:cstheme="majorBidi"/>
      <w:color w:val="4F81BD" w:themeColor="accent1"/>
      <w:sz w:val="20"/>
      <w:lang w:val="en-US" w:eastAsia="en-US" w:bidi="en-US"/>
    </w:rPr>
  </w:style>
  <w:style w:type="paragraph" w:styleId="Heading9">
    <w:name w:val="heading 9"/>
    <w:basedOn w:val="Normal"/>
    <w:next w:val="Normal"/>
    <w:link w:val="Heading9Char"/>
    <w:uiPriority w:val="9"/>
    <w:semiHidden/>
    <w:unhideWhenUsed/>
    <w:qFormat/>
    <w:rsid w:val="00453883"/>
    <w:pPr>
      <w:keepNext/>
      <w:keepLines/>
      <w:spacing w:before="200"/>
      <w:outlineLvl w:val="8"/>
    </w:pPr>
    <w:rPr>
      <w:rFonts w:asciiTheme="majorHAnsi" w:eastAsiaTheme="majorEastAsia" w:hAnsiTheme="majorHAnsi" w:cstheme="majorBidi"/>
      <w:i/>
      <w:iCs/>
      <w:color w:val="404040" w:themeColor="text1" w:themeTint="BF"/>
      <w:sz w:val="2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Hyperlink">
    <w:name w:val="Hyperlink"/>
    <w:basedOn w:val="DefaultParagraphFont"/>
    <w:uiPriority w:val="99"/>
    <w:unhideWhenUsed/>
    <w:rsid w:val="00613114"/>
    <w:rPr>
      <w:color w:val="660000"/>
      <w:u w:val="none"/>
    </w:rPr>
  </w:style>
  <w:style w:type="character" w:styleId="CommentReference">
    <w:name w:val="annotation reference"/>
    <w:basedOn w:val="DefaultParagraphFont"/>
    <w:uiPriority w:val="99"/>
    <w:semiHidden/>
    <w:unhideWhenUsed/>
    <w:rsid w:val="00B93D72"/>
    <w:rPr>
      <w:sz w:val="16"/>
      <w:szCs w:val="16"/>
    </w:rPr>
  </w:style>
  <w:style w:type="paragraph" w:styleId="CommentText">
    <w:name w:val="annotation text"/>
    <w:basedOn w:val="Normal"/>
    <w:link w:val="CommentTextChar"/>
    <w:uiPriority w:val="99"/>
    <w:unhideWhenUsed/>
    <w:rsid w:val="00B93D72"/>
    <w:rPr>
      <w:sz w:val="20"/>
    </w:rPr>
  </w:style>
  <w:style w:type="character" w:customStyle="1" w:styleId="CommentTextChar">
    <w:name w:val="Comment Text Char"/>
    <w:basedOn w:val="DefaultParagraphFont"/>
    <w:link w:val="CommentText"/>
    <w:uiPriority w:val="99"/>
    <w:rsid w:val="00B93D72"/>
  </w:style>
  <w:style w:type="character" w:styleId="FollowedHyperlink">
    <w:name w:val="FollowedHyperlink"/>
    <w:basedOn w:val="DefaultParagraphFont"/>
    <w:uiPriority w:val="99"/>
    <w:semiHidden/>
    <w:unhideWhenUsed/>
    <w:rsid w:val="00B71308"/>
    <w:rPr>
      <w:color w:val="800080" w:themeColor="followedHyperlink"/>
      <w:u w:val="single"/>
    </w:rPr>
  </w:style>
  <w:style w:type="character" w:customStyle="1" w:styleId="solexhl">
    <w:name w:val="solexhl"/>
    <w:basedOn w:val="DefaultParagraphFont"/>
    <w:rsid w:val="006B735F"/>
  </w:style>
  <w:style w:type="character" w:customStyle="1" w:styleId="ui-provider">
    <w:name w:val="ui-provider"/>
    <w:basedOn w:val="DefaultParagraphFont"/>
    <w:rsid w:val="00685FB8"/>
  </w:style>
  <w:style w:type="paragraph" w:styleId="CommentSubject">
    <w:name w:val="annotation subject"/>
    <w:basedOn w:val="CommentText"/>
    <w:next w:val="CommentText"/>
    <w:link w:val="CommentSubjectChar"/>
    <w:uiPriority w:val="99"/>
    <w:semiHidden/>
    <w:unhideWhenUsed/>
    <w:rsid w:val="005C0560"/>
    <w:rPr>
      <w:b/>
      <w:bCs/>
    </w:rPr>
  </w:style>
  <w:style w:type="character" w:customStyle="1" w:styleId="CommentSubjectChar">
    <w:name w:val="Comment Subject Char"/>
    <w:basedOn w:val="CommentTextChar"/>
    <w:link w:val="CommentSubject"/>
    <w:uiPriority w:val="99"/>
    <w:semiHidden/>
    <w:rsid w:val="005C0560"/>
    <w:rPr>
      <w:b/>
      <w:bCs/>
    </w:rPr>
  </w:style>
  <w:style w:type="paragraph" w:styleId="FootnoteText">
    <w:name w:val="footnote text"/>
    <w:basedOn w:val="Normal"/>
    <w:link w:val="FootnoteTextChar"/>
    <w:uiPriority w:val="99"/>
    <w:unhideWhenUsed/>
    <w:rsid w:val="006E5C6D"/>
    <w:rPr>
      <w:sz w:val="20"/>
    </w:rPr>
  </w:style>
  <w:style w:type="character" w:customStyle="1" w:styleId="FootnoteTextChar">
    <w:name w:val="Footnote Text Char"/>
    <w:basedOn w:val="DefaultParagraphFont"/>
    <w:link w:val="FootnoteText"/>
    <w:uiPriority w:val="99"/>
    <w:rsid w:val="006E5C6D"/>
  </w:style>
  <w:style w:type="character" w:styleId="FootnoteReference">
    <w:name w:val="footnote reference"/>
    <w:basedOn w:val="DefaultParagraphFont"/>
    <w:uiPriority w:val="99"/>
    <w:unhideWhenUsed/>
    <w:rsid w:val="006E5C6D"/>
    <w:rPr>
      <w:vertAlign w:val="superscript"/>
    </w:rPr>
  </w:style>
  <w:style w:type="character" w:customStyle="1" w:styleId="qrafter">
    <w:name w:val="qrafter"/>
    <w:basedOn w:val="DefaultParagraphFont"/>
    <w:rsid w:val="00097D8F"/>
  </w:style>
  <w:style w:type="character" w:customStyle="1" w:styleId="Heading3Char">
    <w:name w:val="Heading 3 Char"/>
    <w:basedOn w:val="DefaultParagraphFont"/>
    <w:link w:val="Heading3"/>
    <w:uiPriority w:val="9"/>
    <w:semiHidden/>
    <w:rsid w:val="00453883"/>
    <w:rPr>
      <w:rFonts w:asciiTheme="majorHAnsi" w:eastAsiaTheme="majorEastAsia" w:hAnsiTheme="majorHAnsi" w:cstheme="majorBidi"/>
      <w:b/>
      <w:bCs/>
      <w:color w:val="4F81BD" w:themeColor="accent1"/>
      <w:sz w:val="24"/>
      <w:szCs w:val="22"/>
      <w:lang w:val="en-US" w:eastAsia="en-US" w:bidi="en-US"/>
    </w:rPr>
  </w:style>
  <w:style w:type="character" w:customStyle="1" w:styleId="Heading4Char">
    <w:name w:val="Heading 4 Char"/>
    <w:basedOn w:val="DefaultParagraphFont"/>
    <w:link w:val="Heading4"/>
    <w:uiPriority w:val="9"/>
    <w:semiHidden/>
    <w:rsid w:val="00453883"/>
    <w:rPr>
      <w:rFonts w:asciiTheme="majorHAnsi" w:eastAsiaTheme="majorEastAsia" w:hAnsiTheme="majorHAnsi" w:cstheme="majorBidi"/>
      <w:b/>
      <w:bCs/>
      <w:i/>
      <w:iCs/>
      <w:color w:val="4F81BD" w:themeColor="accent1"/>
      <w:sz w:val="24"/>
      <w:szCs w:val="22"/>
      <w:lang w:val="en-US" w:eastAsia="en-US" w:bidi="en-US"/>
    </w:rPr>
  </w:style>
  <w:style w:type="character" w:customStyle="1" w:styleId="Heading5Char">
    <w:name w:val="Heading 5 Char"/>
    <w:basedOn w:val="DefaultParagraphFont"/>
    <w:link w:val="Heading5"/>
    <w:uiPriority w:val="9"/>
    <w:semiHidden/>
    <w:rsid w:val="00453883"/>
    <w:rPr>
      <w:rFonts w:asciiTheme="majorHAnsi" w:eastAsiaTheme="majorEastAsia" w:hAnsiTheme="majorHAnsi" w:cstheme="majorBidi"/>
      <w:color w:val="243F60" w:themeColor="accent1" w:themeShade="7F"/>
      <w:sz w:val="24"/>
      <w:szCs w:val="22"/>
      <w:lang w:val="en-US" w:eastAsia="en-US" w:bidi="en-US"/>
    </w:rPr>
  </w:style>
  <w:style w:type="character" w:customStyle="1" w:styleId="Heading6Char">
    <w:name w:val="Heading 6 Char"/>
    <w:basedOn w:val="DefaultParagraphFont"/>
    <w:link w:val="Heading6"/>
    <w:uiPriority w:val="9"/>
    <w:semiHidden/>
    <w:rsid w:val="00453883"/>
    <w:rPr>
      <w:rFonts w:asciiTheme="majorHAnsi" w:eastAsiaTheme="majorEastAsia" w:hAnsiTheme="majorHAnsi" w:cstheme="majorBidi"/>
      <w:i/>
      <w:iCs/>
      <w:color w:val="243F60" w:themeColor="accent1" w:themeShade="7F"/>
      <w:sz w:val="24"/>
      <w:szCs w:val="22"/>
      <w:lang w:val="en-US" w:eastAsia="en-US" w:bidi="en-US"/>
    </w:rPr>
  </w:style>
  <w:style w:type="character" w:customStyle="1" w:styleId="Heading7Char">
    <w:name w:val="Heading 7 Char"/>
    <w:basedOn w:val="DefaultParagraphFont"/>
    <w:link w:val="Heading7"/>
    <w:uiPriority w:val="9"/>
    <w:semiHidden/>
    <w:rsid w:val="00453883"/>
    <w:rPr>
      <w:rFonts w:asciiTheme="majorHAnsi" w:eastAsiaTheme="majorEastAsia" w:hAnsiTheme="majorHAnsi" w:cstheme="majorBidi"/>
      <w:i/>
      <w:iCs/>
      <w:color w:val="404040" w:themeColor="text1" w:themeTint="BF"/>
      <w:sz w:val="24"/>
      <w:szCs w:val="22"/>
      <w:lang w:val="en-US" w:eastAsia="en-US" w:bidi="en-US"/>
    </w:rPr>
  </w:style>
  <w:style w:type="character" w:customStyle="1" w:styleId="Heading8Char">
    <w:name w:val="Heading 8 Char"/>
    <w:basedOn w:val="DefaultParagraphFont"/>
    <w:link w:val="Heading8"/>
    <w:uiPriority w:val="9"/>
    <w:semiHidden/>
    <w:rsid w:val="00453883"/>
    <w:rPr>
      <w:rFonts w:asciiTheme="majorHAnsi" w:eastAsiaTheme="majorEastAsia" w:hAnsiTheme="majorHAnsi" w:cstheme="majorBidi"/>
      <w:color w:val="4F81BD" w:themeColor="accent1"/>
      <w:lang w:val="en-US" w:eastAsia="en-US" w:bidi="en-US"/>
    </w:rPr>
  </w:style>
  <w:style w:type="character" w:customStyle="1" w:styleId="Heading9Char">
    <w:name w:val="Heading 9 Char"/>
    <w:basedOn w:val="DefaultParagraphFont"/>
    <w:link w:val="Heading9"/>
    <w:uiPriority w:val="9"/>
    <w:semiHidden/>
    <w:rsid w:val="00453883"/>
    <w:rPr>
      <w:rFonts w:asciiTheme="majorHAnsi" w:eastAsiaTheme="majorEastAsia" w:hAnsiTheme="majorHAnsi" w:cstheme="majorBidi"/>
      <w:i/>
      <w:iCs/>
      <w:color w:val="404040" w:themeColor="text1" w:themeTint="BF"/>
      <w:lang w:val="en-US" w:eastAsia="en-US" w:bidi="en-US"/>
    </w:rPr>
  </w:style>
  <w:style w:type="paragraph" w:customStyle="1" w:styleId="SCCLsocOtherPartyRoleSeparator">
    <w:name w:val="SCC.Lsoc.OtherPartyRoleSeparator"/>
    <w:basedOn w:val="Normal"/>
    <w:next w:val="Normal"/>
    <w:link w:val="SCCLsocOtherPartyRoleSeparatorChar"/>
    <w:rsid w:val="00453883"/>
    <w:pPr>
      <w:spacing w:after="480"/>
    </w:pPr>
    <w:rPr>
      <w:rFonts w:eastAsiaTheme="minorHAnsi" w:cstheme="minorBidi"/>
      <w:szCs w:val="22"/>
      <w:lang w:val="en-US" w:eastAsia="en-US" w:bidi="en-US"/>
    </w:rPr>
  </w:style>
  <w:style w:type="paragraph" w:customStyle="1" w:styleId="SCCCoram">
    <w:name w:val="SCC.Coram"/>
    <w:basedOn w:val="Normal"/>
    <w:next w:val="Normal"/>
    <w:link w:val="SCCCoramChar"/>
    <w:rsid w:val="00453883"/>
    <w:pPr>
      <w:pBdr>
        <w:bottom w:val="single" w:sz="4" w:space="1" w:color="auto"/>
      </w:pBdr>
    </w:pPr>
    <w:rPr>
      <w:rFonts w:eastAsiaTheme="minorHAnsi" w:cstheme="minorBidi"/>
      <w:szCs w:val="22"/>
      <w:lang w:val="en-US" w:eastAsia="en-US" w:bidi="en-US"/>
    </w:rPr>
  </w:style>
  <w:style w:type="character" w:customStyle="1" w:styleId="SCCCoramChar">
    <w:name w:val="SCC.Coram Char"/>
    <w:basedOn w:val="DefaultParagraphFont"/>
    <w:link w:val="SCCCoram"/>
    <w:rsid w:val="00453883"/>
    <w:rPr>
      <w:rFonts w:eastAsiaTheme="minorHAnsi" w:cstheme="minorBidi"/>
      <w:sz w:val="24"/>
      <w:szCs w:val="22"/>
      <w:lang w:val="en-US" w:eastAsia="en-US" w:bidi="en-US"/>
    </w:rPr>
  </w:style>
  <w:style w:type="character" w:customStyle="1" w:styleId="SCCLsocOtherPartyRoleSeparatorChar">
    <w:name w:val="SCC.Lsoc.OtherPartyRoleSeparator Char"/>
    <w:basedOn w:val="DefaultParagraphFont"/>
    <w:link w:val="SCCLsocOtherPartyRoleSeparator"/>
    <w:rsid w:val="00453883"/>
    <w:rPr>
      <w:rFonts w:eastAsiaTheme="minorHAnsi" w:cstheme="minorBidi"/>
      <w:sz w:val="24"/>
      <w:szCs w:val="22"/>
      <w:lang w:val="en-US" w:eastAsia="en-US" w:bidi="en-US"/>
    </w:rPr>
  </w:style>
  <w:style w:type="character" w:customStyle="1" w:styleId="SCCBanSummaryChar">
    <w:name w:val="SCC.BanSummary Char"/>
    <w:basedOn w:val="DefaultParagraphFont"/>
    <w:link w:val="SCCBanSummary"/>
    <w:rsid w:val="00453883"/>
    <w:rPr>
      <w:b/>
      <w:sz w:val="24"/>
    </w:rPr>
  </w:style>
  <w:style w:type="table" w:styleId="TableGrid">
    <w:name w:val="Table Grid"/>
    <w:basedOn w:val="TableNormal"/>
    <w:uiPriority w:val="59"/>
    <w:rsid w:val="00453883"/>
    <w:rPr>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453883"/>
    <w:pPr>
      <w:spacing w:after="720"/>
      <w:ind w:left="1166"/>
      <w:contextualSpacing/>
      <w:jc w:val="both"/>
    </w:pPr>
    <w:rPr>
      <w:sz w:val="24"/>
    </w:rPr>
  </w:style>
  <w:style w:type="paragraph" w:customStyle="1" w:styleId="ContinueParaSuitedupar-AltP">
    <w:name w:val="Continue Para. / Suite du par. - Alt P"/>
    <w:next w:val="ParaNoNdepar-AltN"/>
    <w:uiPriority w:val="1"/>
    <w:qFormat/>
    <w:rsid w:val="00453883"/>
    <w:pPr>
      <w:spacing w:before="480" w:after="480" w:line="480" w:lineRule="auto"/>
      <w:jc w:val="both"/>
    </w:pPr>
    <w:rPr>
      <w:rFonts w:eastAsiaTheme="minorHAnsi" w:cstheme="minorBidi"/>
      <w:sz w:val="24"/>
      <w:szCs w:val="22"/>
      <w:lang w:eastAsia="en-US"/>
    </w:rPr>
  </w:style>
  <w:style w:type="paragraph" w:customStyle="1" w:styleId="JudgeJuge">
    <w:name w:val="Judge / Juge"/>
    <w:link w:val="JudgeJugeChar"/>
    <w:uiPriority w:val="3"/>
    <w:rsid w:val="00453883"/>
    <w:pPr>
      <w:tabs>
        <w:tab w:val="left" w:pos="1260"/>
      </w:tabs>
      <w:spacing w:after="480" w:line="480" w:lineRule="auto"/>
    </w:pPr>
    <w:rPr>
      <w:smallCaps/>
      <w:sz w:val="24"/>
    </w:rPr>
  </w:style>
  <w:style w:type="paragraph" w:customStyle="1" w:styleId="ParaNoNdepar-AltN">
    <w:name w:val="Para. No. / Nº de par. - Alt N"/>
    <w:link w:val="ParaNoNdepar-AltNChar"/>
    <w:qFormat/>
    <w:rsid w:val="00453883"/>
    <w:pPr>
      <w:numPr>
        <w:numId w:val="6"/>
      </w:numPr>
      <w:spacing w:before="480" w:after="480" w:line="480" w:lineRule="auto"/>
      <w:jc w:val="both"/>
    </w:pPr>
    <w:rPr>
      <w:rFonts w:eastAsiaTheme="minorEastAsia" w:cstheme="minorBidi"/>
      <w:sz w:val="24"/>
      <w:szCs w:val="22"/>
      <w:lang w:eastAsia="en-US"/>
    </w:rPr>
  </w:style>
  <w:style w:type="paragraph" w:customStyle="1" w:styleId="Title1LevelTitre1Niveau-AltL">
    <w:name w:val="Title 1 Level / Titre 1 Niveau - Alt L"/>
    <w:next w:val="ParaNoNdepar-AltN"/>
    <w:uiPriority w:val="4"/>
    <w:qFormat/>
    <w:rsid w:val="00453883"/>
    <w:pPr>
      <w:numPr>
        <w:numId w:val="7"/>
      </w:numPr>
      <w:spacing w:before="480" w:after="720"/>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453883"/>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453883"/>
    <w:pPr>
      <w:numPr>
        <w:ilvl w:val="2"/>
      </w:numPr>
      <w:outlineLvl w:val="2"/>
    </w:pPr>
  </w:style>
  <w:style w:type="paragraph" w:customStyle="1" w:styleId="Title4LevelTitre4Niveau">
    <w:name w:val="Title 4 Level / Titre 4 Niveau"/>
    <w:basedOn w:val="Title3LevelTitre3Niveau"/>
    <w:next w:val="ParaNoNdepar-AltN"/>
    <w:uiPriority w:val="4"/>
    <w:qFormat/>
    <w:rsid w:val="00453883"/>
    <w:pPr>
      <w:numPr>
        <w:ilvl w:val="3"/>
      </w:numPr>
      <w:tabs>
        <w:tab w:val="num" w:pos="900"/>
      </w:tabs>
      <w:outlineLvl w:val="3"/>
    </w:pPr>
    <w:rPr>
      <w:i/>
      <w:u w:val="none"/>
    </w:rPr>
  </w:style>
  <w:style w:type="paragraph" w:customStyle="1" w:styleId="Title5LevelTitre5Niveau">
    <w:name w:val="Title 5 Level / Titre 5 Niveau"/>
    <w:basedOn w:val="Title1LevelTitre1Niveau-AltL"/>
    <w:next w:val="ParaNoNdepar-AltN"/>
    <w:uiPriority w:val="4"/>
    <w:qFormat/>
    <w:rsid w:val="00453883"/>
    <w:pPr>
      <w:numPr>
        <w:ilvl w:val="4"/>
      </w:numPr>
      <w:tabs>
        <w:tab w:val="clear" w:pos="1728"/>
        <w:tab w:val="num" w:pos="1440"/>
      </w:tabs>
      <w:outlineLvl w:val="4"/>
    </w:pPr>
  </w:style>
  <w:style w:type="paragraph" w:styleId="TOC1">
    <w:name w:val="toc 1"/>
    <w:basedOn w:val="Normal"/>
    <w:next w:val="Normal"/>
    <w:autoRedefine/>
    <w:uiPriority w:val="39"/>
    <w:unhideWhenUsed/>
    <w:rsid w:val="00453883"/>
    <w:pPr>
      <w:tabs>
        <w:tab w:val="left" w:pos="360"/>
        <w:tab w:val="right" w:leader="dot" w:pos="8270"/>
      </w:tabs>
      <w:spacing w:before="120" w:after="120"/>
    </w:pPr>
    <w:rPr>
      <w:rFonts w:eastAsiaTheme="minorHAnsi" w:cstheme="minorBidi"/>
      <w:noProof/>
      <w:u w:val="single"/>
      <w:lang w:val="en-US" w:eastAsia="en-US" w:bidi="en-US"/>
    </w:rPr>
  </w:style>
  <w:style w:type="paragraph" w:styleId="TOC2">
    <w:name w:val="toc 2"/>
    <w:basedOn w:val="Normal"/>
    <w:next w:val="Normal"/>
    <w:autoRedefine/>
    <w:uiPriority w:val="39"/>
    <w:unhideWhenUsed/>
    <w:rsid w:val="00453883"/>
    <w:pPr>
      <w:tabs>
        <w:tab w:val="left" w:pos="720"/>
        <w:tab w:val="right" w:leader="dot" w:pos="8270"/>
      </w:tabs>
      <w:spacing w:before="120" w:after="120"/>
      <w:ind w:left="432" w:hanging="432"/>
    </w:pPr>
    <w:rPr>
      <w:rFonts w:eastAsiaTheme="minorHAnsi" w:cstheme="minorBidi"/>
      <w:i/>
      <w:szCs w:val="22"/>
      <w:lang w:val="en-US" w:eastAsia="en-US" w:bidi="en-US"/>
    </w:rPr>
  </w:style>
  <w:style w:type="paragraph" w:styleId="TOC3">
    <w:name w:val="toc 3"/>
    <w:basedOn w:val="Normal"/>
    <w:next w:val="Normal"/>
    <w:autoRedefine/>
    <w:uiPriority w:val="39"/>
    <w:unhideWhenUsed/>
    <w:rsid w:val="00453883"/>
    <w:pPr>
      <w:tabs>
        <w:tab w:val="left" w:pos="1080"/>
        <w:tab w:val="right" w:leader="dot" w:pos="8270"/>
      </w:tabs>
      <w:spacing w:before="120" w:after="120"/>
      <w:ind w:left="864" w:hanging="432"/>
    </w:pPr>
    <w:rPr>
      <w:rFonts w:eastAsiaTheme="minorHAnsi" w:cstheme="minorBidi"/>
      <w:noProof/>
      <w:u w:val="single"/>
      <w:lang w:val="en-US" w:eastAsia="en-US" w:bidi="en-US"/>
    </w:rPr>
  </w:style>
  <w:style w:type="paragraph" w:styleId="TOC4">
    <w:name w:val="toc 4"/>
    <w:basedOn w:val="Normal"/>
    <w:next w:val="Normal"/>
    <w:autoRedefine/>
    <w:uiPriority w:val="39"/>
    <w:unhideWhenUsed/>
    <w:rsid w:val="00453883"/>
    <w:pPr>
      <w:tabs>
        <w:tab w:val="left" w:pos="900"/>
        <w:tab w:val="right" w:leader="dot" w:pos="8270"/>
      </w:tabs>
      <w:spacing w:before="120" w:after="120"/>
      <w:ind w:left="900" w:hanging="450"/>
    </w:pPr>
    <w:rPr>
      <w:rFonts w:eastAsiaTheme="minorEastAsia" w:cstheme="minorBidi"/>
      <w:i/>
      <w:noProof/>
      <w:szCs w:val="22"/>
      <w:lang w:val="en-US" w:eastAsia="en-US" w:bidi="en-US"/>
    </w:rPr>
  </w:style>
  <w:style w:type="paragraph" w:styleId="TOC5">
    <w:name w:val="toc 5"/>
    <w:basedOn w:val="Normal"/>
    <w:next w:val="Normal"/>
    <w:autoRedefine/>
    <w:uiPriority w:val="39"/>
    <w:unhideWhenUsed/>
    <w:rsid w:val="00453883"/>
    <w:pPr>
      <w:tabs>
        <w:tab w:val="left" w:pos="1440"/>
        <w:tab w:val="right" w:leader="dot" w:pos="8270"/>
      </w:tabs>
      <w:spacing w:before="120" w:after="120"/>
      <w:ind w:left="1454" w:hanging="547"/>
    </w:pPr>
    <w:rPr>
      <w:rFonts w:eastAsiaTheme="minorHAnsi" w:cstheme="minorBidi"/>
      <w:noProof/>
      <w:u w:val="single"/>
      <w:lang w:val="en-US" w:eastAsia="en-US" w:bidi="en-US"/>
    </w:rPr>
  </w:style>
  <w:style w:type="paragraph" w:styleId="TOC6">
    <w:name w:val="toc 6"/>
    <w:basedOn w:val="Normal"/>
    <w:next w:val="Normal"/>
    <w:autoRedefine/>
    <w:uiPriority w:val="39"/>
    <w:unhideWhenUsed/>
    <w:rsid w:val="00453883"/>
    <w:pPr>
      <w:tabs>
        <w:tab w:val="left" w:pos="2160"/>
        <w:tab w:val="right" w:leader="dot" w:pos="8270"/>
      </w:tabs>
      <w:spacing w:after="100"/>
      <w:ind w:left="1800"/>
    </w:pPr>
    <w:rPr>
      <w:rFonts w:eastAsiaTheme="minorHAnsi" w:cstheme="minorBidi"/>
      <w:noProof/>
      <w:lang w:val="en-US" w:eastAsia="en-US" w:bidi="en-US"/>
    </w:rPr>
  </w:style>
  <w:style w:type="table" w:customStyle="1" w:styleId="TableGrid1">
    <w:name w:val="Table Grid1"/>
    <w:basedOn w:val="TableNormal"/>
    <w:uiPriority w:val="59"/>
    <w:rsid w:val="00453883"/>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453883"/>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453883"/>
    <w:pPr>
      <w:numPr>
        <w:ilvl w:val="5"/>
      </w:numPr>
      <w:jc w:val="both"/>
      <w:outlineLvl w:val="5"/>
    </w:pPr>
    <w:rPr>
      <w:i/>
      <w:u w:val="none"/>
    </w:rPr>
  </w:style>
  <w:style w:type="character" w:customStyle="1" w:styleId="label-section">
    <w:name w:val="label-section"/>
    <w:basedOn w:val="DefaultParagraphFont"/>
    <w:rsid w:val="00453883"/>
  </w:style>
  <w:style w:type="character" w:customStyle="1" w:styleId="canliisection">
    <w:name w:val="canlii_section"/>
    <w:basedOn w:val="DefaultParagraphFont"/>
    <w:rsid w:val="00453883"/>
  </w:style>
  <w:style w:type="character" w:customStyle="1" w:styleId="subsection">
    <w:name w:val="subsection"/>
    <w:basedOn w:val="DefaultParagraphFont"/>
    <w:rsid w:val="00453883"/>
  </w:style>
  <w:style w:type="paragraph" w:styleId="ListParagraph">
    <w:name w:val="List Paragraph"/>
    <w:basedOn w:val="Normal"/>
    <w:uiPriority w:val="34"/>
    <w:qFormat/>
    <w:rsid w:val="00453883"/>
    <w:pPr>
      <w:ind w:left="720"/>
      <w:contextualSpacing/>
    </w:pPr>
    <w:rPr>
      <w:rFonts w:eastAsiaTheme="minorHAnsi" w:cstheme="minorBidi"/>
      <w:szCs w:val="22"/>
      <w:lang w:val="en-US" w:eastAsia="en-US" w:bidi="en-US"/>
    </w:rPr>
  </w:style>
  <w:style w:type="character" w:customStyle="1" w:styleId="def">
    <w:name w:val="def"/>
    <w:basedOn w:val="DefaultParagraphFont"/>
    <w:rsid w:val="00453883"/>
  </w:style>
  <w:style w:type="character" w:customStyle="1" w:styleId="defafter">
    <w:name w:val="defafter"/>
    <w:basedOn w:val="DefaultParagraphFont"/>
    <w:rsid w:val="00453883"/>
  </w:style>
  <w:style w:type="character" w:customStyle="1" w:styleId="je">
    <w:name w:val="je"/>
    <w:basedOn w:val="DefaultParagraphFont"/>
    <w:rsid w:val="00453883"/>
  </w:style>
  <w:style w:type="character" w:customStyle="1" w:styleId="jeafter">
    <w:name w:val="jeafter"/>
    <w:basedOn w:val="DefaultParagraphFont"/>
    <w:rsid w:val="00453883"/>
  </w:style>
  <w:style w:type="character" w:customStyle="1" w:styleId="qtbefore">
    <w:name w:val="qtbefore"/>
    <w:basedOn w:val="DefaultParagraphFont"/>
    <w:rsid w:val="00453883"/>
  </w:style>
  <w:style w:type="character" w:customStyle="1" w:styleId="qt">
    <w:name w:val="qt"/>
    <w:basedOn w:val="DefaultParagraphFont"/>
    <w:rsid w:val="00453883"/>
  </w:style>
  <w:style w:type="character" w:customStyle="1" w:styleId="qtafter">
    <w:name w:val="qtafter"/>
    <w:basedOn w:val="DefaultParagraphFont"/>
    <w:rsid w:val="00453883"/>
  </w:style>
  <w:style w:type="character" w:customStyle="1" w:styleId="qr">
    <w:name w:val="qr"/>
    <w:basedOn w:val="DefaultParagraphFont"/>
    <w:rsid w:val="00453883"/>
  </w:style>
  <w:style w:type="paragraph" w:styleId="Revision">
    <w:name w:val="Revision"/>
    <w:hidden/>
    <w:uiPriority w:val="99"/>
    <w:semiHidden/>
    <w:rsid w:val="00453883"/>
    <w:rPr>
      <w:rFonts w:eastAsiaTheme="minorHAnsi" w:cstheme="minorBidi"/>
      <w:sz w:val="24"/>
      <w:szCs w:val="22"/>
      <w:lang w:val="en-US" w:eastAsia="en-US" w:bidi="en-US"/>
    </w:rPr>
  </w:style>
  <w:style w:type="character" w:customStyle="1" w:styleId="JudgeJugeChar">
    <w:name w:val="Judge / Juge Char"/>
    <w:basedOn w:val="DefaultParagraphFont"/>
    <w:link w:val="JudgeJuge"/>
    <w:uiPriority w:val="3"/>
    <w:rsid w:val="00453883"/>
    <w:rPr>
      <w:smallCaps/>
      <w:sz w:val="24"/>
    </w:rPr>
  </w:style>
  <w:style w:type="paragraph" w:styleId="NoSpacing">
    <w:name w:val="No Spacing"/>
    <w:uiPriority w:val="1"/>
    <w:rsid w:val="00453883"/>
    <w:rPr>
      <w:rFonts w:eastAsiaTheme="minorHAnsi" w:cstheme="minorBidi"/>
      <w:sz w:val="24"/>
      <w:szCs w:val="22"/>
      <w:lang w:val="en-US" w:eastAsia="en-US" w:bidi="en-US"/>
    </w:rPr>
  </w:style>
  <w:style w:type="paragraph" w:styleId="TOCHeading">
    <w:name w:val="TOC Heading"/>
    <w:basedOn w:val="Heading1"/>
    <w:next w:val="Normal"/>
    <w:uiPriority w:val="39"/>
    <w:semiHidden/>
    <w:unhideWhenUsed/>
    <w:qFormat/>
    <w:rsid w:val="00453883"/>
    <w:pPr>
      <w:spacing w:before="480" w:after="0"/>
      <w:ind w:left="0" w:firstLine="0"/>
      <w:outlineLvl w:val="9"/>
    </w:pPr>
    <w:rPr>
      <w:lang w:val="en-US" w:eastAsia="en-US" w:bidi="en-US"/>
    </w:rPr>
  </w:style>
  <w:style w:type="paragraph" w:styleId="Caption">
    <w:name w:val="caption"/>
    <w:basedOn w:val="Normal"/>
    <w:next w:val="Normal"/>
    <w:uiPriority w:val="35"/>
    <w:semiHidden/>
    <w:unhideWhenUsed/>
    <w:qFormat/>
    <w:rsid w:val="00453883"/>
    <w:rPr>
      <w:rFonts w:eastAsiaTheme="minorHAnsi" w:cstheme="minorBidi"/>
      <w:b/>
      <w:bCs/>
      <w:color w:val="4F81BD" w:themeColor="accent1"/>
      <w:sz w:val="18"/>
      <w:szCs w:val="18"/>
      <w:lang w:val="en-US" w:eastAsia="en-US" w:bidi="en-US"/>
    </w:rPr>
  </w:style>
  <w:style w:type="paragraph" w:styleId="Title">
    <w:name w:val="Title"/>
    <w:basedOn w:val="Normal"/>
    <w:next w:val="Normal"/>
    <w:link w:val="TitleChar"/>
    <w:uiPriority w:val="10"/>
    <w:rsid w:val="004538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bidi="en-US"/>
    </w:rPr>
  </w:style>
  <w:style w:type="character" w:customStyle="1" w:styleId="TitleChar">
    <w:name w:val="Title Char"/>
    <w:basedOn w:val="DefaultParagraphFont"/>
    <w:link w:val="Title"/>
    <w:uiPriority w:val="10"/>
    <w:rsid w:val="00453883"/>
    <w:rPr>
      <w:rFonts w:asciiTheme="majorHAnsi" w:eastAsiaTheme="majorEastAsia" w:hAnsiTheme="majorHAnsi" w:cstheme="majorBidi"/>
      <w:color w:val="17365D" w:themeColor="text2" w:themeShade="BF"/>
      <w:spacing w:val="5"/>
      <w:kern w:val="28"/>
      <w:sz w:val="52"/>
      <w:szCs w:val="52"/>
      <w:lang w:val="en-US" w:eastAsia="en-US" w:bidi="en-US"/>
    </w:rPr>
  </w:style>
  <w:style w:type="paragraph" w:styleId="Subtitle">
    <w:name w:val="Subtitle"/>
    <w:basedOn w:val="Normal"/>
    <w:next w:val="Normal"/>
    <w:link w:val="SubtitleChar"/>
    <w:uiPriority w:val="11"/>
    <w:rsid w:val="00453883"/>
    <w:pPr>
      <w:numPr>
        <w:ilvl w:val="1"/>
      </w:numPr>
    </w:pPr>
    <w:rPr>
      <w:rFonts w:asciiTheme="majorHAnsi" w:eastAsiaTheme="majorEastAsia" w:hAnsiTheme="majorHAnsi" w:cstheme="majorBidi"/>
      <w:i/>
      <w:iCs/>
      <w:color w:val="4F81BD" w:themeColor="accent1"/>
      <w:spacing w:val="15"/>
      <w:szCs w:val="24"/>
      <w:lang w:val="en-US" w:eastAsia="en-US" w:bidi="en-US"/>
    </w:rPr>
  </w:style>
  <w:style w:type="character" w:customStyle="1" w:styleId="SubtitleChar">
    <w:name w:val="Subtitle Char"/>
    <w:basedOn w:val="DefaultParagraphFont"/>
    <w:link w:val="Subtitle"/>
    <w:uiPriority w:val="11"/>
    <w:rsid w:val="00453883"/>
    <w:rPr>
      <w:rFonts w:asciiTheme="majorHAnsi" w:eastAsiaTheme="majorEastAsia" w:hAnsiTheme="majorHAnsi" w:cstheme="majorBidi"/>
      <w:i/>
      <w:iCs/>
      <w:color w:val="4F81BD" w:themeColor="accent1"/>
      <w:spacing w:val="15"/>
      <w:sz w:val="24"/>
      <w:szCs w:val="24"/>
      <w:lang w:val="en-US" w:eastAsia="en-US" w:bidi="en-US"/>
    </w:rPr>
  </w:style>
  <w:style w:type="character" w:styleId="Emphasis">
    <w:name w:val="Emphasis"/>
    <w:basedOn w:val="DefaultParagraphFont"/>
    <w:uiPriority w:val="20"/>
    <w:rsid w:val="00453883"/>
    <w:rPr>
      <w:i/>
      <w:iCs/>
    </w:rPr>
  </w:style>
  <w:style w:type="paragraph" w:styleId="IntenseQuote">
    <w:name w:val="Intense Quote"/>
    <w:basedOn w:val="Normal"/>
    <w:next w:val="Normal"/>
    <w:link w:val="IntenseQuoteChar"/>
    <w:uiPriority w:val="30"/>
    <w:rsid w:val="00453883"/>
    <w:pPr>
      <w:pBdr>
        <w:bottom w:val="single" w:sz="4" w:space="4" w:color="4F81BD" w:themeColor="accent1"/>
      </w:pBdr>
      <w:spacing w:before="200" w:after="280"/>
      <w:ind w:left="936" w:right="936"/>
    </w:pPr>
    <w:rPr>
      <w:rFonts w:eastAsiaTheme="minorHAnsi" w:cstheme="minorBidi"/>
      <w:b/>
      <w:bCs/>
      <w:i/>
      <w:iCs/>
      <w:color w:val="4F81BD" w:themeColor="accent1"/>
      <w:szCs w:val="22"/>
      <w:lang w:val="en-US" w:eastAsia="en-US" w:bidi="en-US"/>
    </w:rPr>
  </w:style>
  <w:style w:type="character" w:customStyle="1" w:styleId="IntenseQuoteChar">
    <w:name w:val="Intense Quote Char"/>
    <w:basedOn w:val="DefaultParagraphFont"/>
    <w:link w:val="IntenseQuote"/>
    <w:uiPriority w:val="30"/>
    <w:rsid w:val="00453883"/>
    <w:rPr>
      <w:rFonts w:eastAsiaTheme="minorHAnsi" w:cstheme="minorBidi"/>
      <w:b/>
      <w:bCs/>
      <w:i/>
      <w:iCs/>
      <w:color w:val="4F81BD" w:themeColor="accent1"/>
      <w:sz w:val="24"/>
      <w:szCs w:val="22"/>
      <w:lang w:val="en-US" w:eastAsia="en-US" w:bidi="en-US"/>
    </w:rPr>
  </w:style>
  <w:style w:type="character" w:styleId="SubtleEmphasis">
    <w:name w:val="Subtle Emphasis"/>
    <w:basedOn w:val="DefaultParagraphFont"/>
    <w:uiPriority w:val="19"/>
    <w:rsid w:val="00453883"/>
    <w:rPr>
      <w:i/>
      <w:iCs/>
      <w:color w:val="808080" w:themeColor="text1" w:themeTint="7F"/>
    </w:rPr>
  </w:style>
  <w:style w:type="character" w:styleId="IntenseEmphasis">
    <w:name w:val="Intense Emphasis"/>
    <w:basedOn w:val="DefaultParagraphFont"/>
    <w:uiPriority w:val="21"/>
    <w:rsid w:val="00453883"/>
    <w:rPr>
      <w:b/>
      <w:bCs/>
      <w:i/>
      <w:iCs/>
      <w:color w:val="4F81BD" w:themeColor="accent1"/>
    </w:rPr>
  </w:style>
  <w:style w:type="character" w:styleId="SubtleReference">
    <w:name w:val="Subtle Reference"/>
    <w:basedOn w:val="DefaultParagraphFont"/>
    <w:uiPriority w:val="31"/>
    <w:rsid w:val="00453883"/>
    <w:rPr>
      <w:smallCaps/>
      <w:color w:val="C0504D" w:themeColor="accent2"/>
      <w:u w:val="single"/>
    </w:rPr>
  </w:style>
  <w:style w:type="character" w:styleId="IntenseReference">
    <w:name w:val="Intense Reference"/>
    <w:basedOn w:val="DefaultParagraphFont"/>
    <w:uiPriority w:val="32"/>
    <w:rsid w:val="00453883"/>
    <w:rPr>
      <w:b/>
      <w:bCs/>
      <w:smallCaps/>
      <w:color w:val="C0504D" w:themeColor="accent2"/>
      <w:spacing w:val="5"/>
      <w:u w:val="single"/>
    </w:rPr>
  </w:style>
  <w:style w:type="character" w:styleId="BookTitle">
    <w:name w:val="Book Title"/>
    <w:basedOn w:val="DefaultParagraphFont"/>
    <w:uiPriority w:val="33"/>
    <w:rsid w:val="00453883"/>
    <w:rPr>
      <w:b/>
      <w:bCs/>
      <w:smallCaps/>
      <w:spacing w:val="5"/>
    </w:rPr>
  </w:style>
  <w:style w:type="character" w:customStyle="1" w:styleId="texte-courant">
    <w:name w:val="texte-courant"/>
    <w:basedOn w:val="DefaultParagraphFont"/>
    <w:rsid w:val="00453883"/>
  </w:style>
  <w:style w:type="paragraph" w:customStyle="1" w:styleId="bodytext">
    <w:name w:val="bodytext"/>
    <w:basedOn w:val="Normal"/>
    <w:rsid w:val="00453883"/>
    <w:pPr>
      <w:spacing w:before="100" w:beforeAutospacing="1" w:after="100" w:afterAutospacing="1"/>
    </w:pPr>
    <w:rPr>
      <w:szCs w:val="24"/>
      <w:lang w:val="en-US" w:eastAsia="en-US"/>
    </w:rPr>
  </w:style>
  <w:style w:type="character" w:customStyle="1" w:styleId="caij-term-highlight">
    <w:name w:val="caij-term-highlight"/>
    <w:basedOn w:val="DefaultParagraphFont"/>
    <w:rsid w:val="00453883"/>
  </w:style>
  <w:style w:type="character" w:customStyle="1" w:styleId="ParaNoNdepar-AltNChar">
    <w:name w:val="Para. No. / Nº de par. - Alt N Char"/>
    <w:basedOn w:val="DefaultParagraphFont"/>
    <w:link w:val="ParaNoNdepar-AltN"/>
    <w:rsid w:val="00453883"/>
    <w:rPr>
      <w:rFonts w:eastAsiaTheme="minorEastAsia" w:cstheme="minorBidi"/>
      <w:sz w:val="24"/>
      <w:szCs w:val="22"/>
      <w:lang w:eastAsia="en-US"/>
    </w:rPr>
  </w:style>
  <w:style w:type="paragraph" w:styleId="NormalWeb">
    <w:name w:val="Normal (Web)"/>
    <w:basedOn w:val="Normal"/>
    <w:uiPriority w:val="99"/>
    <w:unhideWhenUsed/>
    <w:rsid w:val="00453883"/>
    <w:pPr>
      <w:spacing w:before="100" w:beforeAutospacing="1" w:after="100" w:afterAutospacing="1"/>
    </w:pPr>
    <w:rPr>
      <w:szCs w:val="24"/>
      <w:lang w:val="en-US" w:eastAsia="en-US"/>
    </w:rPr>
  </w:style>
  <w:style w:type="character" w:customStyle="1" w:styleId="italic">
    <w:name w:val="italic"/>
    <w:basedOn w:val="DefaultParagraphFont"/>
    <w:rsid w:val="00453883"/>
  </w:style>
  <w:style w:type="paragraph" w:customStyle="1" w:styleId="paranondepar-altn0">
    <w:name w:val="paranondepar-altn"/>
    <w:basedOn w:val="Normal"/>
    <w:rsid w:val="00453883"/>
    <w:pPr>
      <w:spacing w:before="100" w:beforeAutospacing="1" w:after="100" w:afterAutospacing="1"/>
    </w:pPr>
    <w:rPr>
      <w:szCs w:val="24"/>
      <w:lang w:val="en-US" w:eastAsia="en-US"/>
    </w:rPr>
  </w:style>
  <w:style w:type="character" w:customStyle="1" w:styleId="reflex">
    <w:name w:val="reflex"/>
    <w:basedOn w:val="DefaultParagraphFont"/>
    <w:rsid w:val="00453883"/>
  </w:style>
  <w:style w:type="character" w:customStyle="1" w:styleId="reflex3-block">
    <w:name w:val="reflex3-block"/>
    <w:basedOn w:val="DefaultParagraphFont"/>
    <w:rsid w:val="00453883"/>
  </w:style>
  <w:style w:type="paragraph" w:customStyle="1" w:styleId="paragraphe">
    <w:name w:val="paragraphe"/>
    <w:basedOn w:val="Normal"/>
    <w:rsid w:val="00453883"/>
    <w:pPr>
      <w:spacing w:before="100" w:beforeAutospacing="1" w:after="100" w:afterAutospacing="1"/>
    </w:pPr>
    <w:rPr>
      <w:szCs w:val="24"/>
      <w:lang w:val="en-US" w:eastAsia="en-US"/>
    </w:rPr>
  </w:style>
  <w:style w:type="paragraph" w:customStyle="1" w:styleId="citationenretrait">
    <w:name w:val="citationenretrait"/>
    <w:basedOn w:val="Normal"/>
    <w:rsid w:val="00453883"/>
    <w:pPr>
      <w:spacing w:before="100" w:beforeAutospacing="1" w:after="100" w:afterAutospacing="1"/>
    </w:pPr>
    <w:rPr>
      <w:szCs w:val="24"/>
      <w:lang w:val="en-US" w:eastAsia="en-US"/>
    </w:rPr>
  </w:style>
  <w:style w:type="character" w:customStyle="1" w:styleId="paragraph">
    <w:name w:val="paragraph"/>
    <w:basedOn w:val="DefaultParagraphFont"/>
    <w:rsid w:val="00453883"/>
  </w:style>
  <w:style w:type="table" w:customStyle="1" w:styleId="TableGrid2">
    <w:name w:val="Table Grid2"/>
    <w:basedOn w:val="TableNormal"/>
    <w:next w:val="TableGrid"/>
    <w:uiPriority w:val="59"/>
    <w:rsid w:val="00453883"/>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soquij.ca/y9Y3B"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canlii.org/fr/qc/legis/lois/rlrq-c-ccq-1991/derniere/rlrq-c-ccq-1991.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cid:image001.jpg@01D72252.19B69DE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E2306-79E7-4D93-A5D0-8F7711C7E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129</Pages>
  <Words>32953</Words>
  <Characters>175844</Characters>
  <Application>Microsoft Office Word</Application>
  <DocSecurity>0</DocSecurity>
  <Lines>1465</Lines>
  <Paragraphs>416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LinksUpToDate>false</LinksUpToDate>
  <CharactersWithSpaces>208381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2023-11-17T12:04:00Z</dcterms:created>
  <dcterms:modified xsi:type="dcterms:W3CDTF">2023-11-17T14:31:00Z</dcterms:modified>
</cp:coreProperties>
</file>