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269"/>
        <w:gridCol w:w="1561"/>
        <w:gridCol w:w="1439"/>
        <w:gridCol w:w="3945"/>
      </w:tblGrid>
      <w:tr w:rsidR="00EF72F1" w:rsidRPr="00AE0E44" w:rsidTr="009B58B8">
        <w:trPr>
          <w:trHeight w:val="2103"/>
        </w:trPr>
        <w:tc>
          <w:tcPr>
            <w:tcW w:w="5000" w:type="pct"/>
            <w:gridSpan w:val="4"/>
          </w:tcPr>
          <w:p w:rsidR="00EF72F1" w:rsidRPr="00AE0E44" w:rsidRDefault="00EF72F1" w:rsidP="001F3E0C">
            <w:pPr>
              <w:pStyle w:val="SCCBold"/>
              <w:jc w:val="center"/>
            </w:pPr>
            <w:r w:rsidRPr="00AE0E44">
              <w:rPr>
                <w:noProof/>
                <w:lang w:val="fr-CA" w:eastAsia="fr-CA"/>
              </w:rPr>
              <w:drawing>
                <wp:inline distT="0" distB="0" distL="0" distR="0" wp14:anchorId="1B25E650" wp14:editId="180151F3">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rsidR="00EF72F1" w:rsidRPr="00AE0E44" w:rsidRDefault="00EF72F1" w:rsidP="009764CA">
            <w:pPr>
              <w:spacing w:before="120" w:after="100" w:afterAutospacing="1"/>
              <w:jc w:val="center"/>
              <w:rPr>
                <w:rFonts w:eastAsia="Calibri"/>
              </w:rPr>
            </w:pPr>
            <w:r w:rsidRPr="00AE0E44">
              <w:rPr>
                <w:rFonts w:eastAsia="Calibri"/>
                <w:b/>
              </w:rPr>
              <w:t>SUPREME COURT OF CANADA</w:t>
            </w:r>
          </w:p>
        </w:tc>
      </w:tr>
      <w:tr w:rsidR="00EF72F1" w:rsidRPr="00AE0E44" w:rsidTr="009B58B8">
        <w:tblPrEx>
          <w:tblCellMar>
            <w:top w:w="58" w:type="dxa"/>
            <w:left w:w="58" w:type="dxa"/>
            <w:bottom w:w="58" w:type="dxa"/>
            <w:right w:w="58" w:type="dxa"/>
          </w:tblCellMar>
        </w:tblPrEx>
        <w:trPr>
          <w:cantSplit/>
        </w:trPr>
        <w:tc>
          <w:tcPr>
            <w:tcW w:w="2078" w:type="pct"/>
            <w:gridSpan w:val="2"/>
          </w:tcPr>
          <w:p w:rsidR="00EF72F1" w:rsidRPr="00AE0E44" w:rsidRDefault="00EF72F1" w:rsidP="00FC2782">
            <w:pPr>
              <w:rPr>
                <w:b/>
                <w:smallCaps/>
                <w:lang w:val="fr-CA"/>
              </w:rPr>
            </w:pPr>
          </w:p>
          <w:p w:rsidR="00EF72F1" w:rsidRPr="00AE0E44" w:rsidRDefault="00EF72F1" w:rsidP="00297E7C">
            <w:pPr>
              <w:rPr>
                <w:lang w:val="fr-CA"/>
              </w:rPr>
            </w:pPr>
            <w:r w:rsidRPr="00AE0E44">
              <w:rPr>
                <w:b/>
                <w:smallCaps/>
                <w:lang w:val="fr-CA"/>
              </w:rPr>
              <w:t>Citation:</w:t>
            </w:r>
            <w:r w:rsidRPr="00AE0E44">
              <w:rPr>
                <w:lang w:val="fr-CA"/>
              </w:rPr>
              <w:t xml:space="preserve"> </w:t>
            </w:r>
            <w:bookmarkStart w:id="0" w:name="_MailEndCompose"/>
            <w:r w:rsidR="00297E7C" w:rsidRPr="00AE0E44">
              <w:rPr>
                <w:lang w:val="fr-CA"/>
              </w:rPr>
              <w:t xml:space="preserve">R. </w:t>
            </w:r>
            <w:r w:rsidR="00297E7C" w:rsidRPr="00AE0E44">
              <w:rPr>
                <w:i/>
                <w:lang w:val="fr-CA"/>
              </w:rPr>
              <w:t>v.</w:t>
            </w:r>
            <w:r w:rsidR="00297E7C" w:rsidRPr="00AE0E44">
              <w:rPr>
                <w:lang w:val="fr-CA"/>
              </w:rPr>
              <w:t xml:space="preserve"> B.E.M., </w:t>
            </w:r>
            <w:bookmarkEnd w:id="0"/>
            <w:r w:rsidRPr="00AE0E44">
              <w:rPr>
                <w:lang w:val="fr-CA"/>
              </w:rPr>
              <w:t>2023 SCC 32</w:t>
            </w:r>
          </w:p>
        </w:tc>
        <w:tc>
          <w:tcPr>
            <w:tcW w:w="781" w:type="pct"/>
          </w:tcPr>
          <w:p w:rsidR="00EF72F1" w:rsidRPr="00AE0E44" w:rsidRDefault="00EF72F1" w:rsidP="00FC2782">
            <w:pPr>
              <w:rPr>
                <w:lang w:val="fr-CA"/>
              </w:rPr>
            </w:pPr>
          </w:p>
        </w:tc>
        <w:tc>
          <w:tcPr>
            <w:tcW w:w="2141" w:type="pct"/>
          </w:tcPr>
          <w:p w:rsidR="00EF72F1" w:rsidRPr="00AE0E44" w:rsidRDefault="00EF72F1" w:rsidP="00451668">
            <w:pPr>
              <w:rPr>
                <w:b/>
                <w:smallCaps/>
                <w:lang w:val="fr-CA"/>
              </w:rPr>
            </w:pPr>
          </w:p>
          <w:p w:rsidR="00EF72F1" w:rsidRPr="00AE0E44" w:rsidRDefault="00EF72F1" w:rsidP="00EA6DB9">
            <w:pPr>
              <w:jc w:val="both"/>
            </w:pPr>
            <w:r w:rsidRPr="00AE0E44">
              <w:rPr>
                <w:b/>
                <w:smallCaps/>
              </w:rPr>
              <w:t>Appeal Heard:</w:t>
            </w:r>
            <w:r w:rsidRPr="00AE0E44">
              <w:t xml:space="preserve"> </w:t>
            </w:r>
            <w:r w:rsidR="00297E7C" w:rsidRPr="00AE0E44">
              <w:t>December 8, 2023</w:t>
            </w:r>
          </w:p>
          <w:p w:rsidR="00EF72F1" w:rsidRPr="00AE0E44" w:rsidRDefault="00EF72F1">
            <w:r w:rsidRPr="00AE0E44">
              <w:rPr>
                <w:b/>
                <w:smallCaps/>
              </w:rPr>
              <w:t>Judgment Rendered:</w:t>
            </w:r>
            <w:r w:rsidRPr="00AE0E44">
              <w:t xml:space="preserve"> </w:t>
            </w:r>
            <w:r w:rsidR="00297E7C" w:rsidRPr="00AE0E44">
              <w:t>December 8, 2023</w:t>
            </w:r>
          </w:p>
          <w:p w:rsidR="00EF72F1" w:rsidRPr="00AE0E44" w:rsidRDefault="00EF72F1" w:rsidP="00540106">
            <w:r w:rsidRPr="00AE0E44">
              <w:rPr>
                <w:b/>
                <w:smallCaps/>
              </w:rPr>
              <w:t>Docket:</w:t>
            </w:r>
            <w:r w:rsidRPr="00AE0E44">
              <w:t xml:space="preserve"> 40221</w:t>
            </w:r>
          </w:p>
        </w:tc>
      </w:tr>
      <w:tr w:rsidR="00EF72F1" w:rsidRPr="00AE0E44" w:rsidTr="009B58B8">
        <w:tblPrEx>
          <w:tblCellMar>
            <w:top w:w="58" w:type="dxa"/>
            <w:left w:w="58" w:type="dxa"/>
            <w:bottom w:w="58" w:type="dxa"/>
            <w:right w:w="58" w:type="dxa"/>
          </w:tblCellMar>
        </w:tblPrEx>
        <w:trPr>
          <w:cantSplit/>
        </w:trPr>
        <w:tc>
          <w:tcPr>
            <w:tcW w:w="5000" w:type="pct"/>
            <w:gridSpan w:val="4"/>
          </w:tcPr>
          <w:p w:rsidR="00EF72F1" w:rsidRPr="00AE0E44" w:rsidRDefault="00EF72F1" w:rsidP="00EF72F1"/>
          <w:p w:rsidR="0011484D" w:rsidRPr="00AE0E44" w:rsidRDefault="0042538D">
            <w:pPr>
              <w:pStyle w:val="SCCLsocPrefix"/>
            </w:pPr>
            <w:r w:rsidRPr="00AE0E44">
              <w:t>Between:</w:t>
            </w:r>
          </w:p>
          <w:p w:rsidR="00297E7C" w:rsidRPr="00AE0E44" w:rsidRDefault="00297E7C" w:rsidP="00297E7C"/>
          <w:p w:rsidR="0011484D" w:rsidRPr="00AE0E44" w:rsidRDefault="0042538D">
            <w:pPr>
              <w:pStyle w:val="SCCLsocParty"/>
            </w:pPr>
            <w:r w:rsidRPr="00AE0E44">
              <w:t>B.E.M.</w:t>
            </w:r>
          </w:p>
          <w:p w:rsidR="0011484D" w:rsidRPr="00AE0E44" w:rsidRDefault="0042538D">
            <w:pPr>
              <w:pStyle w:val="SCCLsocPartyRole"/>
            </w:pPr>
            <w:r w:rsidRPr="00AE0E44">
              <w:t>Appellant</w:t>
            </w:r>
          </w:p>
          <w:p w:rsidR="0011484D" w:rsidRPr="00AE0E44" w:rsidRDefault="0011484D"/>
          <w:p w:rsidR="0011484D" w:rsidRPr="00AE0E44" w:rsidRDefault="00297E7C">
            <w:pPr>
              <w:pStyle w:val="SCCLsocVersus"/>
            </w:pPr>
            <w:r w:rsidRPr="00AE0E44">
              <w:t>and</w:t>
            </w:r>
          </w:p>
          <w:p w:rsidR="0011484D" w:rsidRPr="00AE0E44" w:rsidRDefault="0011484D"/>
          <w:p w:rsidR="0011484D" w:rsidRPr="00AE0E44" w:rsidRDefault="0042538D">
            <w:pPr>
              <w:pStyle w:val="SCCLsocParty"/>
            </w:pPr>
            <w:r w:rsidRPr="00AE0E44">
              <w:t xml:space="preserve">His Majesty </w:t>
            </w:r>
            <w:r w:rsidR="00297E7C" w:rsidRPr="00AE0E44">
              <w:t>T</w:t>
            </w:r>
            <w:r w:rsidRPr="00AE0E44">
              <w:t>he King</w:t>
            </w:r>
          </w:p>
          <w:p w:rsidR="0011484D" w:rsidRPr="00AE0E44" w:rsidRDefault="0042538D">
            <w:pPr>
              <w:pStyle w:val="SCCLsocPartyRole"/>
            </w:pPr>
            <w:r w:rsidRPr="00AE0E44">
              <w:t>Respondent</w:t>
            </w:r>
          </w:p>
          <w:p w:rsidR="0011484D" w:rsidRPr="00AE0E44" w:rsidRDefault="0011484D"/>
          <w:p w:rsidR="0011484D" w:rsidRPr="00AE0E44" w:rsidRDefault="0042538D">
            <w:pPr>
              <w:pStyle w:val="SCCLsocOtherPartySeparator"/>
            </w:pPr>
            <w:r w:rsidRPr="00AE0E44">
              <w:t>- and -</w:t>
            </w:r>
          </w:p>
          <w:p w:rsidR="0011484D" w:rsidRPr="00AE0E44" w:rsidRDefault="0011484D"/>
          <w:p w:rsidR="003126AF" w:rsidRDefault="0042538D">
            <w:pPr>
              <w:pStyle w:val="SCCLsocParty"/>
            </w:pPr>
            <w:r w:rsidRPr="00AE0E44">
              <w:t>Director of Public Prosecution</w:t>
            </w:r>
            <w:r w:rsidR="00297E7C" w:rsidRPr="00AE0E44">
              <w:t>s</w:t>
            </w:r>
            <w:r w:rsidRPr="00AE0E44">
              <w:t>, Attorney General of Ontario</w:t>
            </w:r>
            <w:r w:rsidR="00297E7C" w:rsidRPr="00AE0E44">
              <w:t xml:space="preserve"> </w:t>
            </w:r>
          </w:p>
          <w:p w:rsidR="0011484D" w:rsidRPr="00AE0E44" w:rsidRDefault="00297E7C">
            <w:pPr>
              <w:pStyle w:val="SCCLsocParty"/>
            </w:pPr>
            <w:bookmarkStart w:id="1" w:name="_GoBack"/>
            <w:bookmarkEnd w:id="1"/>
            <w:r w:rsidRPr="00AE0E44">
              <w:t>and Criminal Trial Lawyers’ Association</w:t>
            </w:r>
          </w:p>
          <w:p w:rsidR="0011484D" w:rsidRPr="00AE0E44" w:rsidRDefault="0042538D">
            <w:pPr>
              <w:pStyle w:val="SCCLsocPartyRole"/>
            </w:pPr>
            <w:r w:rsidRPr="00AE0E44">
              <w:t>Interveners</w:t>
            </w:r>
          </w:p>
          <w:p w:rsidR="00843369" w:rsidRPr="00AE0E44" w:rsidRDefault="00843369" w:rsidP="00EF72F1"/>
          <w:p w:rsidR="00EF72F1" w:rsidRPr="00AE0E44" w:rsidRDefault="00EF72F1" w:rsidP="00EF72F1">
            <w:pPr>
              <w:jc w:val="center"/>
              <w:rPr>
                <w:b/>
                <w:smallCaps/>
              </w:rPr>
            </w:pPr>
          </w:p>
          <w:p w:rsidR="00EF72F1" w:rsidRPr="00AE0E44" w:rsidRDefault="00EF72F1" w:rsidP="00EF72F1"/>
          <w:p w:rsidR="00EF72F1" w:rsidRPr="00AE0E44" w:rsidRDefault="00EF72F1" w:rsidP="00EF72F1">
            <w:r w:rsidRPr="00AE0E44">
              <w:rPr>
                <w:b/>
                <w:smallCaps/>
              </w:rPr>
              <w:t>Coram:</w:t>
            </w:r>
            <w:r w:rsidRPr="00AE0E44">
              <w:t xml:space="preserve"> Karakatsanis, Côté, Martin, Kasirer and Moreau JJ.</w:t>
            </w:r>
          </w:p>
          <w:p w:rsidR="00EF72F1" w:rsidRPr="00AE0E44" w:rsidRDefault="00EF72F1" w:rsidP="00451668">
            <w:pPr>
              <w:rPr>
                <w:b/>
                <w:smallCaps/>
              </w:rPr>
            </w:pPr>
          </w:p>
        </w:tc>
      </w:tr>
      <w:tr w:rsidR="004E69EC" w:rsidRPr="00AE0E44" w:rsidTr="002C1DA9">
        <w:tblPrEx>
          <w:tblCellMar>
            <w:top w:w="58" w:type="dxa"/>
            <w:left w:w="58" w:type="dxa"/>
            <w:bottom w:w="58" w:type="dxa"/>
            <w:right w:w="58" w:type="dxa"/>
          </w:tblCellMar>
        </w:tblPrEx>
        <w:trPr>
          <w:cantSplit/>
        </w:trPr>
        <w:tc>
          <w:tcPr>
            <w:tcW w:w="1231" w:type="pct"/>
          </w:tcPr>
          <w:p w:rsidR="00297E7C" w:rsidRPr="00AE0E44" w:rsidRDefault="00297E7C" w:rsidP="00297E7C">
            <w:pPr>
              <w:rPr>
                <w:smallCaps/>
              </w:rPr>
            </w:pPr>
            <w:r w:rsidRPr="00AE0E44">
              <w:rPr>
                <w:b/>
                <w:bCs/>
                <w:smallCaps/>
              </w:rPr>
              <w:t>Unanimous Judgment Read By:</w:t>
            </w:r>
          </w:p>
          <w:p w:rsidR="00297E7C" w:rsidRPr="00AE0E44" w:rsidRDefault="00297E7C" w:rsidP="00297E7C">
            <w:r w:rsidRPr="00AE0E44">
              <w:t xml:space="preserve">(paras. 1 to </w:t>
            </w:r>
            <w:r w:rsidRPr="00AE0E44">
              <w:rPr>
                <w:lang w:val="en-US"/>
              </w:rPr>
              <w:t>9</w:t>
            </w:r>
            <w:r w:rsidRPr="00AE0E44">
              <w:t>)</w:t>
            </w:r>
          </w:p>
          <w:p w:rsidR="004E69EC" w:rsidRPr="00AE0E44" w:rsidRDefault="004E69EC" w:rsidP="00540106"/>
        </w:tc>
        <w:tc>
          <w:tcPr>
            <w:tcW w:w="3769" w:type="pct"/>
            <w:gridSpan w:val="3"/>
          </w:tcPr>
          <w:p w:rsidR="004E69EC" w:rsidRPr="00AE0E44" w:rsidRDefault="00297E7C">
            <w:r w:rsidRPr="00AE0E44">
              <w:t>Kasirer J.</w:t>
            </w:r>
          </w:p>
        </w:tc>
      </w:tr>
    </w:tbl>
    <w:p w:rsidR="006A2FC0" w:rsidRDefault="006A2FC0" w:rsidP="00076773">
      <w:pPr>
        <w:pStyle w:val="SCCBold"/>
        <w:rPr>
          <w:smallCaps/>
        </w:rPr>
      </w:pPr>
    </w:p>
    <w:p w:rsidR="00904937" w:rsidRPr="00564C88" w:rsidRDefault="00904937" w:rsidP="00076773">
      <w:pPr>
        <w:pStyle w:val="SCCBold"/>
        <w:rPr>
          <w:b w:val="0"/>
        </w:rPr>
      </w:pPr>
      <w:r w:rsidRPr="00AE0E44">
        <w:rPr>
          <w:smallCaps/>
        </w:rPr>
        <w:t>Note:</w:t>
      </w:r>
      <w:r w:rsidRPr="00AE0E44">
        <w:t xml:space="preserve"> </w:t>
      </w:r>
      <w:r w:rsidRPr="00AE0E44">
        <w:rPr>
          <w:b w:val="0"/>
        </w:rPr>
        <w:t>This do</w:t>
      </w:r>
      <w:r w:rsidR="009E7065" w:rsidRPr="00AE0E44">
        <w:rPr>
          <w:b w:val="0"/>
        </w:rPr>
        <w:t>c</w:t>
      </w:r>
      <w:r w:rsidRPr="00AE0E44">
        <w:rPr>
          <w:b w:val="0"/>
        </w:rPr>
        <w:t xml:space="preserve">ument is subject to editorial revision before its reproduction in final form in the </w:t>
      </w:r>
      <w:r w:rsidRPr="00AE0E44">
        <w:rPr>
          <w:b w:val="0"/>
          <w:i/>
        </w:rPr>
        <w:t>Canada Supreme Court Reports</w:t>
      </w:r>
      <w:r w:rsidRPr="00AE0E44">
        <w:rPr>
          <w:b w:val="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3744"/>
        <w:gridCol w:w="2808"/>
      </w:tblGrid>
      <w:tr w:rsidR="00087E50" w:rsidTr="003375C9">
        <w:tc>
          <w:tcPr>
            <w:tcW w:w="1500" w:type="pct"/>
            <w:tcMar>
              <w:top w:w="284" w:type="dxa"/>
            </w:tcMar>
          </w:tcPr>
          <w:p w:rsidR="00087E50" w:rsidRDefault="00087E50" w:rsidP="003375C9">
            <w:pPr>
              <w:rPr>
                <w:rFonts w:eastAsia="Calibri"/>
              </w:rPr>
            </w:pPr>
          </w:p>
        </w:tc>
        <w:tc>
          <w:tcPr>
            <w:tcW w:w="2000" w:type="pct"/>
            <w:tcBorders>
              <w:bottom w:val="single" w:sz="4" w:space="0" w:color="auto"/>
            </w:tcBorders>
            <w:tcMar>
              <w:top w:w="284" w:type="dxa"/>
            </w:tcMar>
          </w:tcPr>
          <w:p w:rsidR="00087E50" w:rsidRDefault="00087E50" w:rsidP="003375C9">
            <w:pPr>
              <w:rPr>
                <w:rFonts w:eastAsia="Calibri"/>
              </w:rPr>
            </w:pPr>
          </w:p>
        </w:tc>
        <w:tc>
          <w:tcPr>
            <w:tcW w:w="1500" w:type="pct"/>
            <w:tcMar>
              <w:top w:w="284" w:type="dxa"/>
            </w:tcMar>
          </w:tcPr>
          <w:p w:rsidR="00087E50" w:rsidRDefault="00087E50" w:rsidP="003375C9">
            <w:pPr>
              <w:rPr>
                <w:rFonts w:eastAsia="Calibri"/>
              </w:rPr>
            </w:pPr>
          </w:p>
        </w:tc>
      </w:tr>
    </w:tbl>
    <w:p w:rsidR="00AE0E44" w:rsidRDefault="00AE0E44"/>
    <w:p w:rsidR="006A2FC0" w:rsidRPr="006A2FC0" w:rsidRDefault="006A2FC0" w:rsidP="006A2FC0">
      <w:pPr>
        <w:tabs>
          <w:tab w:val="right" w:pos="8222"/>
        </w:tabs>
        <w:spacing w:after="720"/>
        <w:rPr>
          <w:rFonts w:eastAsia="Times New Roman" w:cs="Times New Roman"/>
          <w:b/>
          <w:szCs w:val="20"/>
          <w:lang w:val="fr-CA" w:eastAsia="en-CA"/>
        </w:rPr>
      </w:pPr>
      <w:r w:rsidRPr="006A2FC0">
        <w:rPr>
          <w:rFonts w:eastAsia="Times New Roman" w:cs="Times New Roman"/>
          <w:b/>
          <w:szCs w:val="20"/>
          <w:lang w:val="fr-CA" w:eastAsia="en-CA"/>
        </w:rPr>
        <w:t>B.E.M.</w:t>
      </w:r>
      <w:r w:rsidRPr="006A2FC0">
        <w:rPr>
          <w:rFonts w:eastAsia="Times New Roman" w:cs="Times New Roman"/>
          <w:i/>
          <w:szCs w:val="20"/>
          <w:lang w:val="fr-CA" w:eastAsia="en-CA"/>
        </w:rPr>
        <w:tab/>
        <w:t>Appellant</w:t>
      </w:r>
    </w:p>
    <w:p w:rsidR="006A2FC0" w:rsidRPr="006A2FC0" w:rsidRDefault="006A2FC0" w:rsidP="006A2FC0">
      <w:pPr>
        <w:spacing w:after="720"/>
        <w:rPr>
          <w:rFonts w:eastAsia="Times New Roman" w:cs="Times New Roman"/>
          <w:i/>
          <w:szCs w:val="20"/>
          <w:lang w:val="fr-CA" w:eastAsia="en-CA"/>
        </w:rPr>
      </w:pPr>
      <w:r w:rsidRPr="006A2FC0">
        <w:rPr>
          <w:rFonts w:eastAsia="Times New Roman" w:cs="Times New Roman"/>
          <w:i/>
          <w:szCs w:val="20"/>
          <w:lang w:val="fr-CA" w:eastAsia="en-CA"/>
        </w:rPr>
        <w:t>v.</w:t>
      </w:r>
    </w:p>
    <w:p w:rsidR="006A2FC0" w:rsidRPr="006A2FC0" w:rsidRDefault="006A2FC0" w:rsidP="006A2FC0">
      <w:pPr>
        <w:tabs>
          <w:tab w:val="right" w:pos="8222"/>
        </w:tabs>
        <w:spacing w:after="720"/>
        <w:rPr>
          <w:rFonts w:eastAsia="Times New Roman" w:cs="Times New Roman"/>
          <w:b/>
          <w:szCs w:val="20"/>
          <w:lang w:eastAsia="en-CA"/>
        </w:rPr>
      </w:pPr>
      <w:r w:rsidRPr="006A2FC0">
        <w:rPr>
          <w:rFonts w:eastAsia="Times New Roman" w:cs="Times New Roman"/>
          <w:b/>
          <w:szCs w:val="20"/>
          <w:lang w:eastAsia="en-CA"/>
        </w:rPr>
        <w:t>His Majesty The King</w:t>
      </w:r>
      <w:r w:rsidRPr="006A2FC0">
        <w:rPr>
          <w:rFonts w:eastAsia="Times New Roman" w:cs="Times New Roman"/>
          <w:i/>
          <w:szCs w:val="20"/>
          <w:lang w:eastAsia="en-CA"/>
        </w:rPr>
        <w:tab/>
        <w:t>Respondent</w:t>
      </w:r>
    </w:p>
    <w:p w:rsidR="006A2FC0" w:rsidRPr="006A2FC0" w:rsidRDefault="006A2FC0" w:rsidP="006A2FC0">
      <w:pPr>
        <w:spacing w:after="720"/>
        <w:rPr>
          <w:rFonts w:eastAsia="Times New Roman" w:cs="Times New Roman"/>
          <w:szCs w:val="20"/>
          <w:lang w:eastAsia="en-CA"/>
        </w:rPr>
      </w:pPr>
      <w:r w:rsidRPr="006A2FC0">
        <w:rPr>
          <w:rFonts w:eastAsia="Times New Roman" w:cs="Times New Roman"/>
          <w:szCs w:val="20"/>
          <w:lang w:eastAsia="en-CA"/>
        </w:rPr>
        <w:t>and</w:t>
      </w:r>
    </w:p>
    <w:p w:rsidR="006A2FC0" w:rsidRPr="006A2FC0" w:rsidRDefault="006A2FC0" w:rsidP="006A2FC0">
      <w:pPr>
        <w:tabs>
          <w:tab w:val="right" w:pos="8222"/>
        </w:tabs>
        <w:jc w:val="both"/>
        <w:rPr>
          <w:rFonts w:eastAsia="Times New Roman" w:cs="Times New Roman"/>
          <w:b/>
          <w:szCs w:val="20"/>
          <w:lang w:eastAsia="en-CA"/>
        </w:rPr>
      </w:pPr>
      <w:r w:rsidRPr="006A2FC0">
        <w:rPr>
          <w:rFonts w:eastAsia="Times New Roman" w:cs="Times New Roman"/>
          <w:b/>
          <w:szCs w:val="20"/>
          <w:lang w:eastAsia="en-CA"/>
        </w:rPr>
        <w:t>Director of Public Prosecutions,</w:t>
      </w:r>
    </w:p>
    <w:p w:rsidR="006A2FC0" w:rsidRPr="006A2FC0" w:rsidRDefault="006A2FC0" w:rsidP="006A2FC0">
      <w:pPr>
        <w:tabs>
          <w:tab w:val="right" w:pos="8222"/>
        </w:tabs>
        <w:jc w:val="both"/>
        <w:rPr>
          <w:rFonts w:eastAsia="Times New Roman" w:cs="Times New Roman"/>
          <w:b/>
          <w:szCs w:val="20"/>
          <w:lang w:eastAsia="en-CA"/>
        </w:rPr>
      </w:pPr>
      <w:r w:rsidRPr="006A2FC0">
        <w:rPr>
          <w:rFonts w:eastAsia="Times New Roman" w:cs="Times New Roman"/>
          <w:b/>
          <w:szCs w:val="20"/>
          <w:lang w:eastAsia="en-CA"/>
        </w:rPr>
        <w:t>Attorney General of Ontario and</w:t>
      </w:r>
    </w:p>
    <w:p w:rsidR="006A2FC0" w:rsidRPr="006A2FC0" w:rsidRDefault="006A2FC0" w:rsidP="006A2FC0">
      <w:pPr>
        <w:tabs>
          <w:tab w:val="right" w:pos="8222"/>
        </w:tabs>
        <w:spacing w:after="720"/>
        <w:jc w:val="both"/>
        <w:rPr>
          <w:rFonts w:eastAsia="Times New Roman" w:cs="Times New Roman"/>
          <w:b/>
          <w:szCs w:val="20"/>
          <w:lang w:eastAsia="en-CA"/>
        </w:rPr>
      </w:pPr>
      <w:r w:rsidRPr="006A2FC0">
        <w:rPr>
          <w:rFonts w:eastAsia="Times New Roman" w:cs="Times New Roman"/>
          <w:b/>
          <w:szCs w:val="20"/>
          <w:lang w:eastAsia="en-CA"/>
        </w:rPr>
        <w:t>Criminal Trial Lawyers’ Association</w:t>
      </w:r>
      <w:r w:rsidRPr="006A2FC0">
        <w:rPr>
          <w:rFonts w:eastAsia="Times New Roman" w:cs="Times New Roman"/>
          <w:i/>
          <w:szCs w:val="20"/>
          <w:lang w:eastAsia="en-CA"/>
        </w:rPr>
        <w:tab/>
        <w:t>Interveners</w:t>
      </w:r>
    </w:p>
    <w:p w:rsidR="006A2FC0" w:rsidRPr="006A2FC0" w:rsidRDefault="006A2FC0" w:rsidP="006A2FC0">
      <w:pPr>
        <w:spacing w:after="720"/>
        <w:jc w:val="both"/>
        <w:rPr>
          <w:rFonts w:eastAsia="Times New Roman" w:cs="Times New Roman"/>
          <w:b/>
          <w:szCs w:val="20"/>
          <w:lang w:eastAsia="en-CA"/>
        </w:rPr>
      </w:pPr>
      <w:r w:rsidRPr="006A2FC0">
        <w:rPr>
          <w:rFonts w:eastAsia="Times New Roman" w:cs="Times New Roman"/>
          <w:b/>
          <w:szCs w:val="20"/>
          <w:lang w:eastAsia="en-CA"/>
        </w:rPr>
        <w:t xml:space="preserve">Indexed as: R. </w:t>
      </w:r>
      <w:r w:rsidRPr="006A2FC0">
        <w:rPr>
          <w:rFonts w:eastAsia="Times New Roman" w:cs="Times New Roman"/>
          <w:b/>
          <w:i/>
          <w:szCs w:val="20"/>
          <w:lang w:eastAsia="en-CA"/>
        </w:rPr>
        <w:t>v.</w:t>
      </w:r>
      <w:r w:rsidRPr="006A2FC0">
        <w:rPr>
          <w:rFonts w:eastAsia="Times New Roman" w:cs="Times New Roman"/>
          <w:b/>
          <w:szCs w:val="20"/>
          <w:lang w:eastAsia="en-CA"/>
        </w:rPr>
        <w:t xml:space="preserve"> B.E.M.</w:t>
      </w:r>
    </w:p>
    <w:p w:rsidR="006A2FC0" w:rsidRPr="006A2FC0" w:rsidRDefault="006A2FC0" w:rsidP="006A2FC0">
      <w:pPr>
        <w:spacing w:after="720"/>
        <w:jc w:val="both"/>
        <w:rPr>
          <w:rFonts w:eastAsia="Times New Roman" w:cs="Times New Roman"/>
          <w:b/>
          <w:szCs w:val="20"/>
          <w:lang w:eastAsia="en-CA"/>
        </w:rPr>
      </w:pPr>
      <w:r w:rsidRPr="006A2FC0">
        <w:rPr>
          <w:rFonts w:eastAsia="Times New Roman" w:cs="Times New Roman"/>
          <w:b/>
          <w:szCs w:val="20"/>
          <w:lang w:eastAsia="en-CA"/>
        </w:rPr>
        <w:t>2023 SCC 32</w:t>
      </w:r>
    </w:p>
    <w:p w:rsidR="006A2FC0" w:rsidRPr="006A2FC0" w:rsidRDefault="006A2FC0" w:rsidP="006A2FC0">
      <w:pPr>
        <w:spacing w:after="720"/>
        <w:jc w:val="both"/>
        <w:rPr>
          <w:rFonts w:eastAsia="Times New Roman" w:cs="Times New Roman"/>
          <w:szCs w:val="20"/>
          <w:lang w:eastAsia="en-CA"/>
        </w:rPr>
      </w:pPr>
      <w:r w:rsidRPr="006A2FC0">
        <w:rPr>
          <w:rFonts w:eastAsia="Times New Roman" w:cs="Times New Roman"/>
          <w:szCs w:val="20"/>
          <w:lang w:eastAsia="en-CA"/>
        </w:rPr>
        <w:t>File No.: 40221.</w:t>
      </w:r>
    </w:p>
    <w:p w:rsidR="006A2FC0" w:rsidRPr="006A2FC0" w:rsidRDefault="006A2FC0" w:rsidP="006A2FC0">
      <w:pPr>
        <w:spacing w:after="720"/>
        <w:jc w:val="both"/>
        <w:rPr>
          <w:rFonts w:eastAsia="Times New Roman" w:cs="Times New Roman"/>
          <w:szCs w:val="20"/>
          <w:lang w:eastAsia="en-CA"/>
        </w:rPr>
      </w:pPr>
      <w:r w:rsidRPr="006A2FC0">
        <w:rPr>
          <w:rFonts w:eastAsia="Times New Roman" w:cs="Times New Roman"/>
          <w:szCs w:val="20"/>
          <w:lang w:eastAsia="en-CA"/>
        </w:rPr>
        <w:t>2023: December 8.</w:t>
      </w:r>
    </w:p>
    <w:p w:rsidR="006A2FC0" w:rsidRPr="006A2FC0" w:rsidRDefault="006A2FC0" w:rsidP="006A2FC0">
      <w:pPr>
        <w:spacing w:after="720"/>
        <w:jc w:val="both"/>
        <w:rPr>
          <w:rFonts w:eastAsia="Times New Roman" w:cs="Times New Roman"/>
          <w:szCs w:val="20"/>
          <w:lang w:eastAsia="en-CA"/>
        </w:rPr>
      </w:pPr>
      <w:r w:rsidRPr="006A2FC0">
        <w:rPr>
          <w:rFonts w:eastAsia="Times New Roman" w:cs="Times New Roman"/>
          <w:szCs w:val="20"/>
          <w:lang w:eastAsia="en-CA"/>
        </w:rPr>
        <w:t>Present: Karakatsanis, Côté, Martin, Kasirer and Moreau JJ.</w:t>
      </w:r>
    </w:p>
    <w:p w:rsidR="006A2FC0" w:rsidRPr="006A2FC0" w:rsidRDefault="006A2FC0" w:rsidP="006A2FC0">
      <w:pPr>
        <w:tabs>
          <w:tab w:val="left" w:pos="1168"/>
        </w:tabs>
        <w:spacing w:after="720"/>
        <w:jc w:val="both"/>
        <w:rPr>
          <w:rFonts w:eastAsia="Times New Roman" w:cs="Times New Roman"/>
          <w:smallCaps/>
          <w:szCs w:val="20"/>
          <w:lang w:eastAsia="en-CA"/>
        </w:rPr>
      </w:pPr>
      <w:r w:rsidRPr="006A2FC0">
        <w:rPr>
          <w:rFonts w:eastAsia="Times New Roman" w:cs="Times New Roman"/>
          <w:smallCaps/>
          <w:szCs w:val="20"/>
          <w:lang w:eastAsia="en-CA"/>
        </w:rPr>
        <w:t>on appeal from the court of appeal of alberta</w:t>
      </w:r>
    </w:p>
    <w:p w:rsidR="006A2FC0" w:rsidRPr="006A2FC0" w:rsidRDefault="006A2FC0" w:rsidP="006A2FC0">
      <w:pPr>
        <w:tabs>
          <w:tab w:val="left" w:pos="1168"/>
        </w:tabs>
        <w:spacing w:after="480" w:line="480" w:lineRule="auto"/>
        <w:jc w:val="both"/>
        <w:rPr>
          <w:rFonts w:eastAsia="Times New Roman" w:cs="Times New Roman"/>
          <w:i/>
          <w:szCs w:val="20"/>
          <w:lang w:eastAsia="en-CA"/>
        </w:rPr>
      </w:pPr>
      <w:r w:rsidRPr="006A2FC0">
        <w:rPr>
          <w:rFonts w:eastAsia="Times New Roman" w:cs="Times New Roman"/>
          <w:szCs w:val="20"/>
          <w:lang w:eastAsia="en-CA"/>
        </w:rPr>
        <w:tab/>
      </w:r>
      <w:r w:rsidRPr="006A2FC0">
        <w:rPr>
          <w:rFonts w:eastAsia="Times New Roman" w:cs="Times New Roman"/>
          <w:i/>
          <w:szCs w:val="20"/>
          <w:lang w:eastAsia="en-CA"/>
        </w:rPr>
        <w:t>Criminal law — Trial — Closing submissions — Crown counsel recounting anecdote about personal childhood memory during closing submissions at accused’s trial — Accused appealing convictions for sexual assault and sexual interference and claiming that trial judge failed to instruct jury to ignore improper submissions made by Crown on matters not in evidence — Court of Appeal dismissing appeal — Crown counsel’s improper anecdote did not render accused’s trial unfair — Convictions upheld.</w:t>
      </w:r>
    </w:p>
    <w:p w:rsidR="006A2FC0" w:rsidRPr="006A2FC0" w:rsidRDefault="006A2FC0" w:rsidP="006A2FC0">
      <w:pPr>
        <w:tabs>
          <w:tab w:val="left" w:pos="1168"/>
        </w:tabs>
        <w:spacing w:after="720"/>
        <w:jc w:val="both"/>
        <w:rPr>
          <w:rFonts w:eastAsia="Times New Roman" w:cs="Times New Roman"/>
          <w:b/>
          <w:szCs w:val="20"/>
          <w:lang w:eastAsia="en-CA"/>
        </w:rPr>
      </w:pPr>
      <w:r w:rsidRPr="006A2FC0">
        <w:rPr>
          <w:rFonts w:eastAsia="Times New Roman" w:cs="Times New Roman"/>
          <w:b/>
          <w:szCs w:val="20"/>
          <w:lang w:eastAsia="en-CA"/>
        </w:rPr>
        <w:t>Cases Cited</w:t>
      </w:r>
    </w:p>
    <w:p w:rsidR="006A2FC0" w:rsidRPr="006A2FC0" w:rsidRDefault="006A2FC0" w:rsidP="006A2FC0">
      <w:pPr>
        <w:tabs>
          <w:tab w:val="left" w:pos="1168"/>
        </w:tabs>
        <w:spacing w:after="480" w:line="480" w:lineRule="auto"/>
        <w:jc w:val="both"/>
        <w:rPr>
          <w:rFonts w:eastAsia="Times New Roman" w:cs="Times New Roman"/>
          <w:szCs w:val="20"/>
          <w:lang w:eastAsia="en-CA"/>
        </w:rPr>
      </w:pPr>
      <w:r w:rsidRPr="006A2FC0">
        <w:rPr>
          <w:rFonts w:eastAsia="Times New Roman" w:cs="Times New Roman"/>
          <w:szCs w:val="20"/>
          <w:lang w:eastAsia="en-CA"/>
        </w:rPr>
        <w:tab/>
      </w:r>
      <w:r w:rsidRPr="006A2FC0">
        <w:rPr>
          <w:rFonts w:eastAsia="Times New Roman" w:cs="Times New Roman"/>
          <w:b/>
          <w:szCs w:val="20"/>
          <w:lang w:eastAsia="en-CA"/>
        </w:rPr>
        <w:t>Referred to:</w:t>
      </w:r>
      <w:r w:rsidRPr="006A2FC0">
        <w:rPr>
          <w:rFonts w:eastAsia="Times New Roman" w:cs="Times New Roman"/>
          <w:szCs w:val="20"/>
          <w:lang w:eastAsia="en-CA"/>
        </w:rPr>
        <w:t xml:space="preserve"> </w:t>
      </w:r>
      <w:r w:rsidRPr="006A2FC0">
        <w:rPr>
          <w:rFonts w:eastAsia="Times New Roman" w:cs="Times New Roman"/>
          <w:i/>
          <w:szCs w:val="20"/>
          <w:lang w:eastAsia="en-CA"/>
        </w:rPr>
        <w:t>Pisani v. The Queen</w:t>
      </w:r>
      <w:r w:rsidRPr="006A2FC0">
        <w:rPr>
          <w:rFonts w:eastAsia="Times New Roman" w:cs="Times New Roman"/>
          <w:szCs w:val="20"/>
          <w:lang w:eastAsia="en-CA"/>
        </w:rPr>
        <w:t xml:space="preserve">, [1971] S.C.R. 738; </w:t>
      </w:r>
      <w:r w:rsidRPr="006A2FC0">
        <w:rPr>
          <w:rFonts w:eastAsia="Times New Roman" w:cs="Times New Roman"/>
          <w:i/>
          <w:szCs w:val="20"/>
          <w:lang w:eastAsia="en-CA"/>
        </w:rPr>
        <w:t>Boucher v. The Queen</w:t>
      </w:r>
      <w:r w:rsidRPr="006A2FC0">
        <w:rPr>
          <w:rFonts w:eastAsia="Times New Roman" w:cs="Times New Roman"/>
          <w:szCs w:val="20"/>
          <w:lang w:eastAsia="en-CA"/>
        </w:rPr>
        <w:t xml:space="preserve">, [1955] S.C.R. 16; </w:t>
      </w:r>
      <w:r w:rsidRPr="006A2FC0">
        <w:rPr>
          <w:rFonts w:eastAsia="Times New Roman" w:cs="Times New Roman"/>
          <w:i/>
          <w:szCs w:val="20"/>
          <w:lang w:eastAsia="en-CA"/>
        </w:rPr>
        <w:t>R. v. Stephan</w:t>
      </w:r>
      <w:r w:rsidRPr="006A2FC0">
        <w:rPr>
          <w:rFonts w:eastAsia="Times New Roman" w:cs="Times New Roman"/>
          <w:szCs w:val="20"/>
          <w:lang w:eastAsia="en-CA"/>
        </w:rPr>
        <w:t xml:space="preserve">, 2017 ABCA 380, 61 Alta. L.R. (6th) 26, rev’d 2018 SCC 21, [2018] 1 S.C.R. 633; </w:t>
      </w:r>
      <w:r w:rsidRPr="006A2FC0">
        <w:rPr>
          <w:rFonts w:eastAsia="Times New Roman" w:cs="Times New Roman"/>
          <w:i/>
          <w:szCs w:val="20"/>
          <w:lang w:eastAsia="en-CA"/>
        </w:rPr>
        <w:t>R. v. Manasseri</w:t>
      </w:r>
      <w:r w:rsidRPr="006A2FC0">
        <w:rPr>
          <w:rFonts w:eastAsia="Times New Roman" w:cs="Times New Roman"/>
          <w:szCs w:val="20"/>
          <w:lang w:eastAsia="en-CA"/>
        </w:rPr>
        <w:t xml:space="preserve">, 2016 ONCA 703, 132 O.R. (3d) 401; </w:t>
      </w:r>
      <w:r w:rsidRPr="006A2FC0">
        <w:rPr>
          <w:rFonts w:eastAsia="Times New Roman" w:cs="Times New Roman"/>
          <w:i/>
          <w:szCs w:val="20"/>
          <w:lang w:eastAsia="en-CA"/>
        </w:rPr>
        <w:t>R. v. Abdullahi</w:t>
      </w:r>
      <w:r w:rsidRPr="006A2FC0">
        <w:rPr>
          <w:rFonts w:eastAsia="Times New Roman" w:cs="Times New Roman"/>
          <w:szCs w:val="20"/>
          <w:lang w:eastAsia="en-CA"/>
        </w:rPr>
        <w:t>, 2023 SCC 19.</w:t>
      </w:r>
    </w:p>
    <w:p w:rsidR="006A2FC0" w:rsidRPr="006A2FC0" w:rsidRDefault="006A2FC0" w:rsidP="006A2FC0">
      <w:pPr>
        <w:tabs>
          <w:tab w:val="left" w:pos="1168"/>
        </w:tabs>
        <w:spacing w:after="480" w:line="480" w:lineRule="auto"/>
        <w:jc w:val="both"/>
        <w:rPr>
          <w:rFonts w:eastAsia="Times New Roman" w:cs="Times New Roman"/>
          <w:szCs w:val="20"/>
          <w:lang w:eastAsia="en-CA"/>
        </w:rPr>
      </w:pPr>
      <w:r w:rsidRPr="006A2FC0">
        <w:rPr>
          <w:rFonts w:eastAsia="Times New Roman" w:cs="Times New Roman"/>
          <w:szCs w:val="20"/>
          <w:lang w:eastAsia="en-CA"/>
        </w:rPr>
        <w:tab/>
        <w:t xml:space="preserve">APPEAL from a judgment of the Alberta Court of Appeal (Slatter, Veldhuis and Schutz JJ.A.), </w:t>
      </w:r>
      <w:hyperlink r:id="rId9" w:history="1">
        <w:r w:rsidRPr="006A2FC0">
          <w:rPr>
            <w:rFonts w:eastAsia="Times New Roman" w:cs="Times New Roman"/>
            <w:color w:val="660000"/>
            <w:szCs w:val="20"/>
            <w:lang w:eastAsia="en-CA"/>
          </w:rPr>
          <w:t>2022 ABCA 207</w:t>
        </w:r>
      </w:hyperlink>
      <w:r w:rsidRPr="006A2FC0">
        <w:rPr>
          <w:rFonts w:eastAsia="Times New Roman" w:cs="Times New Roman"/>
          <w:szCs w:val="20"/>
          <w:lang w:eastAsia="en-CA"/>
        </w:rPr>
        <w:t>, 45 Alta. L.R. (7th) 1, 414 C.C.C. (3d) 296, [2022] 9 W.W.R. 569, [2022] A.J. No. 712 (QL), 2022 CarswellAlta 1444 (WL), affirming the convictions of the accused for sexual assault and sexual interference. Appeal dismissed.</w:t>
      </w:r>
    </w:p>
    <w:p w:rsidR="006A2FC0" w:rsidRPr="006A2FC0" w:rsidRDefault="006A2FC0" w:rsidP="006A2FC0">
      <w:pPr>
        <w:tabs>
          <w:tab w:val="left" w:pos="1168"/>
        </w:tabs>
        <w:spacing w:after="480" w:line="480" w:lineRule="auto"/>
        <w:jc w:val="both"/>
        <w:rPr>
          <w:rFonts w:eastAsia="Times New Roman" w:cs="Times New Roman"/>
          <w:szCs w:val="20"/>
          <w:lang w:eastAsia="en-CA"/>
        </w:rPr>
      </w:pPr>
      <w:r w:rsidRPr="006A2FC0">
        <w:rPr>
          <w:rFonts w:eastAsia="Times New Roman" w:cs="Times New Roman"/>
          <w:i/>
          <w:szCs w:val="20"/>
          <w:lang w:eastAsia="en-CA"/>
        </w:rPr>
        <w:tab/>
        <w:t>Peter Sankoff</w:t>
      </w:r>
      <w:r w:rsidRPr="006A2FC0">
        <w:rPr>
          <w:rFonts w:eastAsia="Times New Roman" w:cs="Times New Roman"/>
          <w:szCs w:val="20"/>
          <w:lang w:eastAsia="en-CA"/>
        </w:rPr>
        <w:t xml:space="preserve"> and </w:t>
      </w:r>
      <w:r w:rsidRPr="006A2FC0">
        <w:rPr>
          <w:rFonts w:eastAsia="Times New Roman" w:cs="Times New Roman"/>
          <w:i/>
          <w:szCs w:val="20"/>
          <w:lang w:eastAsia="en-CA"/>
        </w:rPr>
        <w:t>Elsa Wyllie</w:t>
      </w:r>
      <w:r w:rsidRPr="006A2FC0">
        <w:rPr>
          <w:rFonts w:eastAsia="Times New Roman" w:cs="Times New Roman"/>
          <w:szCs w:val="20"/>
          <w:lang w:eastAsia="en-CA"/>
        </w:rPr>
        <w:t>, for the appellant.</w:t>
      </w:r>
    </w:p>
    <w:p w:rsidR="006A2FC0" w:rsidRPr="006A2FC0" w:rsidRDefault="006A2FC0" w:rsidP="006A2FC0">
      <w:pPr>
        <w:tabs>
          <w:tab w:val="left" w:pos="1168"/>
        </w:tabs>
        <w:spacing w:after="480" w:line="480" w:lineRule="auto"/>
        <w:jc w:val="both"/>
        <w:rPr>
          <w:rFonts w:eastAsia="Times New Roman" w:cs="Times New Roman"/>
          <w:szCs w:val="20"/>
          <w:lang w:eastAsia="en-CA"/>
        </w:rPr>
      </w:pPr>
      <w:r w:rsidRPr="006A2FC0">
        <w:rPr>
          <w:rFonts w:eastAsia="Times New Roman" w:cs="Times New Roman"/>
          <w:i/>
          <w:szCs w:val="20"/>
          <w:lang w:eastAsia="en-CA"/>
        </w:rPr>
        <w:tab/>
        <w:t>Cheryl Schlecker</w:t>
      </w:r>
      <w:r w:rsidRPr="006A2FC0">
        <w:rPr>
          <w:rFonts w:eastAsia="Times New Roman" w:cs="Times New Roman"/>
          <w:szCs w:val="20"/>
          <w:lang w:eastAsia="en-CA"/>
        </w:rPr>
        <w:t>, for the respondent.</w:t>
      </w:r>
    </w:p>
    <w:p w:rsidR="006A2FC0" w:rsidRPr="006A2FC0" w:rsidRDefault="006A2FC0" w:rsidP="006A2FC0">
      <w:pPr>
        <w:tabs>
          <w:tab w:val="left" w:pos="1168"/>
        </w:tabs>
        <w:spacing w:after="480" w:line="480" w:lineRule="auto"/>
        <w:jc w:val="both"/>
        <w:rPr>
          <w:rFonts w:eastAsia="Times New Roman" w:cs="Times New Roman"/>
          <w:szCs w:val="20"/>
          <w:lang w:eastAsia="en-CA"/>
        </w:rPr>
      </w:pPr>
      <w:r w:rsidRPr="006A2FC0">
        <w:rPr>
          <w:rFonts w:eastAsia="Times New Roman" w:cs="Times New Roman"/>
          <w:i/>
          <w:szCs w:val="20"/>
          <w:lang w:eastAsia="en-CA"/>
        </w:rPr>
        <w:tab/>
        <w:t>Monique Dion</w:t>
      </w:r>
      <w:r w:rsidRPr="006A2FC0">
        <w:rPr>
          <w:rFonts w:eastAsia="Times New Roman" w:cs="Times New Roman"/>
          <w:szCs w:val="20"/>
          <w:lang w:eastAsia="en-CA"/>
        </w:rPr>
        <w:t xml:space="preserve"> and</w:t>
      </w:r>
      <w:r w:rsidRPr="006A2FC0">
        <w:rPr>
          <w:rFonts w:eastAsia="Times New Roman" w:cs="Times New Roman"/>
          <w:i/>
          <w:szCs w:val="20"/>
          <w:lang w:eastAsia="en-CA"/>
        </w:rPr>
        <w:t xml:space="preserve"> Alex Bernard</w:t>
      </w:r>
      <w:r w:rsidRPr="006A2FC0">
        <w:rPr>
          <w:rFonts w:eastAsia="Times New Roman" w:cs="Times New Roman"/>
          <w:szCs w:val="20"/>
          <w:lang w:eastAsia="en-CA"/>
        </w:rPr>
        <w:t>, for the intervener the Director of Public Prosecutions.</w:t>
      </w:r>
    </w:p>
    <w:p w:rsidR="006A2FC0" w:rsidRPr="006A2FC0" w:rsidRDefault="006A2FC0" w:rsidP="006A2FC0">
      <w:pPr>
        <w:tabs>
          <w:tab w:val="left" w:pos="1168"/>
        </w:tabs>
        <w:spacing w:after="480" w:line="480" w:lineRule="auto"/>
        <w:jc w:val="both"/>
        <w:rPr>
          <w:rFonts w:eastAsia="Times New Roman" w:cs="Times New Roman"/>
          <w:szCs w:val="20"/>
          <w:lang w:eastAsia="en-CA"/>
        </w:rPr>
      </w:pPr>
      <w:r w:rsidRPr="006A2FC0">
        <w:rPr>
          <w:rFonts w:eastAsia="Times New Roman" w:cs="Times New Roman"/>
          <w:i/>
          <w:szCs w:val="20"/>
          <w:lang w:eastAsia="en-CA"/>
        </w:rPr>
        <w:tab/>
        <w:t>Dena Bonnet</w:t>
      </w:r>
      <w:r w:rsidRPr="006A2FC0">
        <w:rPr>
          <w:rFonts w:eastAsia="Times New Roman" w:cs="Times New Roman"/>
          <w:szCs w:val="20"/>
          <w:lang w:eastAsia="en-CA"/>
        </w:rPr>
        <w:t xml:space="preserve"> and </w:t>
      </w:r>
      <w:r w:rsidRPr="006A2FC0">
        <w:rPr>
          <w:rFonts w:eastAsia="Times New Roman" w:cs="Times New Roman"/>
          <w:i/>
          <w:szCs w:val="20"/>
          <w:lang w:eastAsia="en-CA"/>
        </w:rPr>
        <w:t>Vallery Bayly</w:t>
      </w:r>
      <w:r w:rsidRPr="006A2FC0">
        <w:rPr>
          <w:rFonts w:eastAsia="Times New Roman" w:cs="Times New Roman"/>
          <w:szCs w:val="20"/>
          <w:lang w:eastAsia="en-CA"/>
        </w:rPr>
        <w:t>, for the intervener the Attorney General of Ontario.</w:t>
      </w:r>
    </w:p>
    <w:p w:rsidR="006A2FC0" w:rsidRPr="006A2FC0" w:rsidRDefault="006A2FC0" w:rsidP="006A2FC0">
      <w:pPr>
        <w:tabs>
          <w:tab w:val="left" w:pos="1168"/>
        </w:tabs>
        <w:spacing w:after="480" w:line="480" w:lineRule="auto"/>
        <w:jc w:val="both"/>
        <w:rPr>
          <w:rFonts w:eastAsia="Times New Roman" w:cs="Times New Roman"/>
          <w:szCs w:val="20"/>
          <w:lang w:eastAsia="en-CA"/>
        </w:rPr>
      </w:pPr>
      <w:r w:rsidRPr="006A2FC0">
        <w:rPr>
          <w:rFonts w:eastAsia="Times New Roman" w:cs="Times New Roman"/>
          <w:i/>
          <w:szCs w:val="20"/>
          <w:lang w:eastAsia="en-CA"/>
        </w:rPr>
        <w:tab/>
        <w:t>Alexandra Seaman</w:t>
      </w:r>
      <w:r w:rsidRPr="006A2FC0">
        <w:rPr>
          <w:rFonts w:eastAsia="Times New Roman" w:cs="Times New Roman"/>
          <w:szCs w:val="20"/>
          <w:lang w:eastAsia="en-CA"/>
        </w:rPr>
        <w:t xml:space="preserve"> and </w:t>
      </w:r>
      <w:r w:rsidRPr="006A2FC0">
        <w:rPr>
          <w:rFonts w:eastAsia="Times New Roman" w:cs="Times New Roman"/>
          <w:i/>
          <w:szCs w:val="20"/>
          <w:lang w:eastAsia="en-CA"/>
        </w:rPr>
        <w:t>Laura Matalas</w:t>
      </w:r>
      <w:r w:rsidRPr="006A2FC0">
        <w:rPr>
          <w:rFonts w:eastAsia="Times New Roman" w:cs="Times New Roman"/>
          <w:szCs w:val="20"/>
          <w:lang w:eastAsia="en-CA"/>
        </w:rPr>
        <w:t>, for the intervener the Criminal Trial Lawyers’ Association.</w:t>
      </w:r>
    </w:p>
    <w:p w:rsidR="006A2FC0" w:rsidRPr="006A2FC0" w:rsidRDefault="006A2FC0" w:rsidP="006A2FC0">
      <w:pPr>
        <w:tabs>
          <w:tab w:val="left" w:pos="1168"/>
        </w:tabs>
        <w:spacing w:after="480" w:line="480" w:lineRule="auto"/>
        <w:jc w:val="both"/>
        <w:rPr>
          <w:rFonts w:eastAsia="Times New Roman" w:cs="Times New Roman"/>
          <w:szCs w:val="20"/>
          <w:lang w:eastAsia="en-CA"/>
        </w:rPr>
      </w:pPr>
      <w:r w:rsidRPr="006A2FC0">
        <w:rPr>
          <w:rFonts w:eastAsia="Times New Roman" w:cs="Times New Roman"/>
          <w:szCs w:val="20"/>
          <w:lang w:eastAsia="en-CA"/>
        </w:rPr>
        <w:tab/>
        <w:t>The judgment of the Court was delivered orally by</w:t>
      </w:r>
    </w:p>
    <w:p w:rsidR="006A2FC0" w:rsidRPr="006A2FC0" w:rsidRDefault="006A2FC0" w:rsidP="006A2FC0">
      <w:pPr>
        <w:tabs>
          <w:tab w:val="left" w:pos="1168"/>
        </w:tabs>
        <w:spacing w:after="480" w:line="480" w:lineRule="auto"/>
        <w:jc w:val="both"/>
        <w:rPr>
          <w:rFonts w:eastAsia="Times New Roman" w:cs="Times New Roman"/>
          <w:szCs w:val="20"/>
          <w:lang w:eastAsia="en-CA"/>
        </w:rPr>
      </w:pPr>
      <w:r w:rsidRPr="006A2FC0">
        <w:rPr>
          <w:rFonts w:eastAsia="Times New Roman" w:cs="Times New Roman"/>
          <w:szCs w:val="20"/>
          <w:lang w:eastAsia="en-CA"/>
        </w:rPr>
        <w:t>[1]</w:t>
      </w:r>
      <w:r w:rsidRPr="006A2FC0">
        <w:rPr>
          <w:rFonts w:eastAsia="Times New Roman" w:cs="Times New Roman"/>
          <w:szCs w:val="20"/>
          <w:lang w:eastAsia="en-CA"/>
        </w:rPr>
        <w:tab/>
      </w:r>
      <w:r w:rsidRPr="006A2FC0">
        <w:rPr>
          <w:rFonts w:eastAsia="Times New Roman" w:cs="Times New Roman"/>
          <w:smallCaps/>
          <w:szCs w:val="20"/>
          <w:lang w:eastAsia="en-CA"/>
        </w:rPr>
        <w:t>Kasirer J.</w:t>
      </w:r>
      <w:r w:rsidRPr="006A2FC0">
        <w:rPr>
          <w:rFonts w:eastAsia="Times New Roman" w:cs="Times New Roman"/>
          <w:szCs w:val="20"/>
          <w:lang w:eastAsia="en-CA"/>
        </w:rPr>
        <w:t xml:space="preserve"> — We are all of the view that the appeal should be dismissed.</w:t>
      </w:r>
    </w:p>
    <w:p w:rsidR="006A2FC0" w:rsidRPr="006A2FC0" w:rsidRDefault="006A2FC0" w:rsidP="006A2FC0">
      <w:pPr>
        <w:tabs>
          <w:tab w:val="left" w:pos="1168"/>
        </w:tabs>
        <w:spacing w:after="480" w:line="480" w:lineRule="auto"/>
        <w:jc w:val="both"/>
        <w:rPr>
          <w:rFonts w:eastAsia="Times New Roman" w:cs="Times New Roman"/>
          <w:szCs w:val="20"/>
          <w:lang w:eastAsia="en-CA"/>
        </w:rPr>
      </w:pPr>
      <w:r w:rsidRPr="006A2FC0">
        <w:rPr>
          <w:rFonts w:eastAsia="Times New Roman" w:cs="Times New Roman"/>
          <w:szCs w:val="20"/>
          <w:lang w:eastAsia="en-CA"/>
        </w:rPr>
        <w:t>[2]</w:t>
      </w:r>
      <w:r w:rsidRPr="006A2FC0">
        <w:rPr>
          <w:rFonts w:eastAsia="Times New Roman" w:cs="Times New Roman"/>
          <w:szCs w:val="20"/>
          <w:lang w:eastAsia="en-CA"/>
        </w:rPr>
        <w:tab/>
        <w:t xml:space="preserve">It is common ground that, in closing submissions to the jury, Crown counsel should not have recounted an anecdote about a personal childhood memory that had no connection to the evidence (see </w:t>
      </w:r>
      <w:r w:rsidRPr="006A2FC0">
        <w:rPr>
          <w:rFonts w:eastAsia="Times New Roman" w:cs="Times New Roman"/>
          <w:i/>
          <w:szCs w:val="20"/>
          <w:lang w:eastAsia="en-CA"/>
        </w:rPr>
        <w:t>Pisani v. The Queen</w:t>
      </w:r>
      <w:r w:rsidRPr="006A2FC0">
        <w:rPr>
          <w:rFonts w:eastAsia="Times New Roman" w:cs="Times New Roman"/>
          <w:szCs w:val="20"/>
          <w:lang w:eastAsia="en-CA"/>
        </w:rPr>
        <w:t xml:space="preserve">, [1971] S.C.R. 738, at p. 740). Personal anecdotes have no place in closing submissions and are fundamentally at odds with the role of counsel, and particularly the role of Crown counsel (see </w:t>
      </w:r>
      <w:r w:rsidRPr="006A2FC0">
        <w:rPr>
          <w:rFonts w:eastAsia="Times New Roman" w:cs="Times New Roman"/>
          <w:i/>
          <w:szCs w:val="20"/>
          <w:lang w:eastAsia="en-CA"/>
        </w:rPr>
        <w:t>Boucher v. The Queen</w:t>
      </w:r>
      <w:r w:rsidRPr="006A2FC0">
        <w:rPr>
          <w:rFonts w:eastAsia="Times New Roman" w:cs="Times New Roman"/>
          <w:szCs w:val="20"/>
          <w:lang w:eastAsia="en-CA"/>
        </w:rPr>
        <w:t>, [1955] S.C.R. 16). But the majority of the Court of Appeal was correct to conclude that this error did not result in an unfair trial or a miscarriage of justice in this case (2022 ABCA 207, 45 Alta. L.R. (7th) 1).</w:t>
      </w:r>
    </w:p>
    <w:p w:rsidR="006A2FC0" w:rsidRPr="006A2FC0" w:rsidRDefault="006A2FC0" w:rsidP="006A2FC0">
      <w:pPr>
        <w:tabs>
          <w:tab w:val="left" w:pos="1168"/>
        </w:tabs>
        <w:spacing w:after="480" w:line="480" w:lineRule="auto"/>
        <w:jc w:val="both"/>
        <w:rPr>
          <w:rFonts w:eastAsia="Times New Roman" w:cs="Times New Roman"/>
          <w:szCs w:val="20"/>
          <w:lang w:eastAsia="en-CA"/>
        </w:rPr>
      </w:pPr>
      <w:r w:rsidRPr="006A2FC0">
        <w:rPr>
          <w:rFonts w:eastAsia="Times New Roman" w:cs="Times New Roman"/>
          <w:szCs w:val="20"/>
          <w:lang w:eastAsia="en-CA"/>
        </w:rPr>
        <w:t>[3]</w:t>
      </w:r>
      <w:r w:rsidRPr="006A2FC0">
        <w:rPr>
          <w:rFonts w:eastAsia="Times New Roman" w:cs="Times New Roman"/>
          <w:szCs w:val="20"/>
          <w:lang w:eastAsia="en-CA"/>
        </w:rPr>
        <w:tab/>
        <w:t>Both the majority and the dissent relied on the relevant factors set out in</w:t>
      </w:r>
      <w:r w:rsidRPr="006A2FC0">
        <w:rPr>
          <w:rFonts w:eastAsia="Times New Roman" w:cs="Times New Roman"/>
          <w:i/>
          <w:szCs w:val="20"/>
          <w:lang w:eastAsia="en-CA"/>
        </w:rPr>
        <w:t xml:space="preserve"> R. v. Stephan</w:t>
      </w:r>
      <w:r w:rsidRPr="006A2FC0">
        <w:rPr>
          <w:rFonts w:eastAsia="Times New Roman" w:cs="Times New Roman"/>
          <w:szCs w:val="20"/>
          <w:lang w:eastAsia="en-CA"/>
        </w:rPr>
        <w:t>, 2017 ABCA 380, 61 Alta. L.R. (6th) 26, rev’d on other grounds</w:t>
      </w:r>
      <w:r w:rsidRPr="006A2FC0" w:rsidDel="00B91FC2">
        <w:rPr>
          <w:rFonts w:eastAsia="Times New Roman" w:cs="Times New Roman"/>
          <w:szCs w:val="20"/>
          <w:lang w:eastAsia="en-CA"/>
        </w:rPr>
        <w:t xml:space="preserve"> </w:t>
      </w:r>
      <w:r w:rsidRPr="006A2FC0">
        <w:rPr>
          <w:rFonts w:eastAsia="Times New Roman" w:cs="Times New Roman"/>
          <w:szCs w:val="20"/>
          <w:lang w:eastAsia="en-CA"/>
        </w:rPr>
        <w:t>2018 SCC 21, [2018] 1 S.C.R. 633, but disagreed on their application.</w:t>
      </w:r>
    </w:p>
    <w:p w:rsidR="006A2FC0" w:rsidRPr="006A2FC0" w:rsidRDefault="006A2FC0" w:rsidP="006A2FC0">
      <w:pPr>
        <w:tabs>
          <w:tab w:val="left" w:pos="1168"/>
        </w:tabs>
        <w:spacing w:after="480" w:line="480" w:lineRule="auto"/>
        <w:jc w:val="both"/>
        <w:rPr>
          <w:rFonts w:eastAsia="Times New Roman" w:cs="Times New Roman"/>
          <w:szCs w:val="20"/>
          <w:lang w:eastAsia="en-CA"/>
        </w:rPr>
      </w:pPr>
      <w:r w:rsidRPr="006A2FC0">
        <w:rPr>
          <w:rFonts w:eastAsia="Times New Roman" w:cs="Times New Roman"/>
          <w:szCs w:val="20"/>
          <w:lang w:eastAsia="en-CA"/>
        </w:rPr>
        <w:t>[4]</w:t>
      </w:r>
      <w:r w:rsidRPr="006A2FC0">
        <w:rPr>
          <w:rFonts w:eastAsia="Times New Roman" w:cs="Times New Roman"/>
          <w:szCs w:val="20"/>
          <w:lang w:eastAsia="en-CA"/>
        </w:rPr>
        <w:tab/>
        <w:t>At issue before the jury was both the veracity and accuracy of the complainant’s own memory of the events relating to the sexual assaults she allegedly suffered as a child. The defence argued that these events never took place and challenged the complainant’s recollections as uneven. Insofar as this challenged the complainant’s version of events as lacking both credibility and reliability, the improper comments of Crown counsel were potentially serious as they touched on a core issue at the trial.</w:t>
      </w:r>
    </w:p>
    <w:p w:rsidR="006A2FC0" w:rsidRPr="006A2FC0" w:rsidRDefault="006A2FC0" w:rsidP="006A2FC0">
      <w:pPr>
        <w:tabs>
          <w:tab w:val="left" w:pos="1168"/>
        </w:tabs>
        <w:spacing w:after="480" w:line="480" w:lineRule="auto"/>
        <w:jc w:val="both"/>
        <w:rPr>
          <w:rFonts w:eastAsia="Times New Roman" w:cs="Times New Roman"/>
          <w:szCs w:val="20"/>
          <w:lang w:eastAsia="en-CA"/>
        </w:rPr>
      </w:pPr>
      <w:r w:rsidRPr="006A2FC0">
        <w:rPr>
          <w:rFonts w:eastAsia="Times New Roman" w:cs="Times New Roman"/>
          <w:szCs w:val="20"/>
          <w:lang w:eastAsia="en-CA"/>
        </w:rPr>
        <w:t>[5]</w:t>
      </w:r>
      <w:r w:rsidRPr="006A2FC0">
        <w:rPr>
          <w:rFonts w:eastAsia="Times New Roman" w:cs="Times New Roman"/>
          <w:szCs w:val="20"/>
          <w:lang w:eastAsia="en-CA"/>
        </w:rPr>
        <w:tab/>
        <w:t xml:space="preserve">That said, the context of the anecdote considerably limited its prejudicial effect. First, and unlike </w:t>
      </w:r>
      <w:r w:rsidRPr="006A2FC0">
        <w:rPr>
          <w:rFonts w:eastAsia="Times New Roman" w:cs="Times New Roman"/>
          <w:i/>
          <w:szCs w:val="20"/>
          <w:lang w:eastAsia="en-CA"/>
        </w:rPr>
        <w:t>Pisani</w:t>
      </w:r>
      <w:r w:rsidRPr="006A2FC0">
        <w:rPr>
          <w:rFonts w:eastAsia="Times New Roman" w:cs="Times New Roman"/>
          <w:szCs w:val="20"/>
          <w:lang w:eastAsia="en-CA"/>
        </w:rPr>
        <w:t>, the personal anecdote was not about an offence or about conduct comparable to the substance of the allegations at issue. Moreover, the anecdote was not a prominent feature of the Crown’s closing address.</w:t>
      </w:r>
    </w:p>
    <w:p w:rsidR="006A2FC0" w:rsidRPr="006A2FC0" w:rsidRDefault="006A2FC0" w:rsidP="006A2FC0">
      <w:pPr>
        <w:tabs>
          <w:tab w:val="left" w:pos="1168"/>
        </w:tabs>
        <w:spacing w:after="480" w:line="480" w:lineRule="auto"/>
        <w:jc w:val="both"/>
        <w:rPr>
          <w:rFonts w:eastAsia="Times New Roman" w:cs="Times New Roman"/>
          <w:szCs w:val="20"/>
          <w:lang w:eastAsia="en-CA"/>
        </w:rPr>
      </w:pPr>
      <w:r w:rsidRPr="006A2FC0">
        <w:rPr>
          <w:rFonts w:eastAsia="Times New Roman" w:cs="Times New Roman"/>
          <w:szCs w:val="20"/>
          <w:lang w:eastAsia="en-CA"/>
        </w:rPr>
        <w:t>[6]</w:t>
      </w:r>
      <w:r w:rsidRPr="006A2FC0">
        <w:rPr>
          <w:rFonts w:eastAsia="Times New Roman" w:cs="Times New Roman"/>
          <w:szCs w:val="20"/>
          <w:lang w:eastAsia="en-CA"/>
        </w:rPr>
        <w:tab/>
        <w:t xml:space="preserve">Furthermore, while defence counsel did object to other aspects of the Crown’s closing submissions that are not relevant to the appeal, no objection was made to the Crown’s personal anecdote. The failure of defence counsel to object to the anecdote is not of course dispositive, but it is a factor to be considered in measuring the impact on trial fairness on appeal (see </w:t>
      </w:r>
      <w:r w:rsidRPr="006A2FC0">
        <w:rPr>
          <w:rFonts w:eastAsia="Times New Roman" w:cs="Times New Roman"/>
          <w:i/>
          <w:szCs w:val="20"/>
          <w:lang w:eastAsia="en-CA"/>
        </w:rPr>
        <w:t>R. v. Manasseri</w:t>
      </w:r>
      <w:r w:rsidRPr="006A2FC0">
        <w:rPr>
          <w:rFonts w:eastAsia="Times New Roman" w:cs="Times New Roman"/>
          <w:szCs w:val="20"/>
          <w:lang w:eastAsia="en-CA"/>
        </w:rPr>
        <w:t>, 2016 ONCA 703, 132 O.R. (3d) 401, at para. 107).</w:t>
      </w:r>
    </w:p>
    <w:p w:rsidR="006A2FC0" w:rsidRPr="006A2FC0" w:rsidRDefault="006A2FC0" w:rsidP="006A2FC0">
      <w:pPr>
        <w:tabs>
          <w:tab w:val="left" w:pos="1168"/>
        </w:tabs>
        <w:spacing w:after="480" w:line="480" w:lineRule="auto"/>
        <w:jc w:val="both"/>
        <w:rPr>
          <w:rFonts w:eastAsia="Times New Roman" w:cs="Times New Roman"/>
          <w:szCs w:val="20"/>
          <w:lang w:eastAsia="en-CA"/>
        </w:rPr>
      </w:pPr>
      <w:r w:rsidRPr="006A2FC0">
        <w:rPr>
          <w:rFonts w:eastAsia="Times New Roman" w:cs="Times New Roman"/>
          <w:szCs w:val="20"/>
          <w:lang w:eastAsia="en-CA"/>
        </w:rPr>
        <w:t>[7]</w:t>
      </w:r>
      <w:r w:rsidRPr="006A2FC0">
        <w:rPr>
          <w:rFonts w:eastAsia="Times New Roman" w:cs="Times New Roman"/>
          <w:szCs w:val="20"/>
          <w:lang w:eastAsia="en-CA"/>
        </w:rPr>
        <w:tab/>
        <w:t>The trial judge did caution the jury not to consider what counsel said as evidence. And while the trial judge did not undertake specific remedial steps to alert the jury to the improper comments of the Crown, the judge’s observation that jury members should use their “common sense understanding of how memories operate” (A.R., vol. I, at p. 63) is consonant with the idea that, although improper, the Crown’s anecdote should be read in that light. Nothing would suggest that the charge did not achieve its purpose “to properly equip the jury in the circumstances of the trial to decide the case according to the law and the evidence” (</w:t>
      </w:r>
      <w:r w:rsidRPr="006A2FC0">
        <w:rPr>
          <w:rFonts w:eastAsia="Times New Roman" w:cs="Times New Roman"/>
          <w:i/>
          <w:szCs w:val="20"/>
          <w:lang w:eastAsia="en-CA"/>
        </w:rPr>
        <w:t>R. v. Abdullahi</w:t>
      </w:r>
      <w:r w:rsidRPr="006A2FC0">
        <w:rPr>
          <w:rFonts w:eastAsia="Times New Roman" w:cs="Times New Roman"/>
          <w:szCs w:val="20"/>
          <w:lang w:eastAsia="en-CA"/>
        </w:rPr>
        <w:t>, 2023 SCC 19, at para. 72).</w:t>
      </w:r>
    </w:p>
    <w:p w:rsidR="006A2FC0" w:rsidRPr="006A2FC0" w:rsidRDefault="006A2FC0" w:rsidP="006A2FC0">
      <w:pPr>
        <w:tabs>
          <w:tab w:val="left" w:pos="1168"/>
        </w:tabs>
        <w:spacing w:after="480" w:line="480" w:lineRule="auto"/>
        <w:jc w:val="both"/>
        <w:rPr>
          <w:rFonts w:eastAsia="Times New Roman" w:cs="Times New Roman"/>
          <w:szCs w:val="20"/>
          <w:lang w:eastAsia="en-CA"/>
        </w:rPr>
      </w:pPr>
      <w:r w:rsidRPr="006A2FC0">
        <w:rPr>
          <w:rFonts w:eastAsia="Times New Roman" w:cs="Times New Roman"/>
          <w:szCs w:val="20"/>
          <w:lang w:eastAsia="en-CA"/>
        </w:rPr>
        <w:t>[8]</w:t>
      </w:r>
      <w:r w:rsidRPr="006A2FC0">
        <w:rPr>
          <w:rFonts w:eastAsia="Times New Roman" w:cs="Times New Roman"/>
          <w:szCs w:val="20"/>
          <w:lang w:eastAsia="en-CA"/>
        </w:rPr>
        <w:tab/>
        <w:t>In sum, we agree with the view that Crown counsel’s improper anecdote did not render the appellant’s trial unfair.</w:t>
      </w:r>
    </w:p>
    <w:p w:rsidR="006A2FC0" w:rsidRPr="006A2FC0" w:rsidRDefault="006A2FC0" w:rsidP="006A2FC0">
      <w:pPr>
        <w:tabs>
          <w:tab w:val="left" w:pos="1168"/>
        </w:tabs>
        <w:spacing w:after="480" w:line="480" w:lineRule="auto"/>
        <w:jc w:val="both"/>
        <w:rPr>
          <w:rFonts w:eastAsia="Times New Roman" w:cs="Times New Roman"/>
          <w:szCs w:val="20"/>
          <w:lang w:eastAsia="en-CA"/>
        </w:rPr>
      </w:pPr>
      <w:r w:rsidRPr="006A2FC0">
        <w:rPr>
          <w:rFonts w:eastAsia="Times New Roman" w:cs="Times New Roman"/>
          <w:szCs w:val="20"/>
          <w:lang w:eastAsia="en-CA"/>
        </w:rPr>
        <w:t>[9]</w:t>
      </w:r>
      <w:r w:rsidRPr="006A2FC0">
        <w:rPr>
          <w:rFonts w:eastAsia="Times New Roman" w:cs="Times New Roman"/>
          <w:szCs w:val="20"/>
          <w:lang w:eastAsia="en-CA"/>
        </w:rPr>
        <w:tab/>
        <w:t>The appeal is dismissed.</w:t>
      </w:r>
    </w:p>
    <w:p w:rsidR="006A2FC0" w:rsidRPr="006A2FC0" w:rsidRDefault="006A2FC0" w:rsidP="006A2FC0">
      <w:pPr>
        <w:tabs>
          <w:tab w:val="left" w:pos="1168"/>
        </w:tabs>
        <w:spacing w:after="480" w:line="480" w:lineRule="auto"/>
        <w:jc w:val="both"/>
        <w:rPr>
          <w:rFonts w:eastAsia="Times New Roman" w:cs="Times New Roman"/>
          <w:i/>
          <w:szCs w:val="20"/>
          <w:lang w:eastAsia="en-CA"/>
        </w:rPr>
      </w:pPr>
      <w:r w:rsidRPr="006A2FC0">
        <w:rPr>
          <w:rFonts w:eastAsia="Times New Roman" w:cs="Times New Roman"/>
          <w:szCs w:val="20"/>
          <w:lang w:eastAsia="en-CA"/>
        </w:rPr>
        <w:tab/>
      </w:r>
      <w:r w:rsidRPr="006A2FC0">
        <w:rPr>
          <w:rFonts w:eastAsia="Times New Roman" w:cs="Times New Roman"/>
          <w:i/>
          <w:szCs w:val="20"/>
          <w:lang w:eastAsia="en-CA"/>
        </w:rPr>
        <w:t>Judgment accordingly.</w:t>
      </w:r>
    </w:p>
    <w:p w:rsidR="006A2FC0" w:rsidRPr="006A2FC0" w:rsidRDefault="006A2FC0" w:rsidP="006A2FC0">
      <w:pPr>
        <w:tabs>
          <w:tab w:val="left" w:pos="1168"/>
        </w:tabs>
        <w:spacing w:after="480" w:line="480" w:lineRule="auto"/>
        <w:jc w:val="both"/>
        <w:rPr>
          <w:rFonts w:eastAsia="Times New Roman" w:cs="Times New Roman"/>
          <w:i/>
          <w:szCs w:val="20"/>
          <w:lang w:eastAsia="en-CA"/>
        </w:rPr>
      </w:pPr>
      <w:r w:rsidRPr="006A2FC0">
        <w:rPr>
          <w:rFonts w:eastAsia="Times New Roman" w:cs="Times New Roman"/>
          <w:i/>
          <w:szCs w:val="20"/>
          <w:lang w:eastAsia="en-CA"/>
        </w:rPr>
        <w:tab/>
        <w:t>Solicitors for the appellant: Sankoff Criminal Law, Edmonton; Wyllie Law, Vancouver.</w:t>
      </w:r>
    </w:p>
    <w:p w:rsidR="006A2FC0" w:rsidRPr="006A2FC0" w:rsidRDefault="006A2FC0" w:rsidP="006A2FC0">
      <w:pPr>
        <w:tabs>
          <w:tab w:val="left" w:pos="1168"/>
        </w:tabs>
        <w:spacing w:after="480" w:line="480" w:lineRule="auto"/>
        <w:jc w:val="both"/>
        <w:rPr>
          <w:rFonts w:eastAsia="Times New Roman" w:cs="Times New Roman"/>
          <w:i/>
          <w:szCs w:val="20"/>
          <w:lang w:eastAsia="en-CA"/>
        </w:rPr>
      </w:pPr>
      <w:r w:rsidRPr="006A2FC0">
        <w:rPr>
          <w:rFonts w:eastAsia="Times New Roman" w:cs="Times New Roman"/>
          <w:i/>
          <w:szCs w:val="20"/>
          <w:lang w:eastAsia="en-CA"/>
        </w:rPr>
        <w:tab/>
        <w:t>Solicitor for the respondent: Alberta Crown Prosecutor Service, Appeals and Specialized Prosecutions Office, Edmonton.</w:t>
      </w:r>
    </w:p>
    <w:p w:rsidR="006A2FC0" w:rsidRPr="006A2FC0" w:rsidRDefault="006A2FC0" w:rsidP="006A2FC0">
      <w:pPr>
        <w:tabs>
          <w:tab w:val="left" w:pos="1168"/>
        </w:tabs>
        <w:spacing w:after="480" w:line="480" w:lineRule="auto"/>
        <w:jc w:val="both"/>
        <w:rPr>
          <w:rFonts w:eastAsia="Times New Roman" w:cs="Times New Roman"/>
          <w:i/>
          <w:szCs w:val="20"/>
          <w:lang w:eastAsia="en-CA"/>
        </w:rPr>
      </w:pPr>
      <w:r w:rsidRPr="006A2FC0">
        <w:rPr>
          <w:rFonts w:eastAsia="Times New Roman" w:cs="Times New Roman"/>
          <w:i/>
          <w:szCs w:val="20"/>
          <w:lang w:eastAsia="en-CA"/>
        </w:rPr>
        <w:tab/>
        <w:t>Solicitor for the intervener the Director of Public Prosecutions: Public Prosecution Service of Canada, Edmonton.</w:t>
      </w:r>
    </w:p>
    <w:p w:rsidR="006A2FC0" w:rsidRPr="006A2FC0" w:rsidRDefault="006A2FC0" w:rsidP="006A2FC0">
      <w:pPr>
        <w:tabs>
          <w:tab w:val="left" w:pos="1168"/>
        </w:tabs>
        <w:spacing w:after="480" w:line="480" w:lineRule="auto"/>
        <w:jc w:val="both"/>
        <w:rPr>
          <w:rFonts w:eastAsia="Times New Roman" w:cs="Times New Roman"/>
          <w:i/>
          <w:szCs w:val="20"/>
          <w:lang w:eastAsia="en-CA"/>
        </w:rPr>
      </w:pPr>
      <w:r w:rsidRPr="006A2FC0">
        <w:rPr>
          <w:rFonts w:eastAsia="Times New Roman" w:cs="Times New Roman"/>
          <w:i/>
          <w:szCs w:val="20"/>
          <w:lang w:eastAsia="en-CA"/>
        </w:rPr>
        <w:tab/>
        <w:t xml:space="preserve">Solicitor for the intervener the Attorney General of Ontario: </w:t>
      </w:r>
      <w:r w:rsidRPr="006A2FC0">
        <w:rPr>
          <w:rFonts w:eastAsia="Times New Roman" w:cs="Times New Roman"/>
          <w:i/>
          <w:szCs w:val="20"/>
          <w:lang w:val="en-US" w:eastAsia="en-CA"/>
        </w:rPr>
        <w:t>Ministry of the Attorney General, Crown Law Office — Criminal</w:t>
      </w:r>
      <w:r w:rsidRPr="006A2FC0">
        <w:rPr>
          <w:rFonts w:eastAsia="Times New Roman" w:cs="Times New Roman"/>
          <w:i/>
          <w:szCs w:val="20"/>
          <w:lang w:eastAsia="en-CA"/>
        </w:rPr>
        <w:t>, Toronto.</w:t>
      </w:r>
    </w:p>
    <w:p w:rsidR="006A2FC0" w:rsidRPr="006A2FC0" w:rsidRDefault="006A2FC0" w:rsidP="006A2FC0">
      <w:pPr>
        <w:tabs>
          <w:tab w:val="left" w:pos="1168"/>
        </w:tabs>
        <w:spacing w:after="480" w:line="480" w:lineRule="auto"/>
        <w:jc w:val="both"/>
        <w:rPr>
          <w:rFonts w:eastAsia="Times New Roman" w:cs="Times New Roman"/>
          <w:i/>
          <w:szCs w:val="20"/>
          <w:lang w:eastAsia="en-CA"/>
        </w:rPr>
      </w:pPr>
      <w:r w:rsidRPr="006A2FC0">
        <w:rPr>
          <w:rFonts w:eastAsia="Times New Roman" w:cs="Times New Roman"/>
          <w:i/>
          <w:szCs w:val="20"/>
          <w:lang w:eastAsia="en-CA"/>
        </w:rPr>
        <w:tab/>
        <w:t>Solicitors for the intervener the Criminal Trial Lawyers’ Association: Dawson Duckett Garcia &amp; Johnson, Edmonton; Pringle Law, Edmonton.</w:t>
      </w:r>
    </w:p>
    <w:p w:rsidR="006A2FC0" w:rsidRDefault="006A2FC0"/>
    <w:sectPr w:rsidR="006A2FC0" w:rsidSect="00F72014">
      <w:pgSz w:w="12240" w:h="15840"/>
      <w:pgMar w:top="1440" w:right="1440" w:bottom="1440" w:left="1440" w:header="43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38D" w:rsidRDefault="0042538D" w:rsidP="00F72014">
      <w:r>
        <w:separator/>
      </w:r>
    </w:p>
  </w:endnote>
  <w:endnote w:type="continuationSeparator" w:id="0">
    <w:p w:rsidR="0042538D" w:rsidRDefault="0042538D" w:rsidP="00F72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38D" w:rsidRDefault="0042538D" w:rsidP="00F72014">
      <w:r>
        <w:separator/>
      </w:r>
    </w:p>
  </w:footnote>
  <w:footnote w:type="continuationSeparator" w:id="0">
    <w:p w:rsidR="0042538D" w:rsidRDefault="0042538D" w:rsidP="00F720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removePersonalInformation/>
  <w:removeDateAndTime/>
  <w:defaultTabStop w:val="720"/>
  <w:hyphenationZone w:val="425"/>
  <w:drawingGridHorizontalSpacing w:val="12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0DA"/>
    <w:rsid w:val="00001315"/>
    <w:rsid w:val="0003087F"/>
    <w:rsid w:val="00076773"/>
    <w:rsid w:val="00087E50"/>
    <w:rsid w:val="0011484D"/>
    <w:rsid w:val="001311DA"/>
    <w:rsid w:val="001412E4"/>
    <w:rsid w:val="001648D4"/>
    <w:rsid w:val="001B0985"/>
    <w:rsid w:val="001B27ED"/>
    <w:rsid w:val="001B299D"/>
    <w:rsid w:val="001D6B8C"/>
    <w:rsid w:val="001F1F83"/>
    <w:rsid w:val="001F3E0C"/>
    <w:rsid w:val="00205C5C"/>
    <w:rsid w:val="00205C5D"/>
    <w:rsid w:val="00252460"/>
    <w:rsid w:val="00273D07"/>
    <w:rsid w:val="0028675F"/>
    <w:rsid w:val="00297E7C"/>
    <w:rsid w:val="002B1CA4"/>
    <w:rsid w:val="002C1DA9"/>
    <w:rsid w:val="002C5A33"/>
    <w:rsid w:val="002D4FC9"/>
    <w:rsid w:val="002E324D"/>
    <w:rsid w:val="00307011"/>
    <w:rsid w:val="003126AF"/>
    <w:rsid w:val="00355967"/>
    <w:rsid w:val="00384384"/>
    <w:rsid w:val="003B2BE1"/>
    <w:rsid w:val="003B3C63"/>
    <w:rsid w:val="0042538D"/>
    <w:rsid w:val="00451668"/>
    <w:rsid w:val="00460AFC"/>
    <w:rsid w:val="004E69EC"/>
    <w:rsid w:val="004F090E"/>
    <w:rsid w:val="00524C08"/>
    <w:rsid w:val="00540106"/>
    <w:rsid w:val="00564C88"/>
    <w:rsid w:val="00582136"/>
    <w:rsid w:val="005D2CFA"/>
    <w:rsid w:val="005D4801"/>
    <w:rsid w:val="0061259C"/>
    <w:rsid w:val="006A2FC0"/>
    <w:rsid w:val="006B210C"/>
    <w:rsid w:val="00701ABD"/>
    <w:rsid w:val="007740CA"/>
    <w:rsid w:val="00815561"/>
    <w:rsid w:val="00842677"/>
    <w:rsid w:val="00843369"/>
    <w:rsid w:val="00852D4E"/>
    <w:rsid w:val="00880B14"/>
    <w:rsid w:val="00904937"/>
    <w:rsid w:val="0093524C"/>
    <w:rsid w:val="00962C82"/>
    <w:rsid w:val="00996510"/>
    <w:rsid w:val="0099776C"/>
    <w:rsid w:val="009B58B8"/>
    <w:rsid w:val="009E1B85"/>
    <w:rsid w:val="009E7065"/>
    <w:rsid w:val="00A15427"/>
    <w:rsid w:val="00A51D10"/>
    <w:rsid w:val="00A57778"/>
    <w:rsid w:val="00AB2201"/>
    <w:rsid w:val="00AC1D8C"/>
    <w:rsid w:val="00AE0E44"/>
    <w:rsid w:val="00B533DB"/>
    <w:rsid w:val="00BC2DFD"/>
    <w:rsid w:val="00BD4217"/>
    <w:rsid w:val="00C003E6"/>
    <w:rsid w:val="00C00A72"/>
    <w:rsid w:val="00CE17A0"/>
    <w:rsid w:val="00D030DA"/>
    <w:rsid w:val="00D76BDF"/>
    <w:rsid w:val="00DA7B22"/>
    <w:rsid w:val="00DB746A"/>
    <w:rsid w:val="00DE72FB"/>
    <w:rsid w:val="00DF15D7"/>
    <w:rsid w:val="00E22DBA"/>
    <w:rsid w:val="00E356C7"/>
    <w:rsid w:val="00E5364D"/>
    <w:rsid w:val="00E54E6E"/>
    <w:rsid w:val="00E64FA7"/>
    <w:rsid w:val="00E770CB"/>
    <w:rsid w:val="00E82D1C"/>
    <w:rsid w:val="00EA6DB9"/>
    <w:rsid w:val="00EF0E44"/>
    <w:rsid w:val="00EF72F1"/>
    <w:rsid w:val="00F36AF0"/>
    <w:rsid w:val="00F72014"/>
    <w:rsid w:val="00F9518C"/>
    <w:rsid w:val="00FA0922"/>
    <w:rsid w:val="00FA59EF"/>
    <w:rsid w:val="00FC2782"/>
    <w:rsid w:val="00FC70CB"/>
    <w:rsid w:val="00FE57D3"/>
    <w:rsid w:val="00FE5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7ED"/>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30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030DA"/>
    <w:rPr>
      <w:color w:val="808080"/>
    </w:rPr>
  </w:style>
  <w:style w:type="paragraph" w:styleId="BalloonText">
    <w:name w:val="Balloon Text"/>
    <w:basedOn w:val="Normal"/>
    <w:link w:val="BalloonTextChar"/>
    <w:uiPriority w:val="99"/>
    <w:semiHidden/>
    <w:unhideWhenUsed/>
    <w:rsid w:val="00D030DA"/>
    <w:rPr>
      <w:rFonts w:ascii="Tahoma" w:hAnsi="Tahoma" w:cs="Tahoma"/>
      <w:sz w:val="16"/>
      <w:szCs w:val="16"/>
    </w:rPr>
  </w:style>
  <w:style w:type="character" w:customStyle="1" w:styleId="BalloonTextChar">
    <w:name w:val="Balloon Text Char"/>
    <w:basedOn w:val="DefaultParagraphFont"/>
    <w:link w:val="BalloonText"/>
    <w:uiPriority w:val="99"/>
    <w:semiHidden/>
    <w:rsid w:val="00D030DA"/>
    <w:rPr>
      <w:rFonts w:ascii="Tahoma" w:hAnsi="Tahoma" w:cs="Tahoma"/>
      <w:sz w:val="16"/>
      <w:szCs w:val="16"/>
    </w:rPr>
  </w:style>
  <w:style w:type="paragraph" w:styleId="Header">
    <w:name w:val="header"/>
    <w:basedOn w:val="Normal"/>
    <w:link w:val="HeaderChar"/>
    <w:uiPriority w:val="99"/>
    <w:unhideWhenUsed/>
    <w:rsid w:val="00F72014"/>
    <w:pPr>
      <w:tabs>
        <w:tab w:val="center" w:pos="4680"/>
        <w:tab w:val="right" w:pos="9360"/>
      </w:tabs>
    </w:pPr>
  </w:style>
  <w:style w:type="character" w:customStyle="1" w:styleId="HeaderChar">
    <w:name w:val="Header Char"/>
    <w:basedOn w:val="DefaultParagraphFont"/>
    <w:link w:val="Header"/>
    <w:uiPriority w:val="99"/>
    <w:rsid w:val="00F72014"/>
  </w:style>
  <w:style w:type="paragraph" w:styleId="Footer">
    <w:name w:val="footer"/>
    <w:basedOn w:val="Normal"/>
    <w:link w:val="FooterChar"/>
    <w:uiPriority w:val="99"/>
    <w:semiHidden/>
    <w:unhideWhenUsed/>
    <w:rsid w:val="00F72014"/>
    <w:pPr>
      <w:tabs>
        <w:tab w:val="center" w:pos="4680"/>
        <w:tab w:val="right" w:pos="9360"/>
      </w:tabs>
    </w:pPr>
  </w:style>
  <w:style w:type="character" w:customStyle="1" w:styleId="FooterChar">
    <w:name w:val="Footer Char"/>
    <w:basedOn w:val="DefaultParagraphFont"/>
    <w:link w:val="Footer"/>
    <w:uiPriority w:val="99"/>
    <w:semiHidden/>
    <w:rsid w:val="00F72014"/>
  </w:style>
  <w:style w:type="paragraph" w:customStyle="1" w:styleId="SCCRestrictionOnPublicationTitle">
    <w:name w:val="SCC.RestrictionOnPublicationTitle"/>
    <w:basedOn w:val="Normal"/>
    <w:next w:val="Normal"/>
    <w:link w:val="SCCRestrictionOnPublicationTitleChar"/>
    <w:rsid w:val="00252460"/>
    <w:rPr>
      <w:b/>
      <w:smallCaps/>
    </w:rPr>
  </w:style>
  <w:style w:type="character" w:customStyle="1" w:styleId="SCCRestrictionOnPublicationTitleChar">
    <w:name w:val="SCC.RestrictionOnPublicationTitle Char"/>
    <w:basedOn w:val="DefaultParagraphFont"/>
    <w:link w:val="SCCRestrictionOnPublicationTitle"/>
    <w:rsid w:val="00252460"/>
    <w:rPr>
      <w:b/>
      <w:smallCaps/>
      <w:lang w:val="en-CA"/>
    </w:rPr>
  </w:style>
  <w:style w:type="paragraph" w:customStyle="1" w:styleId="SCCRestrictionOnPublicationText">
    <w:name w:val="SCC.RestrictionOnPublicationText"/>
    <w:basedOn w:val="Normal"/>
    <w:next w:val="Normal"/>
    <w:link w:val="SCCRestrictionOnPublicationTextChar"/>
    <w:rsid w:val="00252460"/>
  </w:style>
  <w:style w:type="character" w:customStyle="1" w:styleId="SCCRestrictionOnPublicationTextChar">
    <w:name w:val="SCC.RestrictionOnPublicationText Char"/>
    <w:basedOn w:val="DefaultParagraphFont"/>
    <w:link w:val="SCCRestrictionOnPublicationText"/>
    <w:rsid w:val="00252460"/>
    <w:rPr>
      <w:lang w:val="en-CA"/>
    </w:rPr>
  </w:style>
  <w:style w:type="paragraph" w:customStyle="1" w:styleId="SCCLsocOtherPartyRole">
    <w:name w:val="SCC.Lsoc.OtherPartyRole"/>
    <w:basedOn w:val="Normal"/>
    <w:next w:val="Normal"/>
    <w:link w:val="SCCLsocOtherPartyRoleChar"/>
    <w:rsid w:val="0099776C"/>
    <w:pPr>
      <w:jc w:val="center"/>
    </w:pPr>
  </w:style>
  <w:style w:type="character" w:customStyle="1" w:styleId="SCCLsocOtherPartyRoleChar">
    <w:name w:val="SCC.Lsoc.OtherPartyRole Char"/>
    <w:basedOn w:val="DefaultParagraphFont"/>
    <w:link w:val="SCCLsocOtherPartyRole"/>
    <w:rsid w:val="0099776C"/>
    <w:rPr>
      <w:lang w:val="en-CA"/>
    </w:rPr>
  </w:style>
  <w:style w:type="paragraph" w:customStyle="1" w:styleId="SCCLsocParty">
    <w:name w:val="SCC.Lsoc.Party"/>
    <w:basedOn w:val="Normal"/>
    <w:next w:val="Normal"/>
    <w:link w:val="SCCLsocPartyChar"/>
    <w:rsid w:val="0099776C"/>
    <w:pPr>
      <w:jc w:val="center"/>
    </w:pPr>
    <w:rPr>
      <w:b/>
    </w:rPr>
  </w:style>
  <w:style w:type="character" w:customStyle="1" w:styleId="SCCLsocPartyChar">
    <w:name w:val="SCC.Lsoc.Party Char"/>
    <w:basedOn w:val="DefaultParagraphFont"/>
    <w:link w:val="SCCLsocParty"/>
    <w:rsid w:val="0099776C"/>
    <w:rPr>
      <w:b/>
      <w:lang w:val="en-CA"/>
    </w:rPr>
  </w:style>
  <w:style w:type="paragraph" w:customStyle="1" w:styleId="SCCLsocSubfileSeparator">
    <w:name w:val="SCC.Lsoc.SubfileSeparator"/>
    <w:basedOn w:val="Normal"/>
    <w:next w:val="Normal"/>
    <w:link w:val="SCCLsocSubfileSeparatorChar"/>
    <w:rsid w:val="00FE5ED5"/>
    <w:rPr>
      <w:b/>
      <w:smallCaps/>
    </w:rPr>
  </w:style>
  <w:style w:type="character" w:customStyle="1" w:styleId="SCCLsocSubfileSeparatorChar">
    <w:name w:val="SCC.Lsoc.SubfileSeparator Char"/>
    <w:basedOn w:val="DefaultParagraphFont"/>
    <w:link w:val="SCCLsocSubfileSeparator"/>
    <w:rsid w:val="00FE5ED5"/>
    <w:rPr>
      <w:b/>
      <w:smallCaps/>
      <w:lang w:val="en-CA"/>
    </w:rPr>
  </w:style>
  <w:style w:type="paragraph" w:customStyle="1" w:styleId="SCCLsocVersus">
    <w:name w:val="SCC.Lsoc.Versus"/>
    <w:basedOn w:val="Normal"/>
    <w:next w:val="Normal"/>
    <w:link w:val="SCCLsocVersusChar"/>
    <w:rsid w:val="0099776C"/>
    <w:pPr>
      <w:jc w:val="center"/>
    </w:pPr>
  </w:style>
  <w:style w:type="character" w:customStyle="1" w:styleId="SCCLsocVersusChar">
    <w:name w:val="SCC.Lsoc.Versus Char"/>
    <w:basedOn w:val="DefaultParagraphFont"/>
    <w:link w:val="SCCLsocVersus"/>
    <w:rsid w:val="0099776C"/>
    <w:rPr>
      <w:lang w:val="en-CA"/>
    </w:rPr>
  </w:style>
  <w:style w:type="paragraph" w:customStyle="1" w:styleId="SCCLsocPartyRole">
    <w:name w:val="SCC.Lsoc.PartyRole"/>
    <w:basedOn w:val="Normal"/>
    <w:next w:val="Normal"/>
    <w:link w:val="SCCLsocPartyRoleChar"/>
    <w:rsid w:val="0099776C"/>
    <w:pPr>
      <w:jc w:val="center"/>
    </w:pPr>
  </w:style>
  <w:style w:type="character" w:customStyle="1" w:styleId="SCCLsocPartyRoleChar">
    <w:name w:val="SCC.Lsoc.PartyRole Char"/>
    <w:basedOn w:val="DefaultParagraphFont"/>
    <w:link w:val="SCCLsocPartyRole"/>
    <w:rsid w:val="0099776C"/>
    <w:rPr>
      <w:lang w:val="en-CA"/>
    </w:rPr>
  </w:style>
  <w:style w:type="paragraph" w:customStyle="1" w:styleId="SCCLsocPrefix">
    <w:name w:val="SCC.Lsoc.Prefix"/>
    <w:basedOn w:val="Normal"/>
    <w:next w:val="Normal"/>
    <w:link w:val="SCCLsocPrefixChar"/>
    <w:rsid w:val="00FE5ED5"/>
    <w:rPr>
      <w:b/>
      <w:smallCaps/>
    </w:rPr>
  </w:style>
  <w:style w:type="character" w:customStyle="1" w:styleId="SCCLsocPrefixChar">
    <w:name w:val="SCC.Lsoc.Prefix Char"/>
    <w:basedOn w:val="DefaultParagraphFont"/>
    <w:link w:val="SCCLsocPrefix"/>
    <w:rsid w:val="00FE5ED5"/>
    <w:rPr>
      <w:b/>
      <w:smallCaps/>
      <w:lang w:val="en-CA"/>
    </w:rPr>
  </w:style>
  <w:style w:type="paragraph" w:customStyle="1" w:styleId="SCCHearingJudgmentDatesText">
    <w:name w:val="SCC.HearingJudgmentDatesText"/>
    <w:basedOn w:val="Normal"/>
    <w:next w:val="Normal"/>
    <w:link w:val="SCCHearingJudgmentDatesTextChar"/>
    <w:rsid w:val="00C003E6"/>
  </w:style>
  <w:style w:type="character" w:customStyle="1" w:styleId="SCCHearingJudgmentDatesTextChar">
    <w:name w:val="SCC.HearingJudgmentDatesText Char"/>
    <w:basedOn w:val="DefaultParagraphFont"/>
    <w:link w:val="SCCHearingJudgmentDatesText"/>
    <w:rsid w:val="00C003E6"/>
    <w:rPr>
      <w:lang w:val="en-CA"/>
    </w:rPr>
  </w:style>
  <w:style w:type="paragraph" w:customStyle="1" w:styleId="SCCHearingJudgmentDatesTitle">
    <w:name w:val="SCC.HearingJudgmentDatesTitle"/>
    <w:basedOn w:val="Normal"/>
    <w:next w:val="Normal"/>
    <w:link w:val="SCCHearingJudgmentDatesTitleChar"/>
    <w:rsid w:val="00C003E6"/>
    <w:rPr>
      <w:b/>
      <w:smallCaps/>
    </w:rPr>
  </w:style>
  <w:style w:type="character" w:customStyle="1" w:styleId="SCCHearingJudgmentDatesTitleChar">
    <w:name w:val="SCC.HearingJudgmentDatesTitle Char"/>
    <w:basedOn w:val="DefaultParagraphFont"/>
    <w:link w:val="SCCHearingJudgmentDatesTitle"/>
    <w:rsid w:val="00C003E6"/>
    <w:rPr>
      <w:b/>
      <w:smallCaps/>
      <w:lang w:val="en-CA"/>
    </w:rPr>
  </w:style>
  <w:style w:type="paragraph" w:customStyle="1" w:styleId="SCCLsocOtherPartySeparator">
    <w:name w:val="SCC.Lsoc.OtherPartySeparator"/>
    <w:basedOn w:val="Normal"/>
    <w:next w:val="Normal"/>
    <w:link w:val="SCCLsocOtherPartySeparatorChar"/>
    <w:rsid w:val="002C5A33"/>
    <w:pPr>
      <w:jc w:val="center"/>
    </w:pPr>
  </w:style>
  <w:style w:type="character" w:customStyle="1" w:styleId="SCCLsocOtherPartySeparatorChar">
    <w:name w:val="SCC.Lsoc.OtherPartySeparator Char"/>
    <w:basedOn w:val="DefaultParagraphFont"/>
    <w:link w:val="SCCLsocOtherPartySeparator"/>
    <w:rsid w:val="002C5A33"/>
    <w:rPr>
      <w:lang w:val="en-CA"/>
    </w:rPr>
  </w:style>
  <w:style w:type="paragraph" w:customStyle="1" w:styleId="SCCCounselName">
    <w:name w:val="SCC.CounselName"/>
    <w:basedOn w:val="Normal"/>
    <w:next w:val="Normal"/>
    <w:link w:val="SCCCounselNameChar"/>
    <w:rsid w:val="00962C82"/>
    <w:rPr>
      <w:i/>
    </w:rPr>
  </w:style>
  <w:style w:type="character" w:customStyle="1" w:styleId="SCCCounselNameChar">
    <w:name w:val="SCC.CounselName Char"/>
    <w:basedOn w:val="DefaultParagraphFont"/>
    <w:link w:val="SCCCounselName"/>
    <w:rsid w:val="00962C82"/>
    <w:rPr>
      <w:rFonts w:eastAsia="Times New Roman" w:cs="Times New Roman"/>
      <w:i/>
      <w:szCs w:val="20"/>
      <w:lang w:val="en-CA" w:eastAsia="en-CA"/>
    </w:rPr>
  </w:style>
  <w:style w:type="paragraph" w:customStyle="1" w:styleId="SCCCounselSeparator">
    <w:name w:val="SCC.CounselSeparator"/>
    <w:basedOn w:val="Normal"/>
    <w:next w:val="Normal"/>
    <w:link w:val="SCCCounselSeparatorChar"/>
    <w:rsid w:val="00962C82"/>
  </w:style>
  <w:style w:type="character" w:customStyle="1" w:styleId="SCCCounselSeparatorChar">
    <w:name w:val="SCC.CounselSeparator Char"/>
    <w:basedOn w:val="DefaultParagraphFont"/>
    <w:link w:val="SCCCounselSeparator"/>
    <w:rsid w:val="00962C82"/>
    <w:rPr>
      <w:rFonts w:eastAsia="Times New Roman" w:cs="Times New Roman"/>
      <w:szCs w:val="20"/>
      <w:lang w:val="en-CA" w:eastAsia="en-CA"/>
    </w:rPr>
  </w:style>
  <w:style w:type="paragraph" w:customStyle="1" w:styleId="SCCCounselPartyRole">
    <w:name w:val="SCC.CounselPartyRole"/>
    <w:basedOn w:val="Normal"/>
    <w:next w:val="Normal"/>
    <w:link w:val="SCCCounselPartyRoleChar"/>
    <w:rsid w:val="00962C82"/>
  </w:style>
  <w:style w:type="character" w:customStyle="1" w:styleId="SCCCounselPartyRoleChar">
    <w:name w:val="SCC.CounselPartyRole Char"/>
    <w:basedOn w:val="DefaultParagraphFont"/>
    <w:link w:val="SCCCounselPartyRole"/>
    <w:rsid w:val="00962C82"/>
    <w:rPr>
      <w:rFonts w:eastAsia="Times New Roman" w:cs="Times New Roman"/>
      <w:szCs w:val="20"/>
      <w:lang w:val="en-CA" w:eastAsia="en-CA"/>
    </w:rPr>
  </w:style>
  <w:style w:type="paragraph" w:customStyle="1" w:styleId="SCCBold">
    <w:name w:val="SCC.Bold"/>
    <w:basedOn w:val="Normal"/>
    <w:next w:val="Normal"/>
    <w:rsid w:val="005D2CFA"/>
    <w:rPr>
      <w:b/>
    </w:rPr>
  </w:style>
  <w:style w:type="paragraph" w:customStyle="1" w:styleId="SCCReasonsTitle">
    <w:name w:val="SCC.ReasonsTitle"/>
    <w:basedOn w:val="Normal"/>
    <w:next w:val="Normal"/>
    <w:link w:val="SCCReasonsTitleChar"/>
    <w:qFormat/>
    <w:rsid w:val="00076773"/>
    <w:rPr>
      <w:b/>
    </w:rPr>
  </w:style>
  <w:style w:type="character" w:customStyle="1" w:styleId="SCCReasonsTitleChar">
    <w:name w:val="SCC.ReasonsTitle Char"/>
    <w:basedOn w:val="DefaultParagraphFont"/>
    <w:link w:val="SCCReasonsTitle"/>
    <w:rsid w:val="001B27ED"/>
    <w:rPr>
      <w:b/>
      <w:lang w:val="en-CA"/>
    </w:rPr>
  </w:style>
  <w:style w:type="character" w:styleId="Hyperlink">
    <w:name w:val="Hyperlink"/>
    <w:basedOn w:val="DefaultParagraphFont"/>
    <w:uiPriority w:val="99"/>
    <w:unhideWhenUsed/>
    <w:rsid w:val="00AE0E44"/>
    <w:rPr>
      <w:color w:val="66000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32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lii.ca/t/jppm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D2B95-7567-4645-AF20-00A93ECB5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947</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2023-12-13T13:53:00Z</dcterms:created>
  <dcterms:modified xsi:type="dcterms:W3CDTF">2024-07-05T14:25:00Z</dcterms:modified>
</cp:coreProperties>
</file>