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69"/>
        <w:gridCol w:w="1561"/>
        <w:gridCol w:w="1439"/>
        <w:gridCol w:w="3945"/>
      </w:tblGrid>
      <w:tr w:rsidR="00EF72F1" w:rsidRPr="000B1A13" w:rsidTr="009B58B8">
        <w:trPr>
          <w:trHeight w:val="2103"/>
        </w:trPr>
        <w:tc>
          <w:tcPr>
            <w:tcW w:w="5000" w:type="pct"/>
            <w:gridSpan w:val="4"/>
          </w:tcPr>
          <w:p w:rsidR="00EF72F1" w:rsidRPr="000B1A13" w:rsidRDefault="00EF72F1" w:rsidP="001F3E0C">
            <w:pPr>
              <w:pStyle w:val="SCCBold"/>
              <w:jc w:val="center"/>
            </w:pPr>
            <w:r w:rsidRPr="000B1A13">
              <w:rPr>
                <w:noProof/>
                <w:lang w:val="fr-CA" w:eastAsia="fr-CA"/>
              </w:rPr>
              <w:drawing>
                <wp:inline distT="0" distB="0" distL="0" distR="0" wp14:anchorId="1B25E650" wp14:editId="180151F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EF72F1" w:rsidRPr="000B1A13" w:rsidRDefault="00EF72F1" w:rsidP="009764CA">
            <w:pPr>
              <w:spacing w:before="120" w:after="100" w:afterAutospacing="1"/>
              <w:jc w:val="center"/>
              <w:rPr>
                <w:rFonts w:eastAsia="Calibri"/>
              </w:rPr>
            </w:pPr>
            <w:r w:rsidRPr="000B1A13">
              <w:rPr>
                <w:rFonts w:eastAsia="Calibri"/>
                <w:b/>
              </w:rPr>
              <w:t>SUPREME COURT OF CANADA</w:t>
            </w:r>
          </w:p>
        </w:tc>
      </w:tr>
      <w:tr w:rsidR="00EF72F1" w:rsidRPr="000B1A13" w:rsidTr="009B58B8">
        <w:tblPrEx>
          <w:tblCellMar>
            <w:top w:w="58" w:type="dxa"/>
            <w:left w:w="58" w:type="dxa"/>
            <w:bottom w:w="58" w:type="dxa"/>
            <w:right w:w="58" w:type="dxa"/>
          </w:tblCellMar>
        </w:tblPrEx>
        <w:trPr>
          <w:cantSplit/>
        </w:trPr>
        <w:tc>
          <w:tcPr>
            <w:tcW w:w="2078" w:type="pct"/>
            <w:gridSpan w:val="2"/>
          </w:tcPr>
          <w:p w:rsidR="00EF72F1" w:rsidRPr="000B1A13" w:rsidRDefault="00EF72F1" w:rsidP="00FC2782">
            <w:pPr>
              <w:rPr>
                <w:b/>
                <w:smallCaps/>
              </w:rPr>
            </w:pPr>
          </w:p>
          <w:p w:rsidR="00EF72F1" w:rsidRPr="000B1A13" w:rsidRDefault="00EF72F1" w:rsidP="00FC2782">
            <w:pPr>
              <w:rPr>
                <w:b/>
                <w:smallCaps/>
              </w:rPr>
            </w:pPr>
            <w:r w:rsidRPr="000B1A13">
              <w:rPr>
                <w:b/>
                <w:smallCaps/>
              </w:rPr>
              <w:t>Citation:</w:t>
            </w:r>
            <w:r w:rsidRPr="000B1A13">
              <w:t xml:space="preserve"> </w:t>
            </w:r>
            <w:bookmarkStart w:id="0" w:name="_MailEndCompose"/>
            <w:r w:rsidR="003A6F9B" w:rsidRPr="000B1A13">
              <w:t xml:space="preserve">R. </w:t>
            </w:r>
            <w:r w:rsidR="003A6F9B" w:rsidRPr="000B1A13">
              <w:rPr>
                <w:i/>
              </w:rPr>
              <w:t>v.</w:t>
            </w:r>
            <w:r w:rsidR="003A6F9B" w:rsidRPr="000B1A13">
              <w:t xml:space="preserve"> Lawlor, 2023 SCC 34</w:t>
            </w:r>
            <w:bookmarkEnd w:id="0"/>
          </w:p>
        </w:tc>
        <w:tc>
          <w:tcPr>
            <w:tcW w:w="781" w:type="pct"/>
          </w:tcPr>
          <w:p w:rsidR="00EF72F1" w:rsidRPr="000B1A13" w:rsidRDefault="00EF72F1" w:rsidP="00FC2782"/>
        </w:tc>
        <w:tc>
          <w:tcPr>
            <w:tcW w:w="2141" w:type="pct"/>
          </w:tcPr>
          <w:p w:rsidR="00EF72F1" w:rsidRPr="000B1A13" w:rsidRDefault="00EF72F1" w:rsidP="00451668">
            <w:pPr>
              <w:rPr>
                <w:b/>
                <w:smallCaps/>
              </w:rPr>
            </w:pPr>
          </w:p>
          <w:p w:rsidR="00EF72F1" w:rsidRPr="000B1A13" w:rsidRDefault="00EF72F1" w:rsidP="00EA6DB9">
            <w:pPr>
              <w:jc w:val="both"/>
            </w:pPr>
            <w:r w:rsidRPr="000B1A13">
              <w:rPr>
                <w:b/>
                <w:smallCaps/>
              </w:rPr>
              <w:t>Appeal Heard:</w:t>
            </w:r>
            <w:r w:rsidRPr="000B1A13">
              <w:t xml:space="preserve"> </w:t>
            </w:r>
            <w:r w:rsidR="003A6F9B" w:rsidRPr="000B1A13">
              <w:t>December 15, 2023</w:t>
            </w:r>
          </w:p>
          <w:p w:rsidR="00EF72F1" w:rsidRPr="000B1A13" w:rsidRDefault="00EF72F1">
            <w:r w:rsidRPr="000B1A13">
              <w:rPr>
                <w:b/>
                <w:smallCaps/>
              </w:rPr>
              <w:t>Judgment Rendered:</w:t>
            </w:r>
            <w:r w:rsidRPr="000B1A13">
              <w:t xml:space="preserve"> </w:t>
            </w:r>
            <w:r w:rsidR="003A6F9B" w:rsidRPr="000B1A13">
              <w:t>December 15, 2023</w:t>
            </w:r>
          </w:p>
          <w:p w:rsidR="00EF72F1" w:rsidRPr="000B1A13" w:rsidRDefault="00EF72F1" w:rsidP="00540106">
            <w:r w:rsidRPr="000B1A13">
              <w:rPr>
                <w:b/>
                <w:smallCaps/>
              </w:rPr>
              <w:t>Docket:</w:t>
            </w:r>
            <w:r w:rsidRPr="000B1A13">
              <w:t xml:space="preserve"> 40500</w:t>
            </w:r>
          </w:p>
        </w:tc>
      </w:tr>
      <w:tr w:rsidR="00EF72F1" w:rsidRPr="000B1A13" w:rsidTr="009B58B8">
        <w:tblPrEx>
          <w:tblCellMar>
            <w:top w:w="58" w:type="dxa"/>
            <w:left w:w="58" w:type="dxa"/>
            <w:bottom w:w="58" w:type="dxa"/>
            <w:right w:w="58" w:type="dxa"/>
          </w:tblCellMar>
        </w:tblPrEx>
        <w:trPr>
          <w:cantSplit/>
        </w:trPr>
        <w:tc>
          <w:tcPr>
            <w:tcW w:w="5000" w:type="pct"/>
            <w:gridSpan w:val="4"/>
          </w:tcPr>
          <w:p w:rsidR="00EF72F1" w:rsidRPr="000B1A13" w:rsidRDefault="00EF72F1" w:rsidP="00EF72F1"/>
          <w:p w:rsidR="00856016" w:rsidRPr="000B1A13" w:rsidRDefault="00DB41AA">
            <w:pPr>
              <w:pStyle w:val="SCCLsocPrefix"/>
            </w:pPr>
            <w:r w:rsidRPr="000B1A13">
              <w:t>Between:</w:t>
            </w:r>
          </w:p>
          <w:p w:rsidR="003A6F9B" w:rsidRPr="000B1A13" w:rsidRDefault="003A6F9B" w:rsidP="003A6F9B"/>
          <w:p w:rsidR="00856016" w:rsidRPr="000B1A13" w:rsidRDefault="00DB41AA">
            <w:pPr>
              <w:pStyle w:val="SCCLsocParty"/>
            </w:pPr>
            <w:r w:rsidRPr="000B1A13">
              <w:t>Derrick Michael Lawlor</w:t>
            </w:r>
          </w:p>
          <w:p w:rsidR="00856016" w:rsidRPr="000B1A13" w:rsidRDefault="00DB41AA">
            <w:pPr>
              <w:pStyle w:val="SCCLsocPartyRole"/>
            </w:pPr>
            <w:r w:rsidRPr="000B1A13">
              <w:t>Appellant</w:t>
            </w:r>
          </w:p>
          <w:p w:rsidR="00856016" w:rsidRPr="000B1A13" w:rsidRDefault="00856016"/>
          <w:p w:rsidR="00856016" w:rsidRPr="000B1A13" w:rsidRDefault="003A6F9B">
            <w:pPr>
              <w:pStyle w:val="SCCLsocVersus"/>
            </w:pPr>
            <w:r w:rsidRPr="000B1A13">
              <w:t>and</w:t>
            </w:r>
          </w:p>
          <w:p w:rsidR="00856016" w:rsidRPr="000B1A13" w:rsidRDefault="00856016"/>
          <w:p w:rsidR="00856016" w:rsidRPr="000B1A13" w:rsidRDefault="003A6F9B">
            <w:pPr>
              <w:pStyle w:val="SCCLsocParty"/>
            </w:pPr>
            <w:r w:rsidRPr="000B1A13">
              <w:t>His Majesty T</w:t>
            </w:r>
            <w:r w:rsidR="00DB41AA" w:rsidRPr="000B1A13">
              <w:t>he King</w:t>
            </w:r>
          </w:p>
          <w:p w:rsidR="00856016" w:rsidRPr="000B1A13" w:rsidRDefault="00DB41AA">
            <w:pPr>
              <w:pStyle w:val="SCCLsocPartyRole"/>
            </w:pPr>
            <w:r w:rsidRPr="000B1A13">
              <w:t>Respondent</w:t>
            </w:r>
          </w:p>
          <w:p w:rsidR="00843369" w:rsidRPr="000B1A13" w:rsidRDefault="00843369" w:rsidP="00EF72F1"/>
          <w:p w:rsidR="00EF72F1" w:rsidRPr="000B1A13" w:rsidRDefault="00EF72F1" w:rsidP="00EF72F1">
            <w:pPr>
              <w:jc w:val="center"/>
              <w:rPr>
                <w:b/>
                <w:smallCaps/>
              </w:rPr>
            </w:pPr>
          </w:p>
          <w:p w:rsidR="00EF72F1" w:rsidRPr="000B1A13" w:rsidRDefault="00EF72F1" w:rsidP="00EF72F1"/>
          <w:p w:rsidR="00EF72F1" w:rsidRPr="000B1A13" w:rsidRDefault="00EF72F1" w:rsidP="00EF72F1">
            <w:r w:rsidRPr="000B1A13">
              <w:rPr>
                <w:b/>
                <w:smallCaps/>
              </w:rPr>
              <w:t>Coram:</w:t>
            </w:r>
            <w:r w:rsidRPr="000B1A13">
              <w:t xml:space="preserve"> Rowe, Martin, Kasirer, O’Bonsawin and Moreau JJ.</w:t>
            </w:r>
          </w:p>
          <w:p w:rsidR="00EF72F1" w:rsidRPr="000B1A13" w:rsidRDefault="00EF72F1" w:rsidP="00451668">
            <w:pPr>
              <w:rPr>
                <w:b/>
                <w:smallCaps/>
              </w:rPr>
            </w:pPr>
          </w:p>
        </w:tc>
      </w:tr>
      <w:tr w:rsidR="004E69EC" w:rsidRPr="000B1A13" w:rsidTr="002C1DA9">
        <w:tblPrEx>
          <w:tblCellMar>
            <w:top w:w="58" w:type="dxa"/>
            <w:left w:w="58" w:type="dxa"/>
            <w:bottom w:w="58" w:type="dxa"/>
            <w:right w:w="58" w:type="dxa"/>
          </w:tblCellMar>
        </w:tblPrEx>
        <w:trPr>
          <w:cantSplit/>
        </w:trPr>
        <w:tc>
          <w:tcPr>
            <w:tcW w:w="1231" w:type="pct"/>
          </w:tcPr>
          <w:p w:rsidR="003A6F9B" w:rsidRPr="000B1A13" w:rsidRDefault="003A6F9B" w:rsidP="003A6F9B">
            <w:pPr>
              <w:rPr>
                <w:smallCaps/>
              </w:rPr>
            </w:pPr>
            <w:r w:rsidRPr="000B1A13">
              <w:rPr>
                <w:b/>
                <w:smallCaps/>
              </w:rPr>
              <w:t>Judgment Read By:</w:t>
            </w:r>
          </w:p>
          <w:p w:rsidR="004E69EC" w:rsidRPr="000B1A13" w:rsidRDefault="003A6F9B" w:rsidP="003A6F9B">
            <w:r w:rsidRPr="000B1A13">
              <w:t xml:space="preserve">(paras. 1 to </w:t>
            </w:r>
            <w:r w:rsidR="0018693D" w:rsidRPr="000B1A13">
              <w:t>5</w:t>
            </w:r>
            <w:r w:rsidRPr="000B1A13">
              <w:t>)</w:t>
            </w:r>
          </w:p>
          <w:p w:rsidR="003A6F9B" w:rsidRPr="000B1A13" w:rsidRDefault="003A6F9B" w:rsidP="003A6F9B"/>
        </w:tc>
        <w:tc>
          <w:tcPr>
            <w:tcW w:w="3769" w:type="pct"/>
            <w:gridSpan w:val="3"/>
          </w:tcPr>
          <w:p w:rsidR="004E69EC" w:rsidRPr="000B1A13" w:rsidRDefault="003A6F9B">
            <w:r w:rsidRPr="000B1A13">
              <w:t>O’Bonsawin J.</w:t>
            </w:r>
          </w:p>
        </w:tc>
      </w:tr>
      <w:tr w:rsidR="003A6F9B" w:rsidRPr="000B1A13" w:rsidTr="002C1DA9">
        <w:tblPrEx>
          <w:tblCellMar>
            <w:top w:w="58" w:type="dxa"/>
            <w:left w:w="58" w:type="dxa"/>
            <w:bottom w:w="58" w:type="dxa"/>
            <w:right w:w="58" w:type="dxa"/>
          </w:tblCellMar>
        </w:tblPrEx>
        <w:trPr>
          <w:cantSplit/>
        </w:trPr>
        <w:tc>
          <w:tcPr>
            <w:tcW w:w="1231" w:type="pct"/>
          </w:tcPr>
          <w:p w:rsidR="003A6F9B" w:rsidRPr="000B1A13" w:rsidRDefault="003A6F9B" w:rsidP="003A6F9B">
            <w:pPr>
              <w:rPr>
                <w:b/>
                <w:smallCaps/>
              </w:rPr>
            </w:pPr>
            <w:r w:rsidRPr="000B1A13">
              <w:rPr>
                <w:b/>
                <w:smallCaps/>
              </w:rPr>
              <w:t>Dissent Read By:</w:t>
            </w:r>
          </w:p>
          <w:p w:rsidR="003A6F9B" w:rsidRPr="000B1A13" w:rsidRDefault="003A6F9B" w:rsidP="003A6F9B">
            <w:r w:rsidRPr="000B1A13">
              <w:t>(paras. </w:t>
            </w:r>
            <w:r w:rsidR="0018693D" w:rsidRPr="000B1A13">
              <w:t>6</w:t>
            </w:r>
            <w:r w:rsidRPr="000B1A13">
              <w:t xml:space="preserve"> to </w:t>
            </w:r>
            <w:r w:rsidR="0018693D" w:rsidRPr="000B1A13">
              <w:t>8</w:t>
            </w:r>
            <w:r w:rsidRPr="000B1A13">
              <w:t>)</w:t>
            </w:r>
          </w:p>
          <w:p w:rsidR="003A6F9B" w:rsidRPr="000B1A13" w:rsidRDefault="003A6F9B" w:rsidP="003A6F9B">
            <w:pPr>
              <w:rPr>
                <w:smallCaps/>
              </w:rPr>
            </w:pPr>
          </w:p>
        </w:tc>
        <w:tc>
          <w:tcPr>
            <w:tcW w:w="3769" w:type="pct"/>
            <w:gridSpan w:val="3"/>
          </w:tcPr>
          <w:p w:rsidR="003A6F9B" w:rsidRPr="000B1A13" w:rsidRDefault="003A6F9B">
            <w:r w:rsidRPr="000B1A13">
              <w:t>Kasirer J.</w:t>
            </w:r>
          </w:p>
        </w:tc>
      </w:tr>
      <w:tr w:rsidR="003A6F9B" w:rsidRPr="000B1A13" w:rsidTr="002C1DA9">
        <w:tblPrEx>
          <w:tblCellMar>
            <w:top w:w="58" w:type="dxa"/>
            <w:left w:w="58" w:type="dxa"/>
            <w:bottom w:w="58" w:type="dxa"/>
            <w:right w:w="58" w:type="dxa"/>
          </w:tblCellMar>
        </w:tblPrEx>
        <w:trPr>
          <w:cantSplit/>
        </w:trPr>
        <w:tc>
          <w:tcPr>
            <w:tcW w:w="1231" w:type="pct"/>
          </w:tcPr>
          <w:p w:rsidR="003A6F9B" w:rsidRPr="000B1A13" w:rsidRDefault="003A6F9B" w:rsidP="003A6F9B">
            <w:pPr>
              <w:rPr>
                <w:b/>
                <w:smallCaps/>
              </w:rPr>
            </w:pPr>
            <w:r w:rsidRPr="000B1A13">
              <w:rPr>
                <w:b/>
                <w:smallCaps/>
              </w:rPr>
              <w:t>Majority:</w:t>
            </w:r>
          </w:p>
          <w:p w:rsidR="003A6F9B" w:rsidRPr="000B1A13" w:rsidRDefault="003A6F9B" w:rsidP="003A6F9B">
            <w:pPr>
              <w:rPr>
                <w:b/>
                <w:smallCaps/>
              </w:rPr>
            </w:pPr>
          </w:p>
        </w:tc>
        <w:tc>
          <w:tcPr>
            <w:tcW w:w="3769" w:type="pct"/>
            <w:gridSpan w:val="3"/>
          </w:tcPr>
          <w:p w:rsidR="003A6F9B" w:rsidRPr="000B1A13" w:rsidRDefault="003A6F9B" w:rsidP="003A6F9B">
            <w:r w:rsidRPr="000B1A13">
              <w:t>Rowe, Martin, O’Bonsawin and Moreau JJ.</w:t>
            </w:r>
          </w:p>
        </w:tc>
      </w:tr>
      <w:tr w:rsidR="003A6F9B" w:rsidRPr="000B1A13" w:rsidTr="002C1DA9">
        <w:tblPrEx>
          <w:tblCellMar>
            <w:top w:w="58" w:type="dxa"/>
            <w:left w:w="58" w:type="dxa"/>
            <w:bottom w:w="58" w:type="dxa"/>
            <w:right w:w="58" w:type="dxa"/>
          </w:tblCellMar>
        </w:tblPrEx>
        <w:trPr>
          <w:cantSplit/>
        </w:trPr>
        <w:tc>
          <w:tcPr>
            <w:tcW w:w="1231" w:type="pct"/>
          </w:tcPr>
          <w:p w:rsidR="003A6F9B" w:rsidRPr="000B1A13" w:rsidRDefault="003A6F9B" w:rsidP="003A6F9B">
            <w:pPr>
              <w:rPr>
                <w:b/>
                <w:smallCaps/>
              </w:rPr>
            </w:pPr>
            <w:r w:rsidRPr="000B1A13">
              <w:rPr>
                <w:b/>
                <w:smallCaps/>
              </w:rPr>
              <w:t>Dissent:</w:t>
            </w:r>
          </w:p>
          <w:p w:rsidR="003A6F9B" w:rsidRPr="000B1A13" w:rsidRDefault="003A6F9B" w:rsidP="003A6F9B">
            <w:pPr>
              <w:rPr>
                <w:b/>
                <w:smallCaps/>
              </w:rPr>
            </w:pPr>
          </w:p>
        </w:tc>
        <w:tc>
          <w:tcPr>
            <w:tcW w:w="3769" w:type="pct"/>
            <w:gridSpan w:val="3"/>
          </w:tcPr>
          <w:p w:rsidR="003A6F9B" w:rsidRPr="000B1A13" w:rsidRDefault="003A6F9B">
            <w:r w:rsidRPr="000B1A13">
              <w:t>Kasirer J.</w:t>
            </w:r>
          </w:p>
        </w:tc>
      </w:tr>
      <w:tr w:rsidR="003A6F9B" w:rsidRPr="000B1A13" w:rsidTr="00A941E1">
        <w:tblPrEx>
          <w:tblCellMar>
            <w:top w:w="58" w:type="dxa"/>
            <w:left w:w="58" w:type="dxa"/>
            <w:bottom w:w="58" w:type="dxa"/>
            <w:right w:w="58" w:type="dxa"/>
          </w:tblCellMar>
        </w:tblPrEx>
        <w:trPr>
          <w:cantSplit/>
        </w:trPr>
        <w:tc>
          <w:tcPr>
            <w:tcW w:w="1" w:type="pct"/>
            <w:gridSpan w:val="4"/>
          </w:tcPr>
          <w:p w:rsidR="003A6F9B" w:rsidRPr="000B1A13" w:rsidRDefault="003A6F9B"/>
        </w:tc>
      </w:tr>
    </w:tbl>
    <w:p w:rsidR="0003087F" w:rsidRPr="000B1A13" w:rsidRDefault="0003087F"/>
    <w:p w:rsidR="00856016" w:rsidRPr="000B1A13" w:rsidRDefault="00856016"/>
    <w:p w:rsidR="001B299D" w:rsidRPr="000B1A13" w:rsidRDefault="001B299D" w:rsidP="001B299D"/>
    <w:p w:rsidR="00904937" w:rsidRPr="000B1A13" w:rsidRDefault="00904937" w:rsidP="00076773">
      <w:pPr>
        <w:pStyle w:val="SCCBold"/>
        <w:rPr>
          <w:b w:val="0"/>
        </w:rPr>
      </w:pPr>
      <w:r w:rsidRPr="000B1A13">
        <w:rPr>
          <w:smallCaps/>
        </w:rPr>
        <w:t>Note:</w:t>
      </w:r>
      <w:r w:rsidRPr="000B1A13">
        <w:t xml:space="preserve"> </w:t>
      </w:r>
      <w:r w:rsidRPr="000B1A13">
        <w:rPr>
          <w:b w:val="0"/>
        </w:rPr>
        <w:t>This do</w:t>
      </w:r>
      <w:r w:rsidR="009E7065" w:rsidRPr="000B1A13">
        <w:rPr>
          <w:b w:val="0"/>
        </w:rPr>
        <w:t>c</w:t>
      </w:r>
      <w:r w:rsidRPr="000B1A13">
        <w:rPr>
          <w:b w:val="0"/>
        </w:rPr>
        <w:t xml:space="preserve">ument is subject to editorial revision before its reproduction in final form in the </w:t>
      </w:r>
      <w:r w:rsidRPr="000B1A13">
        <w:rPr>
          <w:b w:val="0"/>
          <w:i/>
        </w:rPr>
        <w:t>Canada Supreme Court Reports</w:t>
      </w:r>
      <w:r w:rsidRPr="000B1A13">
        <w:rPr>
          <w:b w:val="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744"/>
        <w:gridCol w:w="2808"/>
      </w:tblGrid>
      <w:tr w:rsidR="00087E50" w:rsidRPr="000B1A13" w:rsidTr="003375C9">
        <w:tc>
          <w:tcPr>
            <w:tcW w:w="1500" w:type="pct"/>
            <w:tcMar>
              <w:top w:w="284" w:type="dxa"/>
            </w:tcMar>
          </w:tcPr>
          <w:p w:rsidR="00087E50" w:rsidRPr="000B1A13" w:rsidRDefault="00087E50" w:rsidP="003375C9">
            <w:pPr>
              <w:rPr>
                <w:rFonts w:eastAsia="Calibri"/>
              </w:rPr>
            </w:pPr>
          </w:p>
        </w:tc>
        <w:tc>
          <w:tcPr>
            <w:tcW w:w="2000" w:type="pct"/>
            <w:tcBorders>
              <w:bottom w:val="single" w:sz="4" w:space="0" w:color="auto"/>
            </w:tcBorders>
            <w:tcMar>
              <w:top w:w="284" w:type="dxa"/>
            </w:tcMar>
          </w:tcPr>
          <w:p w:rsidR="00087E50" w:rsidRPr="000B1A13" w:rsidRDefault="00087E50" w:rsidP="003375C9">
            <w:pPr>
              <w:rPr>
                <w:rFonts w:eastAsia="Calibri"/>
              </w:rPr>
            </w:pPr>
          </w:p>
        </w:tc>
        <w:tc>
          <w:tcPr>
            <w:tcW w:w="1500" w:type="pct"/>
            <w:tcMar>
              <w:top w:w="284" w:type="dxa"/>
            </w:tcMar>
          </w:tcPr>
          <w:p w:rsidR="00087E50" w:rsidRPr="000B1A13" w:rsidRDefault="00087E50" w:rsidP="003375C9">
            <w:pPr>
              <w:rPr>
                <w:rFonts w:eastAsia="Calibri"/>
              </w:rPr>
            </w:pPr>
          </w:p>
        </w:tc>
      </w:tr>
    </w:tbl>
    <w:p w:rsidR="000B1A13" w:rsidRDefault="000B1A13"/>
    <w:p w:rsidR="007E346F" w:rsidRPr="000B1A13" w:rsidRDefault="007E346F"/>
    <w:p w:rsidR="007E346F" w:rsidRPr="007E346F" w:rsidRDefault="007E346F" w:rsidP="007E346F">
      <w:pPr>
        <w:tabs>
          <w:tab w:val="right" w:pos="8222"/>
        </w:tabs>
        <w:spacing w:after="720"/>
        <w:rPr>
          <w:rFonts w:eastAsia="Times New Roman" w:cs="Times New Roman"/>
          <w:b/>
          <w:szCs w:val="20"/>
          <w:lang w:eastAsia="en-CA"/>
        </w:rPr>
      </w:pPr>
      <w:r w:rsidRPr="007E346F">
        <w:rPr>
          <w:rFonts w:eastAsia="Times New Roman" w:cs="Times New Roman"/>
          <w:b/>
          <w:szCs w:val="20"/>
          <w:lang w:eastAsia="en-CA"/>
        </w:rPr>
        <w:t>Derrick Michael Lawlor</w:t>
      </w:r>
      <w:r w:rsidRPr="007E346F">
        <w:rPr>
          <w:rFonts w:eastAsia="Times New Roman" w:cs="Times New Roman"/>
          <w:i/>
          <w:szCs w:val="20"/>
          <w:lang w:eastAsia="en-CA"/>
        </w:rPr>
        <w:tab/>
        <w:t>Appellant</w:t>
      </w:r>
    </w:p>
    <w:p w:rsidR="007E346F" w:rsidRPr="007E346F" w:rsidRDefault="007E346F" w:rsidP="007E346F">
      <w:pPr>
        <w:spacing w:after="720"/>
        <w:rPr>
          <w:rFonts w:eastAsia="Times New Roman" w:cs="Times New Roman"/>
          <w:i/>
          <w:szCs w:val="20"/>
          <w:lang w:eastAsia="en-CA"/>
        </w:rPr>
      </w:pPr>
      <w:r w:rsidRPr="007E346F">
        <w:rPr>
          <w:rFonts w:eastAsia="Times New Roman" w:cs="Times New Roman"/>
          <w:i/>
          <w:szCs w:val="20"/>
          <w:lang w:eastAsia="en-CA"/>
        </w:rPr>
        <w:t>v.</w:t>
      </w:r>
    </w:p>
    <w:p w:rsidR="007E346F" w:rsidRPr="007E346F" w:rsidRDefault="007E346F" w:rsidP="007E346F">
      <w:pPr>
        <w:tabs>
          <w:tab w:val="right" w:pos="8222"/>
        </w:tabs>
        <w:spacing w:after="720"/>
        <w:rPr>
          <w:rFonts w:eastAsia="Times New Roman" w:cs="Times New Roman"/>
          <w:b/>
          <w:szCs w:val="20"/>
          <w:lang w:eastAsia="en-CA"/>
        </w:rPr>
      </w:pPr>
      <w:r w:rsidRPr="007E346F">
        <w:rPr>
          <w:rFonts w:eastAsia="Times New Roman" w:cs="Times New Roman"/>
          <w:b/>
          <w:szCs w:val="20"/>
          <w:lang w:eastAsia="en-CA"/>
        </w:rPr>
        <w:t>His Majesty The King</w:t>
      </w:r>
      <w:r w:rsidRPr="007E346F">
        <w:rPr>
          <w:rFonts w:eastAsia="Times New Roman" w:cs="Times New Roman"/>
          <w:i/>
          <w:szCs w:val="20"/>
          <w:lang w:eastAsia="en-CA"/>
        </w:rPr>
        <w:tab/>
        <w:t>Respondent</w:t>
      </w:r>
    </w:p>
    <w:p w:rsidR="007E346F" w:rsidRPr="007E346F" w:rsidRDefault="007E346F" w:rsidP="007E346F">
      <w:pPr>
        <w:spacing w:after="720"/>
        <w:jc w:val="both"/>
        <w:rPr>
          <w:rFonts w:eastAsia="Times New Roman" w:cs="Times New Roman"/>
          <w:b/>
          <w:szCs w:val="20"/>
          <w:lang w:eastAsia="en-CA"/>
        </w:rPr>
      </w:pPr>
      <w:r w:rsidRPr="007E346F">
        <w:rPr>
          <w:rFonts w:eastAsia="Times New Roman" w:cs="Times New Roman"/>
          <w:b/>
          <w:szCs w:val="20"/>
          <w:lang w:eastAsia="en-CA"/>
        </w:rPr>
        <w:t xml:space="preserve">Indexed as: R. </w:t>
      </w:r>
      <w:r w:rsidRPr="007E346F">
        <w:rPr>
          <w:rFonts w:eastAsia="Times New Roman" w:cs="Times New Roman"/>
          <w:b/>
          <w:i/>
          <w:szCs w:val="20"/>
          <w:lang w:eastAsia="en-CA"/>
        </w:rPr>
        <w:t>v.</w:t>
      </w:r>
      <w:r w:rsidRPr="007E346F">
        <w:rPr>
          <w:rFonts w:eastAsia="Times New Roman" w:cs="Times New Roman"/>
          <w:b/>
          <w:szCs w:val="20"/>
          <w:lang w:eastAsia="en-CA"/>
        </w:rPr>
        <w:t xml:space="preserve"> Lawlor</w:t>
      </w:r>
    </w:p>
    <w:p w:rsidR="007E346F" w:rsidRPr="007E346F" w:rsidRDefault="007E346F" w:rsidP="007E346F">
      <w:pPr>
        <w:spacing w:after="720"/>
        <w:jc w:val="both"/>
        <w:rPr>
          <w:rFonts w:eastAsia="Times New Roman" w:cs="Times New Roman"/>
          <w:b/>
          <w:szCs w:val="20"/>
          <w:lang w:eastAsia="en-CA"/>
        </w:rPr>
      </w:pPr>
      <w:r w:rsidRPr="007E346F">
        <w:rPr>
          <w:rFonts w:eastAsia="Times New Roman" w:cs="Times New Roman"/>
          <w:b/>
          <w:szCs w:val="20"/>
          <w:lang w:eastAsia="en-CA"/>
        </w:rPr>
        <w:t>2023 SCC 34</w:t>
      </w:r>
    </w:p>
    <w:p w:rsidR="007E346F" w:rsidRPr="007E346F" w:rsidRDefault="007E346F" w:rsidP="007E346F">
      <w:pPr>
        <w:spacing w:after="720"/>
        <w:jc w:val="both"/>
        <w:rPr>
          <w:rFonts w:eastAsia="Times New Roman" w:cs="Times New Roman"/>
          <w:szCs w:val="20"/>
          <w:lang w:eastAsia="en-CA"/>
        </w:rPr>
      </w:pPr>
      <w:r w:rsidRPr="007E346F">
        <w:rPr>
          <w:rFonts w:eastAsia="Times New Roman" w:cs="Times New Roman"/>
          <w:szCs w:val="20"/>
          <w:lang w:eastAsia="en-CA"/>
        </w:rPr>
        <w:t>File No.: 40500.</w:t>
      </w:r>
    </w:p>
    <w:p w:rsidR="007E346F" w:rsidRPr="007E346F" w:rsidRDefault="007E346F" w:rsidP="007E346F">
      <w:pPr>
        <w:spacing w:after="720"/>
        <w:jc w:val="both"/>
        <w:rPr>
          <w:rFonts w:eastAsia="Times New Roman" w:cs="Times New Roman"/>
          <w:szCs w:val="20"/>
          <w:lang w:eastAsia="en-CA"/>
        </w:rPr>
      </w:pPr>
      <w:r w:rsidRPr="007E346F">
        <w:rPr>
          <w:rFonts w:eastAsia="Times New Roman" w:cs="Times New Roman"/>
          <w:szCs w:val="20"/>
          <w:lang w:eastAsia="en-CA"/>
        </w:rPr>
        <w:t>2023: December 15.</w:t>
      </w:r>
    </w:p>
    <w:p w:rsidR="007E346F" w:rsidRPr="007E346F" w:rsidRDefault="007E346F" w:rsidP="007E346F">
      <w:pPr>
        <w:spacing w:after="720"/>
        <w:jc w:val="both"/>
        <w:rPr>
          <w:rFonts w:eastAsia="Times New Roman" w:cs="Times New Roman"/>
          <w:szCs w:val="20"/>
          <w:lang w:eastAsia="en-CA"/>
        </w:rPr>
      </w:pPr>
      <w:r w:rsidRPr="007E346F">
        <w:rPr>
          <w:rFonts w:eastAsia="Times New Roman" w:cs="Times New Roman"/>
          <w:szCs w:val="20"/>
          <w:lang w:eastAsia="en-CA"/>
        </w:rPr>
        <w:t>Present: Rowe, Martin, Kasirer, O’Bonsawin and Moreau JJ.</w:t>
      </w:r>
    </w:p>
    <w:p w:rsidR="007E346F" w:rsidRPr="007E346F" w:rsidRDefault="007E346F" w:rsidP="007E346F">
      <w:pPr>
        <w:tabs>
          <w:tab w:val="left" w:pos="1168"/>
        </w:tabs>
        <w:spacing w:after="720"/>
        <w:jc w:val="both"/>
        <w:rPr>
          <w:rFonts w:eastAsia="Times New Roman" w:cs="Times New Roman"/>
          <w:smallCaps/>
          <w:szCs w:val="20"/>
          <w:lang w:eastAsia="en-CA"/>
        </w:rPr>
      </w:pPr>
      <w:r w:rsidRPr="007E346F">
        <w:rPr>
          <w:rFonts w:eastAsia="Times New Roman" w:cs="Times New Roman"/>
          <w:smallCaps/>
          <w:szCs w:val="20"/>
          <w:lang w:eastAsia="en-CA"/>
        </w:rPr>
        <w:t>on appeal from the court of appeal for ontario</w:t>
      </w:r>
    </w:p>
    <w:p w:rsidR="007E346F" w:rsidRPr="007E346F" w:rsidRDefault="007E346F" w:rsidP="007E346F">
      <w:pPr>
        <w:tabs>
          <w:tab w:val="left" w:pos="1168"/>
        </w:tabs>
        <w:spacing w:after="480" w:line="480" w:lineRule="auto"/>
        <w:jc w:val="both"/>
        <w:rPr>
          <w:rFonts w:eastAsia="Times New Roman" w:cs="Times New Roman"/>
          <w:i/>
          <w:szCs w:val="20"/>
          <w:lang w:eastAsia="en-CA"/>
        </w:rPr>
      </w:pPr>
      <w:r w:rsidRPr="007E346F">
        <w:rPr>
          <w:rFonts w:eastAsia="Times New Roman" w:cs="Times New Roman"/>
          <w:szCs w:val="20"/>
          <w:lang w:eastAsia="en-CA"/>
        </w:rPr>
        <w:tab/>
      </w:r>
      <w:r w:rsidRPr="007E346F">
        <w:rPr>
          <w:rFonts w:eastAsia="Times New Roman" w:cs="Times New Roman"/>
          <w:i/>
          <w:szCs w:val="20"/>
          <w:lang w:eastAsia="en-CA"/>
        </w:rPr>
        <w:t>Criminal law — Charge to jury — Evidence — Murder — Intent — Accused’s mental health — Post-offence conduct — Accused convicted of first degree murder by jury — Accused appealing conviction on basis of alleged deficiencies in jury charge — Court of Appeal upholding conviction — Trial judge did not err in failing to provide limiting instruction on permitted use of evidence of accused’s after-the-fact conduct but erred in failing to mention relevance and use of evidence relating to accused’s mental health when instructing jury on element of intent for murder — Conviction set aside and new trial ordered.</w:t>
      </w:r>
    </w:p>
    <w:p w:rsidR="007E346F" w:rsidRPr="007E346F" w:rsidRDefault="007E346F" w:rsidP="007E346F">
      <w:pPr>
        <w:tabs>
          <w:tab w:val="left" w:pos="1168"/>
        </w:tabs>
        <w:spacing w:after="720"/>
        <w:jc w:val="both"/>
        <w:rPr>
          <w:rFonts w:eastAsia="Times New Roman" w:cs="Times New Roman"/>
          <w:b/>
          <w:szCs w:val="20"/>
          <w:lang w:eastAsia="en-CA"/>
        </w:rPr>
      </w:pPr>
      <w:r w:rsidRPr="007E346F">
        <w:rPr>
          <w:rFonts w:eastAsia="Times New Roman" w:cs="Times New Roman"/>
          <w:b/>
          <w:szCs w:val="20"/>
          <w:lang w:eastAsia="en-CA"/>
        </w:rPr>
        <w:t>Cases Cited</w:t>
      </w:r>
    </w:p>
    <w:p w:rsidR="007E346F" w:rsidRPr="007E346F" w:rsidRDefault="007E346F" w:rsidP="007E346F">
      <w:pPr>
        <w:tabs>
          <w:tab w:val="left" w:pos="1168"/>
        </w:tabs>
        <w:spacing w:after="720"/>
        <w:jc w:val="both"/>
        <w:rPr>
          <w:rFonts w:eastAsia="Times New Roman" w:cs="Times New Roman"/>
          <w:szCs w:val="20"/>
          <w:lang w:eastAsia="en-CA"/>
        </w:rPr>
      </w:pPr>
      <w:r w:rsidRPr="007E346F">
        <w:rPr>
          <w:rFonts w:eastAsia="Times New Roman" w:cs="Times New Roman"/>
          <w:szCs w:val="20"/>
          <w:lang w:eastAsia="en-CA"/>
        </w:rPr>
        <w:t>By Kasirer J. (dissenting)</w:t>
      </w:r>
    </w:p>
    <w:p w:rsidR="007E346F" w:rsidRPr="007E346F" w:rsidRDefault="007E346F" w:rsidP="007E346F">
      <w:pPr>
        <w:tabs>
          <w:tab w:val="left" w:pos="1168"/>
        </w:tabs>
        <w:spacing w:after="720"/>
        <w:jc w:val="both"/>
        <w:rPr>
          <w:rFonts w:eastAsia="Times New Roman" w:cs="Times New Roman"/>
          <w:szCs w:val="20"/>
          <w:lang w:eastAsia="en-CA"/>
        </w:rPr>
      </w:pPr>
      <w:r w:rsidRPr="007E346F">
        <w:rPr>
          <w:rFonts w:eastAsia="Times New Roman" w:cs="Times New Roman"/>
          <w:szCs w:val="20"/>
          <w:lang w:eastAsia="en-CA"/>
        </w:rPr>
        <w:tab/>
      </w:r>
      <w:r w:rsidRPr="007E346F">
        <w:rPr>
          <w:rFonts w:eastAsia="Times New Roman" w:cs="Times New Roman"/>
          <w:i/>
          <w:szCs w:val="20"/>
          <w:lang w:eastAsia="en-CA"/>
        </w:rPr>
        <w:t>R. v. Abdullahi</w:t>
      </w:r>
      <w:r w:rsidRPr="007E346F">
        <w:rPr>
          <w:rFonts w:eastAsia="Times New Roman" w:cs="Times New Roman"/>
          <w:szCs w:val="20"/>
          <w:lang w:eastAsia="en-CA"/>
        </w:rPr>
        <w:t>, 2023 SCC 19.</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ab/>
        <w:t xml:space="preserve">APPEAL from a judgment of the Ontario Court of Appeal (van Rensburg, Nordheimer and George JJ.A.), </w:t>
      </w:r>
      <w:hyperlink r:id="rId9" w:history="1">
        <w:r w:rsidRPr="0047791F">
          <w:rPr>
            <w:rStyle w:val="Hyperlink"/>
          </w:rPr>
          <w:t>2022 ONCA 645</w:t>
        </w:r>
      </w:hyperlink>
      <w:r w:rsidRPr="007E346F">
        <w:rPr>
          <w:rFonts w:eastAsia="Times New Roman" w:cs="Times New Roman"/>
          <w:szCs w:val="20"/>
          <w:lang w:eastAsia="en-CA"/>
        </w:rPr>
        <w:t xml:space="preserve">, 418 C.C.C. (3d) </w:t>
      </w:r>
      <w:bookmarkStart w:id="1" w:name="_GoBack"/>
      <w:bookmarkEnd w:id="1"/>
      <w:r w:rsidRPr="007E346F">
        <w:rPr>
          <w:rFonts w:eastAsia="Times New Roman" w:cs="Times New Roman"/>
          <w:szCs w:val="20"/>
          <w:lang w:eastAsia="en-CA"/>
        </w:rPr>
        <w:t>87, [2022] O.J. No. 4053 (Lexis), 2022 CarswellOnt 13061 (WL), affirming the conviction of the accused for first degree murder. Appeal allowed, Kasirer J. dissenting.</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i/>
          <w:szCs w:val="20"/>
          <w:lang w:eastAsia="en-CA"/>
        </w:rPr>
        <w:tab/>
        <w:t>John M. Rosen</w:t>
      </w:r>
      <w:r w:rsidRPr="007E346F">
        <w:rPr>
          <w:rFonts w:eastAsia="Times New Roman" w:cs="Times New Roman"/>
          <w:szCs w:val="20"/>
          <w:lang w:eastAsia="en-CA"/>
        </w:rPr>
        <w:t xml:space="preserve"> and </w:t>
      </w:r>
      <w:r w:rsidRPr="007E346F">
        <w:rPr>
          <w:rFonts w:eastAsia="Times New Roman" w:cs="Times New Roman"/>
          <w:i/>
          <w:szCs w:val="20"/>
          <w:lang w:eastAsia="en-CA"/>
        </w:rPr>
        <w:t>Amy J. Ohler</w:t>
      </w:r>
      <w:r w:rsidRPr="007E346F">
        <w:rPr>
          <w:rFonts w:eastAsia="Times New Roman" w:cs="Times New Roman"/>
          <w:szCs w:val="20"/>
          <w:lang w:eastAsia="en-CA"/>
        </w:rPr>
        <w:t>, for the appellant.</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i/>
          <w:szCs w:val="20"/>
          <w:lang w:eastAsia="en-CA"/>
        </w:rPr>
        <w:tab/>
        <w:t>Benita Wassenaar</w:t>
      </w:r>
      <w:r w:rsidRPr="007E346F">
        <w:rPr>
          <w:rFonts w:eastAsia="Times New Roman" w:cs="Times New Roman"/>
          <w:szCs w:val="20"/>
          <w:lang w:eastAsia="en-CA"/>
        </w:rPr>
        <w:t>, for the respondent.</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ab/>
        <w:t>The judgment of Rowe, Martin, O’Bonsawin and Moreau JJ. was delivered orally by</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[1]</w:t>
      </w:r>
      <w:r w:rsidRPr="007E346F">
        <w:rPr>
          <w:rFonts w:eastAsia="Times New Roman" w:cs="Times New Roman"/>
          <w:szCs w:val="20"/>
          <w:lang w:eastAsia="en-CA"/>
        </w:rPr>
        <w:tab/>
      </w:r>
      <w:r w:rsidRPr="007E346F">
        <w:rPr>
          <w:rFonts w:eastAsia="Times New Roman" w:cs="Times New Roman"/>
          <w:smallCaps/>
          <w:szCs w:val="20"/>
          <w:lang w:eastAsia="en-CA"/>
        </w:rPr>
        <w:t>O’Bonsawin J.</w:t>
      </w:r>
      <w:r w:rsidRPr="007E346F">
        <w:rPr>
          <w:rFonts w:eastAsia="Times New Roman" w:cs="Times New Roman"/>
          <w:szCs w:val="20"/>
          <w:lang w:eastAsia="en-CA"/>
        </w:rPr>
        <w:t xml:space="preserve"> — This is an appeal from </w:t>
      </w:r>
      <w:r w:rsidRPr="007E346F">
        <w:rPr>
          <w:rFonts w:eastAsia="Times New Roman" w:cs="Times New Roman"/>
          <w:i/>
          <w:szCs w:val="20"/>
          <w:lang w:eastAsia="en-CA"/>
        </w:rPr>
        <w:t>R. v. Lawlor</w:t>
      </w:r>
      <w:r w:rsidRPr="007E346F">
        <w:rPr>
          <w:rFonts w:eastAsia="Times New Roman" w:cs="Times New Roman"/>
          <w:szCs w:val="20"/>
          <w:lang w:eastAsia="en-CA"/>
        </w:rPr>
        <w:t>, 2022 ONCA 645, 418 C.C.C. (3d) 87, in which the majority dismissed an appeal by Derrick Lawlor of his conviction for first degree murder by a jury. The majority in the Ontario Court of Appeal dismissed the appeal; Justice Nordheimer would have allowed the appeal and ordered a new trial.</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[2]</w:t>
      </w:r>
      <w:r w:rsidRPr="007E346F">
        <w:rPr>
          <w:rFonts w:eastAsia="Times New Roman" w:cs="Times New Roman"/>
          <w:szCs w:val="20"/>
          <w:lang w:eastAsia="en-CA"/>
        </w:rPr>
        <w:tab/>
        <w:t>Only two grounds of appeal are before this Court. The first is whether the trial judge erred in his instructions to the jury regarding the use of evidence as to the accused’s mental health and the requisite intent for first degree murder. The second relates to evidence of after</w:t>
      </w:r>
      <w:r w:rsidRPr="007E346F">
        <w:rPr>
          <w:rFonts w:eastAsia="Times New Roman" w:cs="Times New Roman"/>
          <w:szCs w:val="20"/>
          <w:lang w:eastAsia="en-CA"/>
        </w:rPr>
        <w:noBreakHyphen/>
        <w:t>the-fact conduct.</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[3]</w:t>
      </w:r>
      <w:r w:rsidRPr="007E346F">
        <w:rPr>
          <w:rFonts w:eastAsia="Times New Roman" w:cs="Times New Roman"/>
          <w:szCs w:val="20"/>
          <w:lang w:eastAsia="en-CA"/>
        </w:rPr>
        <w:tab/>
        <w:t>A majority of this Court would allow the appeal on the ground relating to the requisite intent for murder and for first degree murder, but not on the ground relating to after-the-fact conduct. As to the first ground, we are in substantial agreement with the reasons of Justice Nordheimer. As to the second ground, we are in substantial agreement with the reasons of the Ontario Court of Appeal majority. We would add the following comment.</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[4]</w:t>
      </w:r>
      <w:r w:rsidRPr="007E346F">
        <w:rPr>
          <w:rFonts w:eastAsia="Times New Roman" w:cs="Times New Roman"/>
          <w:szCs w:val="20"/>
          <w:lang w:eastAsia="en-CA"/>
        </w:rPr>
        <w:tab/>
        <w:t>As has been stated on many occasions, and we repeat here, courts need to be mindful of evidence as to mental health where this is relevant to issues of criminal responsibility. This is especially so in instructing a jury, to assist them in the proper use of such evidence.</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[5]</w:t>
      </w:r>
      <w:r w:rsidRPr="007E346F">
        <w:rPr>
          <w:rFonts w:eastAsia="Times New Roman" w:cs="Times New Roman"/>
          <w:szCs w:val="20"/>
          <w:lang w:eastAsia="en-CA"/>
        </w:rPr>
        <w:tab/>
        <w:t>Accordingly, the appeal is allowed, the conviction is set aside and a new trial is ordered.</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ab/>
        <w:t>The following are the reasons delivered orally by</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[6]</w:t>
      </w:r>
      <w:r w:rsidRPr="007E346F">
        <w:rPr>
          <w:rFonts w:eastAsia="Times New Roman" w:cs="Times New Roman"/>
          <w:szCs w:val="20"/>
          <w:lang w:eastAsia="en-CA"/>
        </w:rPr>
        <w:tab/>
      </w:r>
      <w:r w:rsidRPr="007E346F">
        <w:rPr>
          <w:rFonts w:eastAsia="Times New Roman" w:cs="Times New Roman"/>
          <w:smallCaps/>
          <w:szCs w:val="20"/>
          <w:lang w:eastAsia="en-CA"/>
        </w:rPr>
        <w:t>Kasirer J.</w:t>
      </w:r>
      <w:r w:rsidRPr="007E346F">
        <w:rPr>
          <w:rFonts w:eastAsia="Times New Roman" w:cs="Times New Roman"/>
          <w:szCs w:val="20"/>
          <w:lang w:eastAsia="en-CA"/>
        </w:rPr>
        <w:t xml:space="preserve"> — I would dismiss the appeal. I allow myself two observations.</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[7]</w:t>
      </w:r>
      <w:r w:rsidRPr="007E346F">
        <w:rPr>
          <w:rFonts w:eastAsia="Times New Roman" w:cs="Times New Roman"/>
          <w:szCs w:val="20"/>
          <w:lang w:eastAsia="en-CA"/>
        </w:rPr>
        <w:tab/>
        <w:t>First, I agree with my colleagues that courts need to be mindful of mental health evidence in criminal matters, including in instructions to the jury. As the majority in the Court of Appeal wrote, there is no question that evidence of mental health problems may be relevant to issues of intent and planning and deliberation, including in an assessment of the adequacy of a jury charge (see paras. 41 and 44</w:t>
      </w:r>
      <w:r w:rsidRPr="007E346F">
        <w:rPr>
          <w:rFonts w:eastAsia="Times New Roman" w:cs="Times New Roman"/>
          <w:szCs w:val="20"/>
          <w:lang w:eastAsia="en-CA"/>
        </w:rPr>
        <w:noBreakHyphen/>
        <w:t>48).</w:t>
      </w:r>
    </w:p>
    <w:p w:rsidR="007E346F" w:rsidRPr="007E346F" w:rsidRDefault="007E346F" w:rsidP="007E346F">
      <w:pPr>
        <w:tabs>
          <w:tab w:val="left" w:pos="1168"/>
        </w:tabs>
        <w:spacing w:after="480" w:line="480" w:lineRule="auto"/>
        <w:jc w:val="both"/>
        <w:rPr>
          <w:rFonts w:eastAsia="Times New Roman" w:cs="Times New Roman"/>
          <w:szCs w:val="20"/>
          <w:lang w:eastAsia="en-CA"/>
        </w:rPr>
      </w:pPr>
      <w:r w:rsidRPr="007E346F">
        <w:rPr>
          <w:rFonts w:eastAsia="Times New Roman" w:cs="Times New Roman"/>
          <w:szCs w:val="20"/>
          <w:lang w:eastAsia="en-CA"/>
        </w:rPr>
        <w:t>[8]</w:t>
      </w:r>
      <w:r w:rsidRPr="007E346F">
        <w:rPr>
          <w:rFonts w:eastAsia="Times New Roman" w:cs="Times New Roman"/>
          <w:szCs w:val="20"/>
          <w:lang w:eastAsia="en-CA"/>
        </w:rPr>
        <w:tab/>
        <w:t xml:space="preserve">Second, and with the utmost respect for other views, I conclude that the trial judge’s charge properly equipped the jury, in light of all the circumstances, to decide the case according to the exacting standard set forth in </w:t>
      </w:r>
      <w:r w:rsidRPr="007E346F">
        <w:rPr>
          <w:rFonts w:eastAsia="Times New Roman" w:cs="Times New Roman"/>
          <w:i/>
          <w:szCs w:val="20"/>
          <w:lang w:eastAsia="en-CA"/>
        </w:rPr>
        <w:t>R. v. Abdullahi</w:t>
      </w:r>
      <w:r w:rsidRPr="007E346F">
        <w:rPr>
          <w:rFonts w:eastAsia="Times New Roman" w:cs="Times New Roman"/>
          <w:szCs w:val="20"/>
          <w:lang w:eastAsia="en-CA"/>
        </w:rPr>
        <w:t>, 2023 SCC 19. In sum, in respect of both the mental health and the after-the-fact evidence, I see no reviewable errors in the jury charge and, on these points, I would adopt the majority reasons of van Rensburg J.A. as my own, without reserve.</w:t>
      </w:r>
    </w:p>
    <w:p w:rsidR="007E346F" w:rsidRPr="007E346F" w:rsidRDefault="007E346F" w:rsidP="007E346F">
      <w:pPr>
        <w:tabs>
          <w:tab w:val="left" w:pos="1168"/>
        </w:tabs>
        <w:spacing w:after="480" w:line="480" w:lineRule="auto"/>
        <w:jc w:val="both"/>
        <w:rPr>
          <w:rFonts w:eastAsia="Times New Roman" w:cs="Times New Roman"/>
          <w:i/>
          <w:szCs w:val="20"/>
          <w:lang w:eastAsia="en-CA"/>
        </w:rPr>
      </w:pPr>
      <w:r w:rsidRPr="007E346F">
        <w:rPr>
          <w:rFonts w:eastAsia="Times New Roman" w:cs="Times New Roman"/>
          <w:szCs w:val="20"/>
          <w:lang w:eastAsia="en-CA"/>
        </w:rPr>
        <w:tab/>
      </w:r>
      <w:r w:rsidRPr="007E346F">
        <w:rPr>
          <w:rFonts w:eastAsia="Times New Roman" w:cs="Times New Roman"/>
          <w:i/>
          <w:szCs w:val="20"/>
          <w:lang w:eastAsia="en-CA"/>
        </w:rPr>
        <w:t>Judgment accordingly.</w:t>
      </w:r>
    </w:p>
    <w:p w:rsidR="007E346F" w:rsidRPr="007E346F" w:rsidRDefault="007E346F" w:rsidP="007E346F">
      <w:pPr>
        <w:tabs>
          <w:tab w:val="left" w:pos="1168"/>
        </w:tabs>
        <w:spacing w:after="480" w:line="480" w:lineRule="auto"/>
        <w:jc w:val="both"/>
        <w:rPr>
          <w:rFonts w:eastAsia="Times New Roman" w:cs="Times New Roman"/>
          <w:i/>
          <w:szCs w:val="20"/>
          <w:lang w:eastAsia="en-CA"/>
        </w:rPr>
      </w:pPr>
      <w:r w:rsidRPr="007E346F">
        <w:rPr>
          <w:rFonts w:eastAsia="Times New Roman" w:cs="Times New Roman"/>
          <w:i/>
          <w:szCs w:val="20"/>
          <w:lang w:eastAsia="en-CA"/>
        </w:rPr>
        <w:tab/>
        <w:t>Solicitors for the appellant: Rosen &amp; Company, Toronto; Amy J. Ohler, Barrister, Toronto.</w:t>
      </w:r>
    </w:p>
    <w:p w:rsidR="000B1A13" w:rsidRPr="00794EEB" w:rsidRDefault="007E346F" w:rsidP="00E44A13">
      <w:pPr>
        <w:tabs>
          <w:tab w:val="left" w:pos="1168"/>
        </w:tabs>
        <w:spacing w:after="480" w:line="480" w:lineRule="auto"/>
        <w:jc w:val="both"/>
        <w:rPr>
          <w:lang w:val="fr-CA"/>
        </w:rPr>
      </w:pPr>
      <w:r w:rsidRPr="007E346F">
        <w:rPr>
          <w:rFonts w:eastAsia="Times New Roman" w:cs="Times New Roman"/>
          <w:i/>
          <w:szCs w:val="20"/>
          <w:lang w:eastAsia="en-CA"/>
        </w:rPr>
        <w:tab/>
        <w:t>Solicitor for the respondent: Ministry of the Attorney General for Ontario — Crown Law Office — Criminal, Toronto.</w:t>
      </w:r>
    </w:p>
    <w:p w:rsidR="00904937" w:rsidRPr="006B210C" w:rsidRDefault="00904937" w:rsidP="000B1A13">
      <w:pPr>
        <w:jc w:val="center"/>
      </w:pPr>
    </w:p>
    <w:sectPr w:rsidR="00904937" w:rsidRPr="006B210C" w:rsidSect="00F72014">
      <w:pgSz w:w="12240" w:h="15840"/>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E44" w:rsidRDefault="00EF0E44" w:rsidP="00F72014">
      <w:r>
        <w:separator/>
      </w:r>
    </w:p>
  </w:endnote>
  <w:endnote w:type="continuationSeparator" w:id="0">
    <w:p w:rsidR="00EF0E44" w:rsidRDefault="00EF0E44" w:rsidP="00F7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E44" w:rsidRDefault="00EF0E44" w:rsidP="00F72014">
      <w:r>
        <w:separator/>
      </w:r>
    </w:p>
  </w:footnote>
  <w:footnote w:type="continuationSeparator" w:id="0">
    <w:p w:rsidR="00EF0E44" w:rsidRDefault="00EF0E44" w:rsidP="00F720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removePersonalInformation/>
  <w:removeDateAndTime/>
  <w:defaultTabStop w:val="720"/>
  <w:hyphenationZone w:val="425"/>
  <w:drawingGridHorizontalSpacing w:val="12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DA"/>
    <w:rsid w:val="00001315"/>
    <w:rsid w:val="00007F98"/>
    <w:rsid w:val="0003087F"/>
    <w:rsid w:val="00076773"/>
    <w:rsid w:val="00087E50"/>
    <w:rsid w:val="000B1A13"/>
    <w:rsid w:val="001311DA"/>
    <w:rsid w:val="001412E4"/>
    <w:rsid w:val="001648D4"/>
    <w:rsid w:val="0018693D"/>
    <w:rsid w:val="001B0985"/>
    <w:rsid w:val="001B27ED"/>
    <w:rsid w:val="001B299D"/>
    <w:rsid w:val="001D6B8C"/>
    <w:rsid w:val="001F1F83"/>
    <w:rsid w:val="001F3E0C"/>
    <w:rsid w:val="00205C5C"/>
    <w:rsid w:val="00205C5D"/>
    <w:rsid w:val="00246C2C"/>
    <w:rsid w:val="00252460"/>
    <w:rsid w:val="00273D07"/>
    <w:rsid w:val="0028675F"/>
    <w:rsid w:val="00287215"/>
    <w:rsid w:val="002C1DA9"/>
    <w:rsid w:val="002C5A33"/>
    <w:rsid w:val="002D4FC9"/>
    <w:rsid w:val="00307011"/>
    <w:rsid w:val="00355967"/>
    <w:rsid w:val="00384384"/>
    <w:rsid w:val="003A6F9B"/>
    <w:rsid w:val="003B2BE1"/>
    <w:rsid w:val="003B3C63"/>
    <w:rsid w:val="00451668"/>
    <w:rsid w:val="00460AFC"/>
    <w:rsid w:val="0047791F"/>
    <w:rsid w:val="004E69EC"/>
    <w:rsid w:val="004F090E"/>
    <w:rsid w:val="00524C08"/>
    <w:rsid w:val="00540106"/>
    <w:rsid w:val="00564C88"/>
    <w:rsid w:val="00582136"/>
    <w:rsid w:val="005D2CFA"/>
    <w:rsid w:val="005D4801"/>
    <w:rsid w:val="0061259C"/>
    <w:rsid w:val="006B210C"/>
    <w:rsid w:val="00701ABD"/>
    <w:rsid w:val="007740CA"/>
    <w:rsid w:val="007E346F"/>
    <w:rsid w:val="00815561"/>
    <w:rsid w:val="00842677"/>
    <w:rsid w:val="00843369"/>
    <w:rsid w:val="00852D4E"/>
    <w:rsid w:val="00856016"/>
    <w:rsid w:val="00880B14"/>
    <w:rsid w:val="00904937"/>
    <w:rsid w:val="0093524C"/>
    <w:rsid w:val="00962C82"/>
    <w:rsid w:val="00996510"/>
    <w:rsid w:val="0099776C"/>
    <w:rsid w:val="009B58B8"/>
    <w:rsid w:val="009E1B85"/>
    <w:rsid w:val="009E7065"/>
    <w:rsid w:val="00A15427"/>
    <w:rsid w:val="00A32B8C"/>
    <w:rsid w:val="00A51D10"/>
    <w:rsid w:val="00A57778"/>
    <w:rsid w:val="00AB2201"/>
    <w:rsid w:val="00AB2AC3"/>
    <w:rsid w:val="00B10BC6"/>
    <w:rsid w:val="00BC2DFD"/>
    <w:rsid w:val="00BD4217"/>
    <w:rsid w:val="00C003E6"/>
    <w:rsid w:val="00CE17A0"/>
    <w:rsid w:val="00D030DA"/>
    <w:rsid w:val="00D76BDF"/>
    <w:rsid w:val="00DA7B22"/>
    <w:rsid w:val="00DB41AA"/>
    <w:rsid w:val="00DF15D7"/>
    <w:rsid w:val="00E22DBA"/>
    <w:rsid w:val="00E356C7"/>
    <w:rsid w:val="00E44A13"/>
    <w:rsid w:val="00E5364D"/>
    <w:rsid w:val="00E54E6E"/>
    <w:rsid w:val="00E64FA7"/>
    <w:rsid w:val="00E770CB"/>
    <w:rsid w:val="00EA6DB9"/>
    <w:rsid w:val="00EF0E44"/>
    <w:rsid w:val="00EF72F1"/>
    <w:rsid w:val="00F36AF0"/>
    <w:rsid w:val="00F52DF3"/>
    <w:rsid w:val="00F72014"/>
    <w:rsid w:val="00F9518C"/>
    <w:rsid w:val="00FA59EF"/>
    <w:rsid w:val="00FC2782"/>
    <w:rsid w:val="00FC70CB"/>
    <w:rsid w:val="00FE57D3"/>
    <w:rsid w:val="00FE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7E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030DA"/>
    <w:rPr>
      <w:color w:val="808080"/>
    </w:rPr>
  </w:style>
  <w:style w:type="paragraph" w:styleId="BalloonText">
    <w:name w:val="Balloon Text"/>
    <w:basedOn w:val="Normal"/>
    <w:link w:val="BalloonTextChar"/>
    <w:uiPriority w:val="99"/>
    <w:semiHidden/>
    <w:unhideWhenUsed/>
    <w:rsid w:val="00D030DA"/>
    <w:rPr>
      <w:rFonts w:ascii="Tahoma" w:hAnsi="Tahoma" w:cs="Tahoma"/>
      <w:sz w:val="16"/>
      <w:szCs w:val="16"/>
    </w:rPr>
  </w:style>
  <w:style w:type="character" w:customStyle="1" w:styleId="BalloonTextChar">
    <w:name w:val="Balloon Text Char"/>
    <w:basedOn w:val="DefaultParagraphFont"/>
    <w:link w:val="BalloonText"/>
    <w:uiPriority w:val="99"/>
    <w:semiHidden/>
    <w:rsid w:val="00D030DA"/>
    <w:rPr>
      <w:rFonts w:ascii="Tahoma" w:hAnsi="Tahoma" w:cs="Tahoma"/>
      <w:sz w:val="16"/>
      <w:szCs w:val="16"/>
    </w:rPr>
  </w:style>
  <w:style w:type="paragraph" w:styleId="Header">
    <w:name w:val="header"/>
    <w:basedOn w:val="Normal"/>
    <w:link w:val="HeaderChar"/>
    <w:uiPriority w:val="99"/>
    <w:unhideWhenUsed/>
    <w:rsid w:val="00F72014"/>
    <w:pPr>
      <w:tabs>
        <w:tab w:val="center" w:pos="4680"/>
        <w:tab w:val="right" w:pos="9360"/>
      </w:tabs>
    </w:pPr>
  </w:style>
  <w:style w:type="character" w:customStyle="1" w:styleId="HeaderChar">
    <w:name w:val="Header Char"/>
    <w:basedOn w:val="DefaultParagraphFont"/>
    <w:link w:val="Header"/>
    <w:uiPriority w:val="99"/>
    <w:rsid w:val="00F72014"/>
  </w:style>
  <w:style w:type="paragraph" w:styleId="Footer">
    <w:name w:val="footer"/>
    <w:basedOn w:val="Normal"/>
    <w:link w:val="FooterChar"/>
    <w:uiPriority w:val="99"/>
    <w:semiHidden/>
    <w:unhideWhenUsed/>
    <w:rsid w:val="00F72014"/>
    <w:pPr>
      <w:tabs>
        <w:tab w:val="center" w:pos="4680"/>
        <w:tab w:val="right" w:pos="9360"/>
      </w:tabs>
    </w:pPr>
  </w:style>
  <w:style w:type="character" w:customStyle="1" w:styleId="FooterChar">
    <w:name w:val="Footer Char"/>
    <w:basedOn w:val="DefaultParagraphFont"/>
    <w:link w:val="Footer"/>
    <w:uiPriority w:val="99"/>
    <w:semiHidden/>
    <w:rsid w:val="00F72014"/>
  </w:style>
  <w:style w:type="paragraph" w:customStyle="1" w:styleId="SCCRestrictionOnPublicationTitle">
    <w:name w:val="SCC.RestrictionOnPublicationTitle"/>
    <w:basedOn w:val="Normal"/>
    <w:next w:val="Normal"/>
    <w:link w:val="SCCRestrictionOnPublicationTitleChar"/>
    <w:rsid w:val="00252460"/>
    <w:rPr>
      <w:b/>
      <w:smallCaps/>
    </w:rPr>
  </w:style>
  <w:style w:type="character" w:customStyle="1" w:styleId="SCCRestrictionOnPublicationTitleChar">
    <w:name w:val="SCC.RestrictionOnPublicationTitle Char"/>
    <w:basedOn w:val="DefaultParagraphFont"/>
    <w:link w:val="SCCRestrictionOnPublicationTitle"/>
    <w:rsid w:val="00252460"/>
    <w:rPr>
      <w:b/>
      <w:smallCaps/>
      <w:lang w:val="en-CA"/>
    </w:rPr>
  </w:style>
  <w:style w:type="paragraph" w:customStyle="1" w:styleId="SCCRestrictionOnPublicationText">
    <w:name w:val="SCC.RestrictionOnPublicationText"/>
    <w:basedOn w:val="Normal"/>
    <w:next w:val="Normal"/>
    <w:link w:val="SCCRestrictionOnPublicationTextChar"/>
    <w:rsid w:val="00252460"/>
  </w:style>
  <w:style w:type="character" w:customStyle="1" w:styleId="SCCRestrictionOnPublicationTextChar">
    <w:name w:val="SCC.RestrictionOnPublicationText Char"/>
    <w:basedOn w:val="DefaultParagraphFont"/>
    <w:link w:val="SCCRestrictionOnPublicationText"/>
    <w:rsid w:val="00252460"/>
    <w:rPr>
      <w:lang w:val="en-CA"/>
    </w:rPr>
  </w:style>
  <w:style w:type="paragraph" w:customStyle="1" w:styleId="SCCLsocOtherPartyRole">
    <w:name w:val="SCC.Lsoc.OtherPartyRole"/>
    <w:basedOn w:val="Normal"/>
    <w:next w:val="Normal"/>
    <w:link w:val="SCCLsocOtherPartyRoleChar"/>
    <w:rsid w:val="0099776C"/>
    <w:pPr>
      <w:jc w:val="center"/>
    </w:pPr>
  </w:style>
  <w:style w:type="character" w:customStyle="1" w:styleId="SCCLsocOtherPartyRoleChar">
    <w:name w:val="SCC.Lsoc.OtherPartyRole Char"/>
    <w:basedOn w:val="DefaultParagraphFont"/>
    <w:link w:val="SCCLsocOtherPartyRole"/>
    <w:rsid w:val="0099776C"/>
    <w:rPr>
      <w:lang w:val="en-CA"/>
    </w:rPr>
  </w:style>
  <w:style w:type="paragraph" w:customStyle="1" w:styleId="SCCLsocParty">
    <w:name w:val="SCC.Lsoc.Party"/>
    <w:basedOn w:val="Normal"/>
    <w:next w:val="Normal"/>
    <w:link w:val="SCCLsocPartyChar"/>
    <w:rsid w:val="0099776C"/>
    <w:pPr>
      <w:jc w:val="center"/>
    </w:pPr>
    <w:rPr>
      <w:b/>
    </w:rPr>
  </w:style>
  <w:style w:type="character" w:customStyle="1" w:styleId="SCCLsocPartyChar">
    <w:name w:val="SCC.Lsoc.Party Char"/>
    <w:basedOn w:val="DefaultParagraphFont"/>
    <w:link w:val="SCCLsocParty"/>
    <w:rsid w:val="0099776C"/>
    <w:rPr>
      <w:b/>
      <w:lang w:val="en-CA"/>
    </w:rPr>
  </w:style>
  <w:style w:type="paragraph" w:customStyle="1" w:styleId="SCCLsocSubfileSeparator">
    <w:name w:val="SCC.Lsoc.SubfileSeparator"/>
    <w:basedOn w:val="Normal"/>
    <w:next w:val="Normal"/>
    <w:link w:val="SCCLsocSubfileSeparatorChar"/>
    <w:rsid w:val="00FE5ED5"/>
    <w:rPr>
      <w:b/>
      <w:smallCaps/>
    </w:rPr>
  </w:style>
  <w:style w:type="character" w:customStyle="1" w:styleId="SCCLsocSubfileSeparatorChar">
    <w:name w:val="SCC.Lsoc.SubfileSeparator Char"/>
    <w:basedOn w:val="DefaultParagraphFont"/>
    <w:link w:val="SCCLsocSubfileSeparator"/>
    <w:rsid w:val="00FE5ED5"/>
    <w:rPr>
      <w:b/>
      <w:smallCaps/>
      <w:lang w:val="en-CA"/>
    </w:rPr>
  </w:style>
  <w:style w:type="paragraph" w:customStyle="1" w:styleId="SCCLsocVersus">
    <w:name w:val="SCC.Lsoc.Versus"/>
    <w:basedOn w:val="Normal"/>
    <w:next w:val="Normal"/>
    <w:link w:val="SCCLsocVersusChar"/>
    <w:rsid w:val="0099776C"/>
    <w:pPr>
      <w:jc w:val="center"/>
    </w:pPr>
  </w:style>
  <w:style w:type="character" w:customStyle="1" w:styleId="SCCLsocVersusChar">
    <w:name w:val="SCC.Lsoc.Versus Char"/>
    <w:basedOn w:val="DefaultParagraphFont"/>
    <w:link w:val="SCCLsocVersus"/>
    <w:rsid w:val="0099776C"/>
    <w:rPr>
      <w:lang w:val="en-CA"/>
    </w:rPr>
  </w:style>
  <w:style w:type="paragraph" w:customStyle="1" w:styleId="SCCLsocPartyRole">
    <w:name w:val="SCC.Lsoc.PartyRole"/>
    <w:basedOn w:val="Normal"/>
    <w:next w:val="Normal"/>
    <w:link w:val="SCCLsocPartyRoleChar"/>
    <w:rsid w:val="0099776C"/>
    <w:pPr>
      <w:jc w:val="center"/>
    </w:pPr>
  </w:style>
  <w:style w:type="character" w:customStyle="1" w:styleId="SCCLsocPartyRoleChar">
    <w:name w:val="SCC.Lsoc.PartyRole Char"/>
    <w:basedOn w:val="DefaultParagraphFont"/>
    <w:link w:val="SCCLsocPartyRole"/>
    <w:rsid w:val="0099776C"/>
    <w:rPr>
      <w:lang w:val="en-CA"/>
    </w:rPr>
  </w:style>
  <w:style w:type="paragraph" w:customStyle="1" w:styleId="SCCLsocPrefix">
    <w:name w:val="SCC.Lsoc.Prefix"/>
    <w:basedOn w:val="Normal"/>
    <w:next w:val="Normal"/>
    <w:link w:val="SCCLsocPrefixChar"/>
    <w:rsid w:val="00FE5ED5"/>
    <w:rPr>
      <w:b/>
      <w:smallCaps/>
    </w:rPr>
  </w:style>
  <w:style w:type="character" w:customStyle="1" w:styleId="SCCLsocPrefixChar">
    <w:name w:val="SCC.Lsoc.Prefix Char"/>
    <w:basedOn w:val="DefaultParagraphFont"/>
    <w:link w:val="SCCLsocPrefix"/>
    <w:rsid w:val="00FE5ED5"/>
    <w:rPr>
      <w:b/>
      <w:smallCaps/>
      <w:lang w:val="en-CA"/>
    </w:rPr>
  </w:style>
  <w:style w:type="paragraph" w:customStyle="1" w:styleId="SCCHearingJudgmentDatesText">
    <w:name w:val="SCC.HearingJudgmentDatesText"/>
    <w:basedOn w:val="Normal"/>
    <w:next w:val="Normal"/>
    <w:link w:val="SCCHearingJudgmentDatesTextChar"/>
    <w:rsid w:val="00C003E6"/>
  </w:style>
  <w:style w:type="character" w:customStyle="1" w:styleId="SCCHearingJudgmentDatesTextChar">
    <w:name w:val="SCC.HearingJudgmentDatesText Char"/>
    <w:basedOn w:val="DefaultParagraphFont"/>
    <w:link w:val="SCCHearingJudgmentDatesText"/>
    <w:rsid w:val="00C003E6"/>
    <w:rPr>
      <w:lang w:val="en-CA"/>
    </w:rPr>
  </w:style>
  <w:style w:type="paragraph" w:customStyle="1" w:styleId="SCCHearingJudgmentDatesTitle">
    <w:name w:val="SCC.HearingJudgmentDatesTitle"/>
    <w:basedOn w:val="Normal"/>
    <w:next w:val="Normal"/>
    <w:link w:val="SCCHearingJudgmentDatesTitleChar"/>
    <w:rsid w:val="00C003E6"/>
    <w:rPr>
      <w:b/>
      <w:smallCaps/>
    </w:rPr>
  </w:style>
  <w:style w:type="character" w:customStyle="1" w:styleId="SCCHearingJudgmentDatesTitleChar">
    <w:name w:val="SCC.HearingJudgmentDatesTitle Char"/>
    <w:basedOn w:val="DefaultParagraphFont"/>
    <w:link w:val="SCCHearingJudgmentDatesTitle"/>
    <w:rsid w:val="00C003E6"/>
    <w:rPr>
      <w:b/>
      <w:smallCaps/>
      <w:lang w:val="en-CA"/>
    </w:rPr>
  </w:style>
  <w:style w:type="paragraph" w:customStyle="1" w:styleId="SCCLsocOtherPartySeparator">
    <w:name w:val="SCC.Lsoc.OtherPartySeparator"/>
    <w:basedOn w:val="Normal"/>
    <w:next w:val="Normal"/>
    <w:link w:val="SCCLsocOtherPartySeparatorChar"/>
    <w:rsid w:val="002C5A33"/>
    <w:pPr>
      <w:jc w:val="center"/>
    </w:pPr>
  </w:style>
  <w:style w:type="character" w:customStyle="1" w:styleId="SCCLsocOtherPartySeparatorChar">
    <w:name w:val="SCC.Lsoc.OtherPartySeparator Char"/>
    <w:basedOn w:val="DefaultParagraphFont"/>
    <w:link w:val="SCCLsocOtherPartySeparator"/>
    <w:rsid w:val="002C5A33"/>
    <w:rPr>
      <w:lang w:val="en-CA"/>
    </w:rPr>
  </w:style>
  <w:style w:type="paragraph" w:customStyle="1" w:styleId="SCCCounselName">
    <w:name w:val="SCC.CounselName"/>
    <w:basedOn w:val="Normal"/>
    <w:next w:val="Normal"/>
    <w:link w:val="SCCCounselNameChar"/>
    <w:rsid w:val="00962C82"/>
    <w:rPr>
      <w:i/>
    </w:rPr>
  </w:style>
  <w:style w:type="character" w:customStyle="1" w:styleId="SCCCounselNameChar">
    <w:name w:val="SCC.CounselName Char"/>
    <w:basedOn w:val="DefaultParagraphFont"/>
    <w:link w:val="SCCCounselName"/>
    <w:rsid w:val="00962C82"/>
    <w:rPr>
      <w:rFonts w:eastAsia="Times New Roman" w:cs="Times New Roman"/>
      <w:i/>
      <w:szCs w:val="20"/>
      <w:lang w:val="en-CA" w:eastAsia="en-CA"/>
    </w:rPr>
  </w:style>
  <w:style w:type="paragraph" w:customStyle="1" w:styleId="SCCCounselSeparator">
    <w:name w:val="SCC.CounselSeparator"/>
    <w:basedOn w:val="Normal"/>
    <w:next w:val="Normal"/>
    <w:link w:val="SCCCounselSeparatorChar"/>
    <w:rsid w:val="00962C82"/>
  </w:style>
  <w:style w:type="character" w:customStyle="1" w:styleId="SCCCounselSeparatorChar">
    <w:name w:val="SCC.CounselSeparator Char"/>
    <w:basedOn w:val="DefaultParagraphFont"/>
    <w:link w:val="SCCCounselSeparator"/>
    <w:rsid w:val="00962C82"/>
    <w:rPr>
      <w:rFonts w:eastAsia="Times New Roman" w:cs="Times New Roman"/>
      <w:szCs w:val="20"/>
      <w:lang w:val="en-CA" w:eastAsia="en-CA"/>
    </w:rPr>
  </w:style>
  <w:style w:type="paragraph" w:customStyle="1" w:styleId="SCCCounselPartyRole">
    <w:name w:val="SCC.CounselPartyRole"/>
    <w:basedOn w:val="Normal"/>
    <w:next w:val="Normal"/>
    <w:link w:val="SCCCounselPartyRoleChar"/>
    <w:rsid w:val="00962C82"/>
  </w:style>
  <w:style w:type="character" w:customStyle="1" w:styleId="SCCCounselPartyRoleChar">
    <w:name w:val="SCC.CounselPartyRole Char"/>
    <w:basedOn w:val="DefaultParagraphFont"/>
    <w:link w:val="SCCCounselPartyRole"/>
    <w:rsid w:val="00962C82"/>
    <w:rPr>
      <w:rFonts w:eastAsia="Times New Roman" w:cs="Times New Roman"/>
      <w:szCs w:val="20"/>
      <w:lang w:val="en-CA" w:eastAsia="en-CA"/>
    </w:rPr>
  </w:style>
  <w:style w:type="paragraph" w:customStyle="1" w:styleId="SCCBold">
    <w:name w:val="SCC.Bold"/>
    <w:basedOn w:val="Normal"/>
    <w:next w:val="Normal"/>
    <w:rsid w:val="005D2CFA"/>
    <w:rPr>
      <w:b/>
    </w:rPr>
  </w:style>
  <w:style w:type="paragraph" w:customStyle="1" w:styleId="SCCReasonsTitle">
    <w:name w:val="SCC.ReasonsTitle"/>
    <w:basedOn w:val="Normal"/>
    <w:next w:val="Normal"/>
    <w:link w:val="SCCReasonsTitleChar"/>
    <w:qFormat/>
    <w:rsid w:val="00076773"/>
    <w:rPr>
      <w:b/>
    </w:rPr>
  </w:style>
  <w:style w:type="character" w:customStyle="1" w:styleId="SCCReasonsTitleChar">
    <w:name w:val="SCC.ReasonsTitle Char"/>
    <w:basedOn w:val="DefaultParagraphFont"/>
    <w:link w:val="SCCReasonsTitle"/>
    <w:rsid w:val="001B27ED"/>
    <w:rPr>
      <w:b/>
      <w:lang w:val="en-CA"/>
    </w:rPr>
  </w:style>
  <w:style w:type="character" w:styleId="Hyperlink">
    <w:name w:val="Hyperlink"/>
    <w:basedOn w:val="DefaultParagraphFont"/>
    <w:uiPriority w:val="99"/>
    <w:unhideWhenUsed/>
    <w:rsid w:val="0047791F"/>
    <w:rPr>
      <w:color w:val="66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ntariocourts.ca/decisions/2022/2022ONCA064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41815-C6F9-46F2-8A7C-6B3B9203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738</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2023-12-20T19:36:00Z</dcterms:created>
  <dcterms:modified xsi:type="dcterms:W3CDTF">2024-08-12T19:29:00Z</dcterms:modified>
</cp:coreProperties>
</file>