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A16566" w:rsidRPr="00A16566" w14:paraId="057E837E" w14:textId="77777777" w:rsidTr="00045352">
        <w:trPr>
          <w:trHeight w:val="2103"/>
        </w:trPr>
        <w:tc>
          <w:tcPr>
            <w:tcW w:w="5000" w:type="pct"/>
            <w:gridSpan w:val="4"/>
          </w:tcPr>
          <w:p w14:paraId="6DBC2159" w14:textId="77777777" w:rsidR="00A16566" w:rsidRPr="00A16566" w:rsidRDefault="00A16566" w:rsidP="00A16566">
            <w:pPr>
              <w:jc w:val="center"/>
              <w:rPr>
                <w:b/>
              </w:rPr>
            </w:pPr>
            <w:r w:rsidRPr="00A16566">
              <w:rPr>
                <w:b/>
                <w:noProof/>
                <w:lang w:val="fr-CA" w:eastAsia="fr-CA"/>
              </w:rPr>
              <w:drawing>
                <wp:inline distT="0" distB="0" distL="0" distR="0" wp14:anchorId="4E1BA9C4" wp14:editId="164C98CD">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5583F3A" w14:textId="77777777" w:rsidR="00A16566" w:rsidRPr="00A16566" w:rsidRDefault="00A16566" w:rsidP="00A16566">
            <w:pPr>
              <w:spacing w:before="120" w:after="100" w:afterAutospacing="1"/>
              <w:jc w:val="center"/>
            </w:pPr>
            <w:r w:rsidRPr="00A16566">
              <w:rPr>
                <w:b/>
              </w:rPr>
              <w:t>SUPREME COURT OF CANADA</w:t>
            </w:r>
          </w:p>
        </w:tc>
      </w:tr>
      <w:tr w:rsidR="00A16566" w:rsidRPr="00A16566" w14:paraId="5660BBD4" w14:textId="77777777" w:rsidTr="00A16566">
        <w:tblPrEx>
          <w:tblCellMar>
            <w:top w:w="58" w:type="dxa"/>
            <w:left w:w="58" w:type="dxa"/>
            <w:bottom w:w="58" w:type="dxa"/>
            <w:right w:w="58" w:type="dxa"/>
          </w:tblCellMar>
        </w:tblPrEx>
        <w:trPr>
          <w:cantSplit/>
        </w:trPr>
        <w:tc>
          <w:tcPr>
            <w:tcW w:w="2078" w:type="pct"/>
            <w:gridSpan w:val="2"/>
          </w:tcPr>
          <w:p w14:paraId="61873012" w14:textId="77777777" w:rsidR="00A16566" w:rsidRPr="00A16566" w:rsidRDefault="00A16566" w:rsidP="00A16566">
            <w:pPr>
              <w:rPr>
                <w:b/>
                <w:smallCaps/>
              </w:rPr>
            </w:pPr>
          </w:p>
          <w:p w14:paraId="1A4BFE54" w14:textId="77777777" w:rsidR="00A16566" w:rsidRPr="00A16566" w:rsidRDefault="00A16566" w:rsidP="00A16566">
            <w:pPr>
              <w:rPr>
                <w:b/>
                <w:smallCaps/>
              </w:rPr>
            </w:pPr>
            <w:r w:rsidRPr="00A16566">
              <w:rPr>
                <w:b/>
                <w:smallCaps/>
              </w:rPr>
              <w:t>Citation:</w:t>
            </w:r>
            <w:r w:rsidRPr="00A16566">
              <w:t xml:space="preserve"> R. </w:t>
            </w:r>
            <w:r w:rsidRPr="00A16566">
              <w:rPr>
                <w:i/>
              </w:rPr>
              <w:t>v.</w:t>
            </w:r>
            <w:r w:rsidRPr="00A16566">
              <w:t xml:space="preserve"> McGregor, 2023 SCC 4</w:t>
            </w:r>
          </w:p>
        </w:tc>
        <w:tc>
          <w:tcPr>
            <w:tcW w:w="966" w:type="pct"/>
          </w:tcPr>
          <w:p w14:paraId="7068A38C" w14:textId="77777777" w:rsidR="00A16566" w:rsidRPr="00A16566" w:rsidRDefault="00A16566" w:rsidP="00A16566"/>
        </w:tc>
        <w:tc>
          <w:tcPr>
            <w:tcW w:w="1956" w:type="pct"/>
          </w:tcPr>
          <w:p w14:paraId="79571330" w14:textId="77777777" w:rsidR="00A16566" w:rsidRPr="00A16566" w:rsidRDefault="00A16566" w:rsidP="00A16566">
            <w:pPr>
              <w:rPr>
                <w:b/>
                <w:smallCaps/>
              </w:rPr>
            </w:pPr>
          </w:p>
          <w:p w14:paraId="1C8816D8" w14:textId="77777777" w:rsidR="00A16566" w:rsidRPr="00A16566" w:rsidRDefault="00A16566" w:rsidP="00A16566">
            <w:pPr>
              <w:jc w:val="both"/>
            </w:pPr>
            <w:r w:rsidRPr="00A16566">
              <w:rPr>
                <w:b/>
                <w:smallCaps/>
              </w:rPr>
              <w:t>Appeal Heard:</w:t>
            </w:r>
            <w:r w:rsidRPr="00A16566">
              <w:t xml:space="preserve"> May 19, 2022</w:t>
            </w:r>
          </w:p>
          <w:p w14:paraId="2BE1206E" w14:textId="77777777" w:rsidR="00A16566" w:rsidRPr="00A16566" w:rsidRDefault="00A16566" w:rsidP="00A16566">
            <w:r w:rsidRPr="00A16566">
              <w:rPr>
                <w:b/>
                <w:smallCaps/>
              </w:rPr>
              <w:t>Judgment Rendered:</w:t>
            </w:r>
            <w:r w:rsidRPr="00A16566">
              <w:t xml:space="preserve"> February 17, 2023</w:t>
            </w:r>
          </w:p>
          <w:p w14:paraId="76A5EC22" w14:textId="77777777" w:rsidR="00A16566" w:rsidRPr="00A16566" w:rsidRDefault="00A16566" w:rsidP="00A16566">
            <w:r w:rsidRPr="00A16566">
              <w:rPr>
                <w:b/>
                <w:smallCaps/>
              </w:rPr>
              <w:t>Docket:</w:t>
            </w:r>
            <w:r w:rsidRPr="00A16566">
              <w:t xml:space="preserve"> 39543</w:t>
            </w:r>
          </w:p>
        </w:tc>
      </w:tr>
      <w:tr w:rsidR="00A16566" w:rsidRPr="00A16566" w14:paraId="3A5A8997" w14:textId="77777777" w:rsidTr="00045352">
        <w:tblPrEx>
          <w:tblCellMar>
            <w:top w:w="58" w:type="dxa"/>
            <w:left w:w="58" w:type="dxa"/>
            <w:bottom w:w="58" w:type="dxa"/>
            <w:right w:w="58" w:type="dxa"/>
          </w:tblCellMar>
        </w:tblPrEx>
        <w:trPr>
          <w:cantSplit/>
        </w:trPr>
        <w:tc>
          <w:tcPr>
            <w:tcW w:w="5000" w:type="pct"/>
            <w:gridSpan w:val="4"/>
          </w:tcPr>
          <w:p w14:paraId="58128802" w14:textId="77777777" w:rsidR="00A16566" w:rsidRPr="00A16566" w:rsidRDefault="00A16566" w:rsidP="00A16566">
            <w:bookmarkStart w:id="0" w:name="_GoBack" w:colFirst="1" w:colLast="1"/>
          </w:p>
          <w:p w14:paraId="59F8A651" w14:textId="77777777" w:rsidR="00A16566" w:rsidRPr="00A16566" w:rsidRDefault="00A16566" w:rsidP="00A16566">
            <w:pPr>
              <w:rPr>
                <w:b/>
                <w:smallCaps/>
              </w:rPr>
            </w:pPr>
            <w:r w:rsidRPr="00A16566">
              <w:rPr>
                <w:b/>
                <w:smallCaps/>
              </w:rPr>
              <w:t>Between:</w:t>
            </w:r>
          </w:p>
          <w:p w14:paraId="3311595A" w14:textId="77777777" w:rsidR="00A16566" w:rsidRPr="00A16566" w:rsidRDefault="00A16566" w:rsidP="00A16566"/>
          <w:p w14:paraId="3B9DA910" w14:textId="77777777" w:rsidR="00A16566" w:rsidRPr="00A16566" w:rsidRDefault="00A16566" w:rsidP="00A16566">
            <w:pPr>
              <w:jc w:val="center"/>
              <w:rPr>
                <w:b/>
              </w:rPr>
            </w:pPr>
            <w:r w:rsidRPr="00A16566">
              <w:rPr>
                <w:b/>
              </w:rPr>
              <w:t>Corporal C.R. McGregor</w:t>
            </w:r>
          </w:p>
          <w:p w14:paraId="2A6B9CB6" w14:textId="77777777" w:rsidR="00A16566" w:rsidRPr="00A16566" w:rsidRDefault="00A16566" w:rsidP="00A16566">
            <w:pPr>
              <w:jc w:val="center"/>
            </w:pPr>
            <w:r w:rsidRPr="00A16566">
              <w:t>Appellant</w:t>
            </w:r>
          </w:p>
          <w:p w14:paraId="7D67BA0C" w14:textId="77777777" w:rsidR="00A16566" w:rsidRPr="00A16566" w:rsidRDefault="00A16566" w:rsidP="00A16566"/>
          <w:p w14:paraId="0F594697" w14:textId="77777777" w:rsidR="00A16566" w:rsidRPr="00A16566" w:rsidRDefault="00A16566" w:rsidP="00A16566">
            <w:pPr>
              <w:jc w:val="center"/>
            </w:pPr>
            <w:r w:rsidRPr="00A16566">
              <w:t>and</w:t>
            </w:r>
          </w:p>
          <w:p w14:paraId="6EF5B571" w14:textId="77777777" w:rsidR="00A16566" w:rsidRPr="00A16566" w:rsidRDefault="00A16566" w:rsidP="00A16566"/>
          <w:p w14:paraId="633E9ECB" w14:textId="77777777" w:rsidR="00A16566" w:rsidRPr="00A16566" w:rsidRDefault="00A16566" w:rsidP="00A16566">
            <w:pPr>
              <w:jc w:val="center"/>
              <w:rPr>
                <w:b/>
              </w:rPr>
            </w:pPr>
            <w:r w:rsidRPr="00A16566">
              <w:rPr>
                <w:b/>
              </w:rPr>
              <w:t>His Majesty The King</w:t>
            </w:r>
          </w:p>
          <w:p w14:paraId="745EBD91" w14:textId="77777777" w:rsidR="00A16566" w:rsidRPr="00A16566" w:rsidRDefault="00A16566" w:rsidP="00A16566">
            <w:pPr>
              <w:jc w:val="center"/>
            </w:pPr>
            <w:r w:rsidRPr="00A16566">
              <w:t>Respondent</w:t>
            </w:r>
          </w:p>
          <w:p w14:paraId="719B4C20" w14:textId="77777777" w:rsidR="00A16566" w:rsidRPr="00A16566" w:rsidRDefault="00A16566" w:rsidP="00A16566"/>
          <w:p w14:paraId="6DC4498E" w14:textId="77777777" w:rsidR="00A16566" w:rsidRPr="00A16566" w:rsidRDefault="00A16566" w:rsidP="00A16566">
            <w:pPr>
              <w:jc w:val="center"/>
            </w:pPr>
            <w:r w:rsidRPr="00A16566">
              <w:t>- and -</w:t>
            </w:r>
          </w:p>
          <w:p w14:paraId="1E46B603" w14:textId="77777777" w:rsidR="00A16566" w:rsidRPr="00A16566" w:rsidRDefault="00A16566" w:rsidP="00A16566"/>
          <w:p w14:paraId="19C15A73" w14:textId="77777777" w:rsidR="00A16566" w:rsidRPr="00A16566" w:rsidRDefault="00A16566" w:rsidP="00A16566">
            <w:pPr>
              <w:jc w:val="center"/>
              <w:rPr>
                <w:b/>
              </w:rPr>
            </w:pPr>
            <w:r w:rsidRPr="00A16566">
              <w:rPr>
                <w:b/>
              </w:rPr>
              <w:t>Attorney General of Ontario, Canadian Constitution Foundation, British Columbia Civil Liberties Association, Canadian Civil Liberties Association and David Asper Centre for Constitutional Rights</w:t>
            </w:r>
          </w:p>
          <w:p w14:paraId="29B79A96" w14:textId="77777777" w:rsidR="00A16566" w:rsidRPr="00A16566" w:rsidRDefault="00A16566" w:rsidP="00A16566">
            <w:pPr>
              <w:jc w:val="center"/>
            </w:pPr>
            <w:r w:rsidRPr="00A16566">
              <w:t>Interveners</w:t>
            </w:r>
          </w:p>
          <w:p w14:paraId="03B237CD" w14:textId="77777777" w:rsidR="00A16566" w:rsidRPr="00A16566" w:rsidRDefault="00A16566" w:rsidP="00A16566"/>
          <w:p w14:paraId="671355A3" w14:textId="77777777" w:rsidR="00A16566" w:rsidRPr="00A16566" w:rsidRDefault="00A16566" w:rsidP="00A16566">
            <w:pPr>
              <w:jc w:val="center"/>
              <w:rPr>
                <w:b/>
                <w:smallCaps/>
              </w:rPr>
            </w:pPr>
          </w:p>
          <w:p w14:paraId="6BC947D2" w14:textId="77777777" w:rsidR="00A16566" w:rsidRPr="00A16566" w:rsidRDefault="00A16566" w:rsidP="00A16566"/>
          <w:p w14:paraId="23D53BED" w14:textId="2A71522B" w:rsidR="00A16566" w:rsidRPr="00A16566" w:rsidRDefault="00A16566" w:rsidP="00A16566">
            <w:r w:rsidRPr="00A16566">
              <w:rPr>
                <w:b/>
                <w:smallCaps/>
              </w:rPr>
              <w:t>Coram:</w:t>
            </w:r>
            <w:r w:rsidRPr="00A16566">
              <w:t xml:space="preserve"> Wagner </w:t>
            </w:r>
            <w:proofErr w:type="spellStart"/>
            <w:r w:rsidRPr="00A16566">
              <w:t>C.J</w:t>
            </w:r>
            <w:proofErr w:type="spellEnd"/>
            <w:r w:rsidRPr="00A16566">
              <w:t xml:space="preserve">. and </w:t>
            </w:r>
            <w:proofErr w:type="spellStart"/>
            <w:r w:rsidRPr="00A16566">
              <w:t>Moldaver</w:t>
            </w:r>
            <w:proofErr w:type="spellEnd"/>
            <w:r w:rsidRPr="00A16566">
              <w:t xml:space="preserve">, </w:t>
            </w:r>
            <w:proofErr w:type="spellStart"/>
            <w:r w:rsidRPr="00A16566">
              <w:t>Karakatsanis</w:t>
            </w:r>
            <w:proofErr w:type="spellEnd"/>
            <w:r w:rsidRPr="00A16566">
              <w:t>, Côté, Brown</w:t>
            </w:r>
            <w:r w:rsidR="001124D2">
              <w:t>,</w:t>
            </w:r>
            <w:r w:rsidR="001124D2" w:rsidRPr="001124D2">
              <w:rPr>
                <w:vertAlign w:val="superscript"/>
              </w:rPr>
              <w:t>*</w:t>
            </w:r>
            <w:r w:rsidRPr="00A16566">
              <w:t xml:space="preserve"> Rowe, Martin, </w:t>
            </w:r>
            <w:proofErr w:type="spellStart"/>
            <w:r w:rsidRPr="00A16566">
              <w:t>Kasirer</w:t>
            </w:r>
            <w:proofErr w:type="spellEnd"/>
            <w:r w:rsidRPr="00A16566">
              <w:t xml:space="preserve"> and Jamal </w:t>
            </w:r>
            <w:proofErr w:type="spellStart"/>
            <w:r w:rsidRPr="00A16566">
              <w:t>JJ</w:t>
            </w:r>
            <w:proofErr w:type="spellEnd"/>
            <w:r w:rsidRPr="00A16566">
              <w:t>.</w:t>
            </w:r>
          </w:p>
          <w:p w14:paraId="4668B7A8" w14:textId="77777777" w:rsidR="00A16566" w:rsidRPr="00A16566" w:rsidRDefault="00A16566" w:rsidP="00A16566">
            <w:pPr>
              <w:rPr>
                <w:b/>
                <w:smallCaps/>
              </w:rPr>
            </w:pPr>
          </w:p>
        </w:tc>
      </w:tr>
      <w:bookmarkEnd w:id="0"/>
      <w:tr w:rsidR="00A16566" w:rsidRPr="00A16566" w14:paraId="6C8FB5C3" w14:textId="77777777" w:rsidTr="00045352">
        <w:tblPrEx>
          <w:tblCellMar>
            <w:top w:w="58" w:type="dxa"/>
            <w:left w:w="58" w:type="dxa"/>
            <w:bottom w:w="58" w:type="dxa"/>
            <w:right w:w="58" w:type="dxa"/>
          </w:tblCellMar>
        </w:tblPrEx>
        <w:trPr>
          <w:cantSplit/>
        </w:trPr>
        <w:tc>
          <w:tcPr>
            <w:tcW w:w="1231" w:type="pct"/>
          </w:tcPr>
          <w:p w14:paraId="3E5D2C5D" w14:textId="77777777" w:rsidR="00A16566" w:rsidRPr="00A16566" w:rsidRDefault="00A16566" w:rsidP="00A16566">
            <w:pPr>
              <w:rPr>
                <w:smallCaps/>
              </w:rPr>
            </w:pPr>
            <w:r w:rsidRPr="00A16566">
              <w:rPr>
                <w:b/>
                <w:smallCaps/>
              </w:rPr>
              <w:t>Reasons for Judgment:</w:t>
            </w:r>
            <w:r w:rsidRPr="00A16566">
              <w:rPr>
                <w:smallCaps/>
              </w:rPr>
              <w:t xml:space="preserve"> </w:t>
            </w:r>
          </w:p>
          <w:p w14:paraId="177BC2B4" w14:textId="77777777" w:rsidR="00A16566" w:rsidRPr="00A16566" w:rsidRDefault="00A16566" w:rsidP="00A16566">
            <w:pPr>
              <w:rPr>
                <w:smallCaps/>
              </w:rPr>
            </w:pPr>
            <w:r w:rsidRPr="00A16566">
              <w:t>(paras. 1 to 45)</w:t>
            </w:r>
          </w:p>
        </w:tc>
        <w:tc>
          <w:tcPr>
            <w:tcW w:w="3769" w:type="pct"/>
            <w:gridSpan w:val="3"/>
          </w:tcPr>
          <w:p w14:paraId="01E941D8" w14:textId="77777777" w:rsidR="00A16566" w:rsidRPr="00A16566" w:rsidRDefault="00A16566" w:rsidP="00A16566">
            <w:r w:rsidRPr="00A16566">
              <w:t xml:space="preserve">Côté J. (Wagner </w:t>
            </w:r>
            <w:proofErr w:type="spellStart"/>
            <w:r w:rsidRPr="00A16566">
              <w:t>C.J</w:t>
            </w:r>
            <w:proofErr w:type="spellEnd"/>
            <w:r w:rsidRPr="00A16566">
              <w:t xml:space="preserve">. and </w:t>
            </w:r>
            <w:proofErr w:type="spellStart"/>
            <w:r w:rsidRPr="00A16566">
              <w:t>Moldaver</w:t>
            </w:r>
            <w:proofErr w:type="spellEnd"/>
            <w:r w:rsidRPr="00A16566">
              <w:t xml:space="preserve">, </w:t>
            </w:r>
            <w:proofErr w:type="spellStart"/>
            <w:r w:rsidRPr="00A16566">
              <w:t>Kasirer</w:t>
            </w:r>
            <w:proofErr w:type="spellEnd"/>
            <w:r w:rsidRPr="00A16566">
              <w:t xml:space="preserve"> and Jamal </w:t>
            </w:r>
            <w:proofErr w:type="spellStart"/>
            <w:r w:rsidRPr="00A16566">
              <w:t>JJ</w:t>
            </w:r>
            <w:proofErr w:type="spellEnd"/>
            <w:r w:rsidRPr="00A16566">
              <w:t>. concurring)</w:t>
            </w:r>
          </w:p>
        </w:tc>
      </w:tr>
      <w:tr w:rsidR="00A16566" w:rsidRPr="00A16566" w14:paraId="6EB1B113" w14:textId="77777777" w:rsidTr="00045352">
        <w:tblPrEx>
          <w:tblCellMar>
            <w:top w:w="58" w:type="dxa"/>
            <w:left w:w="58" w:type="dxa"/>
            <w:bottom w:w="58" w:type="dxa"/>
            <w:right w:w="58" w:type="dxa"/>
          </w:tblCellMar>
        </w:tblPrEx>
        <w:trPr>
          <w:cantSplit/>
        </w:trPr>
        <w:tc>
          <w:tcPr>
            <w:tcW w:w="1231" w:type="pct"/>
          </w:tcPr>
          <w:p w14:paraId="603CDFD1" w14:textId="77777777" w:rsidR="00A16566" w:rsidRPr="00A16566" w:rsidRDefault="00A16566" w:rsidP="00A16566"/>
        </w:tc>
        <w:tc>
          <w:tcPr>
            <w:tcW w:w="3769" w:type="pct"/>
            <w:gridSpan w:val="3"/>
          </w:tcPr>
          <w:p w14:paraId="1A634DF0" w14:textId="77777777" w:rsidR="00A16566" w:rsidRPr="00A16566" w:rsidRDefault="00A16566" w:rsidP="00A16566"/>
        </w:tc>
      </w:tr>
      <w:tr w:rsidR="00A16566" w:rsidRPr="00A16566" w14:paraId="4331536E" w14:textId="77777777" w:rsidTr="00045352">
        <w:tblPrEx>
          <w:tblCellMar>
            <w:top w:w="58" w:type="dxa"/>
            <w:left w:w="58" w:type="dxa"/>
            <w:bottom w:w="58" w:type="dxa"/>
            <w:right w:w="58" w:type="dxa"/>
          </w:tblCellMar>
        </w:tblPrEx>
        <w:trPr>
          <w:cantSplit/>
        </w:trPr>
        <w:tc>
          <w:tcPr>
            <w:tcW w:w="1231" w:type="pct"/>
          </w:tcPr>
          <w:p w14:paraId="31E30B48" w14:textId="77777777" w:rsidR="00A16566" w:rsidRPr="00A16566" w:rsidRDefault="00A16566" w:rsidP="00A16566">
            <w:pPr>
              <w:rPr>
                <w:smallCaps/>
              </w:rPr>
            </w:pPr>
            <w:r w:rsidRPr="00A16566">
              <w:rPr>
                <w:b/>
                <w:smallCaps/>
              </w:rPr>
              <w:lastRenderedPageBreak/>
              <w:t>Joint Concurring Reasons:</w:t>
            </w:r>
            <w:r w:rsidRPr="00A16566">
              <w:rPr>
                <w:smallCaps/>
              </w:rPr>
              <w:t xml:space="preserve"> </w:t>
            </w:r>
          </w:p>
          <w:p w14:paraId="6E3499DA" w14:textId="77777777" w:rsidR="00A16566" w:rsidRPr="00A16566" w:rsidRDefault="00A16566" w:rsidP="00A16566">
            <w:r w:rsidRPr="00A16566">
              <w:t>(paras. 46 to 95)</w:t>
            </w:r>
          </w:p>
        </w:tc>
        <w:tc>
          <w:tcPr>
            <w:tcW w:w="3769" w:type="pct"/>
            <w:gridSpan w:val="3"/>
          </w:tcPr>
          <w:p w14:paraId="72FF3215" w14:textId="77777777" w:rsidR="00A16566" w:rsidRPr="00A16566" w:rsidRDefault="00A16566" w:rsidP="00A16566">
            <w:proofErr w:type="spellStart"/>
            <w:r w:rsidRPr="00A16566">
              <w:t>Karakatsanis</w:t>
            </w:r>
            <w:proofErr w:type="spellEnd"/>
            <w:r w:rsidRPr="00A16566">
              <w:t xml:space="preserve"> and Martin </w:t>
            </w:r>
            <w:proofErr w:type="spellStart"/>
            <w:r w:rsidRPr="00A16566">
              <w:t>JJ</w:t>
            </w:r>
            <w:proofErr w:type="spellEnd"/>
            <w:r w:rsidRPr="00A16566">
              <w:t>.</w:t>
            </w:r>
          </w:p>
        </w:tc>
      </w:tr>
      <w:tr w:rsidR="00A16566" w:rsidRPr="00A16566" w14:paraId="01A6A663" w14:textId="77777777" w:rsidTr="00045352">
        <w:tblPrEx>
          <w:tblCellMar>
            <w:top w:w="58" w:type="dxa"/>
            <w:left w:w="58" w:type="dxa"/>
            <w:bottom w:w="58" w:type="dxa"/>
            <w:right w:w="58" w:type="dxa"/>
          </w:tblCellMar>
        </w:tblPrEx>
        <w:trPr>
          <w:cantSplit/>
        </w:trPr>
        <w:tc>
          <w:tcPr>
            <w:tcW w:w="1231" w:type="pct"/>
          </w:tcPr>
          <w:p w14:paraId="565A69EB" w14:textId="77777777" w:rsidR="00A16566" w:rsidRPr="00A16566" w:rsidRDefault="00A16566" w:rsidP="00A16566"/>
        </w:tc>
        <w:tc>
          <w:tcPr>
            <w:tcW w:w="3769" w:type="pct"/>
            <w:gridSpan w:val="3"/>
          </w:tcPr>
          <w:p w14:paraId="659E36BC" w14:textId="77777777" w:rsidR="00A16566" w:rsidRPr="00A16566" w:rsidRDefault="00A16566" w:rsidP="00A16566"/>
        </w:tc>
      </w:tr>
      <w:tr w:rsidR="00A16566" w:rsidRPr="00A16566" w14:paraId="2BE12D4C" w14:textId="77777777" w:rsidTr="00045352">
        <w:tblPrEx>
          <w:tblCellMar>
            <w:top w:w="58" w:type="dxa"/>
            <w:left w:w="58" w:type="dxa"/>
            <w:bottom w:w="58" w:type="dxa"/>
            <w:right w:w="58" w:type="dxa"/>
          </w:tblCellMar>
        </w:tblPrEx>
        <w:trPr>
          <w:cantSplit/>
        </w:trPr>
        <w:tc>
          <w:tcPr>
            <w:tcW w:w="1231" w:type="pct"/>
          </w:tcPr>
          <w:p w14:paraId="7149E081" w14:textId="77777777" w:rsidR="00A16566" w:rsidRPr="00A16566" w:rsidRDefault="00A16566" w:rsidP="00A16566">
            <w:pPr>
              <w:rPr>
                <w:smallCaps/>
              </w:rPr>
            </w:pPr>
            <w:r w:rsidRPr="00A16566">
              <w:rPr>
                <w:b/>
                <w:smallCaps/>
              </w:rPr>
              <w:t>Concurring Reasons:</w:t>
            </w:r>
            <w:r w:rsidRPr="00A16566">
              <w:rPr>
                <w:smallCaps/>
              </w:rPr>
              <w:t xml:space="preserve"> </w:t>
            </w:r>
          </w:p>
          <w:p w14:paraId="3A36AC13" w14:textId="77777777" w:rsidR="00A16566" w:rsidRPr="00A16566" w:rsidRDefault="00A16566" w:rsidP="00A16566">
            <w:r w:rsidRPr="00A16566">
              <w:t>(paras. 96 to 115)</w:t>
            </w:r>
          </w:p>
        </w:tc>
        <w:tc>
          <w:tcPr>
            <w:tcW w:w="3769" w:type="pct"/>
            <w:gridSpan w:val="3"/>
          </w:tcPr>
          <w:p w14:paraId="5E7439FB" w14:textId="77777777" w:rsidR="00A16566" w:rsidRPr="00A16566" w:rsidRDefault="00A16566" w:rsidP="00A16566">
            <w:r w:rsidRPr="00A16566">
              <w:t>Rowe J.</w:t>
            </w:r>
          </w:p>
        </w:tc>
      </w:tr>
    </w:tbl>
    <w:p w14:paraId="789391A6" w14:textId="77777777" w:rsidR="00A16566" w:rsidRPr="00A16566" w:rsidRDefault="00A16566" w:rsidP="00A16566">
      <w:pPr>
        <w:rPr>
          <w:rFonts w:eastAsiaTheme="minorHAnsi" w:cstheme="minorBidi"/>
          <w:szCs w:val="24"/>
          <w:lang w:eastAsia="en-US"/>
        </w:rPr>
      </w:pPr>
    </w:p>
    <w:p w14:paraId="504793BA" w14:textId="77777777" w:rsidR="00A16566" w:rsidRPr="00A16566" w:rsidRDefault="00A16566" w:rsidP="00A16566">
      <w:pPr>
        <w:rPr>
          <w:rFonts w:eastAsiaTheme="minorHAnsi" w:cstheme="minorBidi"/>
          <w:szCs w:val="24"/>
          <w:lang w:eastAsia="en-US"/>
        </w:rPr>
      </w:pPr>
    </w:p>
    <w:p w14:paraId="64FB1B50" w14:textId="77777777" w:rsidR="00A16566" w:rsidRPr="00A16566" w:rsidRDefault="00A16566" w:rsidP="00A16566">
      <w:pPr>
        <w:rPr>
          <w:rFonts w:eastAsiaTheme="minorHAnsi" w:cstheme="minorBidi"/>
          <w:szCs w:val="24"/>
          <w:lang w:eastAsia="en-US"/>
        </w:rPr>
      </w:pPr>
      <w:r w:rsidRPr="00A16566">
        <w:rPr>
          <w:rFonts w:eastAsiaTheme="minorHAnsi" w:cstheme="minorBidi"/>
          <w:b/>
          <w:smallCaps/>
          <w:szCs w:val="24"/>
          <w:lang w:eastAsia="en-US"/>
        </w:rPr>
        <w:t>Note:</w:t>
      </w:r>
      <w:r w:rsidRPr="00A16566">
        <w:rPr>
          <w:rFonts w:eastAsiaTheme="minorHAnsi" w:cstheme="minorBidi"/>
          <w:b/>
          <w:szCs w:val="24"/>
          <w:lang w:eastAsia="en-US"/>
        </w:rPr>
        <w:t xml:space="preserve"> </w:t>
      </w:r>
      <w:r w:rsidRPr="00A16566">
        <w:rPr>
          <w:rFonts w:eastAsiaTheme="minorHAnsi" w:cstheme="minorBidi"/>
          <w:szCs w:val="24"/>
          <w:lang w:eastAsia="en-US"/>
        </w:rPr>
        <w:t xml:space="preserve">This document is subject to editorial revision before its reproduction in final form in the </w:t>
      </w:r>
      <w:r w:rsidRPr="00A16566">
        <w:rPr>
          <w:rFonts w:eastAsiaTheme="minorHAnsi" w:cstheme="minorBidi"/>
          <w:i/>
          <w:szCs w:val="24"/>
          <w:lang w:eastAsia="en-US"/>
        </w:rPr>
        <w:t>Canada Supreme Court Reports</w:t>
      </w:r>
      <w:r w:rsidRPr="00A16566">
        <w:rPr>
          <w:rFonts w:eastAsiaTheme="minorHAnsi" w:cstheme="minorBidi"/>
          <w:szCs w:val="24"/>
          <w:lang w:eastAsia="en-US"/>
        </w:rPr>
        <w:t>.</w:t>
      </w:r>
    </w:p>
    <w:p w14:paraId="1053B69D" w14:textId="77777777" w:rsidR="00A16566" w:rsidRPr="00A16566" w:rsidRDefault="00A16566" w:rsidP="00A16566">
      <w:pPr>
        <w:rPr>
          <w:rFonts w:eastAsiaTheme="minorHAnsi" w:cstheme="minorBidi"/>
          <w:szCs w:val="24"/>
          <w:lang w:eastAsia="en-US"/>
        </w:rPr>
      </w:pPr>
    </w:p>
    <w:p w14:paraId="769163BF" w14:textId="77777777" w:rsidR="00A16566" w:rsidRPr="00A16566" w:rsidRDefault="00A16566" w:rsidP="00A16566">
      <w:pPr>
        <w:rPr>
          <w:rFonts w:eastAsiaTheme="minorHAnsi" w:cstheme="minorBidi"/>
          <w:szCs w:val="24"/>
          <w:lang w:eastAsia="en-US"/>
        </w:rPr>
      </w:pPr>
    </w:p>
    <w:p w14:paraId="42AC97DD" w14:textId="77777777" w:rsidR="00A16566" w:rsidRPr="00A16566" w:rsidRDefault="00A16566" w:rsidP="00A16566">
      <w:pPr>
        <w:rPr>
          <w:rFonts w:eastAsiaTheme="minorHAnsi" w:cstheme="minorBidi"/>
          <w:szCs w:val="24"/>
          <w:lang w:eastAsia="en-US"/>
        </w:rPr>
      </w:pPr>
      <w:r w:rsidRPr="00A16566">
        <w:rPr>
          <w:rFonts w:eastAsiaTheme="minorHAnsi" w:cstheme="minorBidi"/>
          <w:szCs w:val="24"/>
          <w:lang w:eastAsia="en-US"/>
        </w:rPr>
        <w:t xml:space="preserve">* </w:t>
      </w:r>
      <w:r w:rsidRPr="00A16566">
        <w:rPr>
          <w:rFonts w:eastAsiaTheme="minorHAnsi" w:cstheme="minorBidi"/>
          <w:szCs w:val="24"/>
          <w:lang w:val="en-US" w:eastAsia="en-US"/>
        </w:rPr>
        <w:t>Brown J. did not participate in the final disposition of the judgment.</w:t>
      </w:r>
    </w:p>
    <w:p w14:paraId="724ACE53" w14:textId="77777777" w:rsidR="00A16566" w:rsidRPr="00A16566" w:rsidRDefault="00A16566" w:rsidP="00A16566">
      <w:pPr>
        <w:rPr>
          <w:rFonts w:eastAsiaTheme="minorHAnsi" w:cstheme="minorBidi"/>
          <w:szCs w:val="24"/>
          <w:lang w:eastAsia="en-US"/>
        </w:rPr>
      </w:pPr>
    </w:p>
    <w:p w14:paraId="3ADA4C93" w14:textId="77777777" w:rsidR="00A16566" w:rsidRPr="00A16566" w:rsidRDefault="00A16566" w:rsidP="00A16566">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16566" w:rsidRPr="00A16566" w14:paraId="2C74D006" w14:textId="77777777" w:rsidTr="00045352">
        <w:tc>
          <w:tcPr>
            <w:tcW w:w="1500" w:type="pct"/>
            <w:tcMar>
              <w:top w:w="284" w:type="dxa"/>
            </w:tcMar>
          </w:tcPr>
          <w:p w14:paraId="63B87825" w14:textId="77777777" w:rsidR="00A16566" w:rsidRPr="00A16566" w:rsidRDefault="00A16566" w:rsidP="00A16566"/>
        </w:tc>
        <w:tc>
          <w:tcPr>
            <w:tcW w:w="2000" w:type="pct"/>
            <w:tcBorders>
              <w:bottom w:val="single" w:sz="4" w:space="0" w:color="auto"/>
            </w:tcBorders>
            <w:tcMar>
              <w:top w:w="284" w:type="dxa"/>
            </w:tcMar>
          </w:tcPr>
          <w:p w14:paraId="36E60DFE" w14:textId="77777777" w:rsidR="00A16566" w:rsidRPr="00A16566" w:rsidRDefault="00A16566" w:rsidP="00A16566"/>
        </w:tc>
        <w:tc>
          <w:tcPr>
            <w:tcW w:w="1500" w:type="pct"/>
            <w:tcMar>
              <w:top w:w="284" w:type="dxa"/>
            </w:tcMar>
          </w:tcPr>
          <w:p w14:paraId="32B387FD" w14:textId="77777777" w:rsidR="00A16566" w:rsidRPr="00A16566" w:rsidRDefault="00A16566" w:rsidP="00A16566"/>
        </w:tc>
      </w:tr>
    </w:tbl>
    <w:p w14:paraId="185D4B3A" w14:textId="77777777" w:rsidR="00A16566" w:rsidRPr="00A16566" w:rsidRDefault="00A16566" w:rsidP="00A16566">
      <w:pPr>
        <w:rPr>
          <w:rFonts w:eastAsiaTheme="minorHAnsi" w:cstheme="minorBidi"/>
          <w:szCs w:val="24"/>
          <w:lang w:eastAsia="en-US"/>
        </w:rPr>
      </w:pPr>
    </w:p>
    <w:p w14:paraId="6BD6C3AF" w14:textId="77777777" w:rsidR="00A16566" w:rsidRPr="00A16566" w:rsidRDefault="00A16566">
      <w:pPr>
        <w:rPr>
          <w:b/>
        </w:rPr>
      </w:pPr>
      <w:r w:rsidRPr="00A16566">
        <w:br w:type="page"/>
      </w:r>
    </w:p>
    <w:p w14:paraId="12798221" w14:textId="655E4054" w:rsidR="00376F9F" w:rsidRPr="00A16566" w:rsidRDefault="003D10FA">
      <w:pPr>
        <w:pStyle w:val="SCCLsocLastPartyInRole"/>
      </w:pPr>
      <w:r w:rsidRPr="00A16566">
        <w:t>Corporal C.R. McGregor</w:t>
      </w:r>
      <w:r w:rsidRPr="00A16566">
        <w:rPr>
          <w:rStyle w:val="SCCLsocPartyRole"/>
        </w:rPr>
        <w:tab/>
        <w:t>Appellant</w:t>
      </w:r>
    </w:p>
    <w:p w14:paraId="5A81DBCB" w14:textId="77777777" w:rsidR="00376F9F" w:rsidRPr="00A16566" w:rsidRDefault="003D10FA">
      <w:pPr>
        <w:pStyle w:val="SCCLsocVersus"/>
      </w:pPr>
      <w:proofErr w:type="gramStart"/>
      <w:r w:rsidRPr="00A16566">
        <w:t>v</w:t>
      </w:r>
      <w:proofErr w:type="gramEnd"/>
      <w:r w:rsidRPr="00A16566">
        <w:t>.</w:t>
      </w:r>
    </w:p>
    <w:p w14:paraId="42D9D03D" w14:textId="77777777" w:rsidR="00376F9F" w:rsidRPr="00A16566" w:rsidRDefault="003D10FA">
      <w:pPr>
        <w:pStyle w:val="SCCLsocLastPartyInRole"/>
      </w:pPr>
      <w:r w:rsidRPr="00A16566">
        <w:t xml:space="preserve">His Majesty </w:t>
      </w:r>
      <w:proofErr w:type="gramStart"/>
      <w:r w:rsidR="008018D6" w:rsidRPr="00A16566">
        <w:t>T</w:t>
      </w:r>
      <w:r w:rsidRPr="00A16566">
        <w:t>he</w:t>
      </w:r>
      <w:proofErr w:type="gramEnd"/>
      <w:r w:rsidRPr="00A16566">
        <w:t xml:space="preserve"> King</w:t>
      </w:r>
      <w:r w:rsidRPr="00A16566">
        <w:rPr>
          <w:rStyle w:val="SCCLsocPartyRole"/>
        </w:rPr>
        <w:tab/>
        <w:t>Respondent</w:t>
      </w:r>
    </w:p>
    <w:p w14:paraId="391697AA" w14:textId="77777777" w:rsidR="00376F9F" w:rsidRPr="00A16566" w:rsidRDefault="003D10FA">
      <w:pPr>
        <w:pStyle w:val="SCCLsocOtherPartySeparator"/>
      </w:pPr>
      <w:proofErr w:type="gramStart"/>
      <w:r w:rsidRPr="00A16566">
        <w:t>and</w:t>
      </w:r>
      <w:proofErr w:type="gramEnd"/>
    </w:p>
    <w:p w14:paraId="32C536FD" w14:textId="77777777" w:rsidR="00376F9F" w:rsidRPr="00A16566" w:rsidRDefault="003D10FA">
      <w:pPr>
        <w:pStyle w:val="SCCLsocParty"/>
      </w:pPr>
      <w:r w:rsidRPr="00A16566">
        <w:t>Attorney General of Ontario,</w:t>
      </w:r>
    </w:p>
    <w:p w14:paraId="52DB66C5" w14:textId="77777777" w:rsidR="00376F9F" w:rsidRPr="00A16566" w:rsidRDefault="003D10FA">
      <w:pPr>
        <w:pStyle w:val="SCCLsocParty"/>
      </w:pPr>
      <w:r w:rsidRPr="00A16566">
        <w:t>Canadian Constitution Foundation,</w:t>
      </w:r>
    </w:p>
    <w:p w14:paraId="46026BC2" w14:textId="77777777" w:rsidR="00376F9F" w:rsidRPr="00A16566" w:rsidRDefault="003D10FA">
      <w:pPr>
        <w:pStyle w:val="SCCLsocParty"/>
      </w:pPr>
      <w:r w:rsidRPr="00A16566">
        <w:t>British Columbia Civil Liberties Association,</w:t>
      </w:r>
    </w:p>
    <w:p w14:paraId="65ECC34C" w14:textId="77777777" w:rsidR="00376F9F" w:rsidRPr="00A16566" w:rsidRDefault="003D10FA">
      <w:pPr>
        <w:pStyle w:val="SCCLsocParty"/>
      </w:pPr>
      <w:r w:rsidRPr="00A16566">
        <w:t>Canad</w:t>
      </w:r>
      <w:r w:rsidR="007C57CD" w:rsidRPr="00A16566">
        <w:t>ian Civil Liberties Association and</w:t>
      </w:r>
    </w:p>
    <w:p w14:paraId="470D21EF" w14:textId="77777777" w:rsidR="00376F9F" w:rsidRPr="00A16566" w:rsidRDefault="003D10FA" w:rsidP="008D1BE0">
      <w:pPr>
        <w:pStyle w:val="SCCLsocLastPartyInRole"/>
      </w:pPr>
      <w:r w:rsidRPr="00A16566">
        <w:t>David Asper Centre for Constitutional Rights</w:t>
      </w:r>
      <w:r w:rsidRPr="00A16566">
        <w:rPr>
          <w:rStyle w:val="SCCLsocPartyRole"/>
        </w:rPr>
        <w:tab/>
        <w:t>Interveners</w:t>
      </w:r>
    </w:p>
    <w:p w14:paraId="1E33B402" w14:textId="77777777" w:rsidR="00426659" w:rsidRPr="00A16566" w:rsidRDefault="00426659" w:rsidP="008D1BE0">
      <w:pPr>
        <w:spacing w:after="720"/>
        <w:jc w:val="both"/>
        <w:rPr>
          <w:b/>
        </w:rPr>
      </w:pPr>
      <w:r w:rsidRPr="00A16566">
        <w:rPr>
          <w:b/>
        </w:rPr>
        <w:t xml:space="preserve">Indexed as: </w:t>
      </w:r>
      <w:r w:rsidR="007C57CD" w:rsidRPr="00A16566">
        <w:rPr>
          <w:b/>
        </w:rPr>
        <w:t xml:space="preserve">R. </w:t>
      </w:r>
      <w:r w:rsidR="007C57CD" w:rsidRPr="00A16566">
        <w:rPr>
          <w:b/>
          <w:i/>
        </w:rPr>
        <w:t>v.</w:t>
      </w:r>
      <w:r w:rsidRPr="00A16566">
        <w:rPr>
          <w:b/>
        </w:rPr>
        <w:t xml:space="preserve"> </w:t>
      </w:r>
      <w:r w:rsidRPr="00A16566">
        <w:rPr>
          <w:rStyle w:val="SCCAppellantForIndexChar"/>
        </w:rPr>
        <w:t>McGregor</w:t>
      </w:r>
    </w:p>
    <w:p w14:paraId="0F4338CB" w14:textId="4196D082" w:rsidR="00426659" w:rsidRPr="00A16566" w:rsidRDefault="007C57CD" w:rsidP="008D1BE0">
      <w:pPr>
        <w:pStyle w:val="SCCSystemYear"/>
        <w:spacing w:after="720"/>
        <w:jc w:val="both"/>
      </w:pPr>
      <w:r w:rsidRPr="00A16566">
        <w:t>2023</w:t>
      </w:r>
      <w:r w:rsidR="003D0399" w:rsidRPr="00A16566">
        <w:t xml:space="preserve"> </w:t>
      </w:r>
      <w:r w:rsidR="008D1BE0" w:rsidRPr="00A16566">
        <w:t xml:space="preserve">SCC </w:t>
      </w:r>
      <w:r w:rsidR="00DF5A9A" w:rsidRPr="00A16566">
        <w:t>4</w:t>
      </w:r>
    </w:p>
    <w:p w14:paraId="270EB1B5" w14:textId="77777777" w:rsidR="008322BD" w:rsidRPr="00A16566" w:rsidRDefault="009B57B3" w:rsidP="008D1BE0">
      <w:pPr>
        <w:spacing w:after="720"/>
        <w:jc w:val="both"/>
      </w:pPr>
      <w:r w:rsidRPr="00A16566">
        <w:t>File No.: 39543.</w:t>
      </w:r>
    </w:p>
    <w:p w14:paraId="44A5BC2A" w14:textId="15118FCF" w:rsidR="008322BD" w:rsidRPr="00A16566" w:rsidRDefault="00AE4535" w:rsidP="008D1BE0">
      <w:pPr>
        <w:spacing w:after="720"/>
        <w:jc w:val="both"/>
      </w:pPr>
      <w:r w:rsidRPr="00A16566">
        <w:t>2022: May 19</w:t>
      </w:r>
      <w:r w:rsidR="009B57B3" w:rsidRPr="00A16566">
        <w:t xml:space="preserve">; </w:t>
      </w:r>
      <w:r w:rsidR="007C57CD" w:rsidRPr="00A16566">
        <w:t xml:space="preserve">2023: </w:t>
      </w:r>
      <w:r w:rsidR="006F08A4" w:rsidRPr="00A16566">
        <w:t>February 17</w:t>
      </w:r>
      <w:r w:rsidR="009B57B3" w:rsidRPr="00A16566">
        <w:t>.</w:t>
      </w:r>
    </w:p>
    <w:p w14:paraId="3E1032F8" w14:textId="32876AB0" w:rsidR="008322BD" w:rsidRPr="00A16566" w:rsidRDefault="009B57B3" w:rsidP="008D1BE0">
      <w:pPr>
        <w:spacing w:after="720"/>
        <w:jc w:val="both"/>
      </w:pPr>
      <w:r w:rsidRPr="00A16566">
        <w:t xml:space="preserve">Present: Wagner </w:t>
      </w:r>
      <w:proofErr w:type="spellStart"/>
      <w:r w:rsidRPr="00A16566">
        <w:t>C.J</w:t>
      </w:r>
      <w:proofErr w:type="spellEnd"/>
      <w:r w:rsidRPr="00A16566">
        <w:t xml:space="preserve">. and </w:t>
      </w:r>
      <w:proofErr w:type="spellStart"/>
      <w:r w:rsidRPr="00A16566">
        <w:t>Moldaver</w:t>
      </w:r>
      <w:proofErr w:type="spellEnd"/>
      <w:r w:rsidRPr="00A16566">
        <w:t xml:space="preserve">, </w:t>
      </w:r>
      <w:proofErr w:type="spellStart"/>
      <w:r w:rsidRPr="00A16566">
        <w:t>Karakatsanis</w:t>
      </w:r>
      <w:proofErr w:type="spellEnd"/>
      <w:r w:rsidRPr="00A16566">
        <w:t>, Côté, Brown</w:t>
      </w:r>
      <w:r w:rsidR="00A64AC7" w:rsidRPr="00045352">
        <w:rPr>
          <w:rStyle w:val="Hyperlink"/>
          <w:vertAlign w:val="superscript"/>
        </w:rPr>
        <w:footnoteReference w:customMarkFollows="1" w:id="1"/>
        <w:sym w:font="Symbol" w:char="F02A"/>
      </w:r>
      <w:r w:rsidRPr="00A16566">
        <w:t xml:space="preserve">, Rowe, Martin, </w:t>
      </w:r>
      <w:proofErr w:type="spellStart"/>
      <w:r w:rsidRPr="00A16566">
        <w:t>Kasirer</w:t>
      </w:r>
      <w:proofErr w:type="spellEnd"/>
      <w:r w:rsidRPr="00A16566">
        <w:t xml:space="preserve"> and Jamal </w:t>
      </w:r>
      <w:proofErr w:type="spellStart"/>
      <w:r w:rsidRPr="00A16566">
        <w:t>JJ</w:t>
      </w:r>
      <w:proofErr w:type="spellEnd"/>
      <w:r w:rsidRPr="00A16566">
        <w:t>.</w:t>
      </w:r>
    </w:p>
    <w:p w14:paraId="0E795CDC" w14:textId="77777777" w:rsidR="008322BD" w:rsidRPr="00A16566" w:rsidRDefault="00656313" w:rsidP="008D1BE0">
      <w:pPr>
        <w:pStyle w:val="SCCLowerCourtNameLowercase"/>
        <w:spacing w:after="720" w:line="240" w:lineRule="auto"/>
      </w:pPr>
      <w:r w:rsidRPr="00A16566">
        <w:t>o</w:t>
      </w:r>
      <w:r w:rsidR="00170592" w:rsidRPr="00A16566">
        <w:t>n</w:t>
      </w:r>
      <w:r w:rsidR="00224FC0" w:rsidRPr="00A16566">
        <w:t xml:space="preserve"> </w:t>
      </w:r>
      <w:r w:rsidRPr="00A16566">
        <w:t>a</w:t>
      </w:r>
      <w:r w:rsidR="00170592" w:rsidRPr="00A16566">
        <w:t>ppeal</w:t>
      </w:r>
      <w:r w:rsidR="00224FC0" w:rsidRPr="00A16566">
        <w:t xml:space="preserve"> </w:t>
      </w:r>
      <w:r w:rsidR="00170592" w:rsidRPr="00A16566">
        <w:t>from</w:t>
      </w:r>
      <w:r w:rsidR="009567AA" w:rsidRPr="00A16566">
        <w:t xml:space="preserve"> the</w:t>
      </w:r>
      <w:r w:rsidR="00224FC0" w:rsidRPr="00A16566">
        <w:t xml:space="preserve"> </w:t>
      </w:r>
      <w:r w:rsidR="009B57B3" w:rsidRPr="00A16566">
        <w:t xml:space="preserve">court martial appeal court of </w:t>
      </w:r>
      <w:proofErr w:type="spellStart"/>
      <w:r w:rsidR="009B57B3" w:rsidRPr="00A16566">
        <w:t>canada</w:t>
      </w:r>
      <w:proofErr w:type="spellEnd"/>
    </w:p>
    <w:p w14:paraId="57616072" w14:textId="0DFF4DF9" w:rsidR="00832AC2" w:rsidRPr="00A16566" w:rsidRDefault="009B57B3" w:rsidP="00536B84">
      <w:pPr>
        <w:pStyle w:val="SCCNormalDoubleSpacing"/>
        <w:widowControl w:val="0"/>
        <w:spacing w:after="480"/>
        <w:rPr>
          <w:i/>
        </w:rPr>
      </w:pPr>
      <w:r w:rsidRPr="00A16566">
        <w:tab/>
      </w:r>
      <w:r w:rsidR="0064735C" w:rsidRPr="0064735C">
        <w:rPr>
          <w:i/>
        </w:rPr>
        <w:t>Constitutional law</w:t>
      </w:r>
      <w:r w:rsidR="0064735C">
        <w:t xml:space="preserve"> </w:t>
      </w:r>
      <w:r w:rsidR="0064735C" w:rsidRPr="0064735C">
        <w:t>—</w:t>
      </w:r>
      <w:r w:rsidR="0064735C">
        <w:t xml:space="preserve"> </w:t>
      </w:r>
      <w:r w:rsidR="00832AC2" w:rsidRPr="00A16566">
        <w:rPr>
          <w:i/>
        </w:rPr>
        <w:t>Charter of Rights — Search and seizure — Canadian military investigators investigating criminal activity by member of Canadian Armed Forces posted abroad — Foreign police force assisting military investigators by obtaining warrant from local magistrate authorizing search of  member’s residence abroad and electronic devices found therein — Military investigators and foreign police executing warrant and searching member’s electronic devices — Military judge ruling that evidence obtained during search admissible at trial and member convicted of several offences — Whether search infringed member’s right to be free from unreasonable search and seizure — Canadian Cha</w:t>
      </w:r>
      <w:r w:rsidR="00536B84" w:rsidRPr="00A16566">
        <w:rPr>
          <w:i/>
        </w:rPr>
        <w:t>rter of Rights and Freedoms, s. </w:t>
      </w:r>
      <w:r w:rsidR="00832AC2" w:rsidRPr="00A16566">
        <w:rPr>
          <w:i/>
        </w:rPr>
        <w:t>8.</w:t>
      </w:r>
    </w:p>
    <w:p w14:paraId="08D85EDB" w14:textId="1C7DB0FB" w:rsidR="00832AC2" w:rsidRPr="00A16566" w:rsidRDefault="00536B84" w:rsidP="00536B84">
      <w:pPr>
        <w:pStyle w:val="SCCNormalDoubleSpacing"/>
        <w:widowControl w:val="0"/>
        <w:spacing w:after="480"/>
        <w:rPr>
          <w:lang w:val="en"/>
        </w:rPr>
      </w:pPr>
      <w:r w:rsidRPr="00A16566">
        <w:tab/>
      </w:r>
      <w:r w:rsidR="003B71E3" w:rsidRPr="00A16566">
        <w:t>M</w:t>
      </w:r>
      <w:r w:rsidR="00832AC2" w:rsidRPr="00A16566">
        <w:t xml:space="preserve"> was a member of the Canadian Armed Forces (“</w:t>
      </w:r>
      <w:proofErr w:type="spellStart"/>
      <w:r w:rsidR="00832AC2" w:rsidRPr="00A16566">
        <w:t>CAF</w:t>
      </w:r>
      <w:proofErr w:type="spellEnd"/>
      <w:r w:rsidR="00832AC2" w:rsidRPr="00A16566">
        <w:t>”) posted to the Canadian Embassy in Washington, D.C.</w:t>
      </w:r>
      <w:r w:rsidR="003B71E3" w:rsidRPr="00A16566">
        <w:t xml:space="preserve"> </w:t>
      </w:r>
      <w:r w:rsidR="00832AC2" w:rsidRPr="00A16566">
        <w:t>and residing in Alexandria</w:t>
      </w:r>
      <w:r w:rsidR="003B71E3" w:rsidRPr="00A16566">
        <w:t>, Virginia.</w:t>
      </w:r>
      <w:r w:rsidR="00832AC2" w:rsidRPr="00A16566">
        <w:t xml:space="preserve"> By virtue of his position, he held diplomatic immunity.</w:t>
      </w:r>
      <w:r w:rsidR="003B71E3" w:rsidRPr="00A16566">
        <w:t xml:space="preserve"> Following the</w:t>
      </w:r>
      <w:r w:rsidR="00832AC2" w:rsidRPr="00A16566">
        <w:t xml:space="preserve"> discovery by another member of the </w:t>
      </w:r>
      <w:proofErr w:type="spellStart"/>
      <w:r w:rsidR="00832AC2" w:rsidRPr="00A16566">
        <w:t>CAF</w:t>
      </w:r>
      <w:proofErr w:type="spellEnd"/>
      <w:r w:rsidR="00832AC2" w:rsidRPr="00A16566">
        <w:t xml:space="preserve"> posted in Washington of two audio recording</w:t>
      </w:r>
      <w:r w:rsidR="003B71E3" w:rsidRPr="00A16566">
        <w:t xml:space="preserve"> devices in her residence, the </w:t>
      </w:r>
      <w:r w:rsidR="00832AC2" w:rsidRPr="00A16566">
        <w:t>Canadian Forces National Investigation Service (“</w:t>
      </w:r>
      <w:proofErr w:type="spellStart"/>
      <w:r w:rsidR="003B71E3" w:rsidRPr="00A16566">
        <w:t>CFNIS</w:t>
      </w:r>
      <w:proofErr w:type="spellEnd"/>
      <w:r w:rsidR="003B71E3" w:rsidRPr="00A16566">
        <w:t>”)</w:t>
      </w:r>
      <w:r w:rsidR="00832AC2" w:rsidRPr="00A16566">
        <w:t xml:space="preserve"> investigated the matter and concluded that there were reasonable grounds to believe </w:t>
      </w:r>
      <w:r w:rsidR="00104653" w:rsidRPr="00A16566">
        <w:t xml:space="preserve">M </w:t>
      </w:r>
      <w:r w:rsidR="00832AC2" w:rsidRPr="00A16566">
        <w:t xml:space="preserve">had committed the offences of voyeurism and possession of a device for surreptitious interception of private communications. </w:t>
      </w:r>
      <w:proofErr w:type="spellStart"/>
      <w:r w:rsidR="00832AC2" w:rsidRPr="00A16566">
        <w:rPr>
          <w:lang w:val="en"/>
        </w:rPr>
        <w:t>CFNIS</w:t>
      </w:r>
      <w:proofErr w:type="spellEnd"/>
      <w:r w:rsidR="00832AC2" w:rsidRPr="00A16566">
        <w:rPr>
          <w:lang w:val="en"/>
        </w:rPr>
        <w:t xml:space="preserve"> sought the assistance of the Alexandria police for the purpose of obtaining a warrant under Virginia law.</w:t>
      </w:r>
      <w:r w:rsidR="00832AC2" w:rsidRPr="00A16566">
        <w:t xml:space="preserve"> </w:t>
      </w:r>
      <w:r w:rsidR="00832AC2" w:rsidRPr="00A16566">
        <w:rPr>
          <w:lang w:val="en"/>
        </w:rPr>
        <w:t xml:space="preserve">The </w:t>
      </w:r>
      <w:r w:rsidR="00832AC2" w:rsidRPr="00A16566">
        <w:t xml:space="preserve">Canadian Embassy waived </w:t>
      </w:r>
      <w:r w:rsidR="003B71E3" w:rsidRPr="00A16566">
        <w:t>M</w:t>
      </w:r>
      <w:r w:rsidR="00832AC2" w:rsidRPr="00A16566">
        <w:t>’s immunity with respect to his residence and property</w:t>
      </w:r>
      <w:r w:rsidR="003B71E3" w:rsidRPr="00A16566">
        <w:t xml:space="preserve"> and </w:t>
      </w:r>
      <w:r w:rsidR="00832AC2" w:rsidRPr="00A16566">
        <w:t>t</w:t>
      </w:r>
      <w:r w:rsidR="00832AC2" w:rsidRPr="00A16566">
        <w:rPr>
          <w:lang w:val="en"/>
        </w:rPr>
        <w:t xml:space="preserve">he Alexandria </w:t>
      </w:r>
      <w:r w:rsidR="003B71E3" w:rsidRPr="00A16566">
        <w:rPr>
          <w:lang w:val="en"/>
        </w:rPr>
        <w:t>police</w:t>
      </w:r>
      <w:r w:rsidR="00832AC2" w:rsidRPr="00A16566">
        <w:rPr>
          <w:lang w:val="en"/>
        </w:rPr>
        <w:t xml:space="preserve"> obtained a warrant </w:t>
      </w:r>
      <w:r w:rsidR="003B71E3" w:rsidRPr="00A16566">
        <w:rPr>
          <w:lang w:val="en"/>
        </w:rPr>
        <w:t>to</w:t>
      </w:r>
      <w:r w:rsidR="00832AC2" w:rsidRPr="00A16566">
        <w:rPr>
          <w:lang w:val="en"/>
        </w:rPr>
        <w:t xml:space="preserve"> s</w:t>
      </w:r>
      <w:r w:rsidR="003B71E3" w:rsidRPr="00A16566">
        <w:rPr>
          <w:lang w:val="en"/>
        </w:rPr>
        <w:t>earch his</w:t>
      </w:r>
      <w:r w:rsidR="00832AC2" w:rsidRPr="00A16566">
        <w:rPr>
          <w:lang w:val="en"/>
        </w:rPr>
        <w:t xml:space="preserve"> residence </w:t>
      </w:r>
      <w:r w:rsidR="003B71E3" w:rsidRPr="00A16566">
        <w:rPr>
          <w:lang w:val="en"/>
        </w:rPr>
        <w:t>and</w:t>
      </w:r>
      <w:r w:rsidR="00832AC2" w:rsidRPr="00A16566">
        <w:rPr>
          <w:lang w:val="en"/>
        </w:rPr>
        <w:t xml:space="preserve"> objects found therein,</w:t>
      </w:r>
      <w:r w:rsidRPr="00A16566">
        <w:rPr>
          <w:lang w:val="en"/>
        </w:rPr>
        <w:t xml:space="preserve"> </w:t>
      </w:r>
      <w:r w:rsidR="00832AC2" w:rsidRPr="00A16566">
        <w:rPr>
          <w:lang w:val="en"/>
        </w:rPr>
        <w:t>including electronic devices</w:t>
      </w:r>
      <w:r w:rsidR="003B71E3" w:rsidRPr="00A16566">
        <w:rPr>
          <w:lang w:val="en"/>
        </w:rPr>
        <w:t>, and</w:t>
      </w:r>
      <w:r w:rsidR="00832AC2" w:rsidRPr="00A16566">
        <w:rPr>
          <w:lang w:val="en"/>
        </w:rPr>
        <w:t xml:space="preserve"> to analyze the seized items.</w:t>
      </w:r>
    </w:p>
    <w:p w14:paraId="0B0DE76E" w14:textId="78C1E014" w:rsidR="00832AC2" w:rsidRPr="00A16566" w:rsidRDefault="00536B84" w:rsidP="00536B84">
      <w:pPr>
        <w:pStyle w:val="SCCNormalDoubleSpacing"/>
        <w:widowControl w:val="0"/>
        <w:spacing w:after="480"/>
        <w:rPr>
          <w:szCs w:val="24"/>
        </w:rPr>
      </w:pPr>
      <w:r w:rsidRPr="00A16566">
        <w:rPr>
          <w:lang w:val="en"/>
        </w:rPr>
        <w:tab/>
      </w:r>
      <w:r w:rsidR="003B71E3" w:rsidRPr="00A16566">
        <w:rPr>
          <w:lang w:val="en"/>
        </w:rPr>
        <w:t>When</w:t>
      </w:r>
      <w:r w:rsidR="00832AC2" w:rsidRPr="00A16566">
        <w:rPr>
          <w:lang w:val="en"/>
        </w:rPr>
        <w:t xml:space="preserve"> </w:t>
      </w:r>
      <w:proofErr w:type="spellStart"/>
      <w:r w:rsidR="00832AC2" w:rsidRPr="00A16566">
        <w:rPr>
          <w:lang w:val="en"/>
        </w:rPr>
        <w:t>CFNIS</w:t>
      </w:r>
      <w:proofErr w:type="spellEnd"/>
      <w:r w:rsidR="00832AC2" w:rsidRPr="00A16566">
        <w:rPr>
          <w:lang w:val="en"/>
        </w:rPr>
        <w:t xml:space="preserve"> and Alexandria police executed the search warrant</w:t>
      </w:r>
      <w:r w:rsidR="003B71E3" w:rsidRPr="00A16566">
        <w:rPr>
          <w:lang w:val="en"/>
        </w:rPr>
        <w:t xml:space="preserve">, </w:t>
      </w:r>
      <w:r w:rsidR="00832AC2" w:rsidRPr="00A16566">
        <w:rPr>
          <w:lang w:val="en"/>
        </w:rPr>
        <w:t>forensic investigators</w:t>
      </w:r>
      <w:r w:rsidR="003B71E3" w:rsidRPr="00A16566">
        <w:rPr>
          <w:lang w:val="en"/>
        </w:rPr>
        <w:t xml:space="preserve"> scanned the contents of some</w:t>
      </w:r>
      <w:r w:rsidR="00832AC2" w:rsidRPr="00A16566">
        <w:rPr>
          <w:lang w:val="en"/>
        </w:rPr>
        <w:t xml:space="preserve"> electronic devices found in </w:t>
      </w:r>
      <w:r w:rsidR="003B71E3" w:rsidRPr="00A16566">
        <w:t>M’s</w:t>
      </w:r>
      <w:r w:rsidR="00832AC2" w:rsidRPr="00A16566">
        <w:rPr>
          <w:lang w:val="en"/>
        </w:rPr>
        <w:t xml:space="preserve"> residence to determine which items to seize.</w:t>
      </w:r>
      <w:r w:rsidR="00832AC2" w:rsidRPr="00A16566">
        <w:t xml:space="preserve"> They discovered evidence relating to unforeseen offences,</w:t>
      </w:r>
      <w:r w:rsidRPr="00A16566">
        <w:t xml:space="preserve"> </w:t>
      </w:r>
      <w:r w:rsidR="003B71E3" w:rsidRPr="00A16566">
        <w:t>including a</w:t>
      </w:r>
      <w:r w:rsidR="00832AC2" w:rsidRPr="00A16566">
        <w:t xml:space="preserve"> sexual assault. </w:t>
      </w:r>
      <w:r w:rsidR="00832AC2" w:rsidRPr="00A16566">
        <w:rPr>
          <w:lang w:val="en"/>
        </w:rPr>
        <w:t>The investigators seized the devices,</w:t>
      </w:r>
      <w:r w:rsidR="003B71E3" w:rsidRPr="00A16566">
        <w:t xml:space="preserve"> removed them</w:t>
      </w:r>
      <w:r w:rsidR="00832AC2" w:rsidRPr="00A16566">
        <w:t xml:space="preserve"> to Canada, and obtained Canadian warrants from the Court Martial for further analysis of their contents. M</w:t>
      </w:r>
      <w:r w:rsidR="003B71E3" w:rsidRPr="00A16566">
        <w:t xml:space="preserve"> was</w:t>
      </w:r>
      <w:r w:rsidR="00832AC2" w:rsidRPr="00A16566">
        <w:t xml:space="preserve"> arrested. </w:t>
      </w:r>
      <w:r w:rsidR="003B71E3" w:rsidRPr="00A16566">
        <w:t>He</w:t>
      </w:r>
      <w:r w:rsidR="00832AC2" w:rsidRPr="00A16566">
        <w:t xml:space="preserve"> brought a motion in the Court Martial, arguing that the search and seizure of his el</w:t>
      </w:r>
      <w:r w:rsidRPr="00A16566">
        <w:t>ectronic devices contravened s. </w:t>
      </w:r>
      <w:r w:rsidR="00832AC2" w:rsidRPr="00A16566">
        <w:t xml:space="preserve">8 of the </w:t>
      </w:r>
      <w:r w:rsidR="00832AC2" w:rsidRPr="00A16566">
        <w:rPr>
          <w:i/>
        </w:rPr>
        <w:t>Charter</w:t>
      </w:r>
      <w:r w:rsidR="00832AC2" w:rsidRPr="00A16566">
        <w:t>, and seeking exclusion of the evidence. The military judge</w:t>
      </w:r>
      <w:r w:rsidR="003B71E3" w:rsidRPr="00A16566">
        <w:t xml:space="preserve"> dismissed the motion, holding</w:t>
      </w:r>
      <w:r w:rsidR="00832AC2" w:rsidRPr="00A16566">
        <w:t xml:space="preserve"> that the </w:t>
      </w:r>
      <w:r w:rsidR="00832AC2" w:rsidRPr="00A16566">
        <w:rPr>
          <w:i/>
        </w:rPr>
        <w:t>Charter</w:t>
      </w:r>
      <w:r w:rsidR="00832AC2" w:rsidRPr="00A16566">
        <w:t xml:space="preserve"> did</w:t>
      </w:r>
      <w:r w:rsidR="003B71E3" w:rsidRPr="00A16566">
        <w:t xml:space="preserve"> not apply extraterritorially, and that,</w:t>
      </w:r>
      <w:r w:rsidR="00832AC2" w:rsidRPr="00A16566">
        <w:t xml:space="preserve"> in any event, the search and seizure were consistent with </w:t>
      </w:r>
      <w:r w:rsidR="00832AC2" w:rsidRPr="00A16566">
        <w:rPr>
          <w:i/>
        </w:rPr>
        <w:t>Charter</w:t>
      </w:r>
      <w:r w:rsidR="00832AC2" w:rsidRPr="00A16566">
        <w:t xml:space="preserve"> standards. He subsequently convicted M of voyeurism, possession of a device for surreptitious interception of private communications, sexual assault, and disgraceful conduct. The Court Martial Appeal Court affirmed the military judge’s decision. It agreed that the </w:t>
      </w:r>
      <w:r w:rsidR="00832AC2" w:rsidRPr="00A16566">
        <w:rPr>
          <w:i/>
        </w:rPr>
        <w:t xml:space="preserve">Charter </w:t>
      </w:r>
      <w:r w:rsidR="00832AC2" w:rsidRPr="00A16566">
        <w:t xml:space="preserve">did not apply, and held that the evidence did not affect trial fairness at common law. </w:t>
      </w:r>
      <w:r w:rsidR="003B71E3" w:rsidRPr="00A16566">
        <w:t>It further</w:t>
      </w:r>
      <w:r w:rsidR="00832AC2" w:rsidRPr="00A16566">
        <w:t xml:space="preserve"> concluded that even if the </w:t>
      </w:r>
      <w:r w:rsidR="00832AC2" w:rsidRPr="00A16566">
        <w:rPr>
          <w:i/>
        </w:rPr>
        <w:t xml:space="preserve">Charter </w:t>
      </w:r>
      <w:r w:rsidR="00832AC2" w:rsidRPr="00A16566">
        <w:t xml:space="preserve">applied, the search did not infringe </w:t>
      </w:r>
      <w:r w:rsidR="003B71E3" w:rsidRPr="00A16566">
        <w:t>M</w:t>
      </w:r>
      <w:r w:rsidR="00832AC2" w:rsidRPr="00A16566">
        <w:t>’s s. 8 rights.</w:t>
      </w:r>
    </w:p>
    <w:p w14:paraId="16EFEC4A" w14:textId="0186BD77" w:rsidR="00832AC2" w:rsidRPr="00A16566" w:rsidRDefault="00536B84" w:rsidP="00536B84">
      <w:pPr>
        <w:pStyle w:val="SCCNormalDoubleSpacing"/>
        <w:widowControl w:val="0"/>
        <w:spacing w:after="480"/>
        <w:rPr>
          <w:szCs w:val="24"/>
        </w:rPr>
      </w:pPr>
      <w:r w:rsidRPr="00A16566">
        <w:rPr>
          <w:i/>
          <w:szCs w:val="24"/>
        </w:rPr>
        <w:tab/>
      </w:r>
      <w:r w:rsidR="00832AC2" w:rsidRPr="00A16566">
        <w:rPr>
          <w:i/>
          <w:szCs w:val="24"/>
        </w:rPr>
        <w:t>Held</w:t>
      </w:r>
      <w:r w:rsidR="00832AC2" w:rsidRPr="00A16566">
        <w:rPr>
          <w:szCs w:val="24"/>
        </w:rPr>
        <w:t>: The appeal should be dismissed.</w:t>
      </w:r>
    </w:p>
    <w:p w14:paraId="3456F213" w14:textId="28E464AF" w:rsidR="00832AC2" w:rsidRPr="00A16566" w:rsidRDefault="00536B84" w:rsidP="00536B84">
      <w:pPr>
        <w:pStyle w:val="SCCNormalDoubleSpacing"/>
        <w:widowControl w:val="0"/>
        <w:spacing w:after="480"/>
        <w:rPr>
          <w:strike/>
          <w:color w:val="000000" w:themeColor="text1"/>
        </w:rPr>
      </w:pPr>
      <w:r w:rsidRPr="00A16566">
        <w:rPr>
          <w:i/>
          <w:szCs w:val="24"/>
        </w:rPr>
        <w:tab/>
      </w:r>
      <w:r w:rsidR="00832AC2" w:rsidRPr="00A16566">
        <w:rPr>
          <w:i/>
          <w:szCs w:val="24"/>
        </w:rPr>
        <w:t>Per</w:t>
      </w:r>
      <w:r w:rsidR="00832AC2" w:rsidRPr="00A16566">
        <w:rPr>
          <w:szCs w:val="24"/>
        </w:rPr>
        <w:t xml:space="preserve"> Wagner </w:t>
      </w:r>
      <w:proofErr w:type="spellStart"/>
      <w:r w:rsidR="00832AC2" w:rsidRPr="00A16566">
        <w:rPr>
          <w:szCs w:val="24"/>
        </w:rPr>
        <w:t>C.J</w:t>
      </w:r>
      <w:proofErr w:type="spellEnd"/>
      <w:r w:rsidR="00832AC2" w:rsidRPr="00A16566">
        <w:rPr>
          <w:szCs w:val="24"/>
        </w:rPr>
        <w:t xml:space="preserve">. and </w:t>
      </w:r>
      <w:proofErr w:type="spellStart"/>
      <w:r w:rsidR="00832AC2" w:rsidRPr="00A16566">
        <w:rPr>
          <w:szCs w:val="24"/>
        </w:rPr>
        <w:t>Moldaver</w:t>
      </w:r>
      <w:proofErr w:type="spellEnd"/>
      <w:r w:rsidR="00832AC2" w:rsidRPr="00A16566">
        <w:rPr>
          <w:szCs w:val="24"/>
        </w:rPr>
        <w:t xml:space="preserve">, </w:t>
      </w:r>
      <w:r w:rsidR="00832AC2" w:rsidRPr="00A16566">
        <w:rPr>
          <w:rStyle w:val="SCCCoramChar"/>
          <w:rFonts w:cs="Times New Roman"/>
          <w:b/>
        </w:rPr>
        <w:t>Côté</w:t>
      </w:r>
      <w:r w:rsidR="00832AC2" w:rsidRPr="00A16566">
        <w:rPr>
          <w:rStyle w:val="SCCCoramChar"/>
          <w:rFonts w:cs="Times New Roman"/>
        </w:rPr>
        <w:t xml:space="preserve">, </w:t>
      </w:r>
      <w:proofErr w:type="spellStart"/>
      <w:r w:rsidR="00832AC2" w:rsidRPr="00A16566">
        <w:rPr>
          <w:rStyle w:val="SCCCoramChar"/>
          <w:rFonts w:cs="Times New Roman"/>
        </w:rPr>
        <w:t>Kasirer</w:t>
      </w:r>
      <w:proofErr w:type="spellEnd"/>
      <w:r w:rsidR="00832AC2" w:rsidRPr="00A16566">
        <w:rPr>
          <w:rStyle w:val="SCCCoramChar"/>
          <w:rFonts w:cs="Times New Roman"/>
        </w:rPr>
        <w:t xml:space="preserve"> and Jamal </w:t>
      </w:r>
      <w:proofErr w:type="spellStart"/>
      <w:r w:rsidR="00832AC2" w:rsidRPr="00A16566">
        <w:rPr>
          <w:rStyle w:val="SCCCoramChar"/>
          <w:rFonts w:cs="Times New Roman"/>
        </w:rPr>
        <w:t>JJ</w:t>
      </w:r>
      <w:proofErr w:type="spellEnd"/>
      <w:r w:rsidR="00832AC2" w:rsidRPr="00A16566">
        <w:rPr>
          <w:rStyle w:val="SCCCoramChar"/>
          <w:rFonts w:cs="Times New Roman"/>
        </w:rPr>
        <w:t xml:space="preserve">.: </w:t>
      </w:r>
      <w:proofErr w:type="spellStart"/>
      <w:r w:rsidR="00832AC2" w:rsidRPr="00A16566">
        <w:t>CFNIS</w:t>
      </w:r>
      <w:proofErr w:type="spellEnd"/>
      <w:r w:rsidR="00832AC2" w:rsidRPr="00A16566">
        <w:t xml:space="preserve"> did not </w:t>
      </w:r>
      <w:r w:rsidR="003B71E3" w:rsidRPr="00A16566">
        <w:t>infringe M’s</w:t>
      </w:r>
      <w:r w:rsidR="00832AC2" w:rsidRPr="00A16566">
        <w:t xml:space="preserve"> rights under s. 8 of the </w:t>
      </w:r>
      <w:r w:rsidR="00832AC2" w:rsidRPr="00A16566">
        <w:rPr>
          <w:i/>
        </w:rPr>
        <w:t>Charter</w:t>
      </w:r>
      <w:r w:rsidR="003B71E3" w:rsidRPr="00A16566">
        <w:rPr>
          <w:color w:val="000000" w:themeColor="text1"/>
        </w:rPr>
        <w:t xml:space="preserve">. </w:t>
      </w:r>
      <w:r w:rsidR="00832AC2" w:rsidRPr="00A16566">
        <w:rPr>
          <w:color w:val="000000" w:themeColor="text1"/>
        </w:rPr>
        <w:t xml:space="preserve">There is no need to consider the extraterritorial applicability of the </w:t>
      </w:r>
      <w:r w:rsidR="00832AC2" w:rsidRPr="00A16566">
        <w:rPr>
          <w:i/>
          <w:color w:val="000000" w:themeColor="text1"/>
        </w:rPr>
        <w:t>Charter</w:t>
      </w:r>
      <w:r w:rsidR="003B71E3" w:rsidRPr="00A16566">
        <w:rPr>
          <w:color w:val="000000" w:themeColor="text1"/>
        </w:rPr>
        <w:t>.</w:t>
      </w:r>
    </w:p>
    <w:p w14:paraId="1A737F7E" w14:textId="71AFEED7" w:rsidR="00832AC2" w:rsidRPr="00A16566" w:rsidRDefault="00536B84" w:rsidP="00536B84">
      <w:pPr>
        <w:pStyle w:val="SCCNormalDoubleSpacing"/>
        <w:widowControl w:val="0"/>
        <w:spacing w:after="480"/>
        <w:rPr>
          <w:strike/>
          <w:color w:val="000000" w:themeColor="text1"/>
        </w:rPr>
      </w:pPr>
      <w:r w:rsidRPr="00A16566">
        <w:tab/>
      </w:r>
      <w:r w:rsidR="00832AC2" w:rsidRPr="00A16566">
        <w:t xml:space="preserve">A search is reasonable within the meaning of s. 8 of the </w:t>
      </w:r>
      <w:r w:rsidR="00832AC2" w:rsidRPr="00A16566">
        <w:rPr>
          <w:i/>
        </w:rPr>
        <w:t xml:space="preserve">Charter </w:t>
      </w:r>
      <w:r w:rsidR="00832AC2" w:rsidRPr="00A16566">
        <w:rPr>
          <w:spacing w:val="-3"/>
        </w:rPr>
        <w:t xml:space="preserve">if it is authorized by law, if the law itself is reasonable and if the manner in which the search was carried out is reasonable. </w:t>
      </w:r>
      <w:r w:rsidR="00832AC2" w:rsidRPr="00A16566">
        <w:t xml:space="preserve">Digital searches </w:t>
      </w:r>
      <w:r w:rsidR="003B71E3" w:rsidRPr="00A16566">
        <w:t>involve</w:t>
      </w:r>
      <w:r w:rsidR="00832AC2" w:rsidRPr="00A16566">
        <w:t xml:space="preserve"> unique and heightened privacy interests in personal data. A presumptive requirement of specific, prior authorization applies to digital searches of electronic devices that store personal data</w:t>
      </w:r>
      <w:r w:rsidRPr="00A16566">
        <w:t>.</w:t>
      </w:r>
    </w:p>
    <w:p w14:paraId="71CE6D85" w14:textId="69DE45BA" w:rsidR="00832AC2" w:rsidRPr="00A16566" w:rsidRDefault="00536B84" w:rsidP="00536B84">
      <w:pPr>
        <w:pStyle w:val="SCCNormalDoubleSpacing"/>
        <w:widowControl w:val="0"/>
        <w:spacing w:after="480"/>
      </w:pPr>
      <w:r w:rsidRPr="00A16566">
        <w:tab/>
      </w:r>
      <w:r w:rsidR="003B71E3" w:rsidRPr="00A16566">
        <w:t>In the instant case,</w:t>
      </w:r>
      <w:r w:rsidR="00832AC2" w:rsidRPr="00A16566">
        <w:t xml:space="preserve"> authorization to gain entry </w:t>
      </w:r>
      <w:r w:rsidR="003B71E3" w:rsidRPr="00A16566">
        <w:rPr>
          <w:color w:val="000000" w:themeColor="text1"/>
        </w:rPr>
        <w:t>into and search M’s residence and property</w:t>
      </w:r>
      <w:r w:rsidR="00832AC2" w:rsidRPr="00A16566">
        <w:rPr>
          <w:color w:val="000000" w:themeColor="text1"/>
        </w:rPr>
        <w:t xml:space="preserve"> could be granted only by a local magistrate under t</w:t>
      </w:r>
      <w:r w:rsidR="00832AC2" w:rsidRPr="00A16566">
        <w:t xml:space="preserve">he law of Virginia. </w:t>
      </w:r>
      <w:proofErr w:type="spellStart"/>
      <w:r w:rsidR="00832AC2" w:rsidRPr="00A16566">
        <w:t>CFNIS</w:t>
      </w:r>
      <w:proofErr w:type="spellEnd"/>
      <w:r w:rsidR="00832AC2" w:rsidRPr="00A16566">
        <w:t xml:space="preserve"> communicated with local authorities and availed itself of the on</w:t>
      </w:r>
      <w:r w:rsidR="003B71E3" w:rsidRPr="00A16566">
        <w:t>ly legal mechanism open to it: it first obtained a waiver</w:t>
      </w:r>
      <w:r w:rsidR="00832AC2" w:rsidRPr="00A16566">
        <w:t xml:space="preserve"> of the inviolability of </w:t>
      </w:r>
      <w:r w:rsidR="003B71E3" w:rsidRPr="00A16566">
        <w:t>M’s</w:t>
      </w:r>
      <w:r w:rsidR="00832AC2" w:rsidRPr="00A16566">
        <w:t xml:space="preserve"> private residence and property from the Canadian Embassy</w:t>
      </w:r>
      <w:r w:rsidR="003B71E3" w:rsidRPr="00A16566">
        <w:t>, and the</w:t>
      </w:r>
      <w:r w:rsidR="00832AC2" w:rsidRPr="00A16566">
        <w:t xml:space="preserve"> </w:t>
      </w:r>
      <w:r w:rsidR="00832AC2" w:rsidRPr="00A16566">
        <w:rPr>
          <w:lang w:val="en"/>
        </w:rPr>
        <w:t>Alexandria p</w:t>
      </w:r>
      <w:r w:rsidR="003B71E3" w:rsidRPr="00A16566">
        <w:rPr>
          <w:lang w:val="en"/>
        </w:rPr>
        <w:t>olice then</w:t>
      </w:r>
      <w:r w:rsidR="00832AC2" w:rsidRPr="00A16566">
        <w:rPr>
          <w:lang w:val="en"/>
        </w:rPr>
        <w:t xml:space="preserve"> </w:t>
      </w:r>
      <w:r w:rsidR="003B71E3" w:rsidRPr="00A16566">
        <w:t xml:space="preserve">obtained a search warrant </w:t>
      </w:r>
      <w:r w:rsidR="00832AC2" w:rsidRPr="00A16566">
        <w:t>from a local magistrate. The Virginia warrant meets the requirement for specific, prior autho</w:t>
      </w:r>
      <w:r w:rsidR="003B71E3" w:rsidRPr="00A16566">
        <w:t>rization for digital searches, and</w:t>
      </w:r>
      <w:r w:rsidR="00832AC2" w:rsidRPr="00A16566">
        <w:t xml:space="preserve"> it expressly authorized the search and analysis of the e</w:t>
      </w:r>
      <w:r w:rsidR="003B71E3" w:rsidRPr="00A16566">
        <w:t>lectronic devices found in M’s</w:t>
      </w:r>
      <w:r w:rsidR="00832AC2" w:rsidRPr="00A16566">
        <w:t xml:space="preserve"> residence. There were grounds to se</w:t>
      </w:r>
      <w:r w:rsidR="003B71E3" w:rsidRPr="00A16566">
        <w:t>arch the electronic devices as they</w:t>
      </w:r>
      <w:r w:rsidR="00832AC2" w:rsidRPr="00A16566">
        <w:t xml:space="preserve"> could reasonably be expected to contain evidence of the voyeurism offence. The </w:t>
      </w:r>
      <w:r w:rsidR="003B71E3" w:rsidRPr="00A16566">
        <w:t>search of M’s</w:t>
      </w:r>
      <w:r w:rsidR="00832AC2" w:rsidRPr="00A16566">
        <w:t xml:space="preserve"> devices was authorized by law.</w:t>
      </w:r>
    </w:p>
    <w:p w14:paraId="6D3FD356" w14:textId="317844A8" w:rsidR="00832AC2" w:rsidRPr="00A16566" w:rsidRDefault="00536B84" w:rsidP="00536B84">
      <w:pPr>
        <w:pStyle w:val="SCCNormalDoubleSpacing"/>
        <w:widowControl w:val="0"/>
        <w:spacing w:after="480"/>
      </w:pPr>
      <w:r w:rsidRPr="00A16566">
        <w:tab/>
      </w:r>
      <w:r w:rsidR="00832AC2" w:rsidRPr="00A16566">
        <w:t xml:space="preserve">Furthermore, the search was reasonable pursuant to </w:t>
      </w:r>
      <w:r w:rsidR="00832AC2" w:rsidRPr="00A16566">
        <w:rPr>
          <w:i/>
        </w:rPr>
        <w:t xml:space="preserve">Charter </w:t>
      </w:r>
      <w:r w:rsidR="00832AC2" w:rsidRPr="00A16566">
        <w:t xml:space="preserve">standards. It was </w:t>
      </w:r>
      <w:r w:rsidR="00F109C2" w:rsidRPr="00A16566">
        <w:t>not</w:t>
      </w:r>
      <w:r w:rsidR="00832AC2" w:rsidRPr="00A16566">
        <w:t xml:space="preserve"> more intrusive than necessary. </w:t>
      </w:r>
      <w:r w:rsidR="00F109C2" w:rsidRPr="00A16566">
        <w:t>The</w:t>
      </w:r>
      <w:r w:rsidR="00832AC2" w:rsidRPr="00A16566">
        <w:t xml:space="preserve"> warrant did not encompass the investigation of sexual assault offences</w:t>
      </w:r>
      <w:r w:rsidR="00F109C2" w:rsidRPr="00A16566">
        <w:t>, but</w:t>
      </w:r>
      <w:r w:rsidR="00832AC2" w:rsidRPr="00A16566">
        <w:t xml:space="preserve"> the unforeseen evidence </w:t>
      </w:r>
      <w:r w:rsidR="00F109C2" w:rsidRPr="00A16566">
        <w:t>was</w:t>
      </w:r>
      <w:r w:rsidR="00832AC2" w:rsidRPr="00A16566">
        <w:t xml:space="preserve"> discovered in the process of triaging electronic devices at the scene, as was expressly authorized by </w:t>
      </w:r>
      <w:r w:rsidR="00F109C2" w:rsidRPr="00A16566">
        <w:t>the</w:t>
      </w:r>
      <w:r w:rsidR="00832AC2" w:rsidRPr="00A16566">
        <w:t xml:space="preserve"> warrant. </w:t>
      </w:r>
      <w:r w:rsidR="00F109C2" w:rsidRPr="00A16566">
        <w:t>Seizing</w:t>
      </w:r>
      <w:r w:rsidR="00832AC2" w:rsidRPr="00A16566">
        <w:t xml:space="preserve"> the incriminating devices </w:t>
      </w:r>
      <w:r w:rsidR="00F109C2" w:rsidRPr="00A16566">
        <w:t>and</w:t>
      </w:r>
      <w:r w:rsidR="00832AC2" w:rsidRPr="00A16566">
        <w:t xml:space="preserve"> obtain</w:t>
      </w:r>
      <w:r w:rsidR="00F109C2" w:rsidRPr="00A16566">
        <w:t>ing</w:t>
      </w:r>
      <w:r w:rsidR="00832AC2" w:rsidRPr="00A16566">
        <w:t xml:space="preserve"> Canadian warrants before further analyzing their contents was consistent with s. 8 of the </w:t>
      </w:r>
      <w:r w:rsidR="00832AC2" w:rsidRPr="00A16566">
        <w:rPr>
          <w:i/>
        </w:rPr>
        <w:t>Charter</w:t>
      </w:r>
      <w:r w:rsidR="00832AC2" w:rsidRPr="00A16566">
        <w:t xml:space="preserve">. The plain view doctrine applies to the files disclosing evidence of sexual assault. </w:t>
      </w:r>
      <w:r w:rsidR="00F109C2" w:rsidRPr="00A16566">
        <w:t>This doctrine requires that</w:t>
      </w:r>
      <w:r w:rsidR="00832AC2" w:rsidRPr="00A16566">
        <w:t xml:space="preserve"> the police officers must have a legitimate prior justification for intrusion into the place where the seizure occurred</w:t>
      </w:r>
      <w:r w:rsidR="00F109C2" w:rsidRPr="00A16566">
        <w:t xml:space="preserve"> and that</w:t>
      </w:r>
      <w:r w:rsidR="00832AC2" w:rsidRPr="00A16566">
        <w:t xml:space="preserve"> the evidence must be in plain view in that it is immediately obvious and discovered inadvertently. Both requirements are satisfied in the present case. The investigators had a legitimate justification for their inspection of the files containing evidence of sexual assault. </w:t>
      </w:r>
      <w:r w:rsidR="00F109C2" w:rsidRPr="00A16566">
        <w:t>The files were discovered</w:t>
      </w:r>
      <w:r w:rsidR="00832AC2" w:rsidRPr="00A16566">
        <w:t xml:space="preserve"> while looking for the types of files specifically sought and authorized. </w:t>
      </w:r>
      <w:r w:rsidR="00F109C2" w:rsidRPr="00A16566">
        <w:t>In addition,</w:t>
      </w:r>
      <w:r w:rsidR="00832AC2" w:rsidRPr="00A16566">
        <w:t xml:space="preserve"> the files were in plain view, given their inadvertent discovery and immediately apparent unlawfulness</w:t>
      </w:r>
      <w:r w:rsidRPr="00A16566">
        <w:t>.</w:t>
      </w:r>
      <w:r w:rsidR="00832AC2" w:rsidRPr="00A16566">
        <w:t xml:space="preserve"> </w:t>
      </w:r>
      <w:r w:rsidR="00832AC2" w:rsidRPr="00A16566">
        <w:rPr>
          <w:color w:val="000000" w:themeColor="text1"/>
        </w:rPr>
        <w:t>Devi</w:t>
      </w:r>
      <w:r w:rsidR="00F109C2" w:rsidRPr="00A16566">
        <w:rPr>
          <w:color w:val="000000" w:themeColor="text1"/>
        </w:rPr>
        <w:t>ces containing these files were</w:t>
      </w:r>
      <w:r w:rsidR="00832AC2" w:rsidRPr="00A16566">
        <w:rPr>
          <w:color w:val="000000" w:themeColor="text1"/>
        </w:rPr>
        <w:t xml:space="preserve"> set aside for seizure and f</w:t>
      </w:r>
      <w:r w:rsidR="00F109C2" w:rsidRPr="00A16566">
        <w:rPr>
          <w:color w:val="000000" w:themeColor="text1"/>
        </w:rPr>
        <w:t>urther analysis back in Canada and</w:t>
      </w:r>
      <w:r w:rsidR="00832AC2" w:rsidRPr="00A16566">
        <w:rPr>
          <w:color w:val="000000" w:themeColor="text1"/>
        </w:rPr>
        <w:t xml:space="preserve"> there was no need to closely examine </w:t>
      </w:r>
      <w:r w:rsidR="00F109C2" w:rsidRPr="00A16566">
        <w:rPr>
          <w:color w:val="000000" w:themeColor="text1"/>
        </w:rPr>
        <w:t>the files</w:t>
      </w:r>
      <w:r w:rsidR="00832AC2" w:rsidRPr="00A16566">
        <w:rPr>
          <w:color w:val="000000" w:themeColor="text1"/>
        </w:rPr>
        <w:t xml:space="preserve"> to ascertain </w:t>
      </w:r>
      <w:r w:rsidR="00832AC2" w:rsidRPr="00A16566">
        <w:t>their incriminating nature. The application of the plain view doctrine is necessa</w:t>
      </w:r>
      <w:r w:rsidR="00F109C2" w:rsidRPr="00A16566">
        <w:t>ry because the police had no other basis to</w:t>
      </w:r>
      <w:r w:rsidR="00832AC2" w:rsidRPr="00A16566">
        <w:t xml:space="preserve"> justify seizi</w:t>
      </w:r>
      <w:r w:rsidRPr="00A16566">
        <w:t>ng the sexual assault evidence.</w:t>
      </w:r>
    </w:p>
    <w:p w14:paraId="1E5D2643" w14:textId="7A7627CE" w:rsidR="00832AC2" w:rsidRPr="00A16566" w:rsidRDefault="00536B84" w:rsidP="00536B84">
      <w:pPr>
        <w:pStyle w:val="SCCNormalDoubleSpacing"/>
        <w:widowControl w:val="0"/>
        <w:spacing w:after="480"/>
        <w:rPr>
          <w:color w:val="000000" w:themeColor="text1"/>
        </w:rPr>
      </w:pPr>
      <w:r w:rsidRPr="00A16566">
        <w:tab/>
      </w:r>
      <w:r w:rsidR="00832AC2" w:rsidRPr="00A16566">
        <w:t xml:space="preserve">The scope of application of the </w:t>
      </w:r>
      <w:r w:rsidR="00832AC2" w:rsidRPr="00A16566">
        <w:rPr>
          <w:i/>
        </w:rPr>
        <w:t xml:space="preserve">Charter </w:t>
      </w:r>
      <w:r w:rsidR="00832AC2" w:rsidRPr="00A16566">
        <w:t xml:space="preserve">is delineated in s. 32(1). </w:t>
      </w:r>
      <w:r w:rsidR="00F109C2" w:rsidRPr="00A16566">
        <w:t>The Court’s decision in</w:t>
      </w:r>
      <w:r w:rsidR="00832AC2" w:rsidRPr="00A16566">
        <w:t xml:space="preserve"> </w:t>
      </w:r>
      <w:r w:rsidR="00832AC2" w:rsidRPr="00A16566">
        <w:rPr>
          <w:i/>
        </w:rPr>
        <w:t xml:space="preserve">R. v. </w:t>
      </w:r>
      <w:proofErr w:type="spellStart"/>
      <w:r w:rsidR="00832AC2" w:rsidRPr="00A16566">
        <w:rPr>
          <w:i/>
        </w:rPr>
        <w:t>Hape</w:t>
      </w:r>
      <w:proofErr w:type="spellEnd"/>
      <w:r w:rsidR="00832AC2" w:rsidRPr="00A16566">
        <w:t xml:space="preserve">, 2007 SCC 26, [2007] 2 </w:t>
      </w:r>
      <w:proofErr w:type="spellStart"/>
      <w:r w:rsidR="00832AC2" w:rsidRPr="00A16566">
        <w:t>S.C.R</w:t>
      </w:r>
      <w:proofErr w:type="spellEnd"/>
      <w:r w:rsidR="00832AC2" w:rsidRPr="00A16566">
        <w:t>. 292,</w:t>
      </w:r>
      <w:r w:rsidR="00832AC2" w:rsidRPr="00A16566">
        <w:rPr>
          <w:i/>
        </w:rPr>
        <w:t xml:space="preserve"> </w:t>
      </w:r>
      <w:r w:rsidR="00832AC2" w:rsidRPr="00A16566">
        <w:t xml:space="preserve">is the governing authority on the territorial reach and limits of the </w:t>
      </w:r>
      <w:r w:rsidR="00832AC2" w:rsidRPr="00A16566">
        <w:rPr>
          <w:i/>
        </w:rPr>
        <w:t xml:space="preserve">Charter </w:t>
      </w:r>
      <w:r w:rsidR="00832AC2" w:rsidRPr="00A16566">
        <w:t>under s. 32(1). The interveners invite</w:t>
      </w:r>
      <w:r w:rsidR="00F109C2" w:rsidRPr="00A16566">
        <w:t>d the</w:t>
      </w:r>
      <w:r w:rsidR="00832AC2" w:rsidRPr="00A16566">
        <w:t xml:space="preserve"> Court to decide whether </w:t>
      </w:r>
      <w:proofErr w:type="spellStart"/>
      <w:r w:rsidR="00832AC2" w:rsidRPr="00A16566">
        <w:rPr>
          <w:i/>
        </w:rPr>
        <w:t>Hape</w:t>
      </w:r>
      <w:proofErr w:type="spellEnd"/>
      <w:r w:rsidR="00832AC2" w:rsidRPr="00A16566">
        <w:t xml:space="preserve"> should be reaffirmed, modified, or overruled</w:t>
      </w:r>
      <w:r w:rsidR="00F109C2" w:rsidRPr="00A16566">
        <w:t>, and drew</w:t>
      </w:r>
      <w:r w:rsidR="00832AC2" w:rsidRPr="00A16566">
        <w:t xml:space="preserve"> on academic criticism </w:t>
      </w:r>
      <w:r w:rsidR="00F109C2" w:rsidRPr="00A16566">
        <w:t>of</w:t>
      </w:r>
      <w:r w:rsidR="00832AC2" w:rsidRPr="00A16566">
        <w:t xml:space="preserve"> the </w:t>
      </w:r>
      <w:proofErr w:type="spellStart"/>
      <w:r w:rsidR="00832AC2" w:rsidRPr="00A16566">
        <w:rPr>
          <w:i/>
        </w:rPr>
        <w:t>Hape</w:t>
      </w:r>
      <w:proofErr w:type="spellEnd"/>
      <w:r w:rsidR="00832AC2" w:rsidRPr="00A16566">
        <w:rPr>
          <w:i/>
        </w:rPr>
        <w:t xml:space="preserve"> </w:t>
      </w:r>
      <w:r w:rsidR="00832AC2" w:rsidRPr="00A16566">
        <w:t>framework</w:t>
      </w:r>
      <w:r w:rsidR="00832AC2" w:rsidRPr="00A16566">
        <w:rPr>
          <w:color w:val="000000" w:themeColor="text1"/>
        </w:rPr>
        <w:t xml:space="preserve">. This is not an appropriate case in which to reconsider the extraterritorial application of the </w:t>
      </w:r>
      <w:r w:rsidR="00832AC2" w:rsidRPr="00A16566">
        <w:rPr>
          <w:i/>
          <w:color w:val="000000" w:themeColor="text1"/>
        </w:rPr>
        <w:t>Charter</w:t>
      </w:r>
      <w:r w:rsidR="00F109C2" w:rsidRPr="00A16566">
        <w:rPr>
          <w:color w:val="000000" w:themeColor="text1"/>
        </w:rPr>
        <w:t xml:space="preserve">. First, the parties simply debate </w:t>
      </w:r>
      <w:proofErr w:type="spellStart"/>
      <w:r w:rsidR="00832AC2" w:rsidRPr="00A16566">
        <w:rPr>
          <w:i/>
          <w:color w:val="000000" w:themeColor="text1"/>
        </w:rPr>
        <w:t>Hape</w:t>
      </w:r>
      <w:r w:rsidR="00832AC2" w:rsidRPr="00A16566">
        <w:rPr>
          <w:color w:val="000000" w:themeColor="text1"/>
        </w:rPr>
        <w:t>’s</w:t>
      </w:r>
      <w:proofErr w:type="spellEnd"/>
      <w:r w:rsidR="00832AC2" w:rsidRPr="00A16566">
        <w:rPr>
          <w:color w:val="000000" w:themeColor="text1"/>
        </w:rPr>
        <w:t xml:space="preserve"> app</w:t>
      </w:r>
      <w:r w:rsidR="00F109C2" w:rsidRPr="00A16566">
        <w:rPr>
          <w:color w:val="000000" w:themeColor="text1"/>
        </w:rPr>
        <w:t>lication to the facts at hand. The</w:t>
      </w:r>
      <w:r w:rsidR="00832AC2" w:rsidRPr="00A16566">
        <w:rPr>
          <w:color w:val="000000" w:themeColor="text1"/>
        </w:rPr>
        <w:t xml:space="preserve"> Court should not overrule a precedent without having been </w:t>
      </w:r>
      <w:r w:rsidR="00F109C2" w:rsidRPr="00A16566">
        <w:rPr>
          <w:color w:val="000000" w:themeColor="text1"/>
        </w:rPr>
        <w:t>asked to do so by a party. Second, reconsidering</w:t>
      </w:r>
      <w:r w:rsidR="00832AC2" w:rsidRPr="00A16566">
        <w:rPr>
          <w:color w:val="000000" w:themeColor="text1"/>
        </w:rPr>
        <w:t xml:space="preserve"> </w:t>
      </w:r>
      <w:proofErr w:type="spellStart"/>
      <w:r w:rsidR="00832AC2" w:rsidRPr="00A16566">
        <w:rPr>
          <w:i/>
          <w:color w:val="000000" w:themeColor="text1"/>
        </w:rPr>
        <w:t>Hape</w:t>
      </w:r>
      <w:proofErr w:type="spellEnd"/>
      <w:r w:rsidR="00832AC2" w:rsidRPr="00A16566">
        <w:rPr>
          <w:i/>
          <w:color w:val="000000" w:themeColor="text1"/>
        </w:rPr>
        <w:t xml:space="preserve"> </w:t>
      </w:r>
      <w:r w:rsidR="00832AC2" w:rsidRPr="00A16566">
        <w:rPr>
          <w:color w:val="000000" w:themeColor="text1"/>
        </w:rPr>
        <w:t xml:space="preserve">would make no difference to the outcome of the appeal. </w:t>
      </w:r>
      <w:r w:rsidR="00F109C2" w:rsidRPr="00A16566">
        <w:rPr>
          <w:color w:val="000000" w:themeColor="text1"/>
        </w:rPr>
        <w:t>Third, academic criticism is not</w:t>
      </w:r>
      <w:r w:rsidR="00832AC2" w:rsidRPr="00A16566">
        <w:rPr>
          <w:color w:val="000000" w:themeColor="text1"/>
        </w:rPr>
        <w:t xml:space="preserve"> a sufficient reason not to apply the principles of </w:t>
      </w:r>
      <w:r w:rsidR="00832AC2" w:rsidRPr="00A16566">
        <w:rPr>
          <w:i/>
          <w:color w:val="000000" w:themeColor="text1"/>
        </w:rPr>
        <w:t>stare decisis</w:t>
      </w:r>
      <w:r w:rsidR="00832AC2" w:rsidRPr="00A16566">
        <w:rPr>
          <w:color w:val="000000" w:themeColor="text1"/>
        </w:rPr>
        <w:t xml:space="preserve">. Therefore, it is preferable to leave for another day any reconsideration of the </w:t>
      </w:r>
      <w:proofErr w:type="spellStart"/>
      <w:r w:rsidR="00832AC2" w:rsidRPr="00A16566">
        <w:rPr>
          <w:i/>
          <w:color w:val="000000" w:themeColor="text1"/>
        </w:rPr>
        <w:t>Hape</w:t>
      </w:r>
      <w:proofErr w:type="spellEnd"/>
      <w:r w:rsidR="00832AC2" w:rsidRPr="00A16566">
        <w:rPr>
          <w:i/>
          <w:color w:val="000000" w:themeColor="text1"/>
        </w:rPr>
        <w:t xml:space="preserve"> </w:t>
      </w:r>
      <w:r w:rsidR="00832AC2" w:rsidRPr="00A16566">
        <w:rPr>
          <w:color w:val="000000" w:themeColor="text1"/>
        </w:rPr>
        <w:t>framework.</w:t>
      </w:r>
    </w:p>
    <w:p w14:paraId="336DBDC8" w14:textId="1B0BAA04" w:rsidR="00C92B36" w:rsidRPr="00A16566" w:rsidRDefault="00536B84" w:rsidP="00536B84">
      <w:pPr>
        <w:pStyle w:val="SCCNormalDoubleSpacing"/>
        <w:widowControl w:val="0"/>
        <w:spacing w:after="480"/>
        <w:rPr>
          <w:lang w:val="en-US"/>
        </w:rPr>
      </w:pPr>
      <w:r w:rsidRPr="00A16566">
        <w:rPr>
          <w:i/>
          <w:lang w:val="en-US"/>
        </w:rPr>
        <w:tab/>
      </w:r>
      <w:r w:rsidR="00C92B36" w:rsidRPr="00A16566">
        <w:rPr>
          <w:i/>
          <w:lang w:val="en-US"/>
        </w:rPr>
        <w:t>Per</w:t>
      </w:r>
      <w:r w:rsidR="00C92B36" w:rsidRPr="00A16566">
        <w:rPr>
          <w:lang w:val="en-US"/>
        </w:rPr>
        <w:t xml:space="preserve"> </w:t>
      </w:r>
      <w:proofErr w:type="spellStart"/>
      <w:r w:rsidR="00C92B36" w:rsidRPr="00A16566">
        <w:rPr>
          <w:b/>
          <w:lang w:val="en-US"/>
        </w:rPr>
        <w:t>Karakatsanis</w:t>
      </w:r>
      <w:proofErr w:type="spellEnd"/>
      <w:r w:rsidR="00C92B36" w:rsidRPr="00A16566">
        <w:rPr>
          <w:lang w:val="en-US"/>
        </w:rPr>
        <w:t xml:space="preserve"> and </w:t>
      </w:r>
      <w:r w:rsidR="00C92B36" w:rsidRPr="00A16566">
        <w:rPr>
          <w:b/>
          <w:lang w:val="en-US"/>
        </w:rPr>
        <w:t>Martin</w:t>
      </w:r>
      <w:r w:rsidR="00C92B36" w:rsidRPr="00A16566">
        <w:rPr>
          <w:lang w:val="en-US"/>
        </w:rPr>
        <w:t xml:space="preserve"> </w:t>
      </w:r>
      <w:proofErr w:type="spellStart"/>
      <w:r w:rsidR="00C92B36" w:rsidRPr="00A16566">
        <w:rPr>
          <w:lang w:val="en-US"/>
        </w:rPr>
        <w:t>JJ</w:t>
      </w:r>
      <w:proofErr w:type="spellEnd"/>
      <w:r w:rsidR="00C92B36" w:rsidRPr="00A16566">
        <w:rPr>
          <w:lang w:val="en-US"/>
        </w:rPr>
        <w:t xml:space="preserve">.: </w:t>
      </w:r>
      <w:r w:rsidR="00F109C2" w:rsidRPr="00A16566">
        <w:rPr>
          <w:lang w:val="en-US"/>
        </w:rPr>
        <w:t>There is</w:t>
      </w:r>
      <w:r w:rsidR="00C92B36" w:rsidRPr="00A16566">
        <w:rPr>
          <w:lang w:val="en-US"/>
        </w:rPr>
        <w:t xml:space="preserve"> agreement that the appeal should be dismissed. </w:t>
      </w:r>
      <w:proofErr w:type="spellStart"/>
      <w:r w:rsidR="00F109C2" w:rsidRPr="00A16566">
        <w:rPr>
          <w:lang w:val="en-US"/>
        </w:rPr>
        <w:t>CFNIS</w:t>
      </w:r>
      <w:proofErr w:type="spellEnd"/>
      <w:r w:rsidRPr="00A16566">
        <w:rPr>
          <w:lang w:val="en-US"/>
        </w:rPr>
        <w:t xml:space="preserve"> did not infringe s. </w:t>
      </w:r>
      <w:r w:rsidR="00C92B36" w:rsidRPr="00A16566">
        <w:rPr>
          <w:lang w:val="en-US"/>
        </w:rPr>
        <w:t xml:space="preserve">8 of the </w:t>
      </w:r>
      <w:r w:rsidR="00C92B36" w:rsidRPr="00A16566">
        <w:rPr>
          <w:i/>
          <w:lang w:val="en-US"/>
        </w:rPr>
        <w:t>Charter</w:t>
      </w:r>
      <w:r w:rsidR="00C92B36" w:rsidRPr="00A16566">
        <w:rPr>
          <w:lang w:val="en-US"/>
        </w:rPr>
        <w:t xml:space="preserve"> and the evidence is admissible.</w:t>
      </w:r>
    </w:p>
    <w:p w14:paraId="3B678183" w14:textId="6610BAA6" w:rsidR="00C92B36" w:rsidRPr="00A16566" w:rsidRDefault="00536B84" w:rsidP="00536B84">
      <w:pPr>
        <w:pStyle w:val="SCCNormalDoubleSpacing"/>
        <w:widowControl w:val="0"/>
        <w:spacing w:after="480"/>
        <w:rPr>
          <w:lang w:val="en-US"/>
        </w:rPr>
      </w:pPr>
      <w:r w:rsidRPr="00A16566">
        <w:rPr>
          <w:lang w:val="en-US"/>
        </w:rPr>
        <w:tab/>
      </w:r>
      <w:r w:rsidR="00C92B36" w:rsidRPr="00A16566">
        <w:rPr>
          <w:lang w:val="en-US"/>
        </w:rPr>
        <w:t xml:space="preserve">The extraterritorial application of the </w:t>
      </w:r>
      <w:r w:rsidR="00C92B36" w:rsidRPr="00A16566">
        <w:rPr>
          <w:i/>
          <w:lang w:val="en-US"/>
        </w:rPr>
        <w:t xml:space="preserve">Charter </w:t>
      </w:r>
      <w:r w:rsidR="00C92B36" w:rsidRPr="00A16566">
        <w:rPr>
          <w:lang w:val="en-US"/>
        </w:rPr>
        <w:t xml:space="preserve">is squarely before the Court and it is an issue that arises infrequently, may easily escape judicial review, and has been subject to significant and sustained criticism by experts in international law. </w:t>
      </w:r>
      <w:r w:rsidR="00F109C2" w:rsidRPr="00A16566">
        <w:rPr>
          <w:lang w:val="en-US"/>
        </w:rPr>
        <w:t>It</w:t>
      </w:r>
      <w:r w:rsidR="00C92B36" w:rsidRPr="00A16566">
        <w:rPr>
          <w:lang w:val="en-US"/>
        </w:rPr>
        <w:t xml:space="preserve"> was clearly the primary and threshold issue argued by the parties and multiple interveners, it was the reason l</w:t>
      </w:r>
      <w:r w:rsidR="00F109C2" w:rsidRPr="00A16566">
        <w:rPr>
          <w:lang w:val="en-US"/>
        </w:rPr>
        <w:t>eave to appeal was sought, and the Court</w:t>
      </w:r>
      <w:r w:rsidR="00C92B36" w:rsidRPr="00A16566">
        <w:rPr>
          <w:lang w:val="en-US"/>
        </w:rPr>
        <w:t xml:space="preserve"> received full submissions on both constitutional and international law. </w:t>
      </w:r>
      <w:r w:rsidR="00F109C2" w:rsidRPr="00A16566">
        <w:rPr>
          <w:lang w:val="en-US"/>
        </w:rPr>
        <w:t xml:space="preserve">Accordingly, </w:t>
      </w:r>
      <w:r w:rsidR="00C92B36" w:rsidRPr="00A16566">
        <w:rPr>
          <w:lang w:val="en-US"/>
        </w:rPr>
        <w:t>it is appropriate to comment on</w:t>
      </w:r>
      <w:r w:rsidR="00F109C2" w:rsidRPr="00A16566">
        <w:rPr>
          <w:lang w:val="en-US"/>
        </w:rPr>
        <w:t xml:space="preserve"> the central question at issue: whether</w:t>
      </w:r>
      <w:r w:rsidR="00C92B36" w:rsidRPr="00A16566">
        <w:rPr>
          <w:lang w:val="en-US"/>
        </w:rPr>
        <w:t xml:space="preserve"> the </w:t>
      </w:r>
      <w:r w:rsidR="00C92B36" w:rsidRPr="00A16566">
        <w:rPr>
          <w:i/>
          <w:lang w:val="en-US"/>
        </w:rPr>
        <w:t>Charter</w:t>
      </w:r>
      <w:r w:rsidRPr="00A16566">
        <w:rPr>
          <w:lang w:val="en-US"/>
        </w:rPr>
        <w:t xml:space="preserve"> applies, pursuant to s. </w:t>
      </w:r>
      <w:r w:rsidR="00C92B36" w:rsidRPr="00A16566">
        <w:rPr>
          <w:lang w:val="en-US"/>
        </w:rPr>
        <w:t>32, to Canadian authorities’ i</w:t>
      </w:r>
      <w:r w:rsidR="00F109C2" w:rsidRPr="00A16566">
        <w:rPr>
          <w:lang w:val="en-US"/>
        </w:rPr>
        <w:t>nvestigative actions abroad in M’s</w:t>
      </w:r>
      <w:r w:rsidR="00C92B36" w:rsidRPr="00A16566">
        <w:rPr>
          <w:lang w:val="en-US"/>
        </w:rPr>
        <w:t xml:space="preserve"> circumstances.</w:t>
      </w:r>
    </w:p>
    <w:p w14:paraId="12D6065B" w14:textId="1998A34C" w:rsidR="00C92B36" w:rsidRPr="00A16566" w:rsidRDefault="00536B84" w:rsidP="00536B84">
      <w:pPr>
        <w:pStyle w:val="SCCNormalDoubleSpacing"/>
        <w:widowControl w:val="0"/>
        <w:spacing w:after="480"/>
        <w:rPr>
          <w:lang w:val="en-US"/>
        </w:rPr>
      </w:pPr>
      <w:r w:rsidRPr="00A16566">
        <w:tab/>
      </w:r>
      <w:r w:rsidR="00F109C2" w:rsidRPr="00A16566">
        <w:t>A</w:t>
      </w:r>
      <w:r w:rsidR="00C92B36" w:rsidRPr="00A16566">
        <w:t xml:space="preserve"> purposive reading </w:t>
      </w:r>
      <w:r w:rsidR="00F109C2" w:rsidRPr="00A16566">
        <w:rPr>
          <w:lang w:val="en-US"/>
        </w:rPr>
        <w:t>of</w:t>
      </w:r>
      <w:r w:rsidR="00C92B36" w:rsidRPr="00A16566">
        <w:rPr>
          <w:lang w:val="en-US"/>
        </w:rPr>
        <w:t xml:space="preserve"> s. 32(1) of the </w:t>
      </w:r>
      <w:r w:rsidR="00C92B36" w:rsidRPr="00A16566">
        <w:rPr>
          <w:i/>
          <w:lang w:val="en-US"/>
        </w:rPr>
        <w:t xml:space="preserve">Charter </w:t>
      </w:r>
      <w:r w:rsidR="00C92B36" w:rsidRPr="00A16566">
        <w:t xml:space="preserve">supports the conclusion </w:t>
      </w:r>
      <w:r w:rsidR="00C92B36" w:rsidRPr="00A16566">
        <w:rPr>
          <w:lang w:val="en-US"/>
        </w:rPr>
        <w:t xml:space="preserve">that the </w:t>
      </w:r>
      <w:r w:rsidR="00C92B36" w:rsidRPr="00A16566">
        <w:rPr>
          <w:i/>
          <w:lang w:val="en-US"/>
        </w:rPr>
        <w:t>Charter</w:t>
      </w:r>
      <w:r w:rsidR="00C92B36" w:rsidRPr="00A16566">
        <w:rPr>
          <w:lang w:val="en-US"/>
        </w:rPr>
        <w:t xml:space="preserve"> applies extraterritorially to the conduct of </w:t>
      </w:r>
      <w:proofErr w:type="spellStart"/>
      <w:r w:rsidR="00C92B36" w:rsidRPr="00A16566">
        <w:rPr>
          <w:lang w:val="en-US"/>
        </w:rPr>
        <w:t>CFNIS</w:t>
      </w:r>
      <w:proofErr w:type="spellEnd"/>
      <w:r w:rsidR="00C92B36" w:rsidRPr="00A16566">
        <w:rPr>
          <w:lang w:val="en-US"/>
        </w:rPr>
        <w:t xml:space="preserve"> officials while fulfilling their investigative duties in a foreign state and that a Canadian court may assess that conduct for </w:t>
      </w:r>
      <w:r w:rsidR="00C92B36" w:rsidRPr="00A16566">
        <w:rPr>
          <w:i/>
          <w:lang w:val="en-US"/>
        </w:rPr>
        <w:t>Charter</w:t>
      </w:r>
      <w:r w:rsidR="00C92B36" w:rsidRPr="00A16566">
        <w:rPr>
          <w:lang w:val="en-US"/>
        </w:rPr>
        <w:t xml:space="preserve"> </w:t>
      </w:r>
      <w:r w:rsidRPr="00A16566">
        <w:rPr>
          <w:lang w:val="en-US"/>
        </w:rPr>
        <w:t>compliance. It is well</w:t>
      </w:r>
      <w:r w:rsidRPr="00A16566">
        <w:rPr>
          <w:lang w:val="en-US"/>
        </w:rPr>
        <w:noBreakHyphen/>
      </w:r>
      <w:r w:rsidR="00C92B36" w:rsidRPr="00A16566">
        <w:rPr>
          <w:lang w:val="en-US"/>
        </w:rPr>
        <w:t xml:space="preserve">established that the interpretation of the </w:t>
      </w:r>
      <w:r w:rsidR="00C92B36" w:rsidRPr="00A16566">
        <w:rPr>
          <w:i/>
          <w:lang w:val="en-US"/>
        </w:rPr>
        <w:t>Charter</w:t>
      </w:r>
      <w:r w:rsidR="00C92B36" w:rsidRPr="00A16566">
        <w:rPr>
          <w:lang w:val="en-US"/>
        </w:rPr>
        <w:t xml:space="preserve"> should be purposive, generous, and aimed at securing for individuals the full benefit of the </w:t>
      </w:r>
      <w:r w:rsidR="00C92B36" w:rsidRPr="00A16566">
        <w:rPr>
          <w:i/>
          <w:lang w:val="en-US"/>
        </w:rPr>
        <w:t>Charter</w:t>
      </w:r>
      <w:r w:rsidR="00C92B36" w:rsidRPr="00A16566">
        <w:rPr>
          <w:lang w:val="en-US"/>
        </w:rPr>
        <w:t xml:space="preserve">’s protections. The </w:t>
      </w:r>
      <w:r w:rsidR="00C92B36" w:rsidRPr="00A16566">
        <w:rPr>
          <w:i/>
          <w:lang w:val="en-US"/>
        </w:rPr>
        <w:t>Charter</w:t>
      </w:r>
      <w:r w:rsidR="00C92B36" w:rsidRPr="00A16566">
        <w:rPr>
          <w:lang w:val="en-US"/>
        </w:rPr>
        <w:t>’s text and purpose support extraterritorial application. Nothing in s. 32 imposes or suggests any territorial limitation. It</w:t>
      </w:r>
      <w:r w:rsidR="00C92B36" w:rsidRPr="00A16566">
        <w:t xml:space="preserve"> expressly limits to whom </w:t>
      </w:r>
      <w:r w:rsidR="00F109C2" w:rsidRPr="00A16566">
        <w:t>and</w:t>
      </w:r>
      <w:r w:rsidR="00C92B36" w:rsidRPr="00A16566">
        <w:t xml:space="preserve"> to what the </w:t>
      </w:r>
      <w:r w:rsidR="00C92B36" w:rsidRPr="00A16566">
        <w:rPr>
          <w:i/>
        </w:rPr>
        <w:t xml:space="preserve">Charter </w:t>
      </w:r>
      <w:r w:rsidR="00C92B36" w:rsidRPr="00A16566">
        <w:t>applies</w:t>
      </w:r>
      <w:r w:rsidR="00F109C2" w:rsidRPr="00A16566">
        <w:t xml:space="preserve"> but not</w:t>
      </w:r>
      <w:r w:rsidR="00C92B36" w:rsidRPr="00A16566">
        <w:t xml:space="preserve"> where the </w:t>
      </w:r>
      <w:r w:rsidR="00C92B36" w:rsidRPr="00A16566">
        <w:rPr>
          <w:i/>
        </w:rPr>
        <w:t xml:space="preserve">Charter </w:t>
      </w:r>
      <w:r w:rsidR="00C92B36" w:rsidRPr="00A16566">
        <w:t xml:space="preserve">applies. Limiting the </w:t>
      </w:r>
      <w:r w:rsidR="00C92B36" w:rsidRPr="00A16566">
        <w:rPr>
          <w:i/>
        </w:rPr>
        <w:t>Charter</w:t>
      </w:r>
      <w:r w:rsidR="00C92B36" w:rsidRPr="00A16566">
        <w:t>’s scope to all matters within the authority of Parliament and the legislatures does n</w:t>
      </w:r>
      <w:r w:rsidR="00F109C2" w:rsidRPr="00A16566">
        <w:t>ot</w:t>
      </w:r>
      <w:r w:rsidR="00C92B36" w:rsidRPr="00A16566">
        <w:t xml:space="preserve"> </w:t>
      </w:r>
      <w:r w:rsidR="00C92B36" w:rsidRPr="00A16566">
        <w:rPr>
          <w:lang w:val="en-US"/>
        </w:rPr>
        <w:t>implicitly impose a territorial limit.</w:t>
      </w:r>
      <w:r w:rsidR="00C92B36" w:rsidRPr="00A16566">
        <w:rPr>
          <w:i/>
        </w:rPr>
        <w:t xml:space="preserve"> </w:t>
      </w:r>
      <w:r w:rsidR="00F109C2" w:rsidRPr="00A16566">
        <w:t>Those</w:t>
      </w:r>
      <w:r w:rsidR="00C92B36" w:rsidRPr="00A16566">
        <w:t xml:space="preserve"> words merely referenc</w:t>
      </w:r>
      <w:r w:rsidRPr="00A16566">
        <w:t>e the division of powers in ss. </w:t>
      </w:r>
      <w:r w:rsidR="00C92B36" w:rsidRPr="00A16566">
        <w:t xml:space="preserve">91 and 92 of the </w:t>
      </w:r>
      <w:r w:rsidR="00C92B36" w:rsidRPr="00A16566">
        <w:rPr>
          <w:i/>
          <w:iCs/>
        </w:rPr>
        <w:t>Constitution Act, 1867</w:t>
      </w:r>
      <w:r w:rsidRPr="00A16566">
        <w:t>.</w:t>
      </w:r>
      <w:r w:rsidR="00C92B36" w:rsidRPr="00A16566">
        <w:t xml:space="preserve"> </w:t>
      </w:r>
      <w:r w:rsidR="00C92B36" w:rsidRPr="00A16566">
        <w:rPr>
          <w:lang w:val="en-GB"/>
        </w:rPr>
        <w:t xml:space="preserve">Section 32(1)’s silence as to the </w:t>
      </w:r>
      <w:r w:rsidR="00C92B36" w:rsidRPr="00A16566">
        <w:rPr>
          <w:i/>
          <w:lang w:val="en-GB"/>
        </w:rPr>
        <w:t>Charter</w:t>
      </w:r>
      <w:r w:rsidR="00C92B36" w:rsidRPr="00A16566">
        <w:rPr>
          <w:lang w:val="en-GB"/>
        </w:rPr>
        <w:t>’s</w:t>
      </w:r>
      <w:r w:rsidR="00C92B36" w:rsidRPr="00A16566">
        <w:rPr>
          <w:i/>
          <w:lang w:val="en-GB"/>
        </w:rPr>
        <w:t xml:space="preserve"> </w:t>
      </w:r>
      <w:r w:rsidRPr="00A16566">
        <w:rPr>
          <w:lang w:val="en-GB"/>
        </w:rPr>
        <w:t xml:space="preserve">territorial </w:t>
      </w:r>
      <w:r w:rsidR="00C92B36" w:rsidRPr="00A16566">
        <w:rPr>
          <w:lang w:val="en-GB"/>
        </w:rPr>
        <w:t xml:space="preserve">boundaries was a deliberate </w:t>
      </w:r>
      <w:r w:rsidRPr="00A16566">
        <w:rPr>
          <w:lang w:val="en-GB"/>
        </w:rPr>
        <w:t>choice which must be respected.</w:t>
      </w:r>
      <w:r w:rsidR="00C92B36" w:rsidRPr="00A16566">
        <w:rPr>
          <w:lang w:val="en-US"/>
        </w:rPr>
        <w:t xml:space="preserve"> If s. 32(1) were meant to distinguish between acts of state actors on Canadian soil or abroad, such a distinction could have easily been drawn expressly, as was done elsewhere in the </w:t>
      </w:r>
      <w:r w:rsidR="00C92B36" w:rsidRPr="00A16566">
        <w:rPr>
          <w:i/>
          <w:lang w:val="en-US"/>
        </w:rPr>
        <w:t>Charter</w:t>
      </w:r>
      <w:r w:rsidR="00C92B36" w:rsidRPr="00A16566">
        <w:t xml:space="preserve">. The purpose of s. 32 was to constrain government action </w:t>
      </w:r>
      <w:r w:rsidR="00F109C2" w:rsidRPr="00A16566">
        <w:t>and</w:t>
      </w:r>
      <w:r w:rsidR="00C92B36" w:rsidRPr="00A16566">
        <w:t xml:space="preserve"> t</w:t>
      </w:r>
      <w:r w:rsidR="00C92B36" w:rsidRPr="00A16566">
        <w:rPr>
          <w:lang w:val="en-US"/>
        </w:rPr>
        <w:t xml:space="preserve">o permit state action abroad that is not constrained by the Constitution would be inconsistent with </w:t>
      </w:r>
      <w:r w:rsidR="00F109C2" w:rsidRPr="00A16566">
        <w:rPr>
          <w:lang w:val="en-US"/>
        </w:rPr>
        <w:t>Canada’s</w:t>
      </w:r>
      <w:r w:rsidR="00C92B36" w:rsidRPr="00A16566">
        <w:rPr>
          <w:lang w:val="en-US"/>
        </w:rPr>
        <w:t xml:space="preserve"> constitutional structure, which is premised on preventing arbitrary state conduct.</w:t>
      </w:r>
    </w:p>
    <w:p w14:paraId="23E3A273" w14:textId="556C9F5E" w:rsidR="00C92B36" w:rsidRPr="00A16566" w:rsidRDefault="00536B84" w:rsidP="00536B84">
      <w:pPr>
        <w:pStyle w:val="SCCNormalDoubleSpacing"/>
        <w:widowControl w:val="0"/>
        <w:spacing w:after="480"/>
        <w:rPr>
          <w:lang w:val="en-US"/>
        </w:rPr>
      </w:pPr>
      <w:r w:rsidRPr="00A16566">
        <w:rPr>
          <w:lang w:val="en-US"/>
        </w:rPr>
        <w:tab/>
      </w:r>
      <w:r w:rsidR="00C92B36" w:rsidRPr="00A16566">
        <w:rPr>
          <w:lang w:val="en-US"/>
        </w:rPr>
        <w:t xml:space="preserve">The majority in </w:t>
      </w:r>
      <w:proofErr w:type="spellStart"/>
      <w:r w:rsidR="00C92B36" w:rsidRPr="00A16566">
        <w:rPr>
          <w:i/>
          <w:lang w:val="en-US"/>
        </w:rPr>
        <w:t>Hape</w:t>
      </w:r>
      <w:proofErr w:type="spellEnd"/>
      <w:r w:rsidR="00C92B36" w:rsidRPr="00A16566">
        <w:rPr>
          <w:i/>
          <w:lang w:val="en-US"/>
        </w:rPr>
        <w:t xml:space="preserve"> </w:t>
      </w:r>
      <w:r w:rsidR="00C92B36" w:rsidRPr="00A16566">
        <w:rPr>
          <w:lang w:val="en-US"/>
        </w:rPr>
        <w:t>likewise con</w:t>
      </w:r>
      <w:r w:rsidRPr="00A16566">
        <w:rPr>
          <w:lang w:val="en-US"/>
        </w:rPr>
        <w:t>cluded that s. </w:t>
      </w:r>
      <w:r w:rsidR="00F109C2" w:rsidRPr="00A16566">
        <w:rPr>
          <w:lang w:val="en-US"/>
        </w:rPr>
        <w:t>32</w:t>
      </w:r>
      <w:r w:rsidR="00C92B36" w:rsidRPr="00A16566">
        <w:rPr>
          <w:lang w:val="en-US"/>
        </w:rPr>
        <w:t xml:space="preserve"> contained</w:t>
      </w:r>
      <w:r w:rsidR="00F109C2" w:rsidRPr="00A16566">
        <w:rPr>
          <w:lang w:val="en-US"/>
        </w:rPr>
        <w:t xml:space="preserve"> no express territorial limit, but,</w:t>
      </w:r>
      <w:r w:rsidR="00C92B36" w:rsidRPr="00A16566">
        <w:rPr>
          <w:lang w:val="en-US"/>
        </w:rPr>
        <w:t xml:space="preserve"> </w:t>
      </w:r>
      <w:r w:rsidR="00F109C2" w:rsidRPr="00A16566">
        <w:rPr>
          <w:lang w:val="en-US"/>
        </w:rPr>
        <w:t>looking</w:t>
      </w:r>
      <w:r w:rsidR="00C92B36" w:rsidRPr="00A16566">
        <w:rPr>
          <w:lang w:val="en-US"/>
        </w:rPr>
        <w:t xml:space="preserve"> to prohibitive rules of customary international law, </w:t>
      </w:r>
      <w:r w:rsidR="00F109C2" w:rsidRPr="00A16566">
        <w:rPr>
          <w:lang w:val="en-US"/>
        </w:rPr>
        <w:t>concluded that</w:t>
      </w:r>
      <w:r w:rsidR="00C92B36" w:rsidRPr="00A16566">
        <w:rPr>
          <w:lang w:val="en-US"/>
        </w:rPr>
        <w:t xml:space="preserve"> the </w:t>
      </w:r>
      <w:r w:rsidR="00C92B36" w:rsidRPr="00A16566">
        <w:rPr>
          <w:i/>
          <w:lang w:val="en-US"/>
        </w:rPr>
        <w:t>Charter</w:t>
      </w:r>
      <w:r w:rsidR="00C92B36" w:rsidRPr="00A16566">
        <w:rPr>
          <w:lang w:val="en-US"/>
        </w:rPr>
        <w:t xml:space="preserve"> generally could not be applied to the actions of Canadian officials conducted as part of an investigation occurring abroad. </w:t>
      </w:r>
      <w:r w:rsidR="00F109C2" w:rsidRPr="00A16566">
        <w:rPr>
          <w:lang w:val="en-US"/>
        </w:rPr>
        <w:t>This aspect</w:t>
      </w:r>
      <w:r w:rsidR="00C92B36" w:rsidRPr="00A16566">
        <w:rPr>
          <w:lang w:val="en-US"/>
        </w:rPr>
        <w:t xml:space="preserve"> of </w:t>
      </w:r>
      <w:proofErr w:type="spellStart"/>
      <w:r w:rsidR="00C92B36" w:rsidRPr="00A16566">
        <w:rPr>
          <w:i/>
          <w:lang w:val="en-US"/>
        </w:rPr>
        <w:t>Hape</w:t>
      </w:r>
      <w:proofErr w:type="spellEnd"/>
      <w:r w:rsidR="00C92B36" w:rsidRPr="00A16566">
        <w:rPr>
          <w:i/>
          <w:lang w:val="en-US"/>
        </w:rPr>
        <w:t xml:space="preserve"> </w:t>
      </w:r>
      <w:r w:rsidR="00C92B36" w:rsidRPr="00A16566">
        <w:rPr>
          <w:lang w:val="en-US"/>
        </w:rPr>
        <w:t xml:space="preserve">has been the subject of significant and sustained criticism by experts in international law. Three main flaws in </w:t>
      </w:r>
      <w:proofErr w:type="spellStart"/>
      <w:r w:rsidR="00C92B36" w:rsidRPr="00A16566">
        <w:rPr>
          <w:i/>
          <w:lang w:val="en-US"/>
        </w:rPr>
        <w:t>Hape</w:t>
      </w:r>
      <w:proofErr w:type="spellEnd"/>
      <w:r w:rsidR="00C92B36" w:rsidRPr="00A16566">
        <w:rPr>
          <w:i/>
          <w:lang w:val="en-US"/>
        </w:rPr>
        <w:t xml:space="preserve"> </w:t>
      </w:r>
      <w:r w:rsidR="00C92B36" w:rsidRPr="00A16566">
        <w:rPr>
          <w:lang w:val="en-US"/>
        </w:rPr>
        <w:t xml:space="preserve">have been identified: </w:t>
      </w:r>
      <w:r w:rsidRPr="00A16566">
        <w:rPr>
          <w:lang w:val="en-US"/>
        </w:rPr>
        <w:t>(1) </w:t>
      </w:r>
      <w:proofErr w:type="spellStart"/>
      <w:r w:rsidR="00C92B36" w:rsidRPr="00A16566">
        <w:rPr>
          <w:i/>
          <w:lang w:val="en-US"/>
        </w:rPr>
        <w:t>Hape</w:t>
      </w:r>
      <w:proofErr w:type="spellEnd"/>
      <w:r w:rsidR="00C92B36" w:rsidRPr="00A16566">
        <w:rPr>
          <w:i/>
          <w:lang w:val="en-US"/>
        </w:rPr>
        <w:t xml:space="preserve"> </w:t>
      </w:r>
      <w:r w:rsidR="00C92B36" w:rsidRPr="00A16566">
        <w:rPr>
          <w:lang w:val="en-US"/>
        </w:rPr>
        <w:t>applied improper interpretive principles, including jurisdictional principles of international law and a principle of statutory interpretation, to its interpretation of s. </w:t>
      </w:r>
      <w:r w:rsidRPr="00A16566">
        <w:rPr>
          <w:lang w:val="en-US"/>
        </w:rPr>
        <w:t>32(1); (2) </w:t>
      </w:r>
      <w:proofErr w:type="spellStart"/>
      <w:r w:rsidR="00C92B36" w:rsidRPr="00A16566">
        <w:rPr>
          <w:i/>
          <w:lang w:val="en-US"/>
        </w:rPr>
        <w:t>Hape</w:t>
      </w:r>
      <w:proofErr w:type="spellEnd"/>
      <w:r w:rsidR="00C92B36" w:rsidRPr="00A16566">
        <w:rPr>
          <w:i/>
          <w:lang w:val="en-US"/>
        </w:rPr>
        <w:t xml:space="preserve"> </w:t>
      </w:r>
      <w:r w:rsidR="00C92B36" w:rsidRPr="00A16566">
        <w:rPr>
          <w:lang w:val="en-US"/>
        </w:rPr>
        <w:t xml:space="preserve">mischaracterized the extraterritorial application of the </w:t>
      </w:r>
      <w:r w:rsidR="00C92B36" w:rsidRPr="00A16566">
        <w:rPr>
          <w:i/>
          <w:lang w:val="en-US"/>
        </w:rPr>
        <w:t xml:space="preserve">Charter </w:t>
      </w:r>
      <w:r w:rsidR="00C92B36" w:rsidRPr="00A16566">
        <w:rPr>
          <w:lang w:val="en-US"/>
        </w:rPr>
        <w:t>as an unlawful exercise of en</w:t>
      </w:r>
      <w:r w:rsidRPr="00A16566">
        <w:rPr>
          <w:lang w:val="en-US"/>
        </w:rPr>
        <w:t>forcement jurisdiction; and (3) </w:t>
      </w:r>
      <w:proofErr w:type="spellStart"/>
      <w:r w:rsidR="00C92B36" w:rsidRPr="00A16566">
        <w:rPr>
          <w:i/>
          <w:lang w:val="en-US"/>
        </w:rPr>
        <w:t>Hape</w:t>
      </w:r>
      <w:r w:rsidR="00C92B36" w:rsidRPr="00A16566">
        <w:rPr>
          <w:lang w:val="en-US"/>
        </w:rPr>
        <w:t>’s</w:t>
      </w:r>
      <w:proofErr w:type="spellEnd"/>
      <w:r w:rsidR="00C92B36" w:rsidRPr="00A16566">
        <w:rPr>
          <w:lang w:val="en-US"/>
        </w:rPr>
        <w:t xml:space="preserve"> three exceptions are inadequate. These are significant concerns. They go to the </w:t>
      </w:r>
      <w:r w:rsidR="00C92B36" w:rsidRPr="00A16566">
        <w:t>core</w:t>
      </w:r>
      <w:r w:rsidR="00E70AE9">
        <w:rPr>
          <w:lang w:val="en-US"/>
        </w:rPr>
        <w:t xml:space="preserve"> of the Court</w:t>
      </w:r>
      <w:r w:rsidR="00E70AE9" w:rsidRPr="00E70AE9">
        <w:rPr>
          <w:lang w:val="en-US"/>
        </w:rPr>
        <w:t>’</w:t>
      </w:r>
      <w:r w:rsidR="007D5233">
        <w:rPr>
          <w:lang w:val="en-US"/>
        </w:rPr>
        <w:t xml:space="preserve">s </w:t>
      </w:r>
      <w:r w:rsidR="00C92B36" w:rsidRPr="00A16566">
        <w:rPr>
          <w:lang w:val="en-US"/>
        </w:rPr>
        <w:t xml:space="preserve">jurisprudence on the extraterritorial application of the </w:t>
      </w:r>
      <w:r w:rsidR="00C92B36" w:rsidRPr="00A16566">
        <w:rPr>
          <w:i/>
          <w:lang w:val="en-US"/>
        </w:rPr>
        <w:t>Charter</w:t>
      </w:r>
      <w:r w:rsidR="00C92B36" w:rsidRPr="00A16566">
        <w:rPr>
          <w:lang w:val="en-US"/>
        </w:rPr>
        <w:t xml:space="preserve">, to the practical implications of its application, and to the ensuing lack of consistency and predictability of this area of the law. </w:t>
      </w:r>
      <w:r w:rsidR="00F109C2" w:rsidRPr="00A16566">
        <w:rPr>
          <w:lang w:val="en-US"/>
        </w:rPr>
        <w:t>Though</w:t>
      </w:r>
      <w:r w:rsidR="00C92B36" w:rsidRPr="00A16566">
        <w:rPr>
          <w:lang w:val="en-US"/>
        </w:rPr>
        <w:t xml:space="preserve"> the decision in </w:t>
      </w:r>
      <w:proofErr w:type="spellStart"/>
      <w:r w:rsidR="00C92B36" w:rsidRPr="00A16566">
        <w:rPr>
          <w:i/>
          <w:lang w:val="en-US"/>
        </w:rPr>
        <w:t>Hape</w:t>
      </w:r>
      <w:proofErr w:type="spellEnd"/>
      <w:r w:rsidR="00C92B36" w:rsidRPr="00A16566">
        <w:rPr>
          <w:lang w:val="en-US"/>
        </w:rPr>
        <w:t xml:space="preserve"> remains important in many respects, these concerns leave </w:t>
      </w:r>
      <w:proofErr w:type="spellStart"/>
      <w:r w:rsidR="00C92B36" w:rsidRPr="00A16566">
        <w:rPr>
          <w:i/>
        </w:rPr>
        <w:t>Hape</w:t>
      </w:r>
      <w:r w:rsidR="00C92B36" w:rsidRPr="00A16566">
        <w:t>’s</w:t>
      </w:r>
      <w:proofErr w:type="spellEnd"/>
      <w:r w:rsidR="00C92B36" w:rsidRPr="00A16566">
        <w:t xml:space="preserve"> framework for the extraterritorial application of the </w:t>
      </w:r>
      <w:r w:rsidR="00C92B36" w:rsidRPr="00A16566">
        <w:rPr>
          <w:i/>
        </w:rPr>
        <w:t>Charter</w:t>
      </w:r>
      <w:r w:rsidR="00C92B36" w:rsidRPr="00A16566">
        <w:t xml:space="preserve"> ripe for reconsideration. </w:t>
      </w:r>
      <w:r w:rsidR="00C92B36" w:rsidRPr="00A16566">
        <w:rPr>
          <w:lang w:val="en-US"/>
        </w:rPr>
        <w:t xml:space="preserve">However, given the majority’s decision not to address it, the determination of whether </w:t>
      </w:r>
      <w:proofErr w:type="spellStart"/>
      <w:r w:rsidR="00C92B36" w:rsidRPr="00A16566">
        <w:rPr>
          <w:i/>
          <w:lang w:val="en-US"/>
        </w:rPr>
        <w:t>Hape</w:t>
      </w:r>
      <w:proofErr w:type="spellEnd"/>
      <w:r w:rsidR="00C92B36" w:rsidRPr="00A16566">
        <w:rPr>
          <w:lang w:val="en-US"/>
        </w:rPr>
        <w:t xml:space="preserve"> was wrongly decided should be left to another day.</w:t>
      </w:r>
    </w:p>
    <w:p w14:paraId="05B27B84" w14:textId="56DE352A" w:rsidR="00C92B36" w:rsidRPr="00A16566" w:rsidRDefault="00536B84" w:rsidP="00536B84">
      <w:pPr>
        <w:pStyle w:val="SCCNormalDoubleSpacing"/>
        <w:widowControl w:val="0"/>
        <w:spacing w:after="480"/>
        <w:rPr>
          <w:lang w:val="en-US"/>
        </w:rPr>
      </w:pPr>
      <w:r w:rsidRPr="00A16566">
        <w:rPr>
          <w:szCs w:val="24"/>
          <w:lang w:val="en-US"/>
        </w:rPr>
        <w:tab/>
      </w:r>
      <w:r w:rsidR="002B755C" w:rsidRPr="00A16566">
        <w:rPr>
          <w:szCs w:val="24"/>
          <w:lang w:val="en-US"/>
        </w:rPr>
        <w:t>The</w:t>
      </w:r>
      <w:r w:rsidR="00C92B36" w:rsidRPr="00A16566">
        <w:rPr>
          <w:szCs w:val="24"/>
          <w:lang w:val="en-US"/>
        </w:rPr>
        <w:t xml:space="preserve"> Court’s rules and guidance to the profession place certain limits upon what interveners may argue </w:t>
      </w:r>
      <w:r w:rsidR="002B755C" w:rsidRPr="00A16566">
        <w:rPr>
          <w:szCs w:val="24"/>
          <w:lang w:val="en-US"/>
        </w:rPr>
        <w:t>but those limits were not</w:t>
      </w:r>
      <w:r w:rsidR="00C92B36" w:rsidRPr="00A16566">
        <w:rPr>
          <w:szCs w:val="24"/>
          <w:lang w:val="en-US"/>
        </w:rPr>
        <w:t xml:space="preserve"> exceeded in this case. Moreover, any limitation on the role of interveners in no way limits the jurisdiction of the Court to decide issues in a manner other than that proposed by the parties. The role of the Court, as an apex court, is oriented to the development of the jurisprudence by dealing with questions of public importance, and much of the Court’s work necessarily goes beyond what is essential for the disposition of the particular case. </w:t>
      </w:r>
      <w:r w:rsidR="00C92B36" w:rsidRPr="00A16566">
        <w:rPr>
          <w:lang w:val="en-US"/>
        </w:rPr>
        <w:t>While interveners must not introduce new issues, the role of interveners is to provide their own view of</w:t>
      </w:r>
      <w:r w:rsidR="00104653" w:rsidRPr="00A16566">
        <w:rPr>
          <w:lang w:val="en-US"/>
        </w:rPr>
        <w:t xml:space="preserve"> the legal issues by providing </w:t>
      </w:r>
      <w:r w:rsidR="00C92B36" w:rsidRPr="00A16566">
        <w:rPr>
          <w:lang w:val="en-US"/>
        </w:rPr>
        <w:t xml:space="preserve">useful </w:t>
      </w:r>
      <w:r w:rsidR="00104653" w:rsidRPr="00A16566">
        <w:rPr>
          <w:lang w:val="en-US"/>
        </w:rPr>
        <w:t xml:space="preserve">and different </w:t>
      </w:r>
      <w:r w:rsidR="00C92B36" w:rsidRPr="00A16566">
        <w:rPr>
          <w:lang w:val="en-US"/>
        </w:rPr>
        <w:t>submissions,</w:t>
      </w:r>
      <w:r w:rsidR="00104653" w:rsidRPr="00A16566">
        <w:rPr>
          <w:lang w:val="en-US"/>
        </w:rPr>
        <w:t xml:space="preserve"> thus bringing broader perspectives</w:t>
      </w:r>
      <w:r w:rsidR="00C92B36" w:rsidRPr="00A16566">
        <w:rPr>
          <w:lang w:val="en-US"/>
        </w:rPr>
        <w:t xml:space="preserve"> before the Court </w:t>
      </w:r>
      <w:r w:rsidR="002B755C" w:rsidRPr="00A16566">
        <w:rPr>
          <w:lang w:val="en-US"/>
        </w:rPr>
        <w:t>to</w:t>
      </w:r>
      <w:r w:rsidR="00C92B36" w:rsidRPr="00A16566">
        <w:rPr>
          <w:lang w:val="en-US"/>
        </w:rPr>
        <w:t xml:space="preserve"> help the Court fulfill its institutional role. Several interveners in this case did precisely that when they asked th</w:t>
      </w:r>
      <w:r w:rsidR="00BA0064" w:rsidRPr="00A16566">
        <w:rPr>
          <w:lang w:val="en-US"/>
        </w:rPr>
        <w:t>e</w:t>
      </w:r>
      <w:r w:rsidR="00C92B36" w:rsidRPr="00A16566">
        <w:rPr>
          <w:lang w:val="en-US"/>
        </w:rPr>
        <w:t xml:space="preserve"> Court to revisit </w:t>
      </w:r>
      <w:proofErr w:type="spellStart"/>
      <w:r w:rsidR="00C92B36" w:rsidRPr="00A16566">
        <w:rPr>
          <w:i/>
          <w:lang w:val="en-US"/>
        </w:rPr>
        <w:t>Hape</w:t>
      </w:r>
      <w:proofErr w:type="spellEnd"/>
      <w:r w:rsidR="00C92B36" w:rsidRPr="00A16566">
        <w:rPr>
          <w:lang w:val="en-US"/>
        </w:rPr>
        <w:t xml:space="preserve">: they proposed a different view of the core legal issue of whether the </w:t>
      </w:r>
      <w:r w:rsidR="00C92B36" w:rsidRPr="00A16566">
        <w:rPr>
          <w:i/>
          <w:lang w:val="en-US"/>
        </w:rPr>
        <w:t>Charter</w:t>
      </w:r>
      <w:r w:rsidR="00C92B36" w:rsidRPr="00A16566">
        <w:rPr>
          <w:lang w:val="en-US"/>
        </w:rPr>
        <w:t xml:space="preserve"> applied to the</w:t>
      </w:r>
      <w:r w:rsidRPr="00A16566">
        <w:rPr>
          <w:lang w:val="en-US"/>
        </w:rPr>
        <w:t xml:space="preserve"> conduct of the </w:t>
      </w:r>
      <w:proofErr w:type="spellStart"/>
      <w:r w:rsidRPr="00A16566">
        <w:rPr>
          <w:lang w:val="en-US"/>
        </w:rPr>
        <w:t>CFNIS</w:t>
      </w:r>
      <w:proofErr w:type="spellEnd"/>
      <w:r w:rsidRPr="00A16566">
        <w:rPr>
          <w:lang w:val="en-US"/>
        </w:rPr>
        <w:t xml:space="preserve"> officers.</w:t>
      </w:r>
    </w:p>
    <w:p w14:paraId="4A265AC1" w14:textId="7E11675A" w:rsidR="00C92B36" w:rsidRPr="00A16566" w:rsidRDefault="00536B84" w:rsidP="00536B84">
      <w:pPr>
        <w:pStyle w:val="SCCNormalDoubleSpacing"/>
        <w:widowControl w:val="0"/>
        <w:spacing w:after="480"/>
        <w:rPr>
          <w:lang w:val="en-US"/>
        </w:rPr>
      </w:pPr>
      <w:r w:rsidRPr="00A16566">
        <w:rPr>
          <w:lang w:val="en-US"/>
        </w:rPr>
        <w:tab/>
        <w:t>Assuming that, pursuant to s. </w:t>
      </w:r>
      <w:r w:rsidR="00C92B36" w:rsidRPr="00A16566">
        <w:rPr>
          <w:lang w:val="en-US"/>
        </w:rPr>
        <w:t xml:space="preserve">32(1), the </w:t>
      </w:r>
      <w:r w:rsidR="00C92B36" w:rsidRPr="00A16566">
        <w:rPr>
          <w:i/>
          <w:lang w:val="en-US"/>
        </w:rPr>
        <w:t>Charter</w:t>
      </w:r>
      <w:r w:rsidR="00C92B36" w:rsidRPr="00A16566">
        <w:rPr>
          <w:lang w:val="en-US"/>
        </w:rPr>
        <w:t xml:space="preserve"> applied to the conduct of the office</w:t>
      </w:r>
      <w:r w:rsidR="002B755C" w:rsidRPr="00A16566">
        <w:rPr>
          <w:lang w:val="en-US"/>
        </w:rPr>
        <w:t>rs during their investigation, M</w:t>
      </w:r>
      <w:r w:rsidR="00C92B36" w:rsidRPr="00A16566">
        <w:rPr>
          <w:lang w:val="en-US"/>
        </w:rPr>
        <w:t xml:space="preserve">’s s. 8 rights were not infringed. A search is reasonable if it is authorized by law, if the law is reasonable, and if the </w:t>
      </w:r>
      <w:r w:rsidR="00C92B36" w:rsidRPr="00A16566">
        <w:t>search</w:t>
      </w:r>
      <w:r w:rsidR="00C92B36" w:rsidRPr="00A16566">
        <w:rPr>
          <w:lang w:val="en-US"/>
        </w:rPr>
        <w:t xml:space="preserve"> is conducted reasonably</w:t>
      </w:r>
      <w:r w:rsidR="002B755C" w:rsidRPr="00A16566">
        <w:rPr>
          <w:lang w:val="en-US"/>
        </w:rPr>
        <w:t>; in addition,</w:t>
      </w:r>
      <w:r w:rsidR="00C92B36" w:rsidRPr="00A16566">
        <w:rPr>
          <w:lang w:val="en-US"/>
        </w:rPr>
        <w:t xml:space="preserve"> specific prior authorization is required to search computers</w:t>
      </w:r>
      <w:r w:rsidR="00AE74AB" w:rsidRPr="00A16566">
        <w:t>.</w:t>
      </w:r>
      <w:r w:rsidR="00C92B36" w:rsidRPr="00A16566">
        <w:rPr>
          <w:lang w:val="en-US"/>
        </w:rPr>
        <w:t xml:space="preserve"> Those requirements are met in </w:t>
      </w:r>
      <w:r w:rsidR="002B755C" w:rsidRPr="00A16566">
        <w:rPr>
          <w:lang w:val="en-US"/>
        </w:rPr>
        <w:t>the instant</w:t>
      </w:r>
      <w:r w:rsidR="00C92B36" w:rsidRPr="00A16566">
        <w:rPr>
          <w:lang w:val="en-US"/>
        </w:rPr>
        <w:t xml:space="preserve"> case. The warrant issued by a Virginia </w:t>
      </w:r>
      <w:r w:rsidR="00C92B36" w:rsidRPr="00A16566">
        <w:t>magistrate</w:t>
      </w:r>
      <w:r w:rsidR="00C92B36" w:rsidRPr="00A16566">
        <w:rPr>
          <w:lang w:val="en-US"/>
        </w:rPr>
        <w:t xml:space="preserve"> specifically authorized the search of computers and electronic devices</w:t>
      </w:r>
      <w:r w:rsidR="002B755C" w:rsidRPr="00A16566">
        <w:rPr>
          <w:lang w:val="en-US"/>
        </w:rPr>
        <w:t xml:space="preserve"> and M’s</w:t>
      </w:r>
      <w:r w:rsidR="00C92B36" w:rsidRPr="00A16566">
        <w:rPr>
          <w:lang w:val="en-US"/>
        </w:rPr>
        <w:t xml:space="preserve"> diplomatic immunity</w:t>
      </w:r>
      <w:r w:rsidR="002B755C" w:rsidRPr="00A16566">
        <w:rPr>
          <w:lang w:val="en-US"/>
        </w:rPr>
        <w:t xml:space="preserve"> was waived</w:t>
      </w:r>
      <w:r w:rsidR="00C92B36" w:rsidRPr="00A16566">
        <w:rPr>
          <w:lang w:val="en-US"/>
        </w:rPr>
        <w:t xml:space="preserve">. The law that authorized the search was reasonable in light of </w:t>
      </w:r>
      <w:r w:rsidR="00C92B36" w:rsidRPr="00A16566">
        <w:rPr>
          <w:i/>
          <w:lang w:val="en-US"/>
        </w:rPr>
        <w:t xml:space="preserve">Charter </w:t>
      </w:r>
      <w:r w:rsidR="00C92B36" w:rsidRPr="00A16566">
        <w:rPr>
          <w:lang w:val="en-US"/>
        </w:rPr>
        <w:t xml:space="preserve">standards </w:t>
      </w:r>
      <w:r w:rsidR="002B755C" w:rsidRPr="00A16566">
        <w:t>and</w:t>
      </w:r>
      <w:r w:rsidR="00C92B36" w:rsidRPr="00A16566">
        <w:t xml:space="preserve"> </w:t>
      </w:r>
      <w:r w:rsidR="00C92B36" w:rsidRPr="00A16566">
        <w:rPr>
          <w:lang w:val="en-US"/>
        </w:rPr>
        <w:t>the search was conducted reasonably, as the warrant expressly authorized the process of triaging the e</w:t>
      </w:r>
      <w:r w:rsidR="00AE74AB" w:rsidRPr="00A16566">
        <w:rPr>
          <w:lang w:val="en-US"/>
        </w:rPr>
        <w:t>lectronic devices at the scene.</w:t>
      </w:r>
    </w:p>
    <w:p w14:paraId="10BD0898" w14:textId="57B935FE" w:rsidR="00610539" w:rsidRPr="00A16566" w:rsidRDefault="00AE74AB" w:rsidP="00AE74AB">
      <w:pPr>
        <w:pStyle w:val="SCCNormalDoubleSpacing"/>
        <w:widowControl w:val="0"/>
        <w:spacing w:after="480"/>
        <w:rPr>
          <w:lang w:val="en-US"/>
        </w:rPr>
      </w:pPr>
      <w:r w:rsidRPr="00A16566">
        <w:rPr>
          <w:lang w:val="en-US"/>
        </w:rPr>
        <w:tab/>
      </w:r>
      <w:r w:rsidR="00C92B36" w:rsidRPr="00A16566">
        <w:rPr>
          <w:lang w:val="en-US"/>
        </w:rPr>
        <w:t>Applying the plain</w:t>
      </w:r>
      <w:r w:rsidR="002B755C" w:rsidRPr="00A16566">
        <w:rPr>
          <w:lang w:val="en-US"/>
        </w:rPr>
        <w:t xml:space="preserve"> view doctrine is not necessary in the present case</w:t>
      </w:r>
      <w:r w:rsidR="00C92B36" w:rsidRPr="00A16566">
        <w:rPr>
          <w:lang w:val="en-US"/>
        </w:rPr>
        <w:t xml:space="preserve">. </w:t>
      </w:r>
      <w:r w:rsidR="002B755C" w:rsidRPr="00A16566">
        <w:rPr>
          <w:lang w:val="en-US"/>
        </w:rPr>
        <w:t>This</w:t>
      </w:r>
      <w:r w:rsidR="00C92B36" w:rsidRPr="00A16566">
        <w:rPr>
          <w:lang w:val="en-US"/>
        </w:rPr>
        <w:t xml:space="preserve"> doctrine permits seizure wit</w:t>
      </w:r>
      <w:r w:rsidR="002B755C" w:rsidRPr="00A16566">
        <w:rPr>
          <w:lang w:val="en-US"/>
        </w:rPr>
        <w:t>hout a warrant but M did not dispute seizure; rather,</w:t>
      </w:r>
      <w:r w:rsidR="00C92B36" w:rsidRPr="00A16566">
        <w:rPr>
          <w:lang w:val="en-US"/>
        </w:rPr>
        <w:t xml:space="preserve"> he arg</w:t>
      </w:r>
      <w:r w:rsidRPr="00A16566">
        <w:rPr>
          <w:lang w:val="en-US"/>
        </w:rPr>
        <w:t>ued that the search breached s. </w:t>
      </w:r>
      <w:r w:rsidR="00C92B36" w:rsidRPr="00A16566">
        <w:rPr>
          <w:lang w:val="en-US"/>
        </w:rPr>
        <w:t xml:space="preserve">8. </w:t>
      </w:r>
      <w:r w:rsidR="002B755C" w:rsidRPr="00A16566">
        <w:rPr>
          <w:lang w:val="en-US"/>
        </w:rPr>
        <w:t>The investigators did not</w:t>
      </w:r>
      <w:r w:rsidR="00C92B36" w:rsidRPr="00A16566">
        <w:rPr>
          <w:lang w:val="en-US"/>
        </w:rPr>
        <w:t xml:space="preserve"> intentionally search for files beyond the scope of what the warrant authorized. </w:t>
      </w:r>
      <w:r w:rsidR="002B755C" w:rsidRPr="00A16566">
        <w:rPr>
          <w:lang w:val="en-US"/>
        </w:rPr>
        <w:t>When they discovered that</w:t>
      </w:r>
      <w:r w:rsidR="00C92B36" w:rsidRPr="00A16566">
        <w:rPr>
          <w:lang w:val="en-US"/>
        </w:rPr>
        <w:t xml:space="preserve"> the devices contain</w:t>
      </w:r>
      <w:r w:rsidR="002B755C" w:rsidRPr="00A16566">
        <w:rPr>
          <w:lang w:val="en-US"/>
        </w:rPr>
        <w:t>ed evidence of other offences, they set those devices aside</w:t>
      </w:r>
      <w:r w:rsidR="00C92B36" w:rsidRPr="00A16566">
        <w:rPr>
          <w:lang w:val="en-US"/>
        </w:rPr>
        <w:t xml:space="preserve"> for seizure and further analysis afte</w:t>
      </w:r>
      <w:r w:rsidR="002B755C" w:rsidRPr="00A16566">
        <w:rPr>
          <w:lang w:val="en-US"/>
        </w:rPr>
        <w:t>r obtaining a Canadian warrant and</w:t>
      </w:r>
      <w:r w:rsidR="00C92B36" w:rsidRPr="00A16566">
        <w:rPr>
          <w:lang w:val="en-US"/>
        </w:rPr>
        <w:t xml:space="preserve"> they continued their search for evidence of voyeurism, as permitted by the warrant. Discovering evidence of</w:t>
      </w:r>
      <w:r w:rsidR="002B755C" w:rsidRPr="00A16566">
        <w:rPr>
          <w:lang w:val="en-US"/>
        </w:rPr>
        <w:t xml:space="preserve"> an unrelated offence did not</w:t>
      </w:r>
      <w:r w:rsidR="00C92B36" w:rsidRPr="00A16566">
        <w:rPr>
          <w:lang w:val="en-US"/>
        </w:rPr>
        <w:t xml:space="preserve"> require them to entirely cease their search as to what the warrant authorized them to search for. </w:t>
      </w:r>
      <w:r w:rsidR="002B755C" w:rsidRPr="00A16566">
        <w:rPr>
          <w:lang w:val="en-US"/>
        </w:rPr>
        <w:t>The Court need not and</w:t>
      </w:r>
      <w:r w:rsidR="00C92B36" w:rsidRPr="00A16566">
        <w:rPr>
          <w:lang w:val="en-US"/>
        </w:rPr>
        <w:t xml:space="preserve"> should not decide in this case the complex question of when a particular file on a device is seized, as opposed to whe</w:t>
      </w:r>
      <w:r w:rsidR="002B755C" w:rsidRPr="00A16566">
        <w:rPr>
          <w:lang w:val="en-US"/>
        </w:rPr>
        <w:t xml:space="preserve">n the device itself is seized; </w:t>
      </w:r>
      <w:r w:rsidR="00C92B36" w:rsidRPr="00A16566">
        <w:rPr>
          <w:lang w:val="en-US"/>
        </w:rPr>
        <w:t>neither M nor any of the interveners made</w:t>
      </w:r>
      <w:r w:rsidR="002B755C" w:rsidRPr="00A16566">
        <w:rPr>
          <w:lang w:val="en-US"/>
        </w:rPr>
        <w:t xml:space="preserve"> any submissions on this issue.</w:t>
      </w:r>
      <w:r w:rsidR="00C92B36" w:rsidRPr="00A16566">
        <w:rPr>
          <w:lang w:val="en-US"/>
        </w:rPr>
        <w:t xml:space="preserve"> </w:t>
      </w:r>
      <w:r w:rsidR="002B755C" w:rsidRPr="00A16566">
        <w:rPr>
          <w:lang w:val="en-US"/>
        </w:rPr>
        <w:t>Moreover, the assumption that the sexual assault</w:t>
      </w:r>
      <w:r w:rsidR="00C92B36" w:rsidRPr="00A16566">
        <w:rPr>
          <w:lang w:val="en-US"/>
        </w:rPr>
        <w:t xml:space="preserve"> files were seized when they were initially seen by police is highly questionable. For the purposes of the inst</w:t>
      </w:r>
      <w:r w:rsidR="00F80C8B" w:rsidRPr="00A16566">
        <w:rPr>
          <w:lang w:val="en-US"/>
        </w:rPr>
        <w:t>ant case, it is sufficient that</w:t>
      </w:r>
      <w:r w:rsidR="00C92B36" w:rsidRPr="00A16566">
        <w:rPr>
          <w:lang w:val="en-US"/>
        </w:rPr>
        <w:t xml:space="preserve"> the initial tr</w:t>
      </w:r>
      <w:r w:rsidR="00F80C8B" w:rsidRPr="00A16566">
        <w:rPr>
          <w:lang w:val="en-US"/>
        </w:rPr>
        <w:t xml:space="preserve">iage and seizure of the laptop </w:t>
      </w:r>
      <w:r w:rsidR="00C92B36" w:rsidRPr="00A16566">
        <w:rPr>
          <w:lang w:val="en-US"/>
        </w:rPr>
        <w:t>contain</w:t>
      </w:r>
      <w:r w:rsidR="00F80C8B" w:rsidRPr="00A16566">
        <w:rPr>
          <w:lang w:val="en-US"/>
        </w:rPr>
        <w:t>ing the sexual assault evidence</w:t>
      </w:r>
      <w:r w:rsidR="00C92B36" w:rsidRPr="00A16566">
        <w:rPr>
          <w:lang w:val="en-US"/>
        </w:rPr>
        <w:t xml:space="preserve"> was justified by the Virginia warrant and the subsequent search and seizure of its files was just</w:t>
      </w:r>
      <w:r w:rsidRPr="00A16566">
        <w:rPr>
          <w:lang w:val="en-US"/>
        </w:rPr>
        <w:t xml:space="preserve">ified by the Canadian warrant. </w:t>
      </w:r>
      <w:r w:rsidR="00F80C8B" w:rsidRPr="00A16566">
        <w:rPr>
          <w:lang w:val="en-US"/>
        </w:rPr>
        <w:t>The investigators’</w:t>
      </w:r>
      <w:r w:rsidR="00C92B36" w:rsidRPr="00A16566">
        <w:rPr>
          <w:lang w:val="en-US"/>
        </w:rPr>
        <w:t xml:space="preserve"> conduct did not exceed the bounds of prior judicial authorization and the plain view doctrine need not be relied upon.</w:t>
      </w:r>
    </w:p>
    <w:p w14:paraId="20139100" w14:textId="088B426B" w:rsidR="00C60108" w:rsidRPr="00A16566" w:rsidRDefault="00AE74AB" w:rsidP="00AE74AB">
      <w:pPr>
        <w:pStyle w:val="SCCNormalDoubleSpacing"/>
        <w:widowControl w:val="0"/>
        <w:spacing w:after="480"/>
      </w:pPr>
      <w:r w:rsidRPr="00A16566">
        <w:rPr>
          <w:i/>
          <w:lang w:val="en-US"/>
        </w:rPr>
        <w:tab/>
      </w:r>
      <w:r w:rsidR="00C60108" w:rsidRPr="00A16566">
        <w:rPr>
          <w:i/>
          <w:lang w:val="en-US"/>
        </w:rPr>
        <w:t xml:space="preserve">Per </w:t>
      </w:r>
      <w:r w:rsidR="00C60108" w:rsidRPr="00A16566">
        <w:rPr>
          <w:b/>
          <w:lang w:val="en-US"/>
        </w:rPr>
        <w:t>Rowe</w:t>
      </w:r>
      <w:r w:rsidR="00C60108" w:rsidRPr="00A16566">
        <w:rPr>
          <w:lang w:val="en-US"/>
        </w:rPr>
        <w:t xml:space="preserve"> J.: There is</w:t>
      </w:r>
      <w:r w:rsidR="00F80C8B" w:rsidRPr="00A16566">
        <w:rPr>
          <w:lang w:val="en-US"/>
        </w:rPr>
        <w:t xml:space="preserve"> agreement with the entirety of</w:t>
      </w:r>
      <w:r w:rsidR="00C60108" w:rsidRPr="00A16566">
        <w:rPr>
          <w:lang w:val="en-US"/>
        </w:rPr>
        <w:t xml:space="preserve"> Côté</w:t>
      </w:r>
      <w:r w:rsidR="00F80C8B" w:rsidRPr="00A16566">
        <w:rPr>
          <w:lang w:val="en-US"/>
        </w:rPr>
        <w:t xml:space="preserve"> </w:t>
      </w:r>
      <w:proofErr w:type="spellStart"/>
      <w:r w:rsidR="00F80C8B" w:rsidRPr="00A16566">
        <w:rPr>
          <w:lang w:val="en-US"/>
        </w:rPr>
        <w:t>J.</w:t>
      </w:r>
      <w:r w:rsidR="00C60108" w:rsidRPr="00A16566">
        <w:rPr>
          <w:lang w:val="en-US"/>
        </w:rPr>
        <w:t>’s</w:t>
      </w:r>
      <w:proofErr w:type="spellEnd"/>
      <w:r w:rsidR="00C60108" w:rsidRPr="00A16566">
        <w:rPr>
          <w:lang w:val="en-US"/>
        </w:rPr>
        <w:t xml:space="preserve"> analysis. </w:t>
      </w:r>
      <w:r w:rsidR="00F80C8B" w:rsidRPr="00A16566">
        <w:rPr>
          <w:lang w:val="en-US"/>
        </w:rPr>
        <w:t xml:space="preserve">There is disagreement, </w:t>
      </w:r>
      <w:r w:rsidR="00C60108" w:rsidRPr="00A16566">
        <w:rPr>
          <w:lang w:val="en-US"/>
        </w:rPr>
        <w:t>however, with</w:t>
      </w:r>
      <w:r w:rsidR="00F80C8B" w:rsidRPr="00A16566">
        <w:rPr>
          <w:lang w:val="en-US"/>
        </w:rPr>
        <w:t xml:space="preserve"> </w:t>
      </w:r>
      <w:proofErr w:type="spellStart"/>
      <w:r w:rsidR="00F80C8B" w:rsidRPr="00A16566">
        <w:rPr>
          <w:lang w:val="en-US"/>
        </w:rPr>
        <w:t>Karakatsanis</w:t>
      </w:r>
      <w:proofErr w:type="spellEnd"/>
      <w:r w:rsidR="00F80C8B" w:rsidRPr="00A16566">
        <w:rPr>
          <w:lang w:val="en-US"/>
        </w:rPr>
        <w:t xml:space="preserve"> and Martin </w:t>
      </w:r>
      <w:proofErr w:type="spellStart"/>
      <w:r w:rsidR="00C60108" w:rsidRPr="00A16566">
        <w:rPr>
          <w:lang w:val="en-US"/>
        </w:rPr>
        <w:t>JJ</w:t>
      </w:r>
      <w:proofErr w:type="spellEnd"/>
      <w:r w:rsidR="00C60108" w:rsidRPr="00A16566">
        <w:rPr>
          <w:lang w:val="en-US"/>
        </w:rPr>
        <w:t>.’s</w:t>
      </w:r>
      <w:r w:rsidR="00F80C8B" w:rsidRPr="00A16566">
        <w:rPr>
          <w:lang w:val="en-US"/>
        </w:rPr>
        <w:t xml:space="preserve"> approach </w:t>
      </w:r>
      <w:r w:rsidR="00C60108" w:rsidRPr="00A16566">
        <w:rPr>
          <w:lang w:val="en-US"/>
        </w:rPr>
        <w:t>to</w:t>
      </w:r>
      <w:r w:rsidR="00F80C8B" w:rsidRPr="00A16566">
        <w:rPr>
          <w:lang w:val="en-US"/>
        </w:rPr>
        <w:t xml:space="preserve"> </w:t>
      </w:r>
      <w:proofErr w:type="spellStart"/>
      <w:r w:rsidR="00C60108" w:rsidRPr="00A16566">
        <w:rPr>
          <w:i/>
          <w:lang w:val="en-US"/>
        </w:rPr>
        <w:t>Hape</w:t>
      </w:r>
      <w:proofErr w:type="spellEnd"/>
      <w:r w:rsidR="00F80C8B" w:rsidRPr="00A16566">
        <w:rPr>
          <w:lang w:val="en-US"/>
        </w:rPr>
        <w:t xml:space="preserve">, which </w:t>
      </w:r>
      <w:r w:rsidR="00C60108" w:rsidRPr="00A16566">
        <w:rPr>
          <w:lang w:val="en-US"/>
        </w:rPr>
        <w:t xml:space="preserve">goes beyond the issues raised by the parties and seeks, effectively, to overturn </w:t>
      </w:r>
      <w:proofErr w:type="spellStart"/>
      <w:r w:rsidR="00C60108" w:rsidRPr="00A16566">
        <w:rPr>
          <w:i/>
          <w:lang w:val="en-US"/>
        </w:rPr>
        <w:t>Hape</w:t>
      </w:r>
      <w:proofErr w:type="spellEnd"/>
      <w:r w:rsidR="00C60108" w:rsidRPr="00A16566">
        <w:rPr>
          <w:i/>
          <w:lang w:val="en-US"/>
        </w:rPr>
        <w:t xml:space="preserve"> </w:t>
      </w:r>
      <w:r w:rsidR="00C60108" w:rsidRPr="00A16566">
        <w:rPr>
          <w:lang w:val="en-US"/>
        </w:rPr>
        <w:t xml:space="preserve">at the invitation of interveners. </w:t>
      </w:r>
      <w:r w:rsidR="00C60108" w:rsidRPr="00A16566">
        <w:t xml:space="preserve">The parties disputed whether the </w:t>
      </w:r>
      <w:r w:rsidR="00C60108" w:rsidRPr="00A16566">
        <w:rPr>
          <w:i/>
        </w:rPr>
        <w:t xml:space="preserve">Charter </w:t>
      </w:r>
      <w:r w:rsidR="00C60108" w:rsidRPr="00A16566">
        <w:t xml:space="preserve">applies </w:t>
      </w:r>
      <w:r w:rsidR="00F80C8B" w:rsidRPr="00A16566">
        <w:t>in the instant</w:t>
      </w:r>
      <w:r w:rsidR="00C60108" w:rsidRPr="00A16566">
        <w:t xml:space="preserve"> case, assuming the application of</w:t>
      </w:r>
      <w:r w:rsidR="00C60108" w:rsidRPr="00A16566">
        <w:rPr>
          <w:i/>
        </w:rPr>
        <w:t xml:space="preserve"> </w:t>
      </w:r>
      <w:proofErr w:type="spellStart"/>
      <w:r w:rsidR="00C60108" w:rsidRPr="00A16566">
        <w:rPr>
          <w:i/>
        </w:rPr>
        <w:t>Hape</w:t>
      </w:r>
      <w:proofErr w:type="spellEnd"/>
      <w:r w:rsidR="00C60108" w:rsidRPr="00A16566">
        <w:rPr>
          <w:i/>
        </w:rPr>
        <w:t xml:space="preserve"> </w:t>
      </w:r>
      <w:r w:rsidR="00C60108" w:rsidRPr="00A16566">
        <w:t xml:space="preserve">as precedent. No party challenged </w:t>
      </w:r>
      <w:proofErr w:type="spellStart"/>
      <w:r w:rsidR="00C60108" w:rsidRPr="00A16566">
        <w:rPr>
          <w:i/>
        </w:rPr>
        <w:t>Hape</w:t>
      </w:r>
      <w:proofErr w:type="spellEnd"/>
      <w:r w:rsidR="00C60108" w:rsidRPr="00A16566">
        <w:rPr>
          <w:i/>
        </w:rPr>
        <w:t xml:space="preserve">. </w:t>
      </w:r>
      <w:r w:rsidR="00C60108" w:rsidRPr="00A16566">
        <w:t>Rather, they sought to apply it,</w:t>
      </w:r>
      <w:r w:rsidR="00C60108" w:rsidRPr="00A16566">
        <w:rPr>
          <w:i/>
        </w:rPr>
        <w:t xml:space="preserve"> </w:t>
      </w:r>
      <w:r w:rsidR="00C60108" w:rsidRPr="00A16566">
        <w:t xml:space="preserve">and its exceptions, to the facts of their dispute. Both lower </w:t>
      </w:r>
      <w:r w:rsidR="00F80C8B" w:rsidRPr="00A16566">
        <w:t>courts</w:t>
      </w:r>
      <w:r w:rsidR="00C60108" w:rsidRPr="00A16566">
        <w:t xml:space="preserve"> treated this case as an unremarkable application of the </w:t>
      </w:r>
      <w:proofErr w:type="spellStart"/>
      <w:r w:rsidR="00C60108" w:rsidRPr="00A16566">
        <w:rPr>
          <w:i/>
        </w:rPr>
        <w:t>Hape</w:t>
      </w:r>
      <w:proofErr w:type="spellEnd"/>
      <w:r w:rsidR="00C60108" w:rsidRPr="00A16566">
        <w:rPr>
          <w:i/>
        </w:rPr>
        <w:t xml:space="preserve"> </w:t>
      </w:r>
      <w:r w:rsidR="00C60108" w:rsidRPr="00A16566">
        <w:t xml:space="preserve">framework. The issue of whether </w:t>
      </w:r>
      <w:proofErr w:type="spellStart"/>
      <w:r w:rsidR="00C60108" w:rsidRPr="00A16566">
        <w:rPr>
          <w:i/>
        </w:rPr>
        <w:t>Hape</w:t>
      </w:r>
      <w:proofErr w:type="spellEnd"/>
      <w:r w:rsidR="00C60108" w:rsidRPr="00A16566">
        <w:t xml:space="preserve"> should continue to govern was not before the </w:t>
      </w:r>
      <w:r w:rsidR="00104653" w:rsidRPr="00A16566">
        <w:t>lower courts, nor is it before the</w:t>
      </w:r>
      <w:r w:rsidR="00C60108" w:rsidRPr="00A16566">
        <w:t xml:space="preserve"> Court.</w:t>
      </w:r>
    </w:p>
    <w:p w14:paraId="225612E2" w14:textId="7B7CBEF6" w:rsidR="00C60108" w:rsidRPr="00A16566" w:rsidRDefault="00AE74AB" w:rsidP="00AE74AB">
      <w:pPr>
        <w:pStyle w:val="SCCNormalDoubleSpacing"/>
        <w:widowControl w:val="0"/>
        <w:spacing w:after="480"/>
        <w:rPr>
          <w:lang w:bidi="en-US"/>
        </w:rPr>
      </w:pPr>
      <w:r w:rsidRPr="00A16566">
        <w:tab/>
      </w:r>
      <w:r w:rsidR="00C60108" w:rsidRPr="00A16566">
        <w:t>The purpose of an intervention is to present the Court with submissions which are useful and different based on the</w:t>
      </w:r>
      <w:r w:rsidR="00104653" w:rsidRPr="00A16566">
        <w:t xml:space="preserve"> intervener’s</w:t>
      </w:r>
      <w:r w:rsidR="00C60108" w:rsidRPr="00A16566">
        <w:t xml:space="preserve"> experi</w:t>
      </w:r>
      <w:r w:rsidR="00F80C8B" w:rsidRPr="00A16566">
        <w:t>ence and expertise. Interveners</w:t>
      </w:r>
      <w:r w:rsidR="00C60108" w:rsidRPr="00A16566">
        <w:t xml:space="preserve"> provide additional perspectives on the legal issues raised by the parties and on the broader implications of the Court’s decision. Interveners can often make important contributions. In order to do so, interveners must operate within recognized limits</w:t>
      </w:r>
      <w:r w:rsidR="00C60108" w:rsidRPr="00A16566">
        <w:rPr>
          <w:lang w:bidi="en-US"/>
        </w:rPr>
        <w:t>.</w:t>
      </w:r>
      <w:r w:rsidR="00C60108" w:rsidRPr="00A16566">
        <w:rPr>
          <w:b/>
          <w:lang w:val="en-US"/>
        </w:rPr>
        <w:t xml:space="preserve"> </w:t>
      </w:r>
      <w:r w:rsidR="00C60108" w:rsidRPr="00A16566">
        <w:rPr>
          <w:szCs w:val="24"/>
        </w:rPr>
        <w:t xml:space="preserve">These constraints reflect a sound understanding of </w:t>
      </w:r>
      <w:r w:rsidR="00104653" w:rsidRPr="00A16566">
        <w:rPr>
          <w:szCs w:val="24"/>
        </w:rPr>
        <w:t xml:space="preserve">the </w:t>
      </w:r>
      <w:r w:rsidR="00C60108" w:rsidRPr="00A16566">
        <w:rPr>
          <w:szCs w:val="24"/>
        </w:rPr>
        <w:t>interveners’ place within the l</w:t>
      </w:r>
      <w:r w:rsidR="00BA0064" w:rsidRPr="00A16566">
        <w:rPr>
          <w:szCs w:val="24"/>
        </w:rPr>
        <w:t>itigation and of the role of the</w:t>
      </w:r>
      <w:r w:rsidR="00C60108" w:rsidRPr="00A16566">
        <w:rPr>
          <w:szCs w:val="24"/>
        </w:rPr>
        <w:t xml:space="preserve"> Court. </w:t>
      </w:r>
      <w:r w:rsidR="00C60108" w:rsidRPr="00A16566">
        <w:rPr>
          <w:lang w:bidi="en-US"/>
        </w:rPr>
        <w:t xml:space="preserve">The parties control their case and decide which issues to raise. </w:t>
      </w:r>
      <w:r w:rsidR="00C60108" w:rsidRPr="00A16566">
        <w:t xml:space="preserve">Interveners </w:t>
      </w:r>
      <w:r w:rsidR="00C60108" w:rsidRPr="00A16566">
        <w:rPr>
          <w:lang w:bidi="en-US"/>
        </w:rPr>
        <w:t xml:space="preserve">should not take a position on the outcome of the appeal; </w:t>
      </w:r>
      <w:r w:rsidR="00F80C8B" w:rsidRPr="00A16566">
        <w:t>they</w:t>
      </w:r>
      <w:r w:rsidR="00C60108" w:rsidRPr="00A16566">
        <w:t xml:space="preserve"> </w:t>
      </w:r>
      <w:r w:rsidR="00C60108" w:rsidRPr="00A16566">
        <w:rPr>
          <w:iCs/>
        </w:rPr>
        <w:t xml:space="preserve">must not raise new issues or </w:t>
      </w:r>
      <w:r w:rsidR="00C60108" w:rsidRPr="00A16566">
        <w:t xml:space="preserve">widen or add to the points in issue; </w:t>
      </w:r>
      <w:r w:rsidR="00F80C8B" w:rsidRPr="00A16566">
        <w:rPr>
          <w:lang w:bidi="en-US"/>
        </w:rPr>
        <w:t>and they</w:t>
      </w:r>
      <w:r w:rsidR="00C60108" w:rsidRPr="00A16566">
        <w:rPr>
          <w:lang w:bidi="en-US"/>
        </w:rPr>
        <w:t xml:space="preserve"> must not adduce further evidence or otherwise supplement the record without leave.</w:t>
      </w:r>
    </w:p>
    <w:p w14:paraId="53E7A922" w14:textId="40544775" w:rsidR="00C60108" w:rsidRPr="00A16566" w:rsidRDefault="00AE74AB" w:rsidP="00AE74AB">
      <w:pPr>
        <w:pStyle w:val="SCCNormalDoubleSpacing"/>
        <w:widowControl w:val="0"/>
        <w:spacing w:after="480"/>
        <w:rPr>
          <w:lang w:bidi="en-US"/>
        </w:rPr>
      </w:pPr>
      <w:r w:rsidRPr="00A16566">
        <w:tab/>
      </w:r>
      <w:r w:rsidR="00C60108" w:rsidRPr="00A16566">
        <w:t xml:space="preserve">Interveners who stray beyond their proper role cause prejudice to the parties by usurping control of the litigation. The potential for inaccuracy increases where interveners invite the Court to reason in the abstract without the benefit of lower court decisions or a full evidentiary record. Improper interventions undermine the </w:t>
      </w:r>
      <w:r w:rsidR="00C60108" w:rsidRPr="00A16566">
        <w:rPr>
          <w:bCs/>
          <w:iCs/>
        </w:rPr>
        <w:t xml:space="preserve">leave to appeal </w:t>
      </w:r>
      <w:r w:rsidR="00C60108" w:rsidRPr="00A16566">
        <w:t>process</w:t>
      </w:r>
      <w:r w:rsidR="00F80C8B" w:rsidRPr="00A16566">
        <w:t>, which is based on</w:t>
      </w:r>
      <w:r w:rsidR="00C60108" w:rsidRPr="00A16566">
        <w:t xml:space="preserve"> careful consideration of the existing record and the issues raised by the parties. Finally, </w:t>
      </w:r>
      <w:r w:rsidR="00F80C8B" w:rsidRPr="00A16566">
        <w:t>when</w:t>
      </w:r>
      <w:r w:rsidR="00C60108" w:rsidRPr="00A16566">
        <w:t xml:space="preserve"> interveners expand </w:t>
      </w:r>
      <w:r w:rsidR="00F80C8B" w:rsidRPr="00A16566">
        <w:t>the</w:t>
      </w:r>
      <w:r w:rsidRPr="00A16566">
        <w:t xml:space="preserve"> issues, would</w:t>
      </w:r>
      <w:r w:rsidRPr="00A16566">
        <w:noBreakHyphen/>
      </w:r>
      <w:r w:rsidR="00C60108" w:rsidRPr="00A16566">
        <w:t>be interveners who decided not to intervene are deprived of the opportunity to present</w:t>
      </w:r>
      <w:r w:rsidR="00F80C8B" w:rsidRPr="00A16566">
        <w:t xml:space="preserve"> their perspectives to</w:t>
      </w:r>
      <w:r w:rsidR="00C60108" w:rsidRPr="00A16566">
        <w:t xml:space="preserve"> the Court.</w:t>
      </w:r>
    </w:p>
    <w:p w14:paraId="1D893DCE" w14:textId="5C696A3A" w:rsidR="00C60108" w:rsidRPr="00A16566" w:rsidRDefault="00AE74AB" w:rsidP="00AE74AB">
      <w:pPr>
        <w:pStyle w:val="SCCNormalDoubleSpacing"/>
        <w:widowControl w:val="0"/>
        <w:spacing w:after="480"/>
      </w:pPr>
      <w:r w:rsidRPr="00A16566">
        <w:tab/>
      </w:r>
      <w:r w:rsidR="00C60108" w:rsidRPr="00A16566">
        <w:t xml:space="preserve">Raising the new issue of whether </w:t>
      </w:r>
      <w:proofErr w:type="spellStart"/>
      <w:r w:rsidR="00C60108" w:rsidRPr="00A16566">
        <w:rPr>
          <w:i/>
        </w:rPr>
        <w:t>Hape</w:t>
      </w:r>
      <w:proofErr w:type="spellEnd"/>
      <w:r w:rsidR="00C60108" w:rsidRPr="00A16566">
        <w:rPr>
          <w:i/>
        </w:rPr>
        <w:t xml:space="preserve"> </w:t>
      </w:r>
      <w:r w:rsidR="00C60108" w:rsidRPr="00A16566">
        <w:t>should continue to govern is an improper intervention. It undercuts the parties’ control of their litigation and runs contrary to their submissions. It undermines the leave to appeal process and excl</w:t>
      </w:r>
      <w:r w:rsidRPr="00A16566">
        <w:t>udes would</w:t>
      </w:r>
      <w:r w:rsidRPr="00A16566">
        <w:noBreakHyphen/>
      </w:r>
      <w:r w:rsidR="00C60108" w:rsidRPr="00A16566">
        <w:t>be interveners.</w:t>
      </w:r>
      <w:r w:rsidR="00C60108" w:rsidRPr="00A16566">
        <w:rPr>
          <w:i/>
        </w:rPr>
        <w:t xml:space="preserve"> </w:t>
      </w:r>
      <w:r w:rsidR="00C60108" w:rsidRPr="00A16566">
        <w:t xml:space="preserve">It invites the Court to reason in the abstract. Whether </w:t>
      </w:r>
      <w:proofErr w:type="spellStart"/>
      <w:r w:rsidR="00C60108" w:rsidRPr="00A16566">
        <w:rPr>
          <w:i/>
        </w:rPr>
        <w:t>Hape</w:t>
      </w:r>
      <w:proofErr w:type="spellEnd"/>
      <w:r w:rsidR="00C60108" w:rsidRPr="00A16566">
        <w:rPr>
          <w:i/>
        </w:rPr>
        <w:t xml:space="preserve"> </w:t>
      </w:r>
      <w:r w:rsidR="00C60108" w:rsidRPr="00A16566">
        <w:t>should continue to govern is not before the Court</w:t>
      </w:r>
      <w:r w:rsidR="00F80C8B" w:rsidRPr="00A16566">
        <w:t xml:space="preserve"> and</w:t>
      </w:r>
      <w:r w:rsidR="00C60108" w:rsidRPr="00A16566">
        <w:t xml:space="preserve"> </w:t>
      </w:r>
      <w:r w:rsidR="00F80C8B" w:rsidRPr="00A16566">
        <w:t>to</w:t>
      </w:r>
      <w:r w:rsidR="00C60108" w:rsidRPr="00A16566">
        <w:t xml:space="preserve"> revisit </w:t>
      </w:r>
      <w:proofErr w:type="spellStart"/>
      <w:r w:rsidR="00C60108" w:rsidRPr="00A16566">
        <w:rPr>
          <w:i/>
        </w:rPr>
        <w:t>Hape</w:t>
      </w:r>
      <w:proofErr w:type="spellEnd"/>
      <w:r w:rsidR="00C60108" w:rsidRPr="00A16566">
        <w:t xml:space="preserve"> as precedent</w:t>
      </w:r>
      <w:r w:rsidR="00F80C8B" w:rsidRPr="00A16566">
        <w:t xml:space="preserve"> in this case</w:t>
      </w:r>
      <w:r w:rsidR="00C60108" w:rsidRPr="00A16566">
        <w:t xml:space="preserve"> exacerbates the harms created by improper interventions and undermines the limits that preclude </w:t>
      </w:r>
      <w:r w:rsidRPr="00A16566">
        <w:t>the introduction of new issues.</w:t>
      </w:r>
    </w:p>
    <w:p w14:paraId="6A2BCDC9" w14:textId="77777777" w:rsidR="007E1C47" w:rsidRPr="00A16566" w:rsidRDefault="002E6705" w:rsidP="008D1BE0">
      <w:pPr>
        <w:pStyle w:val="SCCNormalDoubleSpacing"/>
        <w:widowControl w:val="0"/>
        <w:spacing w:after="720" w:line="240" w:lineRule="auto"/>
        <w:rPr>
          <w:b/>
        </w:rPr>
      </w:pPr>
      <w:r w:rsidRPr="00A16566">
        <w:rPr>
          <w:b/>
        </w:rPr>
        <w:t>Cases Cited</w:t>
      </w:r>
    </w:p>
    <w:p w14:paraId="50BCA40E" w14:textId="77777777" w:rsidR="006E2B6E" w:rsidRPr="00A16566" w:rsidRDefault="006E2B6E" w:rsidP="006E2B6E">
      <w:pPr>
        <w:pStyle w:val="SCCNormalDoubleSpacing"/>
        <w:widowControl w:val="0"/>
        <w:spacing w:after="720" w:line="240" w:lineRule="auto"/>
      </w:pPr>
      <w:r w:rsidRPr="00A16566">
        <w:t xml:space="preserve">By </w:t>
      </w:r>
      <w:r w:rsidRPr="00A16566">
        <w:rPr>
          <w:lang w:val="en-US"/>
        </w:rPr>
        <w:t>Côté J.</w:t>
      </w:r>
    </w:p>
    <w:p w14:paraId="2C1CEAE2" w14:textId="4367621F" w:rsidR="006E2B6E" w:rsidRPr="00A16566" w:rsidRDefault="006E2B6E" w:rsidP="00932F07">
      <w:pPr>
        <w:pStyle w:val="SCCNormalDoubleSpacing"/>
        <w:widowControl w:val="0"/>
        <w:spacing w:after="480"/>
        <w:rPr>
          <w:b/>
          <w:lang w:val="en-US"/>
        </w:rPr>
      </w:pPr>
      <w:r w:rsidRPr="00A16566">
        <w:tab/>
      </w:r>
      <w:r w:rsidRPr="00A16566">
        <w:rPr>
          <w:b/>
        </w:rPr>
        <w:t>Referred to:</w:t>
      </w:r>
      <w:r w:rsidR="002858A3" w:rsidRPr="00A16566">
        <w:rPr>
          <w:i/>
        </w:rPr>
        <w:t xml:space="preserve"> R. v. </w:t>
      </w:r>
      <w:proofErr w:type="spellStart"/>
      <w:r w:rsidR="002858A3" w:rsidRPr="00A16566">
        <w:rPr>
          <w:i/>
        </w:rPr>
        <w:t>Hape</w:t>
      </w:r>
      <w:proofErr w:type="spellEnd"/>
      <w:r w:rsidR="002858A3" w:rsidRPr="00A16566">
        <w:t xml:space="preserve">, 2007 SCC 26, [2007] 2 </w:t>
      </w:r>
      <w:proofErr w:type="spellStart"/>
      <w:r w:rsidR="002858A3" w:rsidRPr="00A16566">
        <w:t>S.C.R</w:t>
      </w:r>
      <w:proofErr w:type="spellEnd"/>
      <w:r w:rsidR="002858A3" w:rsidRPr="00A16566">
        <w:t xml:space="preserve">. 292; </w:t>
      </w:r>
      <w:r w:rsidR="000D615E" w:rsidRPr="00A16566">
        <w:rPr>
          <w:i/>
        </w:rPr>
        <w:t xml:space="preserve">Canada (Justice) </w:t>
      </w:r>
      <w:r w:rsidR="000D615E" w:rsidRPr="00A16566">
        <w:rPr>
          <w:i/>
          <w:iCs/>
        </w:rPr>
        <w:t xml:space="preserve">v. </w:t>
      </w:r>
      <w:r w:rsidR="00F9032E" w:rsidRPr="00A16566">
        <w:rPr>
          <w:i/>
        </w:rPr>
        <w:t>Khadr</w:t>
      </w:r>
      <w:r w:rsidR="00F9032E" w:rsidRPr="00A16566">
        <w:t xml:space="preserve">, 2008 SCC 28, [2008] 2 </w:t>
      </w:r>
      <w:proofErr w:type="spellStart"/>
      <w:r w:rsidR="00F9032E" w:rsidRPr="00A16566">
        <w:t>S.C.R</w:t>
      </w:r>
      <w:proofErr w:type="spellEnd"/>
      <w:r w:rsidR="00F9032E" w:rsidRPr="00A16566">
        <w:t xml:space="preserve">. 125; </w:t>
      </w:r>
      <w:r w:rsidR="00026CA8" w:rsidRPr="00A16566">
        <w:rPr>
          <w:i/>
        </w:rPr>
        <w:t xml:space="preserve">Canada (Minister </w:t>
      </w:r>
      <w:r w:rsidR="000D615E" w:rsidRPr="00A16566">
        <w:rPr>
          <w:i/>
        </w:rPr>
        <w:t xml:space="preserve">of Citizenship and Immigration) </w:t>
      </w:r>
      <w:r w:rsidR="00026CA8" w:rsidRPr="00A16566">
        <w:rPr>
          <w:i/>
          <w:iCs/>
        </w:rPr>
        <w:t>v.</w:t>
      </w:r>
      <w:r w:rsidR="000D615E" w:rsidRPr="00A16566">
        <w:rPr>
          <w:i/>
        </w:rPr>
        <w:t xml:space="preserve"> </w:t>
      </w:r>
      <w:proofErr w:type="spellStart"/>
      <w:r w:rsidR="00026CA8" w:rsidRPr="00A16566">
        <w:rPr>
          <w:i/>
        </w:rPr>
        <w:t>Vavilov</w:t>
      </w:r>
      <w:proofErr w:type="spellEnd"/>
      <w:r w:rsidR="00026CA8" w:rsidRPr="00A16566">
        <w:t xml:space="preserve">, 2019 SCC 65, [2019] 4 </w:t>
      </w:r>
      <w:proofErr w:type="spellStart"/>
      <w:r w:rsidR="00026CA8" w:rsidRPr="00A16566">
        <w:t>S.C.R</w:t>
      </w:r>
      <w:proofErr w:type="spellEnd"/>
      <w:r w:rsidR="00026CA8" w:rsidRPr="00A16566">
        <w:t xml:space="preserve">. 653; </w:t>
      </w:r>
      <w:r w:rsidR="00D6786F" w:rsidRPr="00A16566">
        <w:rPr>
          <w:i/>
        </w:rPr>
        <w:t>Nishi</w:t>
      </w:r>
      <w:r w:rsidR="000D615E" w:rsidRPr="00A16566">
        <w:rPr>
          <w:i/>
          <w:iCs/>
        </w:rPr>
        <w:t xml:space="preserve"> </w:t>
      </w:r>
      <w:r w:rsidR="00D6786F" w:rsidRPr="00A16566">
        <w:rPr>
          <w:i/>
          <w:iCs/>
        </w:rPr>
        <w:t>v.</w:t>
      </w:r>
      <w:r w:rsidR="000D615E" w:rsidRPr="00A16566">
        <w:rPr>
          <w:i/>
        </w:rPr>
        <w:t xml:space="preserve"> </w:t>
      </w:r>
      <w:r w:rsidR="00D6786F" w:rsidRPr="00A16566">
        <w:rPr>
          <w:i/>
        </w:rPr>
        <w:t>Rascal Trucking Ltd.</w:t>
      </w:r>
      <w:r w:rsidR="00D6786F" w:rsidRPr="00A16566">
        <w:t>,</w:t>
      </w:r>
      <w:r w:rsidR="000D615E" w:rsidRPr="00A16566">
        <w:rPr>
          <w:i/>
          <w:iCs/>
        </w:rPr>
        <w:t xml:space="preserve"> </w:t>
      </w:r>
      <w:r w:rsidR="00D6786F" w:rsidRPr="00A16566">
        <w:t xml:space="preserve">2013 SCC 33, [2013] 2 </w:t>
      </w:r>
      <w:proofErr w:type="spellStart"/>
      <w:r w:rsidR="00D6786F" w:rsidRPr="00A16566">
        <w:t>S.C.R</w:t>
      </w:r>
      <w:proofErr w:type="spellEnd"/>
      <w:r w:rsidR="00D6786F" w:rsidRPr="00A16566">
        <w:t xml:space="preserve">. 438; </w:t>
      </w:r>
      <w:r w:rsidR="000D615E" w:rsidRPr="00A16566">
        <w:rPr>
          <w:i/>
        </w:rPr>
        <w:t xml:space="preserve">Canada </w:t>
      </w:r>
      <w:r w:rsidR="004E5816" w:rsidRPr="00A16566">
        <w:rPr>
          <w:i/>
          <w:iCs/>
        </w:rPr>
        <w:t>v.</w:t>
      </w:r>
      <w:r w:rsidR="000D615E" w:rsidRPr="00A16566">
        <w:rPr>
          <w:i/>
        </w:rPr>
        <w:t xml:space="preserve"> </w:t>
      </w:r>
      <w:r w:rsidR="004E5816" w:rsidRPr="00A16566">
        <w:rPr>
          <w:i/>
        </w:rPr>
        <w:t>Craig</w:t>
      </w:r>
      <w:r w:rsidR="004E5816" w:rsidRPr="00A16566">
        <w:t xml:space="preserve">, 2012 SCC 43, [2012] 2 </w:t>
      </w:r>
      <w:proofErr w:type="spellStart"/>
      <w:r w:rsidR="004E5816" w:rsidRPr="00A16566">
        <w:t>S.C.R</w:t>
      </w:r>
      <w:proofErr w:type="spellEnd"/>
      <w:r w:rsidR="004E5816" w:rsidRPr="00A16566">
        <w:t xml:space="preserve">. 489; </w:t>
      </w:r>
      <w:r w:rsidR="00F71650" w:rsidRPr="00A16566">
        <w:rPr>
          <w:i/>
        </w:rPr>
        <w:t>Ontario</w:t>
      </w:r>
      <w:r w:rsidR="000D615E" w:rsidRPr="00A16566">
        <w:rPr>
          <w:bCs/>
          <w:i/>
        </w:rPr>
        <w:t xml:space="preserve"> </w:t>
      </w:r>
      <w:r w:rsidR="00F71650" w:rsidRPr="00A16566">
        <w:rPr>
          <w:i/>
        </w:rPr>
        <w:t>(A</w:t>
      </w:r>
      <w:r w:rsidR="000D615E" w:rsidRPr="00A16566">
        <w:rPr>
          <w:i/>
        </w:rPr>
        <w:t xml:space="preserve">ttorney General) </w:t>
      </w:r>
      <w:r w:rsidR="00F71650" w:rsidRPr="00A16566">
        <w:rPr>
          <w:i/>
          <w:iCs/>
        </w:rPr>
        <w:t>v.</w:t>
      </w:r>
      <w:r w:rsidR="000D615E" w:rsidRPr="00A16566">
        <w:rPr>
          <w:bCs/>
          <w:i/>
        </w:rPr>
        <w:t xml:space="preserve"> </w:t>
      </w:r>
      <w:r w:rsidR="00F71650" w:rsidRPr="00A16566">
        <w:rPr>
          <w:i/>
        </w:rPr>
        <w:t>Fraser</w:t>
      </w:r>
      <w:r w:rsidR="000D615E" w:rsidRPr="00A16566">
        <w:t xml:space="preserve">, </w:t>
      </w:r>
      <w:r w:rsidR="00F71650" w:rsidRPr="00A16566">
        <w:rPr>
          <w:rStyle w:val="sccrespondentforrunningheadchar0"/>
          <w:smallCaps/>
        </w:rPr>
        <w:t xml:space="preserve">2011 SCC 20, [2011] 2 </w:t>
      </w:r>
      <w:proofErr w:type="spellStart"/>
      <w:r w:rsidR="00F71650" w:rsidRPr="00A16566">
        <w:rPr>
          <w:rStyle w:val="sccrespondentforrunningheadchar0"/>
          <w:smallCaps/>
        </w:rPr>
        <w:t>S.C.R</w:t>
      </w:r>
      <w:proofErr w:type="spellEnd"/>
      <w:r w:rsidR="00F71650" w:rsidRPr="00A16566">
        <w:rPr>
          <w:rStyle w:val="sccrespondentforrunningheadchar0"/>
          <w:smallCaps/>
        </w:rPr>
        <w:t xml:space="preserve">. 3; </w:t>
      </w:r>
      <w:r w:rsidR="000D615E" w:rsidRPr="00A16566">
        <w:rPr>
          <w:i/>
          <w:spacing w:val="-3"/>
        </w:rPr>
        <w:t xml:space="preserve">R. </w:t>
      </w:r>
      <w:r w:rsidR="00943CB9" w:rsidRPr="00A16566">
        <w:rPr>
          <w:i/>
          <w:iCs/>
          <w:spacing w:val="-3"/>
        </w:rPr>
        <w:t>v.</w:t>
      </w:r>
      <w:r w:rsidR="000D615E" w:rsidRPr="00A16566">
        <w:rPr>
          <w:i/>
          <w:spacing w:val="-3"/>
        </w:rPr>
        <w:t xml:space="preserve"> </w:t>
      </w:r>
      <w:r w:rsidR="00943CB9" w:rsidRPr="00A16566">
        <w:rPr>
          <w:i/>
          <w:spacing w:val="-3"/>
        </w:rPr>
        <w:t>Robinson</w:t>
      </w:r>
      <w:r w:rsidR="00943CB9" w:rsidRPr="00A16566">
        <w:rPr>
          <w:spacing w:val="-3"/>
        </w:rPr>
        <w:t xml:space="preserve">, [1996] 1 </w:t>
      </w:r>
      <w:proofErr w:type="spellStart"/>
      <w:r w:rsidR="00943CB9" w:rsidRPr="00A16566">
        <w:rPr>
          <w:spacing w:val="-3"/>
        </w:rPr>
        <w:t>S.C.R</w:t>
      </w:r>
      <w:proofErr w:type="spellEnd"/>
      <w:r w:rsidR="00943CB9" w:rsidRPr="00A16566">
        <w:rPr>
          <w:spacing w:val="-3"/>
        </w:rPr>
        <w:t xml:space="preserve">. 683; </w:t>
      </w:r>
      <w:proofErr w:type="spellStart"/>
      <w:r w:rsidR="00A33F89" w:rsidRPr="00A16566">
        <w:rPr>
          <w:i/>
        </w:rPr>
        <w:t>Tolofson</w:t>
      </w:r>
      <w:proofErr w:type="spellEnd"/>
      <w:r w:rsidR="00A33F89" w:rsidRPr="00A16566">
        <w:rPr>
          <w:i/>
        </w:rPr>
        <w:t xml:space="preserve"> </w:t>
      </w:r>
      <w:r w:rsidR="000C01D3" w:rsidRPr="00A16566">
        <w:rPr>
          <w:i/>
          <w:iCs/>
        </w:rPr>
        <w:t>v.</w:t>
      </w:r>
      <w:r w:rsidR="00A33F89" w:rsidRPr="00A16566">
        <w:rPr>
          <w:i/>
        </w:rPr>
        <w:t xml:space="preserve"> </w:t>
      </w:r>
      <w:r w:rsidR="000C01D3" w:rsidRPr="00A16566">
        <w:rPr>
          <w:i/>
        </w:rPr>
        <w:t>Jensen</w:t>
      </w:r>
      <w:r w:rsidR="000C01D3" w:rsidRPr="00A16566">
        <w:t xml:space="preserve">, [1994] 3 </w:t>
      </w:r>
      <w:proofErr w:type="spellStart"/>
      <w:r w:rsidR="000C01D3" w:rsidRPr="00A16566">
        <w:t>S.C.R</w:t>
      </w:r>
      <w:proofErr w:type="spellEnd"/>
      <w:r w:rsidR="000C01D3" w:rsidRPr="00A16566">
        <w:t xml:space="preserve">. 1022; </w:t>
      </w:r>
      <w:r w:rsidR="00A33F89" w:rsidRPr="00A16566">
        <w:rPr>
          <w:i/>
          <w:spacing w:val="-3"/>
        </w:rPr>
        <w:t xml:space="preserve">R. </w:t>
      </w:r>
      <w:r w:rsidR="00EA6A00" w:rsidRPr="00A16566">
        <w:rPr>
          <w:i/>
          <w:iCs/>
          <w:spacing w:val="-3"/>
        </w:rPr>
        <w:t>v.</w:t>
      </w:r>
      <w:r w:rsidR="00A33F89" w:rsidRPr="00A16566">
        <w:rPr>
          <w:i/>
          <w:spacing w:val="-3"/>
        </w:rPr>
        <w:t xml:space="preserve"> B. </w:t>
      </w:r>
      <w:r w:rsidR="00EA6A00" w:rsidRPr="00A16566">
        <w:rPr>
          <w:i/>
          <w:spacing w:val="-3"/>
        </w:rPr>
        <w:t>(</w:t>
      </w:r>
      <w:proofErr w:type="spellStart"/>
      <w:r w:rsidR="00EA6A00" w:rsidRPr="00A16566">
        <w:rPr>
          <w:i/>
          <w:spacing w:val="-3"/>
        </w:rPr>
        <w:t>K.G</w:t>
      </w:r>
      <w:proofErr w:type="spellEnd"/>
      <w:r w:rsidR="00EA6A00" w:rsidRPr="00A16566">
        <w:rPr>
          <w:i/>
          <w:spacing w:val="-3"/>
        </w:rPr>
        <w:t>.)</w:t>
      </w:r>
      <w:r w:rsidR="00EA6A00" w:rsidRPr="00A16566">
        <w:rPr>
          <w:spacing w:val="-3"/>
        </w:rPr>
        <w:t xml:space="preserve">, [1993] 1 </w:t>
      </w:r>
      <w:proofErr w:type="spellStart"/>
      <w:r w:rsidR="00EA6A00" w:rsidRPr="00A16566">
        <w:rPr>
          <w:spacing w:val="-3"/>
        </w:rPr>
        <w:t>S.C.R</w:t>
      </w:r>
      <w:proofErr w:type="spellEnd"/>
      <w:r w:rsidR="00EA6A00" w:rsidRPr="00A16566">
        <w:rPr>
          <w:spacing w:val="-3"/>
        </w:rPr>
        <w:t xml:space="preserve">. 740; </w:t>
      </w:r>
      <w:r w:rsidR="00A33F89" w:rsidRPr="00A16566">
        <w:rPr>
          <w:i/>
          <w:spacing w:val="-3"/>
        </w:rPr>
        <w:t xml:space="preserve">London Drugs Ltd. </w:t>
      </w:r>
      <w:r w:rsidR="005B6873" w:rsidRPr="00A16566">
        <w:rPr>
          <w:i/>
          <w:iCs/>
          <w:spacing w:val="-3"/>
        </w:rPr>
        <w:t>v.</w:t>
      </w:r>
      <w:r w:rsidR="00A33F89" w:rsidRPr="00A16566">
        <w:rPr>
          <w:i/>
          <w:spacing w:val="-3"/>
        </w:rPr>
        <w:t xml:space="preserve"> </w:t>
      </w:r>
      <w:proofErr w:type="spellStart"/>
      <w:r w:rsidR="005B6873" w:rsidRPr="00A16566">
        <w:rPr>
          <w:i/>
          <w:spacing w:val="-3"/>
        </w:rPr>
        <w:t>Kuehne</w:t>
      </w:r>
      <w:proofErr w:type="spellEnd"/>
      <w:r w:rsidR="005B6873" w:rsidRPr="00A16566">
        <w:rPr>
          <w:i/>
          <w:spacing w:val="-3"/>
        </w:rPr>
        <w:t xml:space="preserve"> &amp; Nagel International Ltd.</w:t>
      </w:r>
      <w:r w:rsidR="005B6873" w:rsidRPr="00A16566">
        <w:rPr>
          <w:spacing w:val="-3"/>
        </w:rPr>
        <w:t xml:space="preserve">, [1992] 3 </w:t>
      </w:r>
      <w:proofErr w:type="spellStart"/>
      <w:r w:rsidR="005B6873" w:rsidRPr="00A16566">
        <w:rPr>
          <w:spacing w:val="-3"/>
        </w:rPr>
        <w:t>S.C.R</w:t>
      </w:r>
      <w:proofErr w:type="spellEnd"/>
      <w:r w:rsidR="005B6873" w:rsidRPr="00A16566">
        <w:rPr>
          <w:spacing w:val="-3"/>
        </w:rPr>
        <w:t xml:space="preserve">. 299; </w:t>
      </w:r>
      <w:r w:rsidR="0005172F" w:rsidRPr="00A16566">
        <w:rPr>
          <w:i/>
          <w:spacing w:val="-3"/>
        </w:rPr>
        <w:t>R.</w:t>
      </w:r>
      <w:r w:rsidR="00A33F89" w:rsidRPr="00A16566">
        <w:rPr>
          <w:i/>
          <w:spacing w:val="-3"/>
        </w:rPr>
        <w:t xml:space="preserve"> </w:t>
      </w:r>
      <w:r w:rsidR="00A33F89" w:rsidRPr="00A16566">
        <w:rPr>
          <w:i/>
          <w:iCs/>
          <w:spacing w:val="-3"/>
        </w:rPr>
        <w:t xml:space="preserve">v. </w:t>
      </w:r>
      <w:r w:rsidR="0005172F" w:rsidRPr="00A16566">
        <w:rPr>
          <w:i/>
          <w:spacing w:val="-3"/>
        </w:rPr>
        <w:t>Bernard</w:t>
      </w:r>
      <w:r w:rsidR="0005172F" w:rsidRPr="00A16566">
        <w:rPr>
          <w:spacing w:val="-3"/>
        </w:rPr>
        <w:t xml:space="preserve">, [1988] 2 </w:t>
      </w:r>
      <w:proofErr w:type="spellStart"/>
      <w:r w:rsidR="0005172F" w:rsidRPr="00A16566">
        <w:rPr>
          <w:spacing w:val="-3"/>
        </w:rPr>
        <w:t>S.C.R</w:t>
      </w:r>
      <w:proofErr w:type="spellEnd"/>
      <w:r w:rsidR="0005172F" w:rsidRPr="00A16566">
        <w:rPr>
          <w:spacing w:val="-3"/>
        </w:rPr>
        <w:t xml:space="preserve">. 833; </w:t>
      </w:r>
      <w:r w:rsidR="00A33F89" w:rsidRPr="00A16566">
        <w:rPr>
          <w:i/>
        </w:rPr>
        <w:t xml:space="preserve">R. </w:t>
      </w:r>
      <w:r w:rsidR="00FF0E4F" w:rsidRPr="00A16566">
        <w:rPr>
          <w:i/>
          <w:iCs/>
        </w:rPr>
        <w:t>v.</w:t>
      </w:r>
      <w:r w:rsidR="00A33F89" w:rsidRPr="00A16566">
        <w:rPr>
          <w:i/>
        </w:rPr>
        <w:t xml:space="preserve"> </w:t>
      </w:r>
      <w:r w:rsidR="00FF0E4F" w:rsidRPr="00A16566">
        <w:rPr>
          <w:i/>
        </w:rPr>
        <w:t>Tran</w:t>
      </w:r>
      <w:r w:rsidR="00FF0E4F" w:rsidRPr="00A16566">
        <w:t>, 2010 SCC 58</w:t>
      </w:r>
      <w:r w:rsidR="00FF0E4F" w:rsidRPr="00A16566">
        <w:rPr>
          <w:rStyle w:val="sccrespondentforrunningheadchar0"/>
          <w:smallCaps/>
        </w:rPr>
        <w:t xml:space="preserve">, [2010] 3 </w:t>
      </w:r>
      <w:proofErr w:type="spellStart"/>
      <w:r w:rsidR="00FF0E4F" w:rsidRPr="00A16566">
        <w:rPr>
          <w:rStyle w:val="sccrespondentforrunningheadchar0"/>
          <w:smallCaps/>
        </w:rPr>
        <w:t>S.C.R</w:t>
      </w:r>
      <w:proofErr w:type="spellEnd"/>
      <w:r w:rsidR="00FF0E4F" w:rsidRPr="00A16566">
        <w:rPr>
          <w:rStyle w:val="sccrespondentforrunningheadchar0"/>
          <w:smallCaps/>
        </w:rPr>
        <w:t xml:space="preserve">. 350; </w:t>
      </w:r>
      <w:r w:rsidR="00A33F89" w:rsidRPr="00A16566">
        <w:rPr>
          <w:i/>
          <w:spacing w:val="-3"/>
        </w:rPr>
        <w:t xml:space="preserve">Friesen </w:t>
      </w:r>
      <w:r w:rsidR="001F41C9" w:rsidRPr="00A16566">
        <w:rPr>
          <w:i/>
          <w:iCs/>
          <w:spacing w:val="-3"/>
        </w:rPr>
        <w:t>v.</w:t>
      </w:r>
      <w:r w:rsidR="00A33F89" w:rsidRPr="00A16566">
        <w:rPr>
          <w:i/>
          <w:spacing w:val="-3"/>
        </w:rPr>
        <w:t xml:space="preserve"> </w:t>
      </w:r>
      <w:r w:rsidR="001F41C9" w:rsidRPr="00A16566">
        <w:rPr>
          <w:i/>
          <w:spacing w:val="-3"/>
        </w:rPr>
        <w:t>Canada</w:t>
      </w:r>
      <w:r w:rsidR="001F41C9" w:rsidRPr="00A16566">
        <w:rPr>
          <w:spacing w:val="-3"/>
        </w:rPr>
        <w:t xml:space="preserve">, [1995] 3 </w:t>
      </w:r>
      <w:proofErr w:type="spellStart"/>
      <w:r w:rsidR="001F41C9" w:rsidRPr="00A16566">
        <w:rPr>
          <w:spacing w:val="-3"/>
        </w:rPr>
        <w:t>S.C.R</w:t>
      </w:r>
      <w:proofErr w:type="spellEnd"/>
      <w:r w:rsidR="001F41C9" w:rsidRPr="00A16566">
        <w:rPr>
          <w:spacing w:val="-3"/>
        </w:rPr>
        <w:t xml:space="preserve">. 103; </w:t>
      </w:r>
      <w:r w:rsidR="00270A5E" w:rsidRPr="00A16566">
        <w:rPr>
          <w:rStyle w:val="sccrespondentforrunningheadchar0"/>
          <w:i/>
        </w:rPr>
        <w:t>R. v. Kirkpatrick</w:t>
      </w:r>
      <w:r w:rsidR="00270A5E" w:rsidRPr="00A16566">
        <w:rPr>
          <w:rStyle w:val="sccrespondentforrunningheadchar0"/>
        </w:rPr>
        <w:t xml:space="preserve">, 2022 SCC 33; </w:t>
      </w:r>
      <w:r w:rsidR="00A33F89" w:rsidRPr="00A16566">
        <w:rPr>
          <w:i/>
          <w:spacing w:val="-3"/>
        </w:rPr>
        <w:t xml:space="preserve">Phillips </w:t>
      </w:r>
      <w:r w:rsidR="002804C3" w:rsidRPr="00A16566">
        <w:rPr>
          <w:i/>
          <w:iCs/>
          <w:spacing w:val="-3"/>
        </w:rPr>
        <w:t>v.</w:t>
      </w:r>
      <w:r w:rsidR="00A33F89" w:rsidRPr="00A16566">
        <w:rPr>
          <w:i/>
          <w:spacing w:val="-3"/>
        </w:rPr>
        <w:t xml:space="preserve"> </w:t>
      </w:r>
      <w:r w:rsidR="002804C3" w:rsidRPr="00A16566">
        <w:rPr>
          <w:i/>
          <w:spacing w:val="-3"/>
        </w:rPr>
        <w:t xml:space="preserve">Nova Scotia (Commission of Inquiry into the </w:t>
      </w:r>
      <w:proofErr w:type="spellStart"/>
      <w:r w:rsidR="002804C3" w:rsidRPr="00A16566">
        <w:rPr>
          <w:i/>
          <w:spacing w:val="-3"/>
        </w:rPr>
        <w:t>Westray</w:t>
      </w:r>
      <w:proofErr w:type="spellEnd"/>
      <w:r w:rsidR="002804C3" w:rsidRPr="00A16566">
        <w:rPr>
          <w:i/>
          <w:spacing w:val="-3"/>
        </w:rPr>
        <w:t xml:space="preserve"> Mine Tragedy)</w:t>
      </w:r>
      <w:r w:rsidR="002804C3" w:rsidRPr="00A16566">
        <w:rPr>
          <w:spacing w:val="-3"/>
        </w:rPr>
        <w:t xml:space="preserve">, [1995] 2 </w:t>
      </w:r>
      <w:proofErr w:type="spellStart"/>
      <w:r w:rsidR="002804C3" w:rsidRPr="00A16566">
        <w:rPr>
          <w:spacing w:val="-3"/>
        </w:rPr>
        <w:t>S.C.R</w:t>
      </w:r>
      <w:proofErr w:type="spellEnd"/>
      <w:r w:rsidR="002804C3" w:rsidRPr="00A16566">
        <w:rPr>
          <w:spacing w:val="-3"/>
        </w:rPr>
        <w:t xml:space="preserve">. 97; </w:t>
      </w:r>
      <w:r w:rsidR="006C6319" w:rsidRPr="00A16566">
        <w:rPr>
          <w:i/>
        </w:rPr>
        <w:t>R. v. Yusuf</w:t>
      </w:r>
      <w:r w:rsidR="006C6319" w:rsidRPr="00A16566">
        <w:t xml:space="preserve">, 2021 SCC 2; </w:t>
      </w:r>
      <w:r w:rsidR="00A33F89" w:rsidRPr="00A16566">
        <w:rPr>
          <w:i/>
          <w:lang w:bidi="en-US"/>
        </w:rPr>
        <w:t xml:space="preserve">Canada (Attorney General) </w:t>
      </w:r>
      <w:r w:rsidR="00541F0E" w:rsidRPr="00A16566">
        <w:rPr>
          <w:i/>
          <w:iCs/>
          <w:lang w:bidi="en-US"/>
        </w:rPr>
        <w:t>v.</w:t>
      </w:r>
      <w:r w:rsidR="00A33F89" w:rsidRPr="00A16566">
        <w:rPr>
          <w:i/>
          <w:lang w:bidi="en-US"/>
        </w:rPr>
        <w:t xml:space="preserve"> </w:t>
      </w:r>
      <w:r w:rsidR="00541F0E" w:rsidRPr="00A16566">
        <w:rPr>
          <w:i/>
          <w:lang w:bidi="en-US"/>
        </w:rPr>
        <w:t>Federation of Law Societies of Canada</w:t>
      </w:r>
      <w:r w:rsidR="00541F0E" w:rsidRPr="00A16566">
        <w:rPr>
          <w:lang w:bidi="en-US"/>
        </w:rPr>
        <w:t xml:space="preserve">, 2015 SCC 7, </w:t>
      </w:r>
      <w:r w:rsidR="00541F0E" w:rsidRPr="00A16566">
        <w:rPr>
          <w:lang w:val="en-US" w:bidi="en-US"/>
        </w:rPr>
        <w:t xml:space="preserve">[2015] 1 </w:t>
      </w:r>
      <w:proofErr w:type="spellStart"/>
      <w:r w:rsidR="00541F0E" w:rsidRPr="00A16566">
        <w:rPr>
          <w:lang w:val="en-US" w:bidi="en-US"/>
        </w:rPr>
        <w:t>S.C.R</w:t>
      </w:r>
      <w:proofErr w:type="spellEnd"/>
      <w:r w:rsidR="00541F0E" w:rsidRPr="00A16566">
        <w:rPr>
          <w:lang w:val="en-US" w:bidi="en-US"/>
        </w:rPr>
        <w:t xml:space="preserve">. 401; </w:t>
      </w:r>
      <w:r w:rsidR="00884A80" w:rsidRPr="00A16566">
        <w:rPr>
          <w:i/>
          <w:iCs/>
        </w:rPr>
        <w:t xml:space="preserve">Law Society of Upper Canada v. </w:t>
      </w:r>
      <w:proofErr w:type="spellStart"/>
      <w:r w:rsidR="00884A80" w:rsidRPr="00A16566">
        <w:rPr>
          <w:i/>
          <w:iCs/>
        </w:rPr>
        <w:t>Skapinker</w:t>
      </w:r>
      <w:proofErr w:type="spellEnd"/>
      <w:r w:rsidR="00884A80" w:rsidRPr="00A16566">
        <w:t xml:space="preserve">, [1984] 1 </w:t>
      </w:r>
      <w:proofErr w:type="spellStart"/>
      <w:r w:rsidR="00884A80" w:rsidRPr="00A16566">
        <w:t>S.C.R</w:t>
      </w:r>
      <w:proofErr w:type="spellEnd"/>
      <w:r w:rsidR="00884A80" w:rsidRPr="00A16566">
        <w:t xml:space="preserve">. 357; </w:t>
      </w:r>
      <w:r w:rsidR="00D80E58" w:rsidRPr="00A16566">
        <w:rPr>
          <w:i/>
          <w:iCs/>
        </w:rPr>
        <w:t>The Queen in Right of Manitoba v. Air Canada</w:t>
      </w:r>
      <w:r w:rsidR="00D80E58" w:rsidRPr="00A16566">
        <w:t xml:space="preserve">, [1980] 2 </w:t>
      </w:r>
      <w:proofErr w:type="spellStart"/>
      <w:r w:rsidR="00D80E58" w:rsidRPr="00A16566">
        <w:t>S.C.R</w:t>
      </w:r>
      <w:proofErr w:type="spellEnd"/>
      <w:r w:rsidR="00D80E58" w:rsidRPr="00A16566">
        <w:t xml:space="preserve">. 303; </w:t>
      </w:r>
      <w:r w:rsidR="00EA719E" w:rsidRPr="00A16566">
        <w:rPr>
          <w:i/>
          <w:iCs/>
        </w:rPr>
        <w:t>Attorney General (Que.) v. Cumming</w:t>
      </w:r>
      <w:r w:rsidR="00A33F89" w:rsidRPr="00A16566">
        <w:t xml:space="preserve">, </w:t>
      </w:r>
      <w:r w:rsidR="00EA719E" w:rsidRPr="00A16566">
        <w:t xml:space="preserve">[1978] 2 </w:t>
      </w:r>
      <w:proofErr w:type="spellStart"/>
      <w:r w:rsidR="00EA719E" w:rsidRPr="00A16566">
        <w:t>S.C.R</w:t>
      </w:r>
      <w:proofErr w:type="spellEnd"/>
      <w:r w:rsidR="00EA719E" w:rsidRPr="00A16566">
        <w:t xml:space="preserve">. 605; </w:t>
      </w:r>
      <w:r w:rsidR="00FC71E7" w:rsidRPr="00A16566">
        <w:rPr>
          <w:i/>
          <w:iCs/>
        </w:rPr>
        <w:t xml:space="preserve">Winner v. </w:t>
      </w:r>
      <w:proofErr w:type="spellStart"/>
      <w:r w:rsidR="00FC71E7" w:rsidRPr="00A16566">
        <w:rPr>
          <w:i/>
          <w:iCs/>
        </w:rPr>
        <w:t>S.M.T</w:t>
      </w:r>
      <w:proofErr w:type="spellEnd"/>
      <w:r w:rsidR="00FC71E7" w:rsidRPr="00A16566">
        <w:rPr>
          <w:i/>
          <w:iCs/>
        </w:rPr>
        <w:t>. (Eastern) Ltd.</w:t>
      </w:r>
      <w:r w:rsidR="00FC71E7" w:rsidRPr="00A16566">
        <w:t xml:space="preserve">, [1951] </w:t>
      </w:r>
      <w:proofErr w:type="spellStart"/>
      <w:r w:rsidR="00FC71E7" w:rsidRPr="00A16566">
        <w:t>S.C.R</w:t>
      </w:r>
      <w:proofErr w:type="spellEnd"/>
      <w:r w:rsidR="00FC71E7" w:rsidRPr="00A16566">
        <w:t>. 887</w:t>
      </w:r>
      <w:r w:rsidR="003D0C95" w:rsidRPr="00A16566">
        <w:t xml:space="preserve">, </w:t>
      </w:r>
      <w:proofErr w:type="spellStart"/>
      <w:r w:rsidR="003D0C95" w:rsidRPr="00A16566">
        <w:t>rev’d</w:t>
      </w:r>
      <w:proofErr w:type="spellEnd"/>
      <w:r w:rsidR="003D0C95" w:rsidRPr="00A16566">
        <w:t xml:space="preserve"> in part [1954] </w:t>
      </w:r>
      <w:proofErr w:type="spellStart"/>
      <w:r w:rsidR="003D0C95" w:rsidRPr="00A16566">
        <w:t>A.C</w:t>
      </w:r>
      <w:proofErr w:type="spellEnd"/>
      <w:r w:rsidR="003D0C95" w:rsidRPr="00A16566">
        <w:t xml:space="preserve">. 541; </w:t>
      </w:r>
      <w:r w:rsidR="008A4004" w:rsidRPr="00A16566">
        <w:rPr>
          <w:i/>
          <w:iCs/>
        </w:rPr>
        <w:t>John Deere Plow Co. v. Wharton</w:t>
      </w:r>
      <w:r w:rsidR="008A4004" w:rsidRPr="00A16566">
        <w:t xml:space="preserve">, [1915] </w:t>
      </w:r>
      <w:proofErr w:type="spellStart"/>
      <w:r w:rsidR="008A4004" w:rsidRPr="00A16566">
        <w:t>A.C</w:t>
      </w:r>
      <w:proofErr w:type="spellEnd"/>
      <w:r w:rsidR="008A4004" w:rsidRPr="00A16566">
        <w:t xml:space="preserve">. 330; </w:t>
      </w:r>
      <w:r w:rsidR="007852F0" w:rsidRPr="00A16566">
        <w:rPr>
          <w:i/>
        </w:rPr>
        <w:t xml:space="preserve">Citizens Insurance Co. of Canada v. Parsons </w:t>
      </w:r>
      <w:r w:rsidR="007852F0" w:rsidRPr="00A16566">
        <w:t xml:space="preserve">(1881), 7 App. </w:t>
      </w:r>
      <w:proofErr w:type="spellStart"/>
      <w:r w:rsidR="007852F0" w:rsidRPr="00A16566">
        <w:t>Cas</w:t>
      </w:r>
      <w:proofErr w:type="spellEnd"/>
      <w:r w:rsidR="007852F0" w:rsidRPr="00A16566">
        <w:t xml:space="preserve">. 96; </w:t>
      </w:r>
      <w:r w:rsidR="00887E1B" w:rsidRPr="00A16566">
        <w:rPr>
          <w:i/>
        </w:rPr>
        <w:t>Reference re Remuneration of Judges of the Provincial Court of Prince Edward Island</w:t>
      </w:r>
      <w:r w:rsidR="00887E1B" w:rsidRPr="00A16566">
        <w:t xml:space="preserve">, [1997] 3 </w:t>
      </w:r>
      <w:proofErr w:type="spellStart"/>
      <w:r w:rsidR="00887E1B" w:rsidRPr="00A16566">
        <w:t>S.C.R</w:t>
      </w:r>
      <w:proofErr w:type="spellEnd"/>
      <w:r w:rsidR="00887E1B" w:rsidRPr="00A16566">
        <w:t xml:space="preserve">. 3; </w:t>
      </w:r>
      <w:r w:rsidR="00E04266" w:rsidRPr="00A16566">
        <w:rPr>
          <w:i/>
        </w:rPr>
        <w:t>R. v. Sharma</w:t>
      </w:r>
      <w:r w:rsidR="00E04266" w:rsidRPr="00A16566">
        <w:t xml:space="preserve">, 2022 SCC 39; </w:t>
      </w:r>
      <w:r w:rsidR="00787DEC" w:rsidRPr="00A16566">
        <w:rPr>
          <w:i/>
          <w:iCs/>
        </w:rPr>
        <w:t>R. v. Collins</w:t>
      </w:r>
      <w:r w:rsidR="00787DEC" w:rsidRPr="00A16566">
        <w:t xml:space="preserve">, [1987] 1 </w:t>
      </w:r>
      <w:proofErr w:type="spellStart"/>
      <w:r w:rsidR="00787DEC" w:rsidRPr="00A16566">
        <w:t>S.C.R</w:t>
      </w:r>
      <w:proofErr w:type="spellEnd"/>
      <w:r w:rsidR="00787DEC" w:rsidRPr="00A16566">
        <w:t xml:space="preserve">. 265; </w:t>
      </w:r>
      <w:r w:rsidR="00A33F89" w:rsidRPr="00A16566">
        <w:rPr>
          <w:i/>
          <w:iCs/>
        </w:rPr>
        <w:t xml:space="preserve">R. v. </w:t>
      </w:r>
      <w:proofErr w:type="spellStart"/>
      <w:r w:rsidR="00AF1A9B" w:rsidRPr="00A16566">
        <w:rPr>
          <w:i/>
          <w:iCs/>
        </w:rPr>
        <w:t>Caslake</w:t>
      </w:r>
      <w:proofErr w:type="spellEnd"/>
      <w:r w:rsidR="00A33F89" w:rsidRPr="00A16566">
        <w:t xml:space="preserve">, </w:t>
      </w:r>
      <w:r w:rsidR="00AF1A9B" w:rsidRPr="00A16566">
        <w:t xml:space="preserve">[1998] 1 </w:t>
      </w:r>
      <w:proofErr w:type="spellStart"/>
      <w:r w:rsidR="00AF1A9B" w:rsidRPr="00A16566">
        <w:t>S.C.R</w:t>
      </w:r>
      <w:proofErr w:type="spellEnd"/>
      <w:r w:rsidR="00AF1A9B" w:rsidRPr="00A16566">
        <w:t>. 51</w:t>
      </w:r>
      <w:r w:rsidR="00AF1A9B" w:rsidRPr="00A16566">
        <w:rPr>
          <w:lang w:val="en-US"/>
        </w:rPr>
        <w:t xml:space="preserve">; </w:t>
      </w:r>
      <w:r w:rsidR="00A33F89" w:rsidRPr="00A16566">
        <w:rPr>
          <w:i/>
          <w:lang w:val="en-US"/>
        </w:rPr>
        <w:t xml:space="preserve">R. </w:t>
      </w:r>
      <w:r w:rsidR="00AF1A9B" w:rsidRPr="00A16566">
        <w:rPr>
          <w:i/>
          <w:iCs/>
          <w:lang w:val="en-US"/>
        </w:rPr>
        <w:t>v.</w:t>
      </w:r>
      <w:r w:rsidR="00A33F89" w:rsidRPr="00A16566">
        <w:rPr>
          <w:i/>
          <w:lang w:val="en-US"/>
        </w:rPr>
        <w:t xml:space="preserve"> </w:t>
      </w:r>
      <w:proofErr w:type="spellStart"/>
      <w:r w:rsidR="00AF1A9B" w:rsidRPr="00A16566">
        <w:rPr>
          <w:i/>
          <w:lang w:val="en-US"/>
        </w:rPr>
        <w:t>Nolet</w:t>
      </w:r>
      <w:proofErr w:type="spellEnd"/>
      <w:r w:rsidR="00AF1A9B" w:rsidRPr="00A16566">
        <w:rPr>
          <w:lang w:val="en-US"/>
        </w:rPr>
        <w:t xml:space="preserve">, 2010 SCC 24, [2010] 1 </w:t>
      </w:r>
      <w:proofErr w:type="spellStart"/>
      <w:r w:rsidR="00AF1A9B" w:rsidRPr="00A16566">
        <w:rPr>
          <w:lang w:val="en-US"/>
        </w:rPr>
        <w:t>S.C.R</w:t>
      </w:r>
      <w:proofErr w:type="spellEnd"/>
      <w:r w:rsidR="00AF1A9B" w:rsidRPr="00A16566">
        <w:rPr>
          <w:lang w:val="en-US"/>
        </w:rPr>
        <w:t>. 851;</w:t>
      </w:r>
      <w:r w:rsidR="00A33F89" w:rsidRPr="00A16566">
        <w:rPr>
          <w:i/>
          <w:lang w:val="en-US"/>
        </w:rPr>
        <w:t xml:space="preserve"> R. </w:t>
      </w:r>
      <w:r w:rsidR="0020771A" w:rsidRPr="00A16566">
        <w:rPr>
          <w:i/>
          <w:iCs/>
          <w:lang w:val="en-US"/>
        </w:rPr>
        <w:t>v.</w:t>
      </w:r>
      <w:r w:rsidR="00A33F89" w:rsidRPr="00A16566">
        <w:rPr>
          <w:i/>
          <w:lang w:val="en-US"/>
        </w:rPr>
        <w:t xml:space="preserve"> </w:t>
      </w:r>
      <w:r w:rsidR="0020771A" w:rsidRPr="00A16566">
        <w:rPr>
          <w:i/>
          <w:lang w:val="en-US"/>
        </w:rPr>
        <w:t>Vu</w:t>
      </w:r>
      <w:r w:rsidR="0020771A" w:rsidRPr="00A16566">
        <w:rPr>
          <w:lang w:val="en-US"/>
        </w:rPr>
        <w:t xml:space="preserve">, 2013 SCC 60, [2013] 3 </w:t>
      </w:r>
      <w:proofErr w:type="spellStart"/>
      <w:r w:rsidR="0020771A" w:rsidRPr="00A16566">
        <w:rPr>
          <w:lang w:val="en-US"/>
        </w:rPr>
        <w:t>S.C.R</w:t>
      </w:r>
      <w:proofErr w:type="spellEnd"/>
      <w:r w:rsidR="0020771A" w:rsidRPr="00A16566">
        <w:rPr>
          <w:lang w:val="en-US"/>
        </w:rPr>
        <w:t xml:space="preserve">. 657; </w:t>
      </w:r>
      <w:proofErr w:type="spellStart"/>
      <w:r w:rsidR="00966EF5" w:rsidRPr="00A16566">
        <w:rPr>
          <w:i/>
        </w:rPr>
        <w:t>Wakeling</w:t>
      </w:r>
      <w:proofErr w:type="spellEnd"/>
      <w:r w:rsidR="00A33F89" w:rsidRPr="00A16566">
        <w:rPr>
          <w:i/>
          <w:iCs/>
        </w:rPr>
        <w:t xml:space="preserve"> v. </w:t>
      </w:r>
      <w:r w:rsidR="00966EF5" w:rsidRPr="00A16566">
        <w:rPr>
          <w:i/>
        </w:rPr>
        <w:t>United States of America</w:t>
      </w:r>
      <w:r w:rsidR="00966EF5" w:rsidRPr="00A16566">
        <w:t xml:space="preserve">, 2014 SCC 72, [2014] 3 </w:t>
      </w:r>
      <w:proofErr w:type="spellStart"/>
      <w:r w:rsidR="00966EF5" w:rsidRPr="00A16566">
        <w:t>S.C.R</w:t>
      </w:r>
      <w:proofErr w:type="spellEnd"/>
      <w:r w:rsidR="00966EF5" w:rsidRPr="00A16566">
        <w:t xml:space="preserve">. 549; </w:t>
      </w:r>
      <w:r w:rsidR="00BC17EE" w:rsidRPr="00A16566">
        <w:rPr>
          <w:i/>
        </w:rPr>
        <w:t xml:space="preserve">R. </w:t>
      </w:r>
      <w:r w:rsidR="00E6542F" w:rsidRPr="00A16566">
        <w:rPr>
          <w:i/>
          <w:iCs/>
        </w:rPr>
        <w:t>v.</w:t>
      </w:r>
      <w:r w:rsidR="00BC17EE" w:rsidRPr="00A16566">
        <w:rPr>
          <w:i/>
        </w:rPr>
        <w:t xml:space="preserve"> </w:t>
      </w:r>
      <w:proofErr w:type="spellStart"/>
      <w:r w:rsidR="00E6542F" w:rsidRPr="00A16566">
        <w:rPr>
          <w:i/>
        </w:rPr>
        <w:t>Fearon</w:t>
      </w:r>
      <w:proofErr w:type="spellEnd"/>
      <w:r w:rsidR="00E6542F" w:rsidRPr="00A16566">
        <w:t xml:space="preserve">, 2014 SCC 77, [2014] 3 </w:t>
      </w:r>
      <w:proofErr w:type="spellStart"/>
      <w:r w:rsidR="00E6542F" w:rsidRPr="00A16566">
        <w:t>S.C.R</w:t>
      </w:r>
      <w:proofErr w:type="spellEnd"/>
      <w:r w:rsidR="00E6542F" w:rsidRPr="00A16566">
        <w:t xml:space="preserve">. 621; </w:t>
      </w:r>
      <w:r w:rsidR="00A33F89" w:rsidRPr="00A16566">
        <w:rPr>
          <w:i/>
        </w:rPr>
        <w:t xml:space="preserve">Goodwin </w:t>
      </w:r>
      <w:r w:rsidR="00D6744C" w:rsidRPr="00A16566">
        <w:rPr>
          <w:i/>
          <w:iCs/>
        </w:rPr>
        <w:t>v.</w:t>
      </w:r>
      <w:r w:rsidR="00A33F89" w:rsidRPr="00A16566">
        <w:rPr>
          <w:i/>
        </w:rPr>
        <w:t xml:space="preserve"> </w:t>
      </w:r>
      <w:r w:rsidR="00D6744C" w:rsidRPr="00A16566">
        <w:rPr>
          <w:i/>
        </w:rPr>
        <w:t>British Columbia (Superintendent of Motor Vehicles)</w:t>
      </w:r>
      <w:r w:rsidR="00D6744C" w:rsidRPr="00A16566">
        <w:t xml:space="preserve">, 2015 SCC 46, [2015] 3 </w:t>
      </w:r>
      <w:proofErr w:type="spellStart"/>
      <w:r w:rsidR="00D6744C" w:rsidRPr="00A16566">
        <w:t>S.C.R</w:t>
      </w:r>
      <w:proofErr w:type="spellEnd"/>
      <w:r w:rsidR="00D6744C" w:rsidRPr="00A16566">
        <w:t xml:space="preserve">. 250; </w:t>
      </w:r>
      <w:r w:rsidR="003A03EB" w:rsidRPr="00A16566">
        <w:rPr>
          <w:i/>
          <w:iCs/>
        </w:rPr>
        <w:t>R. v. Saeed</w:t>
      </w:r>
      <w:r w:rsidR="00ED7406" w:rsidRPr="00A16566">
        <w:t xml:space="preserve">, </w:t>
      </w:r>
      <w:r w:rsidR="003A03EB" w:rsidRPr="00A16566">
        <w:t xml:space="preserve">2016 SCC 24, [2016] 1 </w:t>
      </w:r>
      <w:proofErr w:type="spellStart"/>
      <w:r w:rsidR="003A03EB" w:rsidRPr="00A16566">
        <w:t>S.C.R</w:t>
      </w:r>
      <w:proofErr w:type="spellEnd"/>
      <w:r w:rsidR="003A03EB" w:rsidRPr="00A16566">
        <w:t xml:space="preserve">. 518; </w:t>
      </w:r>
      <w:r w:rsidR="004A41F7" w:rsidRPr="00A16566">
        <w:rPr>
          <w:i/>
        </w:rPr>
        <w:t>R. v. Tim</w:t>
      </w:r>
      <w:r w:rsidR="004A41F7" w:rsidRPr="00A16566">
        <w:t xml:space="preserve">, 2022 SCC 12; </w:t>
      </w:r>
      <w:r w:rsidR="00A33F89" w:rsidRPr="00A16566">
        <w:rPr>
          <w:i/>
        </w:rPr>
        <w:t xml:space="preserve">R. </w:t>
      </w:r>
      <w:r w:rsidR="00F8257B" w:rsidRPr="00A16566">
        <w:rPr>
          <w:i/>
          <w:iCs/>
        </w:rPr>
        <w:t>v</w:t>
      </w:r>
      <w:r w:rsidR="00F8257B" w:rsidRPr="00A16566">
        <w:rPr>
          <w:i/>
        </w:rPr>
        <w:t>. M.</w:t>
      </w:r>
      <w:r w:rsidR="00A33F89" w:rsidRPr="00A16566">
        <w:rPr>
          <w:i/>
        </w:rPr>
        <w:t xml:space="preserve"> </w:t>
      </w:r>
      <w:r w:rsidR="00F8257B" w:rsidRPr="00A16566">
        <w:rPr>
          <w:i/>
        </w:rPr>
        <w:t>(</w:t>
      </w:r>
      <w:proofErr w:type="spellStart"/>
      <w:r w:rsidR="00F8257B" w:rsidRPr="00A16566">
        <w:rPr>
          <w:i/>
        </w:rPr>
        <w:t>M.R</w:t>
      </w:r>
      <w:proofErr w:type="spellEnd"/>
      <w:r w:rsidR="00F8257B" w:rsidRPr="00A16566">
        <w:rPr>
          <w:i/>
        </w:rPr>
        <w:t>.)</w:t>
      </w:r>
      <w:r w:rsidR="00F8257B" w:rsidRPr="00A16566">
        <w:t xml:space="preserve">, [1998] 3 </w:t>
      </w:r>
      <w:proofErr w:type="spellStart"/>
      <w:r w:rsidR="00F8257B" w:rsidRPr="00A16566">
        <w:t>S.C.R</w:t>
      </w:r>
      <w:proofErr w:type="spellEnd"/>
      <w:r w:rsidR="00F8257B" w:rsidRPr="00A16566">
        <w:t xml:space="preserve">. 393; </w:t>
      </w:r>
      <w:r w:rsidR="005801B9" w:rsidRPr="00A16566">
        <w:rPr>
          <w:i/>
          <w:iCs/>
        </w:rPr>
        <w:t xml:space="preserve">Hunter v. </w:t>
      </w:r>
      <w:proofErr w:type="spellStart"/>
      <w:r w:rsidR="005801B9" w:rsidRPr="00A16566">
        <w:rPr>
          <w:i/>
          <w:iCs/>
        </w:rPr>
        <w:t>Southam</w:t>
      </w:r>
      <w:proofErr w:type="spellEnd"/>
      <w:r w:rsidR="005801B9" w:rsidRPr="00A16566">
        <w:rPr>
          <w:i/>
          <w:iCs/>
        </w:rPr>
        <w:t xml:space="preserve"> Inc.</w:t>
      </w:r>
      <w:r w:rsidR="005801B9" w:rsidRPr="00A16566">
        <w:t xml:space="preserve">, </w:t>
      </w:r>
      <w:r w:rsidR="005801B9" w:rsidRPr="00A16566">
        <w:rPr>
          <w:rStyle w:val="reflex3-block"/>
        </w:rPr>
        <w:t xml:space="preserve">[1984] 2 </w:t>
      </w:r>
      <w:proofErr w:type="spellStart"/>
      <w:r w:rsidR="005801B9" w:rsidRPr="00A16566">
        <w:rPr>
          <w:rStyle w:val="reflex3-block"/>
        </w:rPr>
        <w:t>S.C.R</w:t>
      </w:r>
      <w:proofErr w:type="spellEnd"/>
      <w:r w:rsidR="005801B9" w:rsidRPr="00A16566">
        <w:rPr>
          <w:rStyle w:val="reflex3-block"/>
        </w:rPr>
        <w:t xml:space="preserve">. 145; </w:t>
      </w:r>
      <w:r w:rsidR="00A33F89" w:rsidRPr="00A16566">
        <w:rPr>
          <w:i/>
          <w:spacing w:val="-3"/>
        </w:rPr>
        <w:t xml:space="preserve">R. </w:t>
      </w:r>
      <w:r w:rsidR="00D51D76" w:rsidRPr="00A16566">
        <w:rPr>
          <w:i/>
          <w:iCs/>
          <w:spacing w:val="-3"/>
        </w:rPr>
        <w:t>v.</w:t>
      </w:r>
      <w:r w:rsidR="00A33F89" w:rsidRPr="00A16566">
        <w:rPr>
          <w:i/>
          <w:spacing w:val="-3"/>
        </w:rPr>
        <w:t xml:space="preserve"> </w:t>
      </w:r>
      <w:r w:rsidR="00D51D76" w:rsidRPr="00A16566">
        <w:rPr>
          <w:i/>
          <w:spacing w:val="-3"/>
        </w:rPr>
        <w:t>Grant</w:t>
      </w:r>
      <w:r w:rsidR="00D51D76" w:rsidRPr="00A16566">
        <w:rPr>
          <w:spacing w:val="-3"/>
        </w:rPr>
        <w:t xml:space="preserve">, [1993] 3 </w:t>
      </w:r>
      <w:proofErr w:type="spellStart"/>
      <w:r w:rsidR="00D51D76" w:rsidRPr="00A16566">
        <w:rPr>
          <w:spacing w:val="-3"/>
        </w:rPr>
        <w:t>S.C.R</w:t>
      </w:r>
      <w:proofErr w:type="spellEnd"/>
      <w:r w:rsidR="00D51D76" w:rsidRPr="00A16566">
        <w:rPr>
          <w:spacing w:val="-3"/>
        </w:rPr>
        <w:t xml:space="preserve">. 223; </w:t>
      </w:r>
      <w:r w:rsidR="00A33F89" w:rsidRPr="00A16566">
        <w:rPr>
          <w:i/>
        </w:rPr>
        <w:t xml:space="preserve">R. </w:t>
      </w:r>
      <w:r w:rsidR="002E2DA2" w:rsidRPr="00A16566">
        <w:rPr>
          <w:i/>
          <w:iCs/>
        </w:rPr>
        <w:t>v.</w:t>
      </w:r>
      <w:r w:rsidR="00A33F89" w:rsidRPr="00A16566">
        <w:rPr>
          <w:i/>
        </w:rPr>
        <w:t xml:space="preserve"> </w:t>
      </w:r>
      <w:r w:rsidR="002E2DA2" w:rsidRPr="00A16566">
        <w:rPr>
          <w:i/>
        </w:rPr>
        <w:t>Reeves</w:t>
      </w:r>
      <w:r w:rsidR="002E2DA2" w:rsidRPr="00A16566">
        <w:t xml:space="preserve">, 2018 SCC 56, [2018] 3 </w:t>
      </w:r>
      <w:proofErr w:type="spellStart"/>
      <w:r w:rsidR="002E2DA2" w:rsidRPr="00A16566">
        <w:t>S.C.R</w:t>
      </w:r>
      <w:proofErr w:type="spellEnd"/>
      <w:r w:rsidR="002E2DA2" w:rsidRPr="00A16566">
        <w:t xml:space="preserve">. 531; </w:t>
      </w:r>
      <w:r w:rsidR="007E1882" w:rsidRPr="00A16566">
        <w:rPr>
          <w:i/>
        </w:rPr>
        <w:t>R</w:t>
      </w:r>
      <w:r w:rsidR="00A33F89" w:rsidRPr="00A16566">
        <w:rPr>
          <w:rStyle w:val="sccappellantforrunningheadchar0"/>
          <w:i/>
        </w:rPr>
        <w:t xml:space="preserve">. </w:t>
      </w:r>
      <w:r w:rsidR="007E1882" w:rsidRPr="00A16566">
        <w:rPr>
          <w:i/>
          <w:iCs/>
        </w:rPr>
        <w:t>v.</w:t>
      </w:r>
      <w:r w:rsidR="00A33F89" w:rsidRPr="00A16566">
        <w:rPr>
          <w:i/>
        </w:rPr>
        <w:t xml:space="preserve"> </w:t>
      </w:r>
      <w:r w:rsidR="007E1882" w:rsidRPr="00A16566">
        <w:rPr>
          <w:i/>
        </w:rPr>
        <w:t>S</w:t>
      </w:r>
      <w:r w:rsidR="007E1882" w:rsidRPr="00A16566">
        <w:rPr>
          <w:rStyle w:val="sccappellantforrunningheadchar0"/>
          <w:i/>
        </w:rPr>
        <w:t>pencer</w:t>
      </w:r>
      <w:r w:rsidR="007E1882" w:rsidRPr="00A16566">
        <w:t xml:space="preserve">, 2014 SCC 43, [2014] 2 </w:t>
      </w:r>
      <w:proofErr w:type="spellStart"/>
      <w:r w:rsidR="007E1882" w:rsidRPr="00A16566">
        <w:t>S.C.R</w:t>
      </w:r>
      <w:proofErr w:type="spellEnd"/>
      <w:r w:rsidR="007E1882" w:rsidRPr="00A16566">
        <w:t xml:space="preserve">. 212; </w:t>
      </w:r>
      <w:r w:rsidR="00560F0E" w:rsidRPr="00A16566">
        <w:rPr>
          <w:i/>
          <w:iCs/>
        </w:rPr>
        <w:t>R. v. Cole</w:t>
      </w:r>
      <w:r w:rsidR="00A33F89" w:rsidRPr="00A16566">
        <w:t xml:space="preserve">, </w:t>
      </w:r>
      <w:r w:rsidR="00560F0E" w:rsidRPr="00A16566">
        <w:t xml:space="preserve">2012 SCC 53, [2012] 3 </w:t>
      </w:r>
      <w:proofErr w:type="spellStart"/>
      <w:r w:rsidR="00560F0E" w:rsidRPr="00A16566">
        <w:t>S.C.R</w:t>
      </w:r>
      <w:proofErr w:type="spellEnd"/>
      <w:r w:rsidR="00560F0E" w:rsidRPr="00A16566">
        <w:t xml:space="preserve">. 34; </w:t>
      </w:r>
      <w:r w:rsidR="00ED6BF4" w:rsidRPr="00A16566">
        <w:rPr>
          <w:i/>
          <w:iCs/>
        </w:rPr>
        <w:t xml:space="preserve">R. v. </w:t>
      </w:r>
      <w:r w:rsidR="00ED6BF4" w:rsidRPr="00A16566">
        <w:rPr>
          <w:i/>
        </w:rPr>
        <w:t>Morelli</w:t>
      </w:r>
      <w:r w:rsidR="00ED6BF4" w:rsidRPr="00A16566">
        <w:t xml:space="preserve">, </w:t>
      </w:r>
      <w:r w:rsidR="00ED6BF4" w:rsidRPr="00A16566">
        <w:rPr>
          <w:lang w:bidi="en-US"/>
        </w:rPr>
        <w:t xml:space="preserve">2010 SCC 8, </w:t>
      </w:r>
      <w:r w:rsidR="00ED6BF4" w:rsidRPr="00A16566">
        <w:rPr>
          <w:lang w:val="en-US" w:bidi="en-US"/>
        </w:rPr>
        <w:t xml:space="preserve">[2010] 1 </w:t>
      </w:r>
      <w:proofErr w:type="spellStart"/>
      <w:r w:rsidR="00ED6BF4" w:rsidRPr="00A16566">
        <w:rPr>
          <w:lang w:val="en-US" w:bidi="en-US"/>
        </w:rPr>
        <w:t>S.C.R</w:t>
      </w:r>
      <w:proofErr w:type="spellEnd"/>
      <w:r w:rsidR="00ED6BF4" w:rsidRPr="00A16566">
        <w:rPr>
          <w:lang w:val="en-US" w:bidi="en-US"/>
        </w:rPr>
        <w:t xml:space="preserve">. 253; </w:t>
      </w:r>
      <w:r w:rsidR="00B342A1" w:rsidRPr="00A16566">
        <w:rPr>
          <w:i/>
        </w:rPr>
        <w:t xml:space="preserve">Canadian Pacific Wine Co. v. </w:t>
      </w:r>
      <w:proofErr w:type="spellStart"/>
      <w:r w:rsidR="00B342A1" w:rsidRPr="00A16566">
        <w:rPr>
          <w:i/>
        </w:rPr>
        <w:t>Tuley</w:t>
      </w:r>
      <w:proofErr w:type="spellEnd"/>
      <w:r w:rsidR="00B342A1" w:rsidRPr="00A16566">
        <w:t xml:space="preserve">, [1921] 2 </w:t>
      </w:r>
      <w:proofErr w:type="spellStart"/>
      <w:r w:rsidR="00B342A1" w:rsidRPr="00A16566">
        <w:t>A.C</w:t>
      </w:r>
      <w:proofErr w:type="spellEnd"/>
      <w:r w:rsidR="00B342A1" w:rsidRPr="00A16566">
        <w:t xml:space="preserve">. 417; </w:t>
      </w:r>
      <w:r w:rsidR="00B4188D" w:rsidRPr="00A16566">
        <w:rPr>
          <w:i/>
        </w:rPr>
        <w:t xml:space="preserve">R. v. </w:t>
      </w:r>
      <w:proofErr w:type="spellStart"/>
      <w:r w:rsidR="00B4188D" w:rsidRPr="00A16566">
        <w:rPr>
          <w:i/>
        </w:rPr>
        <w:t>Buhay</w:t>
      </w:r>
      <w:proofErr w:type="spellEnd"/>
      <w:r w:rsidR="00B4188D" w:rsidRPr="00A16566">
        <w:t xml:space="preserve">, 2003 SCC 30, [2003] 1 </w:t>
      </w:r>
      <w:proofErr w:type="spellStart"/>
      <w:r w:rsidR="00B4188D" w:rsidRPr="00A16566">
        <w:t>S.C.R</w:t>
      </w:r>
      <w:proofErr w:type="spellEnd"/>
      <w:r w:rsidR="00B4188D" w:rsidRPr="00A16566">
        <w:t xml:space="preserve">. 631; </w:t>
      </w:r>
      <w:r w:rsidR="00270192" w:rsidRPr="00A16566">
        <w:rPr>
          <w:i/>
        </w:rPr>
        <w:t>R. v. Law</w:t>
      </w:r>
      <w:r w:rsidR="00270192" w:rsidRPr="00A16566">
        <w:t>,</w:t>
      </w:r>
      <w:r w:rsidR="00270192" w:rsidRPr="00A16566">
        <w:rPr>
          <w:i/>
        </w:rPr>
        <w:t xml:space="preserve"> </w:t>
      </w:r>
      <w:r w:rsidR="00270192" w:rsidRPr="00A16566">
        <w:t xml:space="preserve">2002 SCC 10, [2002] 1 </w:t>
      </w:r>
      <w:proofErr w:type="spellStart"/>
      <w:r w:rsidR="00270192" w:rsidRPr="00A16566">
        <w:t>S.C.R</w:t>
      </w:r>
      <w:proofErr w:type="spellEnd"/>
      <w:r w:rsidR="00270192" w:rsidRPr="00A16566">
        <w:t xml:space="preserve">. 227; </w:t>
      </w:r>
      <w:r w:rsidR="001E0E89" w:rsidRPr="00A16566">
        <w:rPr>
          <w:i/>
        </w:rPr>
        <w:t>R. v. Jones</w:t>
      </w:r>
      <w:r w:rsidR="001E0E89" w:rsidRPr="00A16566">
        <w:t xml:space="preserve">, 2011 </w:t>
      </w:r>
      <w:proofErr w:type="spellStart"/>
      <w:r w:rsidR="001E0E89" w:rsidRPr="00A16566">
        <w:t>ONCA</w:t>
      </w:r>
      <w:proofErr w:type="spellEnd"/>
      <w:r w:rsidR="001E0E89" w:rsidRPr="00A16566">
        <w:t xml:space="preserve"> 632, 107 </w:t>
      </w:r>
      <w:proofErr w:type="spellStart"/>
      <w:r w:rsidR="001E0E89" w:rsidRPr="00A16566">
        <w:t>O.R</w:t>
      </w:r>
      <w:proofErr w:type="spellEnd"/>
      <w:r w:rsidR="001E0E89" w:rsidRPr="00A16566">
        <w:t>. (</w:t>
      </w:r>
      <w:proofErr w:type="spellStart"/>
      <w:r w:rsidR="001E0E89" w:rsidRPr="00A16566">
        <w:t>3d</w:t>
      </w:r>
      <w:proofErr w:type="spellEnd"/>
      <w:r w:rsidR="001E0E89" w:rsidRPr="00A16566">
        <w:t>) 241;</w:t>
      </w:r>
      <w:r w:rsidR="00C52195" w:rsidRPr="00A16566">
        <w:rPr>
          <w:i/>
        </w:rPr>
        <w:t xml:space="preserve"> R. v. Gill</w:t>
      </w:r>
      <w:r w:rsidR="00C52195" w:rsidRPr="00A16566">
        <w:t xml:space="preserve">, 2019 </w:t>
      </w:r>
      <w:proofErr w:type="spellStart"/>
      <w:r w:rsidR="00C52195" w:rsidRPr="00A16566">
        <w:t>BCCA</w:t>
      </w:r>
      <w:proofErr w:type="spellEnd"/>
      <w:r w:rsidR="00C52195" w:rsidRPr="00A16566">
        <w:t xml:space="preserve"> 260</w:t>
      </w:r>
      <w:r w:rsidR="00C86ADB" w:rsidRPr="00A16566">
        <w:t>.</w:t>
      </w:r>
    </w:p>
    <w:p w14:paraId="2D828AA9" w14:textId="6C6BB60B" w:rsidR="00A149DF" w:rsidRPr="00A16566" w:rsidRDefault="007C57CD" w:rsidP="006E2B6E">
      <w:pPr>
        <w:pStyle w:val="SCCNormalDoubleSpacing"/>
        <w:widowControl w:val="0"/>
        <w:spacing w:after="720" w:line="240" w:lineRule="auto"/>
      </w:pPr>
      <w:r w:rsidRPr="00A16566">
        <w:t xml:space="preserve">By </w:t>
      </w:r>
      <w:proofErr w:type="spellStart"/>
      <w:r w:rsidRPr="00A16566">
        <w:rPr>
          <w:lang w:val="en-US"/>
        </w:rPr>
        <w:t>Karakatsanis</w:t>
      </w:r>
      <w:proofErr w:type="spellEnd"/>
      <w:r w:rsidRPr="00A16566">
        <w:rPr>
          <w:lang w:val="en-US"/>
        </w:rPr>
        <w:t xml:space="preserve"> and Martin </w:t>
      </w:r>
      <w:proofErr w:type="spellStart"/>
      <w:r w:rsidRPr="00A16566">
        <w:rPr>
          <w:lang w:val="en-US"/>
        </w:rPr>
        <w:t>JJ</w:t>
      </w:r>
      <w:proofErr w:type="spellEnd"/>
      <w:r w:rsidRPr="00A16566">
        <w:rPr>
          <w:lang w:val="en-US"/>
        </w:rPr>
        <w:t>.</w:t>
      </w:r>
    </w:p>
    <w:p w14:paraId="040E4BCA" w14:textId="5DD6F00E" w:rsidR="004E2C26" w:rsidRPr="00A16566" w:rsidRDefault="002E6705" w:rsidP="00A84C5D">
      <w:pPr>
        <w:pStyle w:val="SCCNormalDoubleSpacing"/>
        <w:widowControl w:val="0"/>
        <w:spacing w:after="480"/>
      </w:pPr>
      <w:r w:rsidRPr="00A16566">
        <w:tab/>
      </w:r>
      <w:r w:rsidR="00C92B36" w:rsidRPr="00A16566">
        <w:rPr>
          <w:b/>
        </w:rPr>
        <w:t>Considered:</w:t>
      </w:r>
      <w:r w:rsidR="00C92B36" w:rsidRPr="00A16566">
        <w:t xml:space="preserve"> </w:t>
      </w:r>
      <w:r w:rsidR="000F47F6" w:rsidRPr="00A16566">
        <w:rPr>
          <w:i/>
          <w:lang w:val="en-US"/>
        </w:rPr>
        <w:t xml:space="preserve">R. v. </w:t>
      </w:r>
      <w:proofErr w:type="spellStart"/>
      <w:r w:rsidR="000F47F6" w:rsidRPr="00A16566">
        <w:rPr>
          <w:i/>
          <w:lang w:val="en-US"/>
        </w:rPr>
        <w:t>Hape</w:t>
      </w:r>
      <w:proofErr w:type="spellEnd"/>
      <w:r w:rsidR="000F47F6" w:rsidRPr="00A16566">
        <w:rPr>
          <w:lang w:val="en-US"/>
        </w:rPr>
        <w:t xml:space="preserve">, 2007 SCC 26, [2007] 2 </w:t>
      </w:r>
      <w:proofErr w:type="spellStart"/>
      <w:r w:rsidR="000F47F6" w:rsidRPr="00A16566">
        <w:rPr>
          <w:lang w:val="en-US"/>
        </w:rPr>
        <w:t>S.C.R</w:t>
      </w:r>
      <w:proofErr w:type="spellEnd"/>
      <w:r w:rsidR="000F47F6" w:rsidRPr="00A16566">
        <w:rPr>
          <w:lang w:val="en-US"/>
        </w:rPr>
        <w:t xml:space="preserve">. 292; </w:t>
      </w:r>
      <w:r w:rsidR="00C92B36" w:rsidRPr="00A16566">
        <w:rPr>
          <w:b/>
        </w:rPr>
        <w:t>referred to:</w:t>
      </w:r>
      <w:r w:rsidR="00C92B36" w:rsidRPr="00A16566">
        <w:t xml:space="preserve"> </w:t>
      </w:r>
      <w:r w:rsidR="00E6244B" w:rsidRPr="00A16566">
        <w:rPr>
          <w:i/>
          <w:lang w:val="en-US"/>
        </w:rPr>
        <w:t>R. v. Big M Drug Mart Ltd.</w:t>
      </w:r>
      <w:r w:rsidR="00E6244B" w:rsidRPr="00A16566">
        <w:rPr>
          <w:lang w:val="en-US"/>
        </w:rPr>
        <w:t xml:space="preserve">, [1985] 1 </w:t>
      </w:r>
      <w:proofErr w:type="spellStart"/>
      <w:r w:rsidR="00E6244B" w:rsidRPr="00A16566">
        <w:rPr>
          <w:lang w:val="en-US"/>
        </w:rPr>
        <w:t>S.C.R</w:t>
      </w:r>
      <w:proofErr w:type="spellEnd"/>
      <w:r w:rsidR="00E6244B" w:rsidRPr="00A16566">
        <w:rPr>
          <w:lang w:val="en-US"/>
        </w:rPr>
        <w:t xml:space="preserve">. 295; </w:t>
      </w:r>
      <w:r w:rsidR="00D934EA" w:rsidRPr="00A16566">
        <w:rPr>
          <w:i/>
          <w:lang w:val="en-US"/>
        </w:rPr>
        <w:t xml:space="preserve">Hunter v. </w:t>
      </w:r>
      <w:proofErr w:type="spellStart"/>
      <w:r w:rsidR="00D934EA" w:rsidRPr="00A16566">
        <w:rPr>
          <w:i/>
          <w:lang w:val="en-US"/>
        </w:rPr>
        <w:t>Southam</w:t>
      </w:r>
      <w:proofErr w:type="spellEnd"/>
      <w:r w:rsidR="00D934EA" w:rsidRPr="00A16566">
        <w:rPr>
          <w:i/>
          <w:lang w:val="en-US"/>
        </w:rPr>
        <w:t xml:space="preserve"> Inc.</w:t>
      </w:r>
      <w:r w:rsidR="00D934EA" w:rsidRPr="00A16566">
        <w:rPr>
          <w:lang w:val="en-US"/>
        </w:rPr>
        <w:t xml:space="preserve">, [1984] 2 </w:t>
      </w:r>
      <w:proofErr w:type="spellStart"/>
      <w:r w:rsidR="00D934EA" w:rsidRPr="00A16566">
        <w:rPr>
          <w:lang w:val="en-US"/>
        </w:rPr>
        <w:t>S.C.R</w:t>
      </w:r>
      <w:proofErr w:type="spellEnd"/>
      <w:r w:rsidR="00D934EA" w:rsidRPr="00A16566">
        <w:rPr>
          <w:lang w:val="en-US"/>
        </w:rPr>
        <w:t xml:space="preserve">. 145; </w:t>
      </w:r>
      <w:r w:rsidR="007F36B9" w:rsidRPr="00A16566">
        <w:rPr>
          <w:i/>
          <w:iCs/>
        </w:rPr>
        <w:t>Operation Dismantle Inc. v. The Queen</w:t>
      </w:r>
      <w:r w:rsidR="007F36B9" w:rsidRPr="00A16566">
        <w:t xml:space="preserve">, [1985] 1 </w:t>
      </w:r>
      <w:proofErr w:type="spellStart"/>
      <w:r w:rsidR="007F36B9" w:rsidRPr="00A16566">
        <w:t>S.C.R</w:t>
      </w:r>
      <w:proofErr w:type="spellEnd"/>
      <w:r w:rsidR="007F36B9" w:rsidRPr="00A16566">
        <w:t xml:space="preserve">. 441; </w:t>
      </w:r>
      <w:r w:rsidR="00E04DAA" w:rsidRPr="00A16566">
        <w:rPr>
          <w:i/>
          <w:lang w:val="en-US"/>
        </w:rPr>
        <w:t xml:space="preserve">Reference re Offshore Mineral Rights </w:t>
      </w:r>
      <w:r w:rsidR="00E04DAA" w:rsidRPr="00A16566">
        <w:rPr>
          <w:i/>
          <w:iCs/>
        </w:rPr>
        <w:t>of British Columbia</w:t>
      </w:r>
      <w:r w:rsidR="00E04DAA" w:rsidRPr="00A16566">
        <w:rPr>
          <w:lang w:val="en-US"/>
        </w:rPr>
        <w:t xml:space="preserve">, [1967] </w:t>
      </w:r>
      <w:proofErr w:type="spellStart"/>
      <w:r w:rsidR="00E04DAA" w:rsidRPr="00A16566">
        <w:rPr>
          <w:lang w:val="en-US"/>
        </w:rPr>
        <w:t>S.C.R</w:t>
      </w:r>
      <w:proofErr w:type="spellEnd"/>
      <w:r w:rsidR="00E04DAA" w:rsidRPr="00A16566">
        <w:rPr>
          <w:lang w:val="en-US"/>
        </w:rPr>
        <w:t>. 792</w:t>
      </w:r>
      <w:r w:rsidR="00A84C5D" w:rsidRPr="00A16566">
        <w:rPr>
          <w:lang w:val="en-US"/>
        </w:rPr>
        <w:t>;</w:t>
      </w:r>
      <w:r w:rsidR="00261298" w:rsidRPr="00A16566">
        <w:rPr>
          <w:i/>
        </w:rPr>
        <w:t xml:space="preserve"> McKinney v. University of Guelph</w:t>
      </w:r>
      <w:r w:rsidR="00261298" w:rsidRPr="00A16566">
        <w:t xml:space="preserve">, [1990] 3 </w:t>
      </w:r>
      <w:proofErr w:type="spellStart"/>
      <w:r w:rsidR="00261298" w:rsidRPr="00A16566">
        <w:t>S.C.R</w:t>
      </w:r>
      <w:proofErr w:type="spellEnd"/>
      <w:r w:rsidR="00261298" w:rsidRPr="00A16566">
        <w:t xml:space="preserve">. 229; </w:t>
      </w:r>
      <w:r w:rsidR="00672A07" w:rsidRPr="00A16566">
        <w:rPr>
          <w:i/>
          <w:lang w:val="en-US"/>
        </w:rPr>
        <w:t>Reference re Secession of Quebec</w:t>
      </w:r>
      <w:r w:rsidR="00672A07" w:rsidRPr="00A16566">
        <w:rPr>
          <w:lang w:val="en-US"/>
        </w:rPr>
        <w:t xml:space="preserve">, [1998] 2 </w:t>
      </w:r>
      <w:proofErr w:type="spellStart"/>
      <w:r w:rsidR="00672A07" w:rsidRPr="00A16566">
        <w:rPr>
          <w:lang w:val="en-US"/>
        </w:rPr>
        <w:t>S.C.R</w:t>
      </w:r>
      <w:proofErr w:type="spellEnd"/>
      <w:r w:rsidR="00672A07" w:rsidRPr="00A16566">
        <w:rPr>
          <w:lang w:val="en-US"/>
        </w:rPr>
        <w:t xml:space="preserve">. 217; </w:t>
      </w:r>
      <w:r w:rsidR="007B5556" w:rsidRPr="00A16566">
        <w:rPr>
          <w:i/>
          <w:lang w:val="en-US"/>
        </w:rPr>
        <w:t>R. v. Cook</w:t>
      </w:r>
      <w:r w:rsidR="007B5556" w:rsidRPr="00A16566">
        <w:rPr>
          <w:lang w:val="en-US"/>
        </w:rPr>
        <w:t xml:space="preserve">, [1998] 2 </w:t>
      </w:r>
      <w:proofErr w:type="spellStart"/>
      <w:r w:rsidR="007B5556" w:rsidRPr="00A16566">
        <w:rPr>
          <w:lang w:val="en-US"/>
        </w:rPr>
        <w:t>S.C.R</w:t>
      </w:r>
      <w:proofErr w:type="spellEnd"/>
      <w:r w:rsidR="007B5556" w:rsidRPr="00A16566">
        <w:rPr>
          <w:lang w:val="en-US"/>
        </w:rPr>
        <w:t xml:space="preserve">. 597; </w:t>
      </w:r>
      <w:proofErr w:type="spellStart"/>
      <w:r w:rsidR="002406A4" w:rsidRPr="00A16566">
        <w:rPr>
          <w:i/>
          <w:iCs/>
        </w:rPr>
        <w:t>Morguard</w:t>
      </w:r>
      <w:proofErr w:type="spellEnd"/>
      <w:r w:rsidR="002406A4" w:rsidRPr="00A16566">
        <w:rPr>
          <w:i/>
          <w:iCs/>
        </w:rPr>
        <w:t xml:space="preserve"> Investments Ltd. v. De </w:t>
      </w:r>
      <w:proofErr w:type="spellStart"/>
      <w:r w:rsidR="002406A4" w:rsidRPr="00A16566">
        <w:rPr>
          <w:i/>
          <w:iCs/>
        </w:rPr>
        <w:t>Savoye</w:t>
      </w:r>
      <w:proofErr w:type="spellEnd"/>
      <w:r w:rsidR="002406A4" w:rsidRPr="00A16566">
        <w:t xml:space="preserve">, [1990] 3 </w:t>
      </w:r>
      <w:proofErr w:type="spellStart"/>
      <w:r w:rsidR="002406A4" w:rsidRPr="00A16566">
        <w:t>S.C.R</w:t>
      </w:r>
      <w:proofErr w:type="spellEnd"/>
      <w:r w:rsidR="002406A4" w:rsidRPr="00A16566">
        <w:t xml:space="preserve">. 1077; </w:t>
      </w:r>
      <w:r w:rsidR="004F6F4A" w:rsidRPr="00A16566">
        <w:rPr>
          <w:i/>
          <w:lang w:val="en-US"/>
        </w:rPr>
        <w:t xml:space="preserve">R. v. </w:t>
      </w:r>
      <w:proofErr w:type="spellStart"/>
      <w:r w:rsidR="004F6F4A" w:rsidRPr="00A16566">
        <w:rPr>
          <w:i/>
          <w:lang w:val="en-US"/>
        </w:rPr>
        <w:t>Bissonnette</w:t>
      </w:r>
      <w:proofErr w:type="spellEnd"/>
      <w:r w:rsidR="004F6F4A" w:rsidRPr="00A16566">
        <w:rPr>
          <w:lang w:val="en-US"/>
        </w:rPr>
        <w:t xml:space="preserve">, 2022 SCC 23; </w:t>
      </w:r>
      <w:r w:rsidR="00215C13" w:rsidRPr="00A16566">
        <w:rPr>
          <w:i/>
          <w:lang w:val="en-US"/>
        </w:rPr>
        <w:t xml:space="preserve">Croft v. </w:t>
      </w:r>
      <w:proofErr w:type="spellStart"/>
      <w:r w:rsidR="00215C13" w:rsidRPr="00A16566">
        <w:rPr>
          <w:i/>
          <w:lang w:val="en-US"/>
        </w:rPr>
        <w:t>Dunphy</w:t>
      </w:r>
      <w:proofErr w:type="spellEnd"/>
      <w:r w:rsidR="00215C13" w:rsidRPr="00A16566">
        <w:rPr>
          <w:lang w:val="en-US"/>
        </w:rPr>
        <w:t xml:space="preserve">, [1933] </w:t>
      </w:r>
      <w:proofErr w:type="spellStart"/>
      <w:r w:rsidR="00215C13" w:rsidRPr="00A16566">
        <w:rPr>
          <w:lang w:val="en-US"/>
        </w:rPr>
        <w:t>A.C</w:t>
      </w:r>
      <w:proofErr w:type="spellEnd"/>
      <w:r w:rsidR="00215C13" w:rsidRPr="00A16566">
        <w:rPr>
          <w:lang w:val="en-US"/>
        </w:rPr>
        <w:t xml:space="preserve">. 156; </w:t>
      </w:r>
      <w:r w:rsidR="00FA7CEF" w:rsidRPr="00A16566">
        <w:rPr>
          <w:i/>
          <w:lang w:val="en-US"/>
        </w:rPr>
        <w:t>Society of Composers, Authors and Music Publishers of Canada v. Canadian Assn. of Internet Providers</w:t>
      </w:r>
      <w:r w:rsidR="00FA7CEF" w:rsidRPr="00A16566">
        <w:rPr>
          <w:lang w:val="en-US"/>
        </w:rPr>
        <w:t xml:space="preserve">, 2004 SCC 45, [2004] 2 </w:t>
      </w:r>
      <w:proofErr w:type="spellStart"/>
      <w:r w:rsidR="00FA7CEF" w:rsidRPr="00A16566">
        <w:rPr>
          <w:lang w:val="en-US"/>
        </w:rPr>
        <w:t>S.C.R</w:t>
      </w:r>
      <w:proofErr w:type="spellEnd"/>
      <w:r w:rsidR="00FA7CEF" w:rsidRPr="00A16566">
        <w:rPr>
          <w:lang w:val="en-US"/>
        </w:rPr>
        <w:t xml:space="preserve">. 427; </w:t>
      </w:r>
      <w:r w:rsidR="00613085" w:rsidRPr="00A16566">
        <w:rPr>
          <w:i/>
          <w:lang w:val="en-US"/>
        </w:rPr>
        <w:t>Reference re Public Service Employee Relations Act (Alta.)</w:t>
      </w:r>
      <w:r w:rsidR="00613085" w:rsidRPr="00A16566">
        <w:rPr>
          <w:lang w:val="en-US"/>
        </w:rPr>
        <w:t xml:space="preserve">, [1987] 1 </w:t>
      </w:r>
      <w:proofErr w:type="spellStart"/>
      <w:r w:rsidR="00613085" w:rsidRPr="00A16566">
        <w:rPr>
          <w:lang w:val="en-US"/>
        </w:rPr>
        <w:t>S.C.R</w:t>
      </w:r>
      <w:proofErr w:type="spellEnd"/>
      <w:r w:rsidR="00613085" w:rsidRPr="00A16566">
        <w:rPr>
          <w:lang w:val="en-US"/>
        </w:rPr>
        <w:t xml:space="preserve">. 313; </w:t>
      </w:r>
      <w:proofErr w:type="spellStart"/>
      <w:r w:rsidR="00E96FE9" w:rsidRPr="00A16566">
        <w:rPr>
          <w:i/>
          <w:lang w:val="en-US"/>
        </w:rPr>
        <w:t>Slaight</w:t>
      </w:r>
      <w:proofErr w:type="spellEnd"/>
      <w:r w:rsidR="00E96FE9" w:rsidRPr="00A16566">
        <w:rPr>
          <w:i/>
          <w:lang w:val="en-US"/>
        </w:rPr>
        <w:t xml:space="preserve"> Communications Inc. v. Davidson</w:t>
      </w:r>
      <w:r w:rsidR="00E96FE9" w:rsidRPr="00A16566">
        <w:rPr>
          <w:lang w:val="en-US"/>
        </w:rPr>
        <w:t xml:space="preserve">, [1989] 1 </w:t>
      </w:r>
      <w:proofErr w:type="spellStart"/>
      <w:r w:rsidR="00E96FE9" w:rsidRPr="00A16566">
        <w:rPr>
          <w:lang w:val="en-US"/>
        </w:rPr>
        <w:t>S.C.R</w:t>
      </w:r>
      <w:proofErr w:type="spellEnd"/>
      <w:r w:rsidR="00E96FE9" w:rsidRPr="00A16566">
        <w:rPr>
          <w:lang w:val="en-US"/>
        </w:rPr>
        <w:t xml:space="preserve">. 1038; </w:t>
      </w:r>
      <w:r w:rsidR="00C9325A" w:rsidRPr="00A16566">
        <w:rPr>
          <w:i/>
        </w:rPr>
        <w:t>R. v. Terry</w:t>
      </w:r>
      <w:r w:rsidR="00C9325A" w:rsidRPr="00A16566">
        <w:t xml:space="preserve">, [1996] 2 </w:t>
      </w:r>
      <w:proofErr w:type="spellStart"/>
      <w:r w:rsidR="00C9325A" w:rsidRPr="00A16566">
        <w:t>S.C.R</w:t>
      </w:r>
      <w:proofErr w:type="spellEnd"/>
      <w:r w:rsidR="00C9325A" w:rsidRPr="00A16566">
        <w:t xml:space="preserve">. 207; </w:t>
      </w:r>
      <w:r w:rsidR="003E1EDF" w:rsidRPr="00A16566">
        <w:rPr>
          <w:i/>
        </w:rPr>
        <w:t xml:space="preserve">R. v. </w:t>
      </w:r>
      <w:proofErr w:type="spellStart"/>
      <w:r w:rsidR="003E1EDF" w:rsidRPr="00A16566">
        <w:rPr>
          <w:i/>
        </w:rPr>
        <w:t>Harrer</w:t>
      </w:r>
      <w:proofErr w:type="spellEnd"/>
      <w:r w:rsidR="003E1EDF" w:rsidRPr="00A16566">
        <w:t xml:space="preserve">, [1995] 3 </w:t>
      </w:r>
      <w:proofErr w:type="spellStart"/>
      <w:r w:rsidR="003E1EDF" w:rsidRPr="00A16566">
        <w:t>S.C.R</w:t>
      </w:r>
      <w:proofErr w:type="spellEnd"/>
      <w:r w:rsidR="003E1EDF" w:rsidRPr="00A16566">
        <w:t xml:space="preserve">. 562; </w:t>
      </w:r>
      <w:r w:rsidR="00A33F89" w:rsidRPr="00A16566">
        <w:rPr>
          <w:i/>
        </w:rPr>
        <w:t xml:space="preserve">United States v. </w:t>
      </w:r>
      <w:proofErr w:type="spellStart"/>
      <w:r w:rsidR="00A33F89" w:rsidRPr="00A16566">
        <w:rPr>
          <w:i/>
        </w:rPr>
        <w:t>Verdugo</w:t>
      </w:r>
      <w:r w:rsidR="00A33F89" w:rsidRPr="00A16566">
        <w:rPr>
          <w:i/>
        </w:rPr>
        <w:noBreakHyphen/>
      </w:r>
      <w:r w:rsidR="001C5154" w:rsidRPr="00A16566">
        <w:rPr>
          <w:i/>
        </w:rPr>
        <w:t>Urquidez</w:t>
      </w:r>
      <w:proofErr w:type="spellEnd"/>
      <w:r w:rsidR="001C5154" w:rsidRPr="00A16566">
        <w:t xml:space="preserve">, 494 U.S. 259 (1990); </w:t>
      </w:r>
      <w:r w:rsidR="00EC4FDF" w:rsidRPr="00A16566">
        <w:rPr>
          <w:i/>
        </w:rPr>
        <w:t>Smith v. Ministry of Defence</w:t>
      </w:r>
      <w:r w:rsidR="00EC4FDF" w:rsidRPr="00A16566">
        <w:t xml:space="preserve">, [2013] </w:t>
      </w:r>
      <w:proofErr w:type="spellStart"/>
      <w:r w:rsidR="00EC4FDF" w:rsidRPr="00A16566">
        <w:t>UKSC</w:t>
      </w:r>
      <w:proofErr w:type="spellEnd"/>
      <w:r w:rsidR="00EC4FDF" w:rsidRPr="00A16566">
        <w:t xml:space="preserve"> 41, [2014] </w:t>
      </w:r>
      <w:proofErr w:type="spellStart"/>
      <w:r w:rsidR="00EC4FDF" w:rsidRPr="00A16566">
        <w:t>A.C</w:t>
      </w:r>
      <w:proofErr w:type="spellEnd"/>
      <w:r w:rsidR="00EC4FDF" w:rsidRPr="00A16566">
        <w:t>. 52;</w:t>
      </w:r>
      <w:r w:rsidR="009322F0" w:rsidRPr="00A16566">
        <w:t xml:space="preserve"> </w:t>
      </w:r>
      <w:r w:rsidR="009322F0" w:rsidRPr="00A16566">
        <w:rPr>
          <w:i/>
          <w:lang w:val="en-US"/>
        </w:rPr>
        <w:t>Kaunda v. President of the Republic of South Africa</w:t>
      </w:r>
      <w:r w:rsidR="009322F0" w:rsidRPr="00A16566">
        <w:rPr>
          <w:lang w:val="en-US"/>
        </w:rPr>
        <w:t xml:space="preserve">, [2004] </w:t>
      </w:r>
      <w:proofErr w:type="spellStart"/>
      <w:r w:rsidR="009322F0" w:rsidRPr="00A16566">
        <w:rPr>
          <w:lang w:val="en-US"/>
        </w:rPr>
        <w:t>ZACC</w:t>
      </w:r>
      <w:proofErr w:type="spellEnd"/>
      <w:r w:rsidR="009322F0" w:rsidRPr="00A16566">
        <w:rPr>
          <w:lang w:val="en-US"/>
        </w:rPr>
        <w:t xml:space="preserve"> 5, 2005 (4) S.A. 235</w:t>
      </w:r>
      <w:r w:rsidR="009322F0" w:rsidRPr="00A16566">
        <w:t>;</w:t>
      </w:r>
      <w:r w:rsidR="001015CB" w:rsidRPr="00A16566">
        <w:rPr>
          <w:i/>
          <w:lang w:val="en-US"/>
        </w:rPr>
        <w:t xml:space="preserve"> Young v.</w:t>
      </w:r>
      <w:r w:rsidR="00A33F89" w:rsidRPr="00A16566">
        <w:rPr>
          <w:i/>
          <w:lang w:val="en-US"/>
        </w:rPr>
        <w:t xml:space="preserve"> Attorney</w:t>
      </w:r>
      <w:r w:rsidR="00A33F89" w:rsidRPr="00A16566">
        <w:rPr>
          <w:i/>
          <w:lang w:val="en-US"/>
        </w:rPr>
        <w:noBreakHyphen/>
      </w:r>
      <w:r w:rsidR="001015CB" w:rsidRPr="00A16566">
        <w:rPr>
          <w:i/>
          <w:lang w:val="en-US"/>
        </w:rPr>
        <w:t>General</w:t>
      </w:r>
      <w:r w:rsidR="001015CB" w:rsidRPr="00A16566">
        <w:rPr>
          <w:lang w:val="en-US"/>
        </w:rPr>
        <w:t>,</w:t>
      </w:r>
      <w:r w:rsidR="001015CB" w:rsidRPr="00A16566">
        <w:rPr>
          <w:i/>
          <w:lang w:val="en-US"/>
        </w:rPr>
        <w:t xml:space="preserve"> </w:t>
      </w:r>
      <w:r w:rsidR="001015CB" w:rsidRPr="00A16566">
        <w:rPr>
          <w:color w:val="242021"/>
          <w:szCs w:val="24"/>
        </w:rPr>
        <w:t xml:space="preserve">[2018] </w:t>
      </w:r>
      <w:proofErr w:type="spellStart"/>
      <w:r w:rsidR="001015CB" w:rsidRPr="00A16566">
        <w:rPr>
          <w:color w:val="242021"/>
          <w:szCs w:val="24"/>
        </w:rPr>
        <w:t>NZCA</w:t>
      </w:r>
      <w:proofErr w:type="spellEnd"/>
      <w:r w:rsidR="001015CB" w:rsidRPr="00A16566">
        <w:rPr>
          <w:color w:val="242021"/>
          <w:szCs w:val="24"/>
        </w:rPr>
        <w:t xml:space="preserve"> 307</w:t>
      </w:r>
      <w:r w:rsidR="001015CB" w:rsidRPr="00A16566">
        <w:rPr>
          <w:lang w:val="en-US"/>
        </w:rPr>
        <w:t>,</w:t>
      </w:r>
      <w:r w:rsidR="001015CB" w:rsidRPr="00A16566">
        <w:rPr>
          <w:rFonts w:eastAsiaTheme="minorEastAsia" w:cstheme="minorBidi"/>
          <w:szCs w:val="22"/>
          <w:lang w:val="en-US" w:eastAsia="en-US"/>
        </w:rPr>
        <w:t xml:space="preserve"> </w:t>
      </w:r>
      <w:r w:rsidR="001015CB" w:rsidRPr="00A16566">
        <w:rPr>
          <w:lang w:val="en-US"/>
        </w:rPr>
        <w:t xml:space="preserve">[2018] 3 </w:t>
      </w:r>
      <w:proofErr w:type="spellStart"/>
      <w:r w:rsidR="001015CB" w:rsidRPr="00A16566">
        <w:rPr>
          <w:lang w:val="en-US"/>
        </w:rPr>
        <w:t>N.Z.L.R</w:t>
      </w:r>
      <w:proofErr w:type="spellEnd"/>
      <w:r w:rsidR="001015CB" w:rsidRPr="00A16566">
        <w:rPr>
          <w:lang w:val="en-US"/>
        </w:rPr>
        <w:t xml:space="preserve">. 827; </w:t>
      </w:r>
      <w:r w:rsidR="00D35DAE" w:rsidRPr="00A16566">
        <w:rPr>
          <w:i/>
          <w:lang w:val="en-US"/>
        </w:rPr>
        <w:t>Smith v. R.</w:t>
      </w:r>
      <w:r w:rsidR="00D35DAE" w:rsidRPr="00A16566">
        <w:rPr>
          <w:lang w:val="en-US"/>
        </w:rPr>
        <w:t xml:space="preserve">, [2020] </w:t>
      </w:r>
      <w:proofErr w:type="spellStart"/>
      <w:r w:rsidR="00D35DAE" w:rsidRPr="00A16566">
        <w:rPr>
          <w:lang w:val="en-US"/>
        </w:rPr>
        <w:t>NZCA</w:t>
      </w:r>
      <w:proofErr w:type="spellEnd"/>
      <w:r w:rsidR="00D35DAE" w:rsidRPr="00A16566">
        <w:rPr>
          <w:lang w:val="en-US"/>
        </w:rPr>
        <w:t xml:space="preserve"> 499, [2021] 3 </w:t>
      </w:r>
      <w:proofErr w:type="spellStart"/>
      <w:r w:rsidR="00D35DAE" w:rsidRPr="00A16566">
        <w:rPr>
          <w:lang w:val="en-US"/>
        </w:rPr>
        <w:t>N.Z.L.R</w:t>
      </w:r>
      <w:proofErr w:type="spellEnd"/>
      <w:r w:rsidR="00D35DAE" w:rsidRPr="00A16566">
        <w:rPr>
          <w:lang w:val="en-US"/>
        </w:rPr>
        <w:t xml:space="preserve">. 324; </w:t>
      </w:r>
      <w:r w:rsidR="00FB2E65" w:rsidRPr="00A16566">
        <w:rPr>
          <w:i/>
          <w:lang w:val="en-US"/>
        </w:rPr>
        <w:t>Afghan Nationals v. Minister for Immigration</w:t>
      </w:r>
      <w:r w:rsidR="00FB2E65" w:rsidRPr="00A16566">
        <w:rPr>
          <w:lang w:val="en-US"/>
        </w:rPr>
        <w:t xml:space="preserve">, [2021] </w:t>
      </w:r>
      <w:proofErr w:type="spellStart"/>
      <w:r w:rsidR="00FB2E65" w:rsidRPr="00A16566">
        <w:rPr>
          <w:lang w:val="en-US"/>
        </w:rPr>
        <w:t>NZHC</w:t>
      </w:r>
      <w:proofErr w:type="spellEnd"/>
      <w:r w:rsidR="00FB2E65" w:rsidRPr="00A16566">
        <w:rPr>
          <w:lang w:val="en-US"/>
        </w:rPr>
        <w:t xml:space="preserve"> 3154, [2022] 2 </w:t>
      </w:r>
      <w:proofErr w:type="spellStart"/>
      <w:r w:rsidR="00FB2E65" w:rsidRPr="00A16566">
        <w:rPr>
          <w:lang w:val="en-US"/>
        </w:rPr>
        <w:t>N.Z.L.R</w:t>
      </w:r>
      <w:proofErr w:type="spellEnd"/>
      <w:r w:rsidR="00FB2E65" w:rsidRPr="00A16566">
        <w:rPr>
          <w:lang w:val="en-US"/>
        </w:rPr>
        <w:t xml:space="preserve">. 102; </w:t>
      </w:r>
      <w:r w:rsidR="00FE3D98" w:rsidRPr="00A16566">
        <w:rPr>
          <w:i/>
          <w:lang w:val="en-US"/>
        </w:rPr>
        <w:t>Federal Intelligence Service — foreign surveillance</w:t>
      </w:r>
      <w:r w:rsidR="00FE3D98" w:rsidRPr="00A16566">
        <w:rPr>
          <w:lang w:val="en-US"/>
        </w:rPr>
        <w:t xml:space="preserve">, </w:t>
      </w:r>
      <w:proofErr w:type="spellStart"/>
      <w:r w:rsidR="00FE3D98" w:rsidRPr="00A16566">
        <w:t>BVerfG</w:t>
      </w:r>
      <w:proofErr w:type="spellEnd"/>
      <w:r w:rsidR="00FE3D98" w:rsidRPr="00A16566">
        <w:t xml:space="preserve">, </w:t>
      </w:r>
      <w:r w:rsidR="00FE3D98" w:rsidRPr="00A16566">
        <w:rPr>
          <w:lang w:val="en-US"/>
        </w:rPr>
        <w:t xml:space="preserve">1 </w:t>
      </w:r>
      <w:proofErr w:type="spellStart"/>
      <w:r w:rsidR="00FE3D98" w:rsidRPr="00A16566">
        <w:rPr>
          <w:lang w:val="en-US"/>
        </w:rPr>
        <w:t>BvR</w:t>
      </w:r>
      <w:proofErr w:type="spellEnd"/>
      <w:r w:rsidR="00FE3D98" w:rsidRPr="00A16566">
        <w:rPr>
          <w:lang w:val="en-US"/>
        </w:rPr>
        <w:t xml:space="preserve"> 2835/17, Decision of May</w:t>
      </w:r>
      <w:r w:rsidR="00AE74AB" w:rsidRPr="00A16566">
        <w:rPr>
          <w:lang w:val="en-US"/>
        </w:rPr>
        <w:t xml:space="preserve"> </w:t>
      </w:r>
      <w:r w:rsidR="00FE3D98" w:rsidRPr="00A16566">
        <w:rPr>
          <w:lang w:val="en-US"/>
        </w:rPr>
        <w:t xml:space="preserve">19, 2020 (Germany); </w:t>
      </w:r>
      <w:r w:rsidR="00333AB0" w:rsidRPr="00A16566">
        <w:rPr>
          <w:i/>
          <w:lang w:val="en-US"/>
        </w:rPr>
        <w:t>Legal Consequences of the Construction of a Wall in the Occupied Palestinian Territory</w:t>
      </w:r>
      <w:r w:rsidR="00333AB0" w:rsidRPr="00A16566">
        <w:rPr>
          <w:color w:val="000000"/>
        </w:rPr>
        <w:t xml:space="preserve">, </w:t>
      </w:r>
      <w:r w:rsidR="00333AB0" w:rsidRPr="00A16566">
        <w:rPr>
          <w:lang w:val="en-US"/>
        </w:rPr>
        <w:t xml:space="preserve">Advisory Opinion, </w:t>
      </w:r>
      <w:proofErr w:type="spellStart"/>
      <w:r w:rsidR="00333AB0" w:rsidRPr="00A16566">
        <w:rPr>
          <w:lang w:val="en-US"/>
        </w:rPr>
        <w:t>I.C.J</w:t>
      </w:r>
      <w:proofErr w:type="spellEnd"/>
      <w:r w:rsidR="00333AB0" w:rsidRPr="00A16566">
        <w:rPr>
          <w:lang w:val="en-US"/>
        </w:rPr>
        <w:t xml:space="preserve">. Reports 2004, p. 136; </w:t>
      </w:r>
      <w:proofErr w:type="spellStart"/>
      <w:r w:rsidR="00C51A7D" w:rsidRPr="00A16566">
        <w:rPr>
          <w:i/>
          <w:lang w:val="en-US"/>
        </w:rPr>
        <w:t>Munaf</w:t>
      </w:r>
      <w:proofErr w:type="spellEnd"/>
      <w:r w:rsidR="00C51A7D" w:rsidRPr="00A16566">
        <w:rPr>
          <w:i/>
          <w:lang w:val="en-US"/>
        </w:rPr>
        <w:t xml:space="preserve"> v. Romania</w:t>
      </w:r>
      <w:r w:rsidR="002954C0" w:rsidRPr="00A16566">
        <w:rPr>
          <w:lang w:val="en-US"/>
        </w:rPr>
        <w:t>, Communication No. </w:t>
      </w:r>
      <w:r w:rsidR="00C51A7D" w:rsidRPr="00A16566">
        <w:rPr>
          <w:lang w:val="en-US"/>
        </w:rPr>
        <w:t xml:space="preserve">1539/2006, U.N. Doc. </w:t>
      </w:r>
      <w:proofErr w:type="spellStart"/>
      <w:r w:rsidR="00C51A7D" w:rsidRPr="00A16566">
        <w:rPr>
          <w:lang w:val="en-US"/>
        </w:rPr>
        <w:t>CCPR</w:t>
      </w:r>
      <w:proofErr w:type="spellEnd"/>
      <w:r w:rsidR="00C51A7D" w:rsidRPr="00A16566">
        <w:rPr>
          <w:lang w:val="en-US"/>
        </w:rPr>
        <w:t xml:space="preserve">/C/96/D/1539/2006 (2009); </w:t>
      </w:r>
      <w:r w:rsidR="005301D2" w:rsidRPr="00A16566">
        <w:rPr>
          <w:i/>
          <w:lang w:val="en-US"/>
        </w:rPr>
        <w:t xml:space="preserve">Lopez </w:t>
      </w:r>
      <w:r w:rsidR="005301D2" w:rsidRPr="00A16566">
        <w:rPr>
          <w:i/>
        </w:rPr>
        <w:t>Burgos</w:t>
      </w:r>
      <w:r w:rsidR="005301D2" w:rsidRPr="00A16566">
        <w:rPr>
          <w:i/>
          <w:lang w:val="en-US"/>
        </w:rPr>
        <w:t xml:space="preserve"> v. Uruguay</w:t>
      </w:r>
      <w:r w:rsidR="005301D2" w:rsidRPr="00A16566">
        <w:rPr>
          <w:lang w:val="en-US"/>
        </w:rPr>
        <w:t xml:space="preserve">, </w:t>
      </w:r>
      <w:r w:rsidR="00A33F89" w:rsidRPr="00A16566">
        <w:rPr>
          <w:lang w:val="en-US"/>
        </w:rPr>
        <w:t>Communication No. </w:t>
      </w:r>
      <w:r w:rsidR="005301D2" w:rsidRPr="00A16566">
        <w:rPr>
          <w:lang w:val="en-US"/>
        </w:rPr>
        <w:t xml:space="preserve">52/1979, U.N. Doc. </w:t>
      </w:r>
      <w:proofErr w:type="spellStart"/>
      <w:r w:rsidR="005301D2" w:rsidRPr="00A16566">
        <w:rPr>
          <w:lang w:val="en-US"/>
        </w:rPr>
        <w:t>CCPR</w:t>
      </w:r>
      <w:proofErr w:type="spellEnd"/>
      <w:r w:rsidR="005301D2" w:rsidRPr="00A16566">
        <w:rPr>
          <w:lang w:val="en-US"/>
        </w:rPr>
        <w:t xml:space="preserve">/C/13/D/52/1979 (1981); </w:t>
      </w:r>
      <w:r w:rsidR="00ED61E2" w:rsidRPr="00A16566">
        <w:rPr>
          <w:i/>
          <w:lang w:val="en-US"/>
        </w:rPr>
        <w:t xml:space="preserve">Amnesty International Canada v. Canada (Chief of the </w:t>
      </w:r>
      <w:proofErr w:type="spellStart"/>
      <w:r w:rsidR="00ED61E2" w:rsidRPr="00A16566">
        <w:rPr>
          <w:i/>
          <w:lang w:val="en-US"/>
        </w:rPr>
        <w:t>Defence</w:t>
      </w:r>
      <w:proofErr w:type="spellEnd"/>
      <w:r w:rsidR="00ED61E2" w:rsidRPr="00A16566">
        <w:rPr>
          <w:i/>
          <w:lang w:val="en-US"/>
        </w:rPr>
        <w:t xml:space="preserve"> Staff)</w:t>
      </w:r>
      <w:r w:rsidR="00ED61E2" w:rsidRPr="00A16566">
        <w:rPr>
          <w:lang w:val="en-US"/>
        </w:rPr>
        <w:t xml:space="preserve">, 2008 FC 336, </w:t>
      </w:r>
      <w:r w:rsidR="00ED61E2" w:rsidRPr="00A16566">
        <w:t xml:space="preserve">[2008] 4 </w:t>
      </w:r>
      <w:proofErr w:type="spellStart"/>
      <w:r w:rsidR="00ED61E2" w:rsidRPr="00A16566">
        <w:t>F.C.R</w:t>
      </w:r>
      <w:proofErr w:type="spellEnd"/>
      <w:r w:rsidR="00ED61E2" w:rsidRPr="00A16566">
        <w:t>. 546</w:t>
      </w:r>
      <w:r w:rsidR="00ED61E2" w:rsidRPr="00A16566">
        <w:rPr>
          <w:lang w:val="en-US"/>
        </w:rPr>
        <w:t xml:space="preserve">, aff’d 2008 </w:t>
      </w:r>
      <w:proofErr w:type="spellStart"/>
      <w:r w:rsidR="00ED61E2" w:rsidRPr="00A16566">
        <w:rPr>
          <w:lang w:val="en-US"/>
        </w:rPr>
        <w:t>FCA</w:t>
      </w:r>
      <w:proofErr w:type="spellEnd"/>
      <w:r w:rsidR="00ED61E2" w:rsidRPr="00A16566">
        <w:rPr>
          <w:lang w:val="en-US"/>
        </w:rPr>
        <w:t xml:space="preserve"> 401, </w:t>
      </w:r>
      <w:r w:rsidR="00ED61E2" w:rsidRPr="00A16566">
        <w:t xml:space="preserve">[2009] 4 </w:t>
      </w:r>
      <w:proofErr w:type="spellStart"/>
      <w:r w:rsidR="00ED61E2" w:rsidRPr="00A16566">
        <w:t>F.C.R</w:t>
      </w:r>
      <w:proofErr w:type="spellEnd"/>
      <w:r w:rsidR="00ED61E2" w:rsidRPr="00A16566">
        <w:t xml:space="preserve">. 149; </w:t>
      </w:r>
      <w:r w:rsidR="00A97CCB" w:rsidRPr="00A16566">
        <w:rPr>
          <w:i/>
          <w:lang w:val="en-US"/>
        </w:rPr>
        <w:t>Baker v. Canada (Minister of Citizenship and Immigration)</w:t>
      </w:r>
      <w:r w:rsidR="00A97CCB" w:rsidRPr="00A16566">
        <w:rPr>
          <w:lang w:val="en-US"/>
        </w:rPr>
        <w:t xml:space="preserve">, [1999] 2 </w:t>
      </w:r>
      <w:proofErr w:type="spellStart"/>
      <w:r w:rsidR="00A97CCB" w:rsidRPr="00A16566">
        <w:rPr>
          <w:lang w:val="en-US"/>
        </w:rPr>
        <w:t>S.C.R</w:t>
      </w:r>
      <w:proofErr w:type="spellEnd"/>
      <w:r w:rsidR="00A97CCB" w:rsidRPr="00A16566">
        <w:rPr>
          <w:lang w:val="en-US"/>
        </w:rPr>
        <w:t xml:space="preserve">. 817; </w:t>
      </w:r>
      <w:proofErr w:type="spellStart"/>
      <w:r w:rsidR="00501DB5" w:rsidRPr="00A16566">
        <w:rPr>
          <w:i/>
          <w:lang w:val="en-US"/>
        </w:rPr>
        <w:t>Nevsun</w:t>
      </w:r>
      <w:proofErr w:type="spellEnd"/>
      <w:r w:rsidR="00501DB5" w:rsidRPr="00A16566">
        <w:rPr>
          <w:i/>
          <w:lang w:val="en-US"/>
        </w:rPr>
        <w:t xml:space="preserve"> Resources Ltd. v. Araya</w:t>
      </w:r>
      <w:r w:rsidR="00501DB5" w:rsidRPr="00A16566">
        <w:rPr>
          <w:lang w:val="en-US"/>
        </w:rPr>
        <w:t>, 2020 SCC 5</w:t>
      </w:r>
      <w:r w:rsidR="00C32337" w:rsidRPr="00A16566">
        <w:rPr>
          <w:lang w:val="en-US"/>
        </w:rPr>
        <w:t xml:space="preserve">, [2020] 1 </w:t>
      </w:r>
      <w:proofErr w:type="spellStart"/>
      <w:r w:rsidR="00C32337" w:rsidRPr="00A16566">
        <w:rPr>
          <w:lang w:val="en-US"/>
        </w:rPr>
        <w:t>S.C.R</w:t>
      </w:r>
      <w:proofErr w:type="spellEnd"/>
      <w:r w:rsidR="00C32337" w:rsidRPr="00A16566">
        <w:rPr>
          <w:lang w:val="en-US"/>
        </w:rPr>
        <w:t>. 166</w:t>
      </w:r>
      <w:r w:rsidR="00501DB5" w:rsidRPr="00A16566">
        <w:rPr>
          <w:lang w:val="en-US"/>
        </w:rPr>
        <w:t xml:space="preserve">; </w:t>
      </w:r>
      <w:r w:rsidR="002D58DF" w:rsidRPr="00A16566">
        <w:rPr>
          <w:i/>
          <w:lang w:val="en-US"/>
        </w:rPr>
        <w:t xml:space="preserve">Canada (Minister of Citizenship and Immigration) v. </w:t>
      </w:r>
      <w:proofErr w:type="spellStart"/>
      <w:r w:rsidR="002D58DF" w:rsidRPr="00A16566">
        <w:rPr>
          <w:i/>
          <w:lang w:val="en-US"/>
        </w:rPr>
        <w:t>Vavilov</w:t>
      </w:r>
      <w:proofErr w:type="spellEnd"/>
      <w:r w:rsidR="002D58DF" w:rsidRPr="00A16566">
        <w:rPr>
          <w:lang w:val="en-US"/>
        </w:rPr>
        <w:t xml:space="preserve">, 2019 SCC 65, [2019] 4 </w:t>
      </w:r>
      <w:proofErr w:type="spellStart"/>
      <w:r w:rsidR="002D58DF" w:rsidRPr="00A16566">
        <w:rPr>
          <w:lang w:val="en-US"/>
        </w:rPr>
        <w:t>S.C.R</w:t>
      </w:r>
      <w:proofErr w:type="spellEnd"/>
      <w:r w:rsidR="002D58DF" w:rsidRPr="00A16566">
        <w:rPr>
          <w:lang w:val="en-US"/>
        </w:rPr>
        <w:t xml:space="preserve">. 653; </w:t>
      </w:r>
      <w:r w:rsidR="003E0C3E" w:rsidRPr="00A16566">
        <w:rPr>
          <w:i/>
          <w:lang w:val="en-US"/>
        </w:rPr>
        <w:t>R. v. Henry</w:t>
      </w:r>
      <w:r w:rsidR="003E0C3E" w:rsidRPr="00A16566">
        <w:rPr>
          <w:lang w:val="en-US"/>
        </w:rPr>
        <w:t xml:space="preserve">, 2005 SCC 76, [2005] 3 </w:t>
      </w:r>
      <w:proofErr w:type="spellStart"/>
      <w:r w:rsidR="003E0C3E" w:rsidRPr="00A16566">
        <w:rPr>
          <w:lang w:val="en-US"/>
        </w:rPr>
        <w:t>S.C.R</w:t>
      </w:r>
      <w:proofErr w:type="spellEnd"/>
      <w:r w:rsidR="003E0C3E" w:rsidRPr="00A16566">
        <w:rPr>
          <w:lang w:val="en-US"/>
        </w:rPr>
        <w:t>. 609</w:t>
      </w:r>
      <w:r w:rsidR="000A5AE8" w:rsidRPr="00A16566">
        <w:rPr>
          <w:lang w:val="en-US"/>
        </w:rPr>
        <w:t xml:space="preserve">; </w:t>
      </w:r>
      <w:r w:rsidR="000A5AE8" w:rsidRPr="00A16566">
        <w:rPr>
          <w:i/>
          <w:lang w:val="en-US"/>
        </w:rPr>
        <w:t xml:space="preserve">Reference re Supreme Court </w:t>
      </w:r>
      <w:r w:rsidR="00394421" w:rsidRPr="00A16566">
        <w:rPr>
          <w:i/>
          <w:lang w:val="en-US"/>
        </w:rPr>
        <w:t>Act, ss. </w:t>
      </w:r>
      <w:r w:rsidR="000A5AE8" w:rsidRPr="00A16566">
        <w:rPr>
          <w:i/>
          <w:lang w:val="en-US"/>
        </w:rPr>
        <w:t>5 and 6</w:t>
      </w:r>
      <w:r w:rsidR="000A5AE8" w:rsidRPr="00A16566">
        <w:rPr>
          <w:lang w:val="en-US"/>
        </w:rPr>
        <w:t xml:space="preserve">, 2014 SCC 21, [2014] 1 </w:t>
      </w:r>
      <w:proofErr w:type="spellStart"/>
      <w:r w:rsidR="000A5AE8" w:rsidRPr="00A16566">
        <w:rPr>
          <w:lang w:val="en-US"/>
        </w:rPr>
        <w:t>S.C.R</w:t>
      </w:r>
      <w:proofErr w:type="spellEnd"/>
      <w:r w:rsidR="000A5AE8" w:rsidRPr="00A16566">
        <w:rPr>
          <w:lang w:val="en-US"/>
        </w:rPr>
        <w:t>. 433</w:t>
      </w:r>
      <w:r w:rsidR="003E0C3E" w:rsidRPr="00A16566">
        <w:rPr>
          <w:lang w:val="en-US"/>
        </w:rPr>
        <w:t xml:space="preserve">; </w:t>
      </w:r>
      <w:r w:rsidR="004B2E52" w:rsidRPr="00A16566">
        <w:rPr>
          <w:i/>
          <w:lang w:val="en-US"/>
        </w:rPr>
        <w:t>R. v. Collins</w:t>
      </w:r>
      <w:r w:rsidR="004B2E52" w:rsidRPr="00A16566">
        <w:rPr>
          <w:lang w:val="en-US"/>
        </w:rPr>
        <w:t xml:space="preserve">, [1987] 1 </w:t>
      </w:r>
      <w:proofErr w:type="spellStart"/>
      <w:r w:rsidR="004B2E52" w:rsidRPr="00A16566">
        <w:rPr>
          <w:lang w:val="en-US"/>
        </w:rPr>
        <w:t>S.C.R</w:t>
      </w:r>
      <w:proofErr w:type="spellEnd"/>
      <w:r w:rsidR="004B2E52" w:rsidRPr="00A16566">
        <w:rPr>
          <w:lang w:val="en-US"/>
        </w:rPr>
        <w:t xml:space="preserve">. 265; </w:t>
      </w:r>
      <w:r w:rsidR="008176F7" w:rsidRPr="00A16566">
        <w:rPr>
          <w:i/>
          <w:lang w:val="en-US"/>
        </w:rPr>
        <w:t>R. v. Vu</w:t>
      </w:r>
      <w:r w:rsidR="008176F7" w:rsidRPr="00A16566">
        <w:rPr>
          <w:lang w:val="en-US"/>
        </w:rPr>
        <w:t xml:space="preserve">, 2013 SCC 60, </w:t>
      </w:r>
      <w:r w:rsidR="008176F7" w:rsidRPr="00A16566">
        <w:t xml:space="preserve">[2013] 3 </w:t>
      </w:r>
      <w:proofErr w:type="spellStart"/>
      <w:r w:rsidR="008176F7" w:rsidRPr="00A16566">
        <w:t>S.C.R</w:t>
      </w:r>
      <w:proofErr w:type="spellEnd"/>
      <w:r w:rsidR="008176F7" w:rsidRPr="00A16566">
        <w:t xml:space="preserve">. 657; </w:t>
      </w:r>
      <w:r w:rsidR="008742AE" w:rsidRPr="00A16566">
        <w:rPr>
          <w:i/>
          <w:lang w:val="en-GB"/>
        </w:rPr>
        <w:t>R. v. Jones</w:t>
      </w:r>
      <w:r w:rsidR="008742AE" w:rsidRPr="00A16566">
        <w:rPr>
          <w:lang w:val="en-GB"/>
        </w:rPr>
        <w:t xml:space="preserve">, 2011 </w:t>
      </w:r>
      <w:proofErr w:type="spellStart"/>
      <w:r w:rsidR="008742AE" w:rsidRPr="00A16566">
        <w:rPr>
          <w:lang w:val="en-GB"/>
        </w:rPr>
        <w:t>ONCA</w:t>
      </w:r>
      <w:proofErr w:type="spellEnd"/>
      <w:r w:rsidR="008742AE" w:rsidRPr="00A16566">
        <w:rPr>
          <w:lang w:val="en-GB"/>
        </w:rPr>
        <w:t xml:space="preserve"> 632, 107 </w:t>
      </w:r>
      <w:proofErr w:type="spellStart"/>
      <w:r w:rsidR="008742AE" w:rsidRPr="00A16566">
        <w:rPr>
          <w:lang w:val="en-GB"/>
        </w:rPr>
        <w:t>O.R</w:t>
      </w:r>
      <w:proofErr w:type="spellEnd"/>
      <w:r w:rsidR="008742AE" w:rsidRPr="00A16566">
        <w:rPr>
          <w:lang w:val="en-GB"/>
        </w:rPr>
        <w:t>. (</w:t>
      </w:r>
      <w:proofErr w:type="spellStart"/>
      <w:r w:rsidR="008742AE" w:rsidRPr="00A16566">
        <w:rPr>
          <w:lang w:val="en-GB"/>
        </w:rPr>
        <w:t>3d</w:t>
      </w:r>
      <w:proofErr w:type="spellEnd"/>
      <w:r w:rsidR="008742AE" w:rsidRPr="00A16566">
        <w:rPr>
          <w:lang w:val="en-GB"/>
        </w:rPr>
        <w:t>) 241</w:t>
      </w:r>
      <w:r w:rsidR="001D1A89" w:rsidRPr="00A16566">
        <w:rPr>
          <w:lang w:val="en-GB"/>
        </w:rPr>
        <w:t xml:space="preserve">; </w:t>
      </w:r>
      <w:r w:rsidR="001D1A89" w:rsidRPr="00A16566">
        <w:rPr>
          <w:i/>
          <w:lang w:val="en-US"/>
        </w:rPr>
        <w:t xml:space="preserve">R. v. </w:t>
      </w:r>
      <w:proofErr w:type="spellStart"/>
      <w:r w:rsidR="001D1A89" w:rsidRPr="00A16566">
        <w:rPr>
          <w:i/>
          <w:lang w:val="en-US"/>
        </w:rPr>
        <w:t>Dyment</w:t>
      </w:r>
      <w:proofErr w:type="spellEnd"/>
      <w:r w:rsidR="001D1A89" w:rsidRPr="00A16566">
        <w:rPr>
          <w:lang w:val="en-US"/>
        </w:rPr>
        <w:t xml:space="preserve">, [1988] 2 </w:t>
      </w:r>
      <w:proofErr w:type="spellStart"/>
      <w:r w:rsidR="001D1A89" w:rsidRPr="00A16566">
        <w:rPr>
          <w:lang w:val="en-US"/>
        </w:rPr>
        <w:t>S.C.R</w:t>
      </w:r>
      <w:proofErr w:type="spellEnd"/>
      <w:r w:rsidR="001D1A89" w:rsidRPr="00A16566">
        <w:rPr>
          <w:lang w:val="en-US"/>
        </w:rPr>
        <w:t>. 417</w:t>
      </w:r>
      <w:r w:rsidR="001D2DB0" w:rsidRPr="00A16566">
        <w:rPr>
          <w:lang w:val="en-US"/>
        </w:rPr>
        <w:t>;</w:t>
      </w:r>
      <w:r w:rsidR="001D2DB0" w:rsidRPr="00A16566">
        <w:rPr>
          <w:i/>
          <w:szCs w:val="24"/>
          <w:lang w:val="en-US"/>
        </w:rPr>
        <w:t xml:space="preserve"> </w:t>
      </w:r>
      <w:r w:rsidR="001D2DB0" w:rsidRPr="00A16566">
        <w:rPr>
          <w:i/>
          <w:lang w:val="en-US"/>
        </w:rPr>
        <w:t>R. v. Cole</w:t>
      </w:r>
      <w:r w:rsidR="001D2DB0" w:rsidRPr="00A16566">
        <w:rPr>
          <w:lang w:val="en-US"/>
        </w:rPr>
        <w:t xml:space="preserve">, 2012 SCC 53, [2012] 3 </w:t>
      </w:r>
      <w:proofErr w:type="spellStart"/>
      <w:r w:rsidR="001D2DB0" w:rsidRPr="00A16566">
        <w:rPr>
          <w:lang w:val="en-US"/>
        </w:rPr>
        <w:t>S.C.R</w:t>
      </w:r>
      <w:proofErr w:type="spellEnd"/>
      <w:r w:rsidR="001D2DB0" w:rsidRPr="00A16566">
        <w:rPr>
          <w:lang w:val="en-US"/>
        </w:rPr>
        <w:t>. 34</w:t>
      </w:r>
      <w:r w:rsidR="005E5FD8" w:rsidRPr="00A16566">
        <w:rPr>
          <w:lang w:val="en-US"/>
        </w:rPr>
        <w:t xml:space="preserve">; </w:t>
      </w:r>
      <w:r w:rsidR="005E5FD8" w:rsidRPr="00A16566">
        <w:rPr>
          <w:i/>
          <w:lang w:val="en-US"/>
        </w:rPr>
        <w:t>R. v. Morelli</w:t>
      </w:r>
      <w:r w:rsidR="005E5FD8" w:rsidRPr="00A16566">
        <w:rPr>
          <w:lang w:val="en-US"/>
        </w:rPr>
        <w:t xml:space="preserve">, 2010 SCC 8, [2010] 1 </w:t>
      </w:r>
      <w:proofErr w:type="spellStart"/>
      <w:r w:rsidR="005E5FD8" w:rsidRPr="00A16566">
        <w:rPr>
          <w:lang w:val="en-US"/>
        </w:rPr>
        <w:t>S.C.R</w:t>
      </w:r>
      <w:proofErr w:type="spellEnd"/>
      <w:r w:rsidR="005E5FD8" w:rsidRPr="00A16566">
        <w:rPr>
          <w:lang w:val="en-US"/>
        </w:rPr>
        <w:t>. 253</w:t>
      </w:r>
      <w:r w:rsidR="003C4076" w:rsidRPr="00A16566">
        <w:rPr>
          <w:lang w:val="en-US"/>
        </w:rPr>
        <w:t xml:space="preserve">; </w:t>
      </w:r>
      <w:r w:rsidR="003C4076" w:rsidRPr="00A16566">
        <w:rPr>
          <w:i/>
        </w:rPr>
        <w:t xml:space="preserve">R. v. </w:t>
      </w:r>
      <w:proofErr w:type="spellStart"/>
      <w:r w:rsidR="003C4076" w:rsidRPr="00A16566">
        <w:rPr>
          <w:i/>
        </w:rPr>
        <w:t>Fearon</w:t>
      </w:r>
      <w:proofErr w:type="spellEnd"/>
      <w:r w:rsidR="003C4076" w:rsidRPr="00A16566">
        <w:t xml:space="preserve">, 2014 SCC 77, [2014] 3 </w:t>
      </w:r>
      <w:proofErr w:type="spellStart"/>
      <w:r w:rsidR="003C4076" w:rsidRPr="00A16566">
        <w:t>S.C.R</w:t>
      </w:r>
      <w:proofErr w:type="spellEnd"/>
      <w:r w:rsidR="003C4076" w:rsidRPr="00A16566">
        <w:t>. 621</w:t>
      </w:r>
      <w:r w:rsidR="006F2E32" w:rsidRPr="00A16566">
        <w:rPr>
          <w:lang w:val="en-GB"/>
        </w:rPr>
        <w:t>.</w:t>
      </w:r>
    </w:p>
    <w:p w14:paraId="0EAD0804" w14:textId="7DE6BBE7" w:rsidR="007C57CD" w:rsidRPr="00A16566" w:rsidRDefault="007C57CD" w:rsidP="00A84C5D">
      <w:pPr>
        <w:pStyle w:val="SCCNormalDoubleSpacing"/>
        <w:widowControl w:val="0"/>
        <w:spacing w:after="720" w:line="240" w:lineRule="auto"/>
      </w:pPr>
      <w:r w:rsidRPr="00A16566">
        <w:t>By Rowe J.</w:t>
      </w:r>
    </w:p>
    <w:p w14:paraId="0E0AFE01" w14:textId="0E4808C2" w:rsidR="007C57CD" w:rsidRPr="00A16566" w:rsidRDefault="007C57CD" w:rsidP="00A33F89">
      <w:pPr>
        <w:pStyle w:val="SCCNormalDoubleSpacing"/>
        <w:widowControl w:val="0"/>
        <w:spacing w:after="480"/>
      </w:pPr>
      <w:r w:rsidRPr="00A16566">
        <w:tab/>
      </w:r>
      <w:r w:rsidRPr="00A16566">
        <w:rPr>
          <w:b/>
        </w:rPr>
        <w:t>Referred to:</w:t>
      </w:r>
      <w:r w:rsidRPr="00A16566">
        <w:t xml:space="preserve"> </w:t>
      </w:r>
      <w:r w:rsidR="00B10887" w:rsidRPr="00A16566">
        <w:rPr>
          <w:i/>
        </w:rPr>
        <w:t xml:space="preserve">R. v. </w:t>
      </w:r>
      <w:proofErr w:type="spellStart"/>
      <w:r w:rsidR="00B10887" w:rsidRPr="00A16566">
        <w:rPr>
          <w:i/>
        </w:rPr>
        <w:t>Hape</w:t>
      </w:r>
      <w:proofErr w:type="spellEnd"/>
      <w:r w:rsidR="00B10887" w:rsidRPr="00A16566">
        <w:t xml:space="preserve">, 2007 SCC 26, [2007] 2 </w:t>
      </w:r>
      <w:proofErr w:type="spellStart"/>
      <w:r w:rsidR="00B10887" w:rsidRPr="00A16566">
        <w:t>S.C.R</w:t>
      </w:r>
      <w:proofErr w:type="spellEnd"/>
      <w:r w:rsidR="00B10887" w:rsidRPr="00A16566">
        <w:t xml:space="preserve">. 292; </w:t>
      </w:r>
      <w:r w:rsidR="006E2FBB" w:rsidRPr="00A16566">
        <w:rPr>
          <w:i/>
        </w:rPr>
        <w:t>R. v. Kirkpatrick</w:t>
      </w:r>
      <w:r w:rsidR="00A84C5D" w:rsidRPr="00A16566">
        <w:t xml:space="preserve">, </w:t>
      </w:r>
      <w:r w:rsidR="006E2FBB" w:rsidRPr="00A16566">
        <w:t xml:space="preserve">2022 SCC 33; </w:t>
      </w:r>
      <w:r w:rsidR="00876EAA" w:rsidRPr="00A16566">
        <w:rPr>
          <w:i/>
        </w:rPr>
        <w:t xml:space="preserve">Canada (Minister of </w:t>
      </w:r>
      <w:r w:rsidR="00A84C5D" w:rsidRPr="00A16566">
        <w:rPr>
          <w:i/>
        </w:rPr>
        <w:t xml:space="preserve">Citizenship and Immigration) v. </w:t>
      </w:r>
      <w:proofErr w:type="spellStart"/>
      <w:r w:rsidR="00876EAA" w:rsidRPr="00A16566">
        <w:rPr>
          <w:i/>
        </w:rPr>
        <w:t>Vavilov</w:t>
      </w:r>
      <w:proofErr w:type="spellEnd"/>
      <w:r w:rsidR="00A84C5D" w:rsidRPr="00A16566">
        <w:t xml:space="preserve">, </w:t>
      </w:r>
      <w:r w:rsidR="00876EAA" w:rsidRPr="00A16566">
        <w:t xml:space="preserve">2019 SCC 65, [2019] 4 </w:t>
      </w:r>
      <w:proofErr w:type="spellStart"/>
      <w:r w:rsidR="00876EAA" w:rsidRPr="00A16566">
        <w:t>S.C.R</w:t>
      </w:r>
      <w:proofErr w:type="spellEnd"/>
      <w:r w:rsidR="00876EAA" w:rsidRPr="00A16566">
        <w:t xml:space="preserve">. 653; </w:t>
      </w:r>
      <w:r w:rsidR="00FF6DA2" w:rsidRPr="00A16566">
        <w:rPr>
          <w:i/>
        </w:rPr>
        <w:t>R. v. Sullivan</w:t>
      </w:r>
      <w:r w:rsidR="00FF6DA2" w:rsidRPr="00A16566">
        <w:t xml:space="preserve">, 2022 SCC 19; </w:t>
      </w:r>
      <w:r w:rsidR="00FF6DA2" w:rsidRPr="00A16566">
        <w:rPr>
          <w:i/>
          <w:iCs/>
        </w:rPr>
        <w:t>R. v. Morgentaler</w:t>
      </w:r>
      <w:r w:rsidR="00FF6DA2" w:rsidRPr="00A16566">
        <w:t xml:space="preserve">, [1993] 1 </w:t>
      </w:r>
      <w:proofErr w:type="spellStart"/>
      <w:r w:rsidR="00FF6DA2" w:rsidRPr="00A16566">
        <w:t>S.C.R</w:t>
      </w:r>
      <w:proofErr w:type="spellEnd"/>
      <w:r w:rsidR="00FF6DA2" w:rsidRPr="00A16566">
        <w:t xml:space="preserve">. 462; </w:t>
      </w:r>
      <w:r w:rsidR="00107582" w:rsidRPr="00A16566">
        <w:rPr>
          <w:i/>
        </w:rPr>
        <w:t>R. v. Barton</w:t>
      </w:r>
      <w:r w:rsidR="00107582" w:rsidRPr="00A16566">
        <w:t xml:space="preserve">, 2019 SCC 33, [2019] 2 </w:t>
      </w:r>
      <w:proofErr w:type="spellStart"/>
      <w:r w:rsidR="00107582" w:rsidRPr="00A16566">
        <w:t>S.C.R</w:t>
      </w:r>
      <w:proofErr w:type="spellEnd"/>
      <w:r w:rsidR="00107582" w:rsidRPr="00A16566">
        <w:t xml:space="preserve">. 579; </w:t>
      </w:r>
      <w:proofErr w:type="spellStart"/>
      <w:r w:rsidR="00431BBC" w:rsidRPr="00A16566">
        <w:rPr>
          <w:i/>
          <w:lang w:bidi="en-US"/>
        </w:rPr>
        <w:t>J.H</w:t>
      </w:r>
      <w:proofErr w:type="spellEnd"/>
      <w:r w:rsidR="00431BBC" w:rsidRPr="00A16566">
        <w:rPr>
          <w:i/>
          <w:lang w:bidi="en-US"/>
        </w:rPr>
        <w:t>. v. Alberta (Minister of Justice and Solicitor General)</w:t>
      </w:r>
      <w:r w:rsidR="00431BBC" w:rsidRPr="00A16566">
        <w:rPr>
          <w:lang w:bidi="en-US"/>
        </w:rPr>
        <w:t xml:space="preserve">, 2019 </w:t>
      </w:r>
      <w:proofErr w:type="spellStart"/>
      <w:r w:rsidR="00431BBC" w:rsidRPr="00A16566">
        <w:rPr>
          <w:lang w:bidi="en-US"/>
        </w:rPr>
        <w:t>ABCA</w:t>
      </w:r>
      <w:proofErr w:type="spellEnd"/>
      <w:r w:rsidR="00431BBC" w:rsidRPr="00A16566">
        <w:rPr>
          <w:lang w:bidi="en-US"/>
        </w:rPr>
        <w:t xml:space="preserve"> 420, 54 </w:t>
      </w:r>
      <w:proofErr w:type="spellStart"/>
      <w:r w:rsidR="00431BBC" w:rsidRPr="00A16566">
        <w:rPr>
          <w:lang w:bidi="en-US"/>
        </w:rPr>
        <w:t>C.P.C</w:t>
      </w:r>
      <w:proofErr w:type="spellEnd"/>
      <w:r w:rsidR="00431BBC" w:rsidRPr="00A16566">
        <w:rPr>
          <w:lang w:bidi="en-US"/>
        </w:rPr>
        <w:t xml:space="preserve">. (8th) 346; </w:t>
      </w:r>
      <w:r w:rsidR="009B66CA" w:rsidRPr="00A16566">
        <w:rPr>
          <w:i/>
          <w:lang w:bidi="en-US"/>
        </w:rPr>
        <w:t>Reference re Goods and Services Tax</w:t>
      </w:r>
      <w:r w:rsidR="009B66CA" w:rsidRPr="00A16566">
        <w:rPr>
          <w:lang w:bidi="en-US"/>
        </w:rPr>
        <w:t xml:space="preserve">, [1992] 2 </w:t>
      </w:r>
      <w:proofErr w:type="spellStart"/>
      <w:r w:rsidR="009B66CA" w:rsidRPr="00A16566">
        <w:rPr>
          <w:lang w:bidi="en-US"/>
        </w:rPr>
        <w:t>S.C.R</w:t>
      </w:r>
      <w:proofErr w:type="spellEnd"/>
      <w:r w:rsidR="009B66CA" w:rsidRPr="00A16566">
        <w:rPr>
          <w:lang w:bidi="en-US"/>
        </w:rPr>
        <w:t xml:space="preserve">. 445; </w:t>
      </w:r>
      <w:proofErr w:type="spellStart"/>
      <w:r w:rsidR="00D14E43" w:rsidRPr="00A16566">
        <w:rPr>
          <w:i/>
          <w:iCs/>
        </w:rPr>
        <w:t>Mikisew</w:t>
      </w:r>
      <w:proofErr w:type="spellEnd"/>
      <w:r w:rsidR="00D14E43" w:rsidRPr="00A16566">
        <w:rPr>
          <w:i/>
          <w:iCs/>
        </w:rPr>
        <w:t xml:space="preserve"> Cree First Nation v. Canada (Minister of Canadian Heritage)</w:t>
      </w:r>
      <w:r w:rsidR="00D14E43" w:rsidRPr="00A16566">
        <w:rPr>
          <w:iCs/>
        </w:rPr>
        <w:t>, 2005 SCC 69,</w:t>
      </w:r>
      <w:r w:rsidR="00D14E43" w:rsidRPr="00A16566">
        <w:t xml:space="preserve"> [2005] 3 </w:t>
      </w:r>
      <w:proofErr w:type="spellStart"/>
      <w:r w:rsidR="00D14E43" w:rsidRPr="00A16566">
        <w:t>S.C.R</w:t>
      </w:r>
      <w:proofErr w:type="spellEnd"/>
      <w:r w:rsidR="00D14E43" w:rsidRPr="00A16566">
        <w:t xml:space="preserve">. 388; </w:t>
      </w:r>
      <w:r w:rsidR="00CF4F09" w:rsidRPr="00A16566">
        <w:rPr>
          <w:i/>
        </w:rPr>
        <w:t>Canada (Justice) v. Khadr</w:t>
      </w:r>
      <w:r w:rsidR="00CF4F09" w:rsidRPr="00A16566">
        <w:t xml:space="preserve">, 2008 SCC 29, </w:t>
      </w:r>
      <w:r w:rsidR="006055C5" w:rsidRPr="00A16566">
        <w:t>[2008]</w:t>
      </w:r>
      <w:r w:rsidR="00CF4F09" w:rsidRPr="00A16566">
        <w:t xml:space="preserve"> 2 </w:t>
      </w:r>
      <w:proofErr w:type="spellStart"/>
      <w:r w:rsidR="00CF4F09" w:rsidRPr="00A16566">
        <w:t>S.C.R</w:t>
      </w:r>
      <w:proofErr w:type="spellEnd"/>
      <w:r w:rsidR="00CF4F09" w:rsidRPr="00A16566">
        <w:t xml:space="preserve">. 143; </w:t>
      </w:r>
      <w:proofErr w:type="spellStart"/>
      <w:r w:rsidR="00576F9D" w:rsidRPr="00A16566">
        <w:rPr>
          <w:i/>
        </w:rPr>
        <w:t>R.J.R</w:t>
      </w:r>
      <w:proofErr w:type="spellEnd"/>
      <w:r w:rsidR="00576F9D" w:rsidRPr="00A16566">
        <w:rPr>
          <w:i/>
        </w:rPr>
        <w:t>. MacDonald Inc. v. Canada (Attorney General)</w:t>
      </w:r>
      <w:r w:rsidR="00576F9D" w:rsidRPr="00A16566">
        <w:t xml:space="preserve">, </w:t>
      </w:r>
      <w:r w:rsidR="00576F9D" w:rsidRPr="00A16566">
        <w:rPr>
          <w:i/>
        </w:rPr>
        <w:t>Bulletin of Proceedings</w:t>
      </w:r>
      <w:r w:rsidR="00576F9D" w:rsidRPr="00A16566">
        <w:t xml:space="preserve">, June 10, 1994, p. 990; </w:t>
      </w:r>
      <w:r w:rsidR="00576F9D" w:rsidRPr="00A16566">
        <w:rPr>
          <w:i/>
          <w:lang w:bidi="en-US"/>
        </w:rPr>
        <w:t>Anderson v. Amoco Canada Oil and Gas</w:t>
      </w:r>
      <w:r w:rsidR="00576F9D" w:rsidRPr="00A16566">
        <w:rPr>
          <w:lang w:bidi="en-US"/>
        </w:rPr>
        <w:t xml:space="preserve">, </w:t>
      </w:r>
      <w:r w:rsidR="00576F9D" w:rsidRPr="00A16566">
        <w:rPr>
          <w:i/>
          <w:lang w:bidi="en-US"/>
        </w:rPr>
        <w:t>Bulletin of Proceedings</w:t>
      </w:r>
      <w:r w:rsidR="00576F9D" w:rsidRPr="00A16566">
        <w:rPr>
          <w:lang w:bidi="en-US"/>
        </w:rPr>
        <w:t xml:space="preserve">, March 19, 2004, p. 453; </w:t>
      </w:r>
      <w:r w:rsidR="003D24F2" w:rsidRPr="00A16566">
        <w:rPr>
          <w:i/>
        </w:rPr>
        <w:t>Attorney</w:t>
      </w:r>
      <w:r w:rsidR="003D24F2" w:rsidRPr="00A16566">
        <w:rPr>
          <w:i/>
        </w:rPr>
        <w:noBreakHyphen/>
        <w:t xml:space="preserve">General of Canada v. Aluminum Co. of Canada </w:t>
      </w:r>
      <w:r w:rsidR="003D24F2" w:rsidRPr="00A16566">
        <w:t xml:space="preserve">(1987), 35 </w:t>
      </w:r>
      <w:proofErr w:type="spellStart"/>
      <w:r w:rsidR="003D24F2" w:rsidRPr="00A16566">
        <w:t>D.L.R</w:t>
      </w:r>
      <w:proofErr w:type="spellEnd"/>
      <w:r w:rsidR="003D24F2" w:rsidRPr="00A16566">
        <w:t xml:space="preserve">. (4th) 495; </w:t>
      </w:r>
      <w:r w:rsidR="00741DAD" w:rsidRPr="00A16566">
        <w:rPr>
          <w:i/>
          <w:iCs/>
        </w:rPr>
        <w:t>M. (K.) v. M. (H.)</w:t>
      </w:r>
      <w:r w:rsidR="00741DAD" w:rsidRPr="00A16566">
        <w:rPr>
          <w:iCs/>
        </w:rPr>
        <w:t>,</w:t>
      </w:r>
      <w:r w:rsidR="00741DAD" w:rsidRPr="00A16566">
        <w:rPr>
          <w:i/>
          <w:iCs/>
        </w:rPr>
        <w:t xml:space="preserve"> </w:t>
      </w:r>
      <w:r w:rsidR="00741DAD" w:rsidRPr="00A16566">
        <w:t xml:space="preserve">[1992] 3 </w:t>
      </w:r>
      <w:proofErr w:type="spellStart"/>
      <w:r w:rsidR="00741DAD" w:rsidRPr="00A16566">
        <w:t>S.C.R</w:t>
      </w:r>
      <w:proofErr w:type="spellEnd"/>
      <w:r w:rsidR="00741DAD" w:rsidRPr="00A16566">
        <w:t xml:space="preserve">. 3; </w:t>
      </w:r>
      <w:r w:rsidR="00255EE0" w:rsidRPr="00A16566">
        <w:rPr>
          <w:i/>
        </w:rPr>
        <w:t xml:space="preserve">R. v. </w:t>
      </w:r>
      <w:proofErr w:type="spellStart"/>
      <w:r w:rsidR="00255EE0" w:rsidRPr="00A16566">
        <w:rPr>
          <w:i/>
        </w:rPr>
        <w:t>N.S</w:t>
      </w:r>
      <w:proofErr w:type="spellEnd"/>
      <w:r w:rsidR="00255EE0" w:rsidRPr="00A16566">
        <w:rPr>
          <w:i/>
        </w:rPr>
        <w:t>.</w:t>
      </w:r>
      <w:r w:rsidR="00255EE0" w:rsidRPr="00A16566">
        <w:t xml:space="preserve">, 2021 </w:t>
      </w:r>
      <w:proofErr w:type="spellStart"/>
      <w:r w:rsidR="00255EE0" w:rsidRPr="00A16566">
        <w:t>ONCA</w:t>
      </w:r>
      <w:proofErr w:type="spellEnd"/>
      <w:r w:rsidR="00255EE0" w:rsidRPr="00A16566">
        <w:t xml:space="preserve"> 605, 497 </w:t>
      </w:r>
      <w:proofErr w:type="spellStart"/>
      <w:r w:rsidR="00255EE0" w:rsidRPr="00A16566">
        <w:t>C.R.R</w:t>
      </w:r>
      <w:proofErr w:type="spellEnd"/>
      <w:r w:rsidR="00255EE0" w:rsidRPr="00A16566">
        <w:t>. (</w:t>
      </w:r>
      <w:proofErr w:type="spellStart"/>
      <w:r w:rsidR="00255EE0" w:rsidRPr="00A16566">
        <w:t>2d</w:t>
      </w:r>
      <w:proofErr w:type="spellEnd"/>
      <w:r w:rsidR="00255EE0" w:rsidRPr="00A16566">
        <w:t>) 75</w:t>
      </w:r>
      <w:r w:rsidR="00C27DB2" w:rsidRPr="00A16566">
        <w:t>.</w:t>
      </w:r>
    </w:p>
    <w:p w14:paraId="7D0FEE75" w14:textId="77777777" w:rsidR="003B215F" w:rsidRPr="00A16566" w:rsidRDefault="002E6705" w:rsidP="00A84C5D">
      <w:pPr>
        <w:pStyle w:val="SCCNormalDoubleSpacing"/>
        <w:spacing w:after="720" w:line="240" w:lineRule="auto"/>
      </w:pPr>
      <w:r w:rsidRPr="00A16566">
        <w:rPr>
          <w:b/>
        </w:rPr>
        <w:t>Statutes and Regulations Cite</w:t>
      </w:r>
      <w:r w:rsidR="00A41805" w:rsidRPr="00A16566">
        <w:rPr>
          <w:b/>
        </w:rPr>
        <w:t>d</w:t>
      </w:r>
    </w:p>
    <w:p w14:paraId="001DC02B" w14:textId="6AA400A2" w:rsidR="00A149DF" w:rsidRPr="00A16566" w:rsidRDefault="003D10FA" w:rsidP="00A84C5D">
      <w:pPr>
        <w:pStyle w:val="SCCNormalDoubleSpacing"/>
        <w:spacing w:after="240" w:line="240" w:lineRule="auto"/>
        <w:ind w:left="547" w:hanging="547"/>
        <w:rPr>
          <w:rFonts w:eastAsiaTheme="majorEastAsia"/>
          <w:iCs/>
        </w:rPr>
      </w:pPr>
      <w:r w:rsidRPr="00A16566">
        <w:rPr>
          <w:i/>
        </w:rPr>
        <w:t>Canadian</w:t>
      </w:r>
      <w:r w:rsidRPr="00A16566">
        <w:t xml:space="preserve"> </w:t>
      </w:r>
      <w:r w:rsidRPr="00A16566">
        <w:rPr>
          <w:i/>
        </w:rPr>
        <w:t xml:space="preserve">Charter </w:t>
      </w:r>
      <w:r w:rsidRPr="00A16566">
        <w:rPr>
          <w:rFonts w:eastAsiaTheme="majorEastAsia"/>
          <w:i/>
          <w:iCs/>
        </w:rPr>
        <w:t>of Rights and Freedoms</w:t>
      </w:r>
      <w:r w:rsidR="00CD1730" w:rsidRPr="00A16566">
        <w:rPr>
          <w:rFonts w:eastAsiaTheme="majorEastAsia"/>
          <w:iCs/>
        </w:rPr>
        <w:t>, ss. </w:t>
      </w:r>
      <w:r w:rsidR="00CD6C90" w:rsidRPr="00A16566">
        <w:rPr>
          <w:lang w:val="en-US"/>
        </w:rPr>
        <w:t>3, 6</w:t>
      </w:r>
      <w:r w:rsidR="00CE400F" w:rsidRPr="00A16566">
        <w:rPr>
          <w:lang w:val="en-US"/>
        </w:rPr>
        <w:t>, 7</w:t>
      </w:r>
      <w:r w:rsidR="00CD6C90" w:rsidRPr="00A16566">
        <w:rPr>
          <w:lang w:val="en-US"/>
        </w:rPr>
        <w:t xml:space="preserve">, </w:t>
      </w:r>
      <w:r w:rsidR="00CD1730" w:rsidRPr="00A16566">
        <w:rPr>
          <w:rFonts w:eastAsiaTheme="majorEastAsia"/>
          <w:iCs/>
        </w:rPr>
        <w:t>8</w:t>
      </w:r>
      <w:r w:rsidR="00457881" w:rsidRPr="00A16566">
        <w:rPr>
          <w:rFonts w:eastAsiaTheme="majorEastAsia"/>
          <w:iCs/>
        </w:rPr>
        <w:t xml:space="preserve">, </w:t>
      </w:r>
      <w:r w:rsidR="00457881" w:rsidRPr="00A16566">
        <w:t>10(b)</w:t>
      </w:r>
      <w:r w:rsidR="00CE400F" w:rsidRPr="00A16566">
        <w:rPr>
          <w:rFonts w:eastAsiaTheme="majorEastAsia"/>
          <w:iCs/>
        </w:rPr>
        <w:t>, 11(d)</w:t>
      </w:r>
      <w:r w:rsidR="00CD6C90" w:rsidRPr="00A16566">
        <w:rPr>
          <w:rFonts w:eastAsiaTheme="majorEastAsia"/>
          <w:iCs/>
        </w:rPr>
        <w:t xml:space="preserve">, </w:t>
      </w:r>
      <w:r w:rsidR="00CD6C90" w:rsidRPr="00A16566">
        <w:rPr>
          <w:lang w:val="en-US"/>
        </w:rPr>
        <w:t>23</w:t>
      </w:r>
      <w:r w:rsidR="00CE400F" w:rsidRPr="00A16566">
        <w:rPr>
          <w:lang w:val="en-US"/>
        </w:rPr>
        <w:t>, 24</w:t>
      </w:r>
      <w:r w:rsidR="00CD1730" w:rsidRPr="00A16566">
        <w:rPr>
          <w:rFonts w:eastAsiaTheme="majorEastAsia"/>
          <w:iCs/>
        </w:rPr>
        <w:t>, 32</w:t>
      </w:r>
      <w:r w:rsidRPr="00A16566">
        <w:rPr>
          <w:rFonts w:eastAsiaTheme="majorEastAsia"/>
          <w:iCs/>
        </w:rPr>
        <w:t>.</w:t>
      </w:r>
    </w:p>
    <w:p w14:paraId="53A1B1F8" w14:textId="4E17E0E5" w:rsidR="00882042" w:rsidRPr="00A16566" w:rsidRDefault="00882042" w:rsidP="00A84C5D">
      <w:pPr>
        <w:pStyle w:val="SCCNormalDoubleSpacing"/>
        <w:spacing w:after="240" w:line="240" w:lineRule="auto"/>
        <w:ind w:left="547" w:hanging="547"/>
        <w:rPr>
          <w:rFonts w:eastAsiaTheme="majorEastAsia"/>
          <w:iCs/>
        </w:rPr>
      </w:pPr>
      <w:r w:rsidRPr="00A16566">
        <w:rPr>
          <w:i/>
        </w:rPr>
        <w:t>Code of Virginia</w:t>
      </w:r>
      <w:r w:rsidR="00A33F89" w:rsidRPr="00A16566">
        <w:t>, § 19.2</w:t>
      </w:r>
      <w:r w:rsidR="00A33F89" w:rsidRPr="00A16566">
        <w:noBreakHyphen/>
      </w:r>
      <w:r w:rsidRPr="00A16566">
        <w:t>56.</w:t>
      </w:r>
    </w:p>
    <w:p w14:paraId="4C4DA82B" w14:textId="0B4D139E" w:rsidR="007F1EA4" w:rsidRPr="00A16566" w:rsidRDefault="007F1EA4" w:rsidP="00A84C5D">
      <w:pPr>
        <w:pStyle w:val="SCCNormalDoubleSpacing"/>
        <w:spacing w:after="240" w:line="240" w:lineRule="auto"/>
        <w:ind w:left="547" w:hanging="547"/>
        <w:rPr>
          <w:rFonts w:eastAsiaTheme="majorEastAsia"/>
          <w:iCs/>
        </w:rPr>
      </w:pPr>
      <w:r w:rsidRPr="00A16566">
        <w:rPr>
          <w:i/>
          <w:lang w:val="en-US"/>
        </w:rPr>
        <w:t>Constitution Act, 1867</w:t>
      </w:r>
      <w:r w:rsidRPr="00A16566">
        <w:rPr>
          <w:lang w:val="en-US"/>
        </w:rPr>
        <w:t xml:space="preserve">, </w:t>
      </w:r>
      <w:r w:rsidR="00A33F89" w:rsidRPr="00A16566">
        <w:rPr>
          <w:lang w:val="en-US"/>
        </w:rPr>
        <w:t>s. </w:t>
      </w:r>
      <w:r w:rsidRPr="00A16566">
        <w:rPr>
          <w:lang w:val="en-US"/>
        </w:rPr>
        <w:t>91.</w:t>
      </w:r>
    </w:p>
    <w:p w14:paraId="318F5539" w14:textId="492A67D7" w:rsidR="00810DCA" w:rsidRPr="00A16566" w:rsidRDefault="00810DCA" w:rsidP="00A84C5D">
      <w:pPr>
        <w:pStyle w:val="SCCNormalDoubleSpacing"/>
        <w:spacing w:after="240" w:line="240" w:lineRule="auto"/>
        <w:ind w:left="547" w:hanging="547"/>
        <w:rPr>
          <w:i/>
          <w:lang w:val="fr-CA"/>
        </w:rPr>
      </w:pPr>
      <w:proofErr w:type="spellStart"/>
      <w:r w:rsidRPr="00A16566">
        <w:rPr>
          <w:i/>
          <w:lang w:val="fr-CA"/>
        </w:rPr>
        <w:t>Criminal</w:t>
      </w:r>
      <w:proofErr w:type="spellEnd"/>
      <w:r w:rsidRPr="00A16566">
        <w:rPr>
          <w:i/>
          <w:lang w:val="fr-CA"/>
        </w:rPr>
        <w:t xml:space="preserve"> Code</w:t>
      </w:r>
      <w:r w:rsidRPr="00A16566">
        <w:rPr>
          <w:lang w:val="fr-CA"/>
        </w:rPr>
        <w:t xml:space="preserve">, </w:t>
      </w:r>
      <w:proofErr w:type="spellStart"/>
      <w:r w:rsidRPr="00A16566">
        <w:rPr>
          <w:lang w:val="fr-CA"/>
        </w:rPr>
        <w:t>R.S.C</w:t>
      </w:r>
      <w:proofErr w:type="spellEnd"/>
      <w:r w:rsidRPr="00A16566">
        <w:rPr>
          <w:lang w:val="fr-CA"/>
        </w:rPr>
        <w:t>. 1985, c. C</w:t>
      </w:r>
      <w:r w:rsidRPr="00A16566">
        <w:rPr>
          <w:lang w:val="fr-CA"/>
        </w:rPr>
        <w:noBreakHyphen/>
        <w:t>46</w:t>
      </w:r>
      <w:r w:rsidR="002E55C9" w:rsidRPr="00A16566">
        <w:rPr>
          <w:lang w:val="fr-CA"/>
        </w:rPr>
        <w:t>, s. 489</w:t>
      </w:r>
      <w:r w:rsidRPr="00A16566">
        <w:rPr>
          <w:lang w:val="fr-CA"/>
        </w:rPr>
        <w:t>.</w:t>
      </w:r>
    </w:p>
    <w:p w14:paraId="06754417" w14:textId="376A19E8" w:rsidR="00B85EF3" w:rsidRPr="00A16566" w:rsidRDefault="00B85EF3" w:rsidP="00A84C5D">
      <w:pPr>
        <w:pStyle w:val="SCCNormalDoubleSpacing"/>
        <w:spacing w:after="240" w:line="240" w:lineRule="auto"/>
        <w:ind w:left="547" w:hanging="547"/>
        <w:rPr>
          <w:lang w:val="en-US"/>
        </w:rPr>
      </w:pPr>
      <w:r w:rsidRPr="00A16566">
        <w:rPr>
          <w:i/>
          <w:lang w:val="en-US"/>
        </w:rPr>
        <w:t>Interpretation Act</w:t>
      </w:r>
      <w:r w:rsidR="00A84C5D" w:rsidRPr="00A16566">
        <w:rPr>
          <w:lang w:val="en-US"/>
        </w:rPr>
        <w:t xml:space="preserve">, </w:t>
      </w:r>
      <w:proofErr w:type="spellStart"/>
      <w:r w:rsidR="00A84C5D" w:rsidRPr="00A16566">
        <w:rPr>
          <w:lang w:val="en-US"/>
        </w:rPr>
        <w:t>R.S.C</w:t>
      </w:r>
      <w:proofErr w:type="spellEnd"/>
      <w:r w:rsidR="00A84C5D" w:rsidRPr="00A16566">
        <w:rPr>
          <w:lang w:val="en-US"/>
        </w:rPr>
        <w:t>. 1985, c. I</w:t>
      </w:r>
      <w:r w:rsidR="00A84C5D" w:rsidRPr="00A16566">
        <w:rPr>
          <w:lang w:val="en-US"/>
        </w:rPr>
        <w:noBreakHyphen/>
      </w:r>
      <w:r w:rsidRPr="00A16566">
        <w:rPr>
          <w:lang w:val="en-US"/>
        </w:rPr>
        <w:t>21, s. 8(3).</w:t>
      </w:r>
    </w:p>
    <w:p w14:paraId="0526BA49" w14:textId="6A90091F" w:rsidR="003444B2" w:rsidRPr="00A16566" w:rsidRDefault="003444B2" w:rsidP="00A84C5D">
      <w:pPr>
        <w:pStyle w:val="SCCNormalDoubleSpacing"/>
        <w:spacing w:after="240" w:line="240" w:lineRule="auto"/>
        <w:ind w:left="547" w:hanging="547"/>
      </w:pPr>
      <w:r w:rsidRPr="00A16566">
        <w:rPr>
          <w:i/>
        </w:rPr>
        <w:t>National Defence Act</w:t>
      </w:r>
      <w:r w:rsidRPr="00A16566">
        <w:t xml:space="preserve">, </w:t>
      </w:r>
      <w:proofErr w:type="spellStart"/>
      <w:r w:rsidRPr="00A16566">
        <w:t>R.S.C</w:t>
      </w:r>
      <w:proofErr w:type="spellEnd"/>
      <w:r w:rsidRPr="00A16566">
        <w:t>. 1985, c. N</w:t>
      </w:r>
      <w:r w:rsidRPr="00A16566">
        <w:noBreakHyphen/>
        <w:t xml:space="preserve">5, </w:t>
      </w:r>
      <w:r w:rsidR="003D39B1" w:rsidRPr="00A16566">
        <w:t>s</w:t>
      </w:r>
      <w:r w:rsidRPr="00A16566">
        <w:t>s. </w:t>
      </w:r>
      <w:r w:rsidR="00B23B7F" w:rsidRPr="00A16566">
        <w:t>60(1</w:t>
      </w:r>
      <w:proofErr w:type="gramStart"/>
      <w:r w:rsidR="00B23B7F" w:rsidRPr="00A16566">
        <w:t>)(</w:t>
      </w:r>
      <w:proofErr w:type="gramEnd"/>
      <w:r w:rsidR="00B23B7F" w:rsidRPr="00A16566">
        <w:t xml:space="preserve">a), </w:t>
      </w:r>
      <w:r w:rsidR="003D39B1" w:rsidRPr="00A16566">
        <w:t>67</w:t>
      </w:r>
      <w:r w:rsidR="00B23B7F" w:rsidRPr="00A16566">
        <w:t>, 68, 93, 130(1)(b)</w:t>
      </w:r>
      <w:r w:rsidR="003D39B1" w:rsidRPr="00A16566">
        <w:t xml:space="preserve">, 163.5, </w:t>
      </w:r>
      <w:r w:rsidRPr="00A16566">
        <w:t>273.3.</w:t>
      </w:r>
    </w:p>
    <w:p w14:paraId="159EED45" w14:textId="08EB1114" w:rsidR="00384BD7" w:rsidRPr="00A16566" w:rsidRDefault="00384BD7" w:rsidP="00A84C5D">
      <w:pPr>
        <w:pStyle w:val="SCCNormalDoubleSpacing"/>
        <w:spacing w:after="240" w:line="240" w:lineRule="auto"/>
        <w:ind w:left="547" w:hanging="547"/>
        <w:rPr>
          <w:lang w:bidi="en-US"/>
        </w:rPr>
      </w:pPr>
      <w:r w:rsidRPr="00A16566">
        <w:rPr>
          <w:i/>
          <w:lang w:bidi="en-US"/>
        </w:rPr>
        <w:t>Rules of the Supreme Court of Canada</w:t>
      </w:r>
      <w:r w:rsidR="00A84C5D" w:rsidRPr="00A16566">
        <w:rPr>
          <w:lang w:bidi="en-US"/>
        </w:rPr>
        <w:t xml:space="preserve">, </w:t>
      </w:r>
      <w:proofErr w:type="spellStart"/>
      <w:r w:rsidR="00A84C5D" w:rsidRPr="00A16566">
        <w:rPr>
          <w:lang w:bidi="en-US"/>
        </w:rPr>
        <w:t>SOR</w:t>
      </w:r>
      <w:proofErr w:type="spellEnd"/>
      <w:r w:rsidR="00A84C5D" w:rsidRPr="00A16566">
        <w:rPr>
          <w:lang w:bidi="en-US"/>
        </w:rPr>
        <w:t>/2002</w:t>
      </w:r>
      <w:r w:rsidR="00A84C5D" w:rsidRPr="00A16566">
        <w:rPr>
          <w:lang w:bidi="en-US"/>
        </w:rPr>
        <w:noBreakHyphen/>
      </w:r>
      <w:r w:rsidRPr="00A16566">
        <w:rPr>
          <w:lang w:bidi="en-US"/>
        </w:rPr>
        <w:t xml:space="preserve">156, </w:t>
      </w:r>
      <w:proofErr w:type="spellStart"/>
      <w:proofErr w:type="gramStart"/>
      <w:r w:rsidRPr="00A16566">
        <w:rPr>
          <w:lang w:bidi="en-US"/>
        </w:rPr>
        <w:t>rr</w:t>
      </w:r>
      <w:proofErr w:type="spellEnd"/>
      <w:proofErr w:type="gramEnd"/>
      <w:r w:rsidRPr="00A16566">
        <w:rPr>
          <w:lang w:bidi="en-US"/>
        </w:rPr>
        <w:t>. </w:t>
      </w:r>
      <w:r w:rsidR="00AF47C1" w:rsidRPr="00A16566">
        <w:rPr>
          <w:lang w:bidi="en-US"/>
        </w:rPr>
        <w:t xml:space="preserve">42(3), </w:t>
      </w:r>
      <w:r w:rsidRPr="00A16566">
        <w:t>57(2</w:t>
      </w:r>
      <w:proofErr w:type="gramStart"/>
      <w:r w:rsidRPr="00A16566">
        <w:t>)(</w:t>
      </w:r>
      <w:proofErr w:type="gramEnd"/>
      <w:r w:rsidRPr="00A16566">
        <w:t>b)</w:t>
      </w:r>
      <w:r w:rsidR="0044363E" w:rsidRPr="00A16566">
        <w:t xml:space="preserve">, </w:t>
      </w:r>
      <w:r w:rsidR="0044363E" w:rsidRPr="00A16566">
        <w:rPr>
          <w:lang w:bidi="en-US"/>
        </w:rPr>
        <w:t>59</w:t>
      </w:r>
      <w:r w:rsidR="0033779F" w:rsidRPr="00A16566">
        <w:rPr>
          <w:lang w:bidi="en-US"/>
        </w:rPr>
        <w:t xml:space="preserve">(1)(b), </w:t>
      </w:r>
      <w:r w:rsidR="0044363E" w:rsidRPr="00A16566">
        <w:rPr>
          <w:lang w:bidi="en-US"/>
        </w:rPr>
        <w:t>(3)</w:t>
      </w:r>
      <w:r w:rsidRPr="00A16566">
        <w:rPr>
          <w:lang w:bidi="en-US"/>
        </w:rPr>
        <w:t>.</w:t>
      </w:r>
    </w:p>
    <w:p w14:paraId="3A3E7776" w14:textId="282F0327" w:rsidR="006B14F7" w:rsidRPr="00A16566" w:rsidRDefault="006B14F7" w:rsidP="00A84C5D">
      <w:pPr>
        <w:pStyle w:val="SCCNormalDoubleSpacing"/>
        <w:spacing w:after="720" w:line="240" w:lineRule="auto"/>
        <w:ind w:left="547" w:hanging="547"/>
      </w:pPr>
      <w:r w:rsidRPr="00A16566">
        <w:rPr>
          <w:i/>
          <w:lang w:val="en-US"/>
        </w:rPr>
        <w:t xml:space="preserve">Statute of Westminster, 1931 </w:t>
      </w:r>
      <w:r w:rsidR="00BC17EE" w:rsidRPr="00A16566">
        <w:rPr>
          <w:lang w:val="en-US"/>
        </w:rPr>
        <w:t>(U.K.), 22 Geo. 5, c. </w:t>
      </w:r>
      <w:r w:rsidRPr="00A16566">
        <w:rPr>
          <w:lang w:val="en-US"/>
        </w:rPr>
        <w:t>4</w:t>
      </w:r>
      <w:r w:rsidR="001213B1" w:rsidRPr="00A16566">
        <w:t xml:space="preserve"> [</w:t>
      </w:r>
      <w:r w:rsidR="000918A7" w:rsidRPr="00A16566">
        <w:rPr>
          <w:color w:val="000000"/>
        </w:rPr>
        <w:t xml:space="preserve">reproduced </w:t>
      </w:r>
      <w:r w:rsidR="001213B1" w:rsidRPr="00A16566">
        <w:t>in</w:t>
      </w:r>
      <w:r w:rsidR="00CF29E2" w:rsidRPr="00A16566">
        <w:t xml:space="preserve"> </w:t>
      </w:r>
      <w:proofErr w:type="spellStart"/>
      <w:r w:rsidR="00CF29E2" w:rsidRPr="00A16566">
        <w:t>R.S.C</w:t>
      </w:r>
      <w:proofErr w:type="spellEnd"/>
      <w:r w:rsidR="00CF29E2" w:rsidRPr="00A16566">
        <w:t>. 1985, App.  II, No. </w:t>
      </w:r>
      <w:r w:rsidR="001213B1" w:rsidRPr="00A16566">
        <w:t>27],</w:t>
      </w:r>
      <w:r w:rsidRPr="00A16566">
        <w:rPr>
          <w:lang w:val="en-US"/>
        </w:rPr>
        <w:t xml:space="preserve"> s. 3.</w:t>
      </w:r>
    </w:p>
    <w:p w14:paraId="1174499F" w14:textId="77777777" w:rsidR="00E42301" w:rsidRPr="00A16566" w:rsidRDefault="00E42301" w:rsidP="00E42301">
      <w:pPr>
        <w:pStyle w:val="SCCNormalDoubleSpacing"/>
        <w:spacing w:after="720" w:line="240" w:lineRule="auto"/>
        <w:rPr>
          <w:b/>
          <w:lang w:val="en-US"/>
        </w:rPr>
      </w:pPr>
      <w:r w:rsidRPr="00A16566">
        <w:rPr>
          <w:b/>
          <w:bCs/>
          <w:lang w:val="en-US"/>
        </w:rPr>
        <w:t>Treaties and Other International Instruments</w:t>
      </w:r>
    </w:p>
    <w:p w14:paraId="2369493A" w14:textId="74DB763D" w:rsidR="00CB3E05" w:rsidRPr="00A16566" w:rsidRDefault="00CB3E05" w:rsidP="00176AA0">
      <w:pPr>
        <w:pStyle w:val="SCCNormalDoubleSpacing"/>
        <w:spacing w:after="240" w:line="240" w:lineRule="auto"/>
        <w:ind w:left="547" w:hanging="547"/>
      </w:pPr>
      <w:r w:rsidRPr="00A16566">
        <w:rPr>
          <w:i/>
        </w:rPr>
        <w:t>Agreement between the Parties to the North Atlantic Treaty regarding the Status of their Forces</w:t>
      </w:r>
      <w:r w:rsidRPr="00A16566">
        <w:t xml:space="preserve">, Can. </w:t>
      </w:r>
      <w:proofErr w:type="spellStart"/>
      <w:r w:rsidRPr="00A16566">
        <w:t>T.S</w:t>
      </w:r>
      <w:proofErr w:type="spellEnd"/>
      <w:r w:rsidRPr="00A16566">
        <w:t>. 1953 No. 13</w:t>
      </w:r>
      <w:r w:rsidR="002E10E4" w:rsidRPr="00A16566">
        <w:t>, A</w:t>
      </w:r>
      <w:proofErr w:type="spellStart"/>
      <w:r w:rsidR="002E10E4" w:rsidRPr="00A16566">
        <w:rPr>
          <w:lang w:val="en-US"/>
        </w:rPr>
        <w:t>rticle</w:t>
      </w:r>
      <w:proofErr w:type="spellEnd"/>
      <w:r w:rsidR="002E10E4" w:rsidRPr="00A16566">
        <w:rPr>
          <w:lang w:val="en-US"/>
        </w:rPr>
        <w:t> </w:t>
      </w:r>
      <w:proofErr w:type="gramStart"/>
      <w:r w:rsidR="002E10E4" w:rsidRPr="00A16566">
        <w:rPr>
          <w:lang w:val="en-US"/>
        </w:rPr>
        <w:t>VII(</w:t>
      </w:r>
      <w:proofErr w:type="gramEnd"/>
      <w:r w:rsidR="002E10E4" w:rsidRPr="00A16566">
        <w:rPr>
          <w:lang w:val="en-US"/>
        </w:rPr>
        <w:t>1)(a), (3)(a)(</w:t>
      </w:r>
      <w:proofErr w:type="spellStart"/>
      <w:r w:rsidR="002E10E4" w:rsidRPr="00A16566">
        <w:rPr>
          <w:lang w:val="en-US"/>
        </w:rPr>
        <w:t>i</w:t>
      </w:r>
      <w:proofErr w:type="spellEnd"/>
      <w:r w:rsidR="002E10E4" w:rsidRPr="00A16566">
        <w:rPr>
          <w:lang w:val="en-US"/>
        </w:rPr>
        <w:t>), (6)(a)</w:t>
      </w:r>
      <w:r w:rsidRPr="00A16566">
        <w:t>.</w:t>
      </w:r>
    </w:p>
    <w:p w14:paraId="35391C59" w14:textId="35824A99" w:rsidR="00E42301" w:rsidRPr="00A16566" w:rsidRDefault="00E42301" w:rsidP="00AB631B">
      <w:pPr>
        <w:pStyle w:val="SCCNormalDoubleSpacing"/>
        <w:spacing w:after="240" w:line="240" w:lineRule="auto"/>
        <w:ind w:left="547" w:hanging="547"/>
        <w:rPr>
          <w:lang w:val="en-US"/>
        </w:rPr>
      </w:pPr>
      <w:r w:rsidRPr="00A16566">
        <w:rPr>
          <w:i/>
          <w:lang w:val="en-US"/>
        </w:rPr>
        <w:t>International Covenant on Civil and Political Rights</w:t>
      </w:r>
      <w:r w:rsidR="00A33F89" w:rsidRPr="00A16566">
        <w:rPr>
          <w:lang w:val="en-US"/>
        </w:rPr>
        <w:t xml:space="preserve">, Can. </w:t>
      </w:r>
      <w:proofErr w:type="spellStart"/>
      <w:r w:rsidR="00A33F89" w:rsidRPr="00A16566">
        <w:rPr>
          <w:lang w:val="en-US"/>
        </w:rPr>
        <w:t>T.S</w:t>
      </w:r>
      <w:proofErr w:type="spellEnd"/>
      <w:r w:rsidR="00A33F89" w:rsidRPr="00A16566">
        <w:rPr>
          <w:lang w:val="en-US"/>
        </w:rPr>
        <w:t>. 1976 No. </w:t>
      </w:r>
      <w:r w:rsidRPr="00A16566">
        <w:rPr>
          <w:lang w:val="en-US"/>
        </w:rPr>
        <w:t>47, Article 2(1).</w:t>
      </w:r>
    </w:p>
    <w:p w14:paraId="012663B3" w14:textId="38CB79D5" w:rsidR="00AB631B" w:rsidRPr="00A16566" w:rsidRDefault="00AB631B" w:rsidP="00E42301">
      <w:pPr>
        <w:pStyle w:val="SCCNormalDoubleSpacing"/>
        <w:spacing w:after="720" w:line="240" w:lineRule="auto"/>
        <w:ind w:left="547" w:hanging="547"/>
        <w:rPr>
          <w:lang w:val="en-US"/>
        </w:rPr>
      </w:pPr>
      <w:r w:rsidRPr="00A16566">
        <w:rPr>
          <w:i/>
        </w:rPr>
        <w:t>Vienna Convention on Diplomatic Relations</w:t>
      </w:r>
      <w:r w:rsidRPr="00A16566">
        <w:t xml:space="preserve">, Can. </w:t>
      </w:r>
      <w:proofErr w:type="spellStart"/>
      <w:r w:rsidRPr="00A16566">
        <w:t>T.S</w:t>
      </w:r>
      <w:proofErr w:type="spellEnd"/>
      <w:r w:rsidRPr="00A16566">
        <w:t>. 1966 No. 29, Articles 30, 31(1), 32(1), (2).</w:t>
      </w:r>
    </w:p>
    <w:p w14:paraId="7F4C8A3E" w14:textId="77777777" w:rsidR="002E6705" w:rsidRPr="00A16566" w:rsidRDefault="002E6705" w:rsidP="00A84C5D">
      <w:pPr>
        <w:pStyle w:val="SCCNormalDoubleSpacing"/>
        <w:spacing w:after="720" w:line="240" w:lineRule="auto"/>
        <w:rPr>
          <w:b/>
        </w:rPr>
      </w:pPr>
      <w:r w:rsidRPr="00A16566">
        <w:rPr>
          <w:b/>
        </w:rPr>
        <w:t>Authors Cited</w:t>
      </w:r>
    </w:p>
    <w:p w14:paraId="0ECB2865" w14:textId="21CB6615" w:rsidR="006E47C5" w:rsidRPr="00A16566" w:rsidRDefault="006E47C5" w:rsidP="00A84C5D">
      <w:pPr>
        <w:pStyle w:val="SCCNormalDoubleSpacing"/>
        <w:spacing w:after="240" w:line="240" w:lineRule="auto"/>
        <w:ind w:left="547" w:hanging="547"/>
        <w:rPr>
          <w:lang w:val="en-US"/>
        </w:rPr>
      </w:pPr>
      <w:proofErr w:type="spellStart"/>
      <w:r w:rsidRPr="00A16566">
        <w:rPr>
          <w:lang w:val="en-US"/>
        </w:rPr>
        <w:t>Attaran</w:t>
      </w:r>
      <w:proofErr w:type="spellEnd"/>
      <w:r w:rsidRPr="00A16566">
        <w:rPr>
          <w:lang w:val="en-US"/>
        </w:rPr>
        <w:t xml:space="preserve">, </w:t>
      </w:r>
      <w:r w:rsidRPr="00A16566">
        <w:t>Amir.</w:t>
      </w:r>
      <w:r w:rsidRPr="00A16566">
        <w:rPr>
          <w:lang w:val="en-US"/>
        </w:rPr>
        <w:t xml:space="preserve"> “Have Charter, Will Travel? Extraterritoriality in Constitutional Law and Canadian Exceptionalism” (2008), 87 </w:t>
      </w:r>
      <w:r w:rsidRPr="00A16566">
        <w:rPr>
          <w:i/>
          <w:lang w:val="en-US"/>
        </w:rPr>
        <w:t>Can. Bar Rev.</w:t>
      </w:r>
      <w:r w:rsidRPr="00A16566">
        <w:rPr>
          <w:lang w:val="en-US"/>
        </w:rPr>
        <w:t xml:space="preserve"> 515.</w:t>
      </w:r>
    </w:p>
    <w:p w14:paraId="7770B125" w14:textId="4FBC1CEA" w:rsidR="002B5F09" w:rsidRPr="00A16566" w:rsidRDefault="002B5F09" w:rsidP="00A84C5D">
      <w:pPr>
        <w:pStyle w:val="SCCNormalDoubleSpacing"/>
        <w:spacing w:after="240" w:line="240" w:lineRule="auto"/>
        <w:ind w:left="547" w:hanging="547"/>
        <w:rPr>
          <w:lang w:val="en-US"/>
        </w:rPr>
      </w:pPr>
      <w:r w:rsidRPr="00A16566">
        <w:rPr>
          <w:lang w:val="en-US"/>
        </w:rPr>
        <w:t xml:space="preserve">Banda, Maria L. “On the Water’s Edge? A Comparative Study of the Influence of International Law and the Extraterritorial Reach of Domestic Laws in the War on Terror Jurisprudence” (2010), 41 </w:t>
      </w:r>
      <w:r w:rsidRPr="00A16566">
        <w:rPr>
          <w:i/>
          <w:lang w:val="en-US"/>
        </w:rPr>
        <w:t>Geo. J. Int’l L.</w:t>
      </w:r>
      <w:r w:rsidRPr="00A16566">
        <w:rPr>
          <w:lang w:val="en-US"/>
        </w:rPr>
        <w:t xml:space="preserve"> 525.</w:t>
      </w:r>
    </w:p>
    <w:p w14:paraId="10BC8B20" w14:textId="3124106F" w:rsidR="009A4881" w:rsidRPr="00A16566" w:rsidRDefault="009A4881" w:rsidP="00A84C5D">
      <w:pPr>
        <w:pStyle w:val="SCCNormalDoubleSpacing"/>
        <w:spacing w:after="240" w:line="240" w:lineRule="auto"/>
        <w:ind w:left="547" w:hanging="547"/>
        <w:rPr>
          <w:lang w:val="en-US"/>
        </w:rPr>
      </w:pPr>
      <w:r w:rsidRPr="00A16566">
        <w:rPr>
          <w:lang w:val="en-US"/>
        </w:rPr>
        <w:t xml:space="preserve">Crawford, James. </w:t>
      </w:r>
      <w:proofErr w:type="spellStart"/>
      <w:r w:rsidRPr="00A16566">
        <w:rPr>
          <w:i/>
          <w:color w:val="000000"/>
        </w:rPr>
        <w:t>Brownlie’s</w:t>
      </w:r>
      <w:proofErr w:type="spellEnd"/>
      <w:r w:rsidRPr="00A16566">
        <w:rPr>
          <w:color w:val="000000"/>
        </w:rPr>
        <w:t xml:space="preserve"> </w:t>
      </w:r>
      <w:r w:rsidRPr="00A16566">
        <w:rPr>
          <w:i/>
          <w:iCs/>
          <w:color w:val="000000"/>
        </w:rPr>
        <w:t>Principles of Public International Law</w:t>
      </w:r>
      <w:r w:rsidRPr="00A16566">
        <w:rPr>
          <w:lang w:val="en-US"/>
        </w:rPr>
        <w:t xml:space="preserve">, 9th </w:t>
      </w:r>
      <w:proofErr w:type="gramStart"/>
      <w:r w:rsidRPr="00A16566">
        <w:rPr>
          <w:lang w:val="en-US"/>
        </w:rPr>
        <w:t>ed</w:t>
      </w:r>
      <w:proofErr w:type="gramEnd"/>
      <w:r w:rsidRPr="00A16566">
        <w:rPr>
          <w:lang w:val="en-US"/>
        </w:rPr>
        <w:t xml:space="preserve">. New York: </w:t>
      </w:r>
      <w:r w:rsidRPr="00A16566">
        <w:rPr>
          <w:color w:val="000000"/>
        </w:rPr>
        <w:t>Oxford University Press</w:t>
      </w:r>
      <w:r w:rsidRPr="00A16566">
        <w:rPr>
          <w:lang w:val="en-US"/>
        </w:rPr>
        <w:t>, 2019.</w:t>
      </w:r>
    </w:p>
    <w:p w14:paraId="53EB632C" w14:textId="3AAAA710" w:rsidR="0053048D" w:rsidRPr="00A16566" w:rsidRDefault="0053048D" w:rsidP="00A84C5D">
      <w:pPr>
        <w:pStyle w:val="SCCNormalDoubleSpacing"/>
        <w:spacing w:after="240" w:line="240" w:lineRule="auto"/>
        <w:ind w:left="547" w:hanging="547"/>
        <w:rPr>
          <w:lang w:val="en-US"/>
        </w:rPr>
      </w:pPr>
      <w:r w:rsidRPr="00A16566">
        <w:rPr>
          <w:lang w:val="en-US"/>
        </w:rPr>
        <w:t xml:space="preserve">Currie, John H. “International Human Rights Law in the Supreme Court’s Charter Jurisprudence: Commitment, Retrenchment </w:t>
      </w:r>
      <w:r w:rsidRPr="00A16566">
        <w:rPr>
          <w:i/>
          <w:lang w:val="en-US"/>
        </w:rPr>
        <w:t>and</w:t>
      </w:r>
      <w:r w:rsidRPr="00A16566">
        <w:rPr>
          <w:lang w:val="en-US"/>
        </w:rPr>
        <w:t xml:space="preserve"> Retreat — In No Particular Order” (2010), 50 </w:t>
      </w:r>
      <w:proofErr w:type="spellStart"/>
      <w:r w:rsidRPr="00A16566">
        <w:rPr>
          <w:i/>
          <w:lang w:val="en-US"/>
        </w:rPr>
        <w:t>S.C.L.R</w:t>
      </w:r>
      <w:proofErr w:type="spellEnd"/>
      <w:r w:rsidRPr="00A16566">
        <w:rPr>
          <w:i/>
          <w:lang w:val="en-US"/>
        </w:rPr>
        <w:t>.</w:t>
      </w:r>
      <w:r w:rsidRPr="00A16566">
        <w:rPr>
          <w:lang w:val="en-US"/>
        </w:rPr>
        <w:t xml:space="preserve"> (</w:t>
      </w:r>
      <w:proofErr w:type="spellStart"/>
      <w:r w:rsidRPr="00A16566">
        <w:rPr>
          <w:lang w:val="en-US"/>
        </w:rPr>
        <w:t>2d</w:t>
      </w:r>
      <w:proofErr w:type="spellEnd"/>
      <w:r w:rsidRPr="00A16566">
        <w:rPr>
          <w:lang w:val="en-US"/>
        </w:rPr>
        <w:t>) 423.</w:t>
      </w:r>
    </w:p>
    <w:p w14:paraId="537892B3" w14:textId="08486156" w:rsidR="00020683" w:rsidRPr="00A16566" w:rsidRDefault="00020683" w:rsidP="00A84C5D">
      <w:pPr>
        <w:pStyle w:val="SCCNormalDoubleSpacing"/>
        <w:spacing w:after="240" w:line="240" w:lineRule="auto"/>
        <w:ind w:left="547" w:hanging="547"/>
        <w:rPr>
          <w:lang w:val="en-US"/>
        </w:rPr>
      </w:pPr>
      <w:r w:rsidRPr="00A16566">
        <w:rPr>
          <w:lang w:val="en-US"/>
        </w:rPr>
        <w:t>Currie, John H. “</w:t>
      </w:r>
      <w:r w:rsidRPr="00A16566">
        <w:rPr>
          <w:i/>
          <w:lang w:val="en-US"/>
        </w:rPr>
        <w:t>Khadr</w:t>
      </w:r>
      <w:r w:rsidRPr="00A16566">
        <w:rPr>
          <w:lang w:val="en-US"/>
        </w:rPr>
        <w:t xml:space="preserve">’s Twist on </w:t>
      </w:r>
      <w:proofErr w:type="spellStart"/>
      <w:r w:rsidRPr="00A16566">
        <w:rPr>
          <w:i/>
          <w:lang w:val="en-US"/>
        </w:rPr>
        <w:t>Hape</w:t>
      </w:r>
      <w:proofErr w:type="spellEnd"/>
      <w:r w:rsidRPr="00A16566">
        <w:rPr>
          <w:lang w:val="en-US"/>
        </w:rPr>
        <w:t xml:space="preserve">: Tortured Determinations of the Extraterritorial Reach of the Canadian </w:t>
      </w:r>
      <w:r w:rsidRPr="00A16566">
        <w:rPr>
          <w:i/>
          <w:lang w:val="en-US"/>
        </w:rPr>
        <w:t>Charter</w:t>
      </w:r>
      <w:r w:rsidRPr="00A16566">
        <w:rPr>
          <w:lang w:val="en-US"/>
        </w:rPr>
        <w:t xml:space="preserve">” (2008), 46 </w:t>
      </w:r>
      <w:r w:rsidRPr="00A16566">
        <w:rPr>
          <w:i/>
          <w:lang w:val="en-US"/>
        </w:rPr>
        <w:t xml:space="preserve">Can. </w:t>
      </w:r>
      <w:proofErr w:type="spellStart"/>
      <w:r w:rsidRPr="00A16566">
        <w:rPr>
          <w:i/>
          <w:lang w:val="en-US"/>
        </w:rPr>
        <w:t>Y.B</w:t>
      </w:r>
      <w:proofErr w:type="spellEnd"/>
      <w:r w:rsidRPr="00A16566">
        <w:rPr>
          <w:i/>
          <w:lang w:val="en-US"/>
        </w:rPr>
        <w:t>. Int’l L.</w:t>
      </w:r>
      <w:r w:rsidRPr="00A16566">
        <w:rPr>
          <w:lang w:val="en-US"/>
        </w:rPr>
        <w:t xml:space="preserve"> 307.</w:t>
      </w:r>
    </w:p>
    <w:p w14:paraId="25246D40" w14:textId="5E048C2F" w:rsidR="00F16078" w:rsidRPr="00A16566" w:rsidRDefault="00F16078" w:rsidP="00A84C5D">
      <w:pPr>
        <w:pStyle w:val="SCCNormalDoubleSpacing"/>
        <w:spacing w:after="240" w:line="240" w:lineRule="auto"/>
        <w:ind w:left="547" w:hanging="547"/>
      </w:pPr>
      <w:r w:rsidRPr="00A16566">
        <w:rPr>
          <w:lang w:val="en-US"/>
        </w:rPr>
        <w:t xml:space="preserve">Currie, John H. “Weaving a Tangled Web: </w:t>
      </w:r>
      <w:proofErr w:type="spellStart"/>
      <w:r w:rsidRPr="00A16566">
        <w:rPr>
          <w:i/>
          <w:lang w:val="en-US"/>
        </w:rPr>
        <w:t>Hape</w:t>
      </w:r>
      <w:proofErr w:type="spellEnd"/>
      <w:r w:rsidRPr="00A16566">
        <w:rPr>
          <w:lang w:val="en-US"/>
        </w:rPr>
        <w:t xml:space="preserve"> and the Obfuscation of Canadian Reception Law” (2007), 45 </w:t>
      </w:r>
      <w:r w:rsidRPr="00A16566">
        <w:rPr>
          <w:i/>
          <w:lang w:val="en-US"/>
        </w:rPr>
        <w:t xml:space="preserve">Can. </w:t>
      </w:r>
      <w:proofErr w:type="spellStart"/>
      <w:r w:rsidRPr="00A16566">
        <w:rPr>
          <w:i/>
          <w:lang w:val="en-US"/>
        </w:rPr>
        <w:t>Y.B</w:t>
      </w:r>
      <w:proofErr w:type="spellEnd"/>
      <w:r w:rsidRPr="00A16566">
        <w:rPr>
          <w:i/>
          <w:lang w:val="en-US"/>
        </w:rPr>
        <w:t>. Int’l L.</w:t>
      </w:r>
      <w:r w:rsidRPr="00A16566">
        <w:rPr>
          <w:lang w:val="en-US"/>
        </w:rPr>
        <w:t xml:space="preserve"> 55.</w:t>
      </w:r>
    </w:p>
    <w:p w14:paraId="3FC68F2E" w14:textId="782459EE" w:rsidR="00695560" w:rsidRPr="00A16566" w:rsidRDefault="00695560" w:rsidP="00A84C5D">
      <w:pPr>
        <w:pStyle w:val="SCCNormalDoubleSpacing"/>
        <w:spacing w:after="240" w:line="240" w:lineRule="auto"/>
        <w:ind w:left="547" w:hanging="547"/>
        <w:rPr>
          <w:lang w:val="en-US"/>
        </w:rPr>
      </w:pPr>
      <w:r w:rsidRPr="00A16566">
        <w:rPr>
          <w:lang w:val="en-US"/>
        </w:rPr>
        <w:t xml:space="preserve">Currie, Robert J., and Joseph </w:t>
      </w:r>
      <w:proofErr w:type="spellStart"/>
      <w:r w:rsidRPr="00A16566">
        <w:rPr>
          <w:lang w:val="en-US"/>
        </w:rPr>
        <w:t>Rikhof</w:t>
      </w:r>
      <w:proofErr w:type="spellEnd"/>
      <w:r w:rsidRPr="00A16566">
        <w:rPr>
          <w:lang w:val="en-US"/>
        </w:rPr>
        <w:t xml:space="preserve">. </w:t>
      </w:r>
      <w:r w:rsidRPr="00A16566">
        <w:rPr>
          <w:i/>
          <w:lang w:val="en-US"/>
        </w:rPr>
        <w:t>International &amp; Transnational Criminal Law</w:t>
      </w:r>
      <w:r w:rsidR="00A209E3" w:rsidRPr="00A16566">
        <w:rPr>
          <w:lang w:val="en-US"/>
        </w:rPr>
        <w:t>,</w:t>
      </w:r>
      <w:r w:rsidRPr="00A16566">
        <w:rPr>
          <w:lang w:val="en-US"/>
        </w:rPr>
        <w:t xml:space="preserve"> 3rd ed. Toronto: Irwin Law, 2020.</w:t>
      </w:r>
    </w:p>
    <w:p w14:paraId="6164CCC3" w14:textId="73105231" w:rsidR="00D15FE3" w:rsidRPr="00A16566" w:rsidRDefault="00D15FE3" w:rsidP="00D15FE3">
      <w:pPr>
        <w:pStyle w:val="SCCNormalDoubleSpacing"/>
        <w:spacing w:after="240" w:line="240" w:lineRule="auto"/>
        <w:ind w:left="547" w:hanging="547"/>
        <w:rPr>
          <w:lang w:val="en-US"/>
        </w:rPr>
      </w:pPr>
      <w:r w:rsidRPr="00A16566">
        <w:rPr>
          <w:lang w:val="fr-CA"/>
        </w:rPr>
        <w:t xml:space="preserve">Delas, Olivier, et Myriam Robichaud. “Les difficultés liées à la prise en compte du droit international des droits de la personne en droit canadien: préoccupations légitimes ou alibis?” </w:t>
      </w:r>
      <w:r w:rsidRPr="00A16566">
        <w:rPr>
          <w:lang w:val="en-US"/>
        </w:rPr>
        <w:t xml:space="preserve">(2008), 21 </w:t>
      </w:r>
      <w:proofErr w:type="spellStart"/>
      <w:r w:rsidRPr="00A16566">
        <w:rPr>
          <w:i/>
          <w:lang w:val="en-US"/>
        </w:rPr>
        <w:t>R.Q.D.I</w:t>
      </w:r>
      <w:proofErr w:type="spellEnd"/>
      <w:r w:rsidRPr="00A16566">
        <w:rPr>
          <w:i/>
          <w:lang w:val="en-US"/>
        </w:rPr>
        <w:t xml:space="preserve">. </w:t>
      </w:r>
      <w:r w:rsidRPr="00A16566">
        <w:rPr>
          <w:lang w:val="en-US"/>
        </w:rPr>
        <w:t>1.</w:t>
      </w:r>
    </w:p>
    <w:p w14:paraId="57CDBC80" w14:textId="5F646BA7" w:rsidR="00FE4695" w:rsidRPr="00A16566" w:rsidRDefault="00FE4695" w:rsidP="00A84C5D">
      <w:pPr>
        <w:pStyle w:val="SCCNormalDoubleSpacing"/>
        <w:spacing w:after="240" w:line="240" w:lineRule="auto"/>
        <w:ind w:left="547" w:hanging="547"/>
        <w:rPr>
          <w:lang w:val="en-US"/>
        </w:rPr>
      </w:pPr>
      <w:r w:rsidRPr="00A16566">
        <w:rPr>
          <w:lang w:val="en-US"/>
        </w:rPr>
        <w:t xml:space="preserve">Fairley, H. Scott. “International Law Comes of Age: </w:t>
      </w:r>
      <w:proofErr w:type="spellStart"/>
      <w:r w:rsidRPr="00A16566">
        <w:rPr>
          <w:i/>
          <w:lang w:val="en-US"/>
        </w:rPr>
        <w:t>Hape</w:t>
      </w:r>
      <w:proofErr w:type="spellEnd"/>
      <w:r w:rsidRPr="00A16566">
        <w:rPr>
          <w:i/>
          <w:lang w:val="en-US"/>
        </w:rPr>
        <w:t xml:space="preserve"> v. The Queen</w:t>
      </w:r>
      <w:r w:rsidRPr="00A16566">
        <w:rPr>
          <w:lang w:val="en-US"/>
        </w:rPr>
        <w:t xml:space="preserve">” (2008), 87 </w:t>
      </w:r>
      <w:r w:rsidRPr="00A16566">
        <w:rPr>
          <w:i/>
          <w:lang w:val="en-US"/>
        </w:rPr>
        <w:t>Can. Bar Rev.</w:t>
      </w:r>
      <w:r w:rsidRPr="00A16566">
        <w:rPr>
          <w:lang w:val="en-US"/>
        </w:rPr>
        <w:t xml:space="preserve"> 229.</w:t>
      </w:r>
    </w:p>
    <w:p w14:paraId="16893AC4" w14:textId="65109554" w:rsidR="00DF3C64" w:rsidRPr="00A16566" w:rsidRDefault="00DF3C64" w:rsidP="00A84C5D">
      <w:pPr>
        <w:pStyle w:val="SCCNormalDoubleSpacing"/>
        <w:spacing w:after="240" w:line="240" w:lineRule="auto"/>
        <w:ind w:left="547" w:hanging="547"/>
        <w:rPr>
          <w:lang w:val="en-US"/>
        </w:rPr>
      </w:pPr>
      <w:r w:rsidRPr="00A16566">
        <w:t xml:space="preserve">Gray, Kevin W. “That Most Canadian of Virtues: Comity in Section 7 Jurisprudence” (2020), 10:1 </w:t>
      </w:r>
      <w:proofErr w:type="spellStart"/>
      <w:r w:rsidRPr="00A16566">
        <w:rPr>
          <w:i/>
        </w:rPr>
        <w:t>U.W.O</w:t>
      </w:r>
      <w:proofErr w:type="spellEnd"/>
      <w:r w:rsidRPr="00A16566">
        <w:rPr>
          <w:i/>
        </w:rPr>
        <w:t>. J. Leg. Stud.</w:t>
      </w:r>
      <w:r w:rsidRPr="00A16566">
        <w:t xml:space="preserve"> 1.</w:t>
      </w:r>
    </w:p>
    <w:p w14:paraId="0FBFA27A" w14:textId="59005742" w:rsidR="00064B33" w:rsidRPr="00A16566" w:rsidRDefault="00064B33" w:rsidP="00A84C5D">
      <w:pPr>
        <w:pStyle w:val="SCCNormalDoubleSpacing"/>
        <w:spacing w:after="240" w:line="240" w:lineRule="auto"/>
        <w:ind w:left="547" w:hanging="547"/>
        <w:rPr>
          <w:lang w:val="en-US"/>
        </w:rPr>
      </w:pPr>
      <w:r w:rsidRPr="00A16566">
        <w:rPr>
          <w:lang w:val="en-US"/>
        </w:rPr>
        <w:t xml:space="preserve">Hogg, Peter W., and Wade K. Wright. </w:t>
      </w:r>
      <w:r w:rsidRPr="00A16566">
        <w:rPr>
          <w:i/>
          <w:lang w:val="en-US"/>
        </w:rPr>
        <w:t>Constitutional Law of Canada</w:t>
      </w:r>
      <w:r w:rsidRPr="00A16566">
        <w:rPr>
          <w:color w:val="000000"/>
        </w:rPr>
        <w:t>, 5th ed. Supp. Toronto: Thomson Reuters, 2021 (updated 2022, release 1).</w:t>
      </w:r>
    </w:p>
    <w:p w14:paraId="72F3F0D3" w14:textId="2EBF9CE4" w:rsidR="00F937A6" w:rsidRPr="00A16566" w:rsidRDefault="00F937A6" w:rsidP="00A84C5D">
      <w:pPr>
        <w:pStyle w:val="SCCNormalDoubleSpacing"/>
        <w:spacing w:after="240" w:line="240" w:lineRule="auto"/>
        <w:ind w:left="547" w:hanging="547"/>
        <w:rPr>
          <w:lang w:val="en-US"/>
        </w:rPr>
      </w:pPr>
      <w:r w:rsidRPr="00A16566">
        <w:rPr>
          <w:lang w:val="en-US"/>
        </w:rPr>
        <w:t>Ireland-Piper, Danielle. “Extraterritorial Criminal Jurisdiction: Does the Long Arm of the Law Undermine the Rule of Law</w:t>
      </w:r>
      <w:r w:rsidR="003F7AEF" w:rsidRPr="00A16566">
        <w:rPr>
          <w:lang w:val="en-US"/>
        </w:rPr>
        <w:t>?</w:t>
      </w:r>
      <w:r w:rsidRPr="00A16566">
        <w:rPr>
          <w:lang w:val="en-US"/>
        </w:rPr>
        <w:t xml:space="preserve">” (2012), 13 </w:t>
      </w:r>
      <w:proofErr w:type="spellStart"/>
      <w:r w:rsidRPr="00A16566">
        <w:rPr>
          <w:i/>
          <w:lang w:val="en-US"/>
        </w:rPr>
        <w:t>Melb</w:t>
      </w:r>
      <w:proofErr w:type="spellEnd"/>
      <w:r w:rsidRPr="00A16566">
        <w:rPr>
          <w:i/>
          <w:lang w:val="en-US"/>
        </w:rPr>
        <w:t>. J. Int’l L.</w:t>
      </w:r>
      <w:r w:rsidRPr="00A16566">
        <w:rPr>
          <w:lang w:val="en-US"/>
        </w:rPr>
        <w:t xml:space="preserve"> 122.</w:t>
      </w:r>
    </w:p>
    <w:p w14:paraId="4BC12722" w14:textId="79B66927" w:rsidR="00341F88" w:rsidRPr="00A16566" w:rsidRDefault="00341F88" w:rsidP="00A84C5D">
      <w:pPr>
        <w:pStyle w:val="SCCNormalDoubleSpacing"/>
        <w:spacing w:after="240" w:line="240" w:lineRule="auto"/>
        <w:ind w:left="547" w:hanging="547"/>
        <w:rPr>
          <w:lang w:val="en-US"/>
        </w:rPr>
      </w:pPr>
      <w:proofErr w:type="spellStart"/>
      <w:r w:rsidRPr="00A16566">
        <w:t>Jørgensen</w:t>
      </w:r>
      <w:proofErr w:type="spellEnd"/>
      <w:r w:rsidRPr="00A16566">
        <w:t>, Lisa. “In Plain View</w:t>
      </w:r>
      <w:proofErr w:type="gramStart"/>
      <w:r w:rsidRPr="00A16566">
        <w:t>?:</w:t>
      </w:r>
      <w:proofErr w:type="gramEnd"/>
      <w:r w:rsidRPr="00A16566">
        <w:t xml:space="preserve"> </w:t>
      </w:r>
      <w:r w:rsidRPr="00A16566">
        <w:rPr>
          <w:i/>
        </w:rPr>
        <w:t xml:space="preserve">R v Jones </w:t>
      </w:r>
      <w:r w:rsidRPr="00A16566">
        <w:t xml:space="preserve">and the Challenge of Protecting Privacy Rights in an Era of Computer Search” (2013), 46 </w:t>
      </w:r>
      <w:proofErr w:type="spellStart"/>
      <w:r w:rsidRPr="00A16566">
        <w:rPr>
          <w:i/>
        </w:rPr>
        <w:t>U.B.C</w:t>
      </w:r>
      <w:proofErr w:type="spellEnd"/>
      <w:r w:rsidRPr="00A16566">
        <w:rPr>
          <w:i/>
        </w:rPr>
        <w:t>. L. Rev.</w:t>
      </w:r>
      <w:r w:rsidRPr="00A16566">
        <w:t xml:space="preserve"> 791.</w:t>
      </w:r>
    </w:p>
    <w:p w14:paraId="3A3F2D0C" w14:textId="1C79F438" w:rsidR="00C03EFB" w:rsidRPr="00A16566" w:rsidRDefault="00C03EFB" w:rsidP="00A84C5D">
      <w:pPr>
        <w:pStyle w:val="SCCNormalDoubleSpacing"/>
        <w:spacing w:after="240" w:line="240" w:lineRule="auto"/>
        <w:ind w:left="547" w:hanging="547"/>
      </w:pPr>
      <w:proofErr w:type="spellStart"/>
      <w:r w:rsidRPr="00A16566">
        <w:rPr>
          <w:lang w:val="fr-CA"/>
        </w:rPr>
        <w:t>Karazivan</w:t>
      </w:r>
      <w:proofErr w:type="spellEnd"/>
      <w:r w:rsidRPr="00A16566">
        <w:rPr>
          <w:lang w:val="fr-CA"/>
        </w:rPr>
        <w:t xml:space="preserve">, Noura. “L’application de la </w:t>
      </w:r>
      <w:r w:rsidRPr="00A16566">
        <w:rPr>
          <w:i/>
          <w:lang w:val="fr-CA"/>
        </w:rPr>
        <w:t>Charte canadienne des droits et libertés</w:t>
      </w:r>
      <w:r w:rsidRPr="00A16566">
        <w:rPr>
          <w:lang w:val="fr-CA"/>
        </w:rPr>
        <w:t xml:space="preserve"> par les valeurs: l’article 32”, in Errol Mendes and Stéphane </w:t>
      </w:r>
      <w:proofErr w:type="spellStart"/>
      <w:r w:rsidRPr="00A16566">
        <w:rPr>
          <w:lang w:val="fr-CA"/>
        </w:rPr>
        <w:t>Beaulac</w:t>
      </w:r>
      <w:proofErr w:type="spellEnd"/>
      <w:r w:rsidRPr="00A16566">
        <w:rPr>
          <w:lang w:val="fr-CA"/>
        </w:rPr>
        <w:t xml:space="preserve">, </w:t>
      </w:r>
      <w:proofErr w:type="spellStart"/>
      <w:proofErr w:type="gramStart"/>
      <w:r w:rsidRPr="00A16566">
        <w:rPr>
          <w:lang w:val="fr-CA"/>
        </w:rPr>
        <w:t>eds</w:t>
      </w:r>
      <w:proofErr w:type="spellEnd"/>
      <w:r w:rsidRPr="00A16566">
        <w:rPr>
          <w:lang w:val="fr-CA"/>
        </w:rPr>
        <w:t>.,</w:t>
      </w:r>
      <w:proofErr w:type="gramEnd"/>
      <w:r w:rsidRPr="00A16566">
        <w:rPr>
          <w:lang w:val="fr-CA"/>
        </w:rPr>
        <w:t xml:space="preserve"> </w:t>
      </w:r>
      <w:r w:rsidRPr="00A16566">
        <w:rPr>
          <w:i/>
          <w:iCs/>
          <w:lang w:val="fr-CA"/>
        </w:rPr>
        <w:t xml:space="preserve">Canadian Charter of </w:t>
      </w:r>
      <w:proofErr w:type="spellStart"/>
      <w:r w:rsidRPr="00A16566">
        <w:rPr>
          <w:i/>
          <w:iCs/>
          <w:lang w:val="fr-CA"/>
        </w:rPr>
        <w:t>Rights</w:t>
      </w:r>
      <w:proofErr w:type="spellEnd"/>
      <w:r w:rsidRPr="00A16566">
        <w:rPr>
          <w:i/>
          <w:iCs/>
          <w:lang w:val="fr-CA"/>
        </w:rPr>
        <w:t xml:space="preserve"> and </w:t>
      </w:r>
      <w:proofErr w:type="spellStart"/>
      <w:r w:rsidRPr="00A16566">
        <w:rPr>
          <w:i/>
          <w:iCs/>
          <w:lang w:val="fr-CA"/>
        </w:rPr>
        <w:t>Freedoms</w:t>
      </w:r>
      <w:proofErr w:type="spellEnd"/>
      <w:r w:rsidRPr="00A16566">
        <w:rPr>
          <w:lang w:val="fr-CA"/>
        </w:rPr>
        <w:t xml:space="preserve">, </w:t>
      </w:r>
      <w:proofErr w:type="spellStart"/>
      <w:r w:rsidRPr="00A16566">
        <w:rPr>
          <w:lang w:val="fr-CA"/>
        </w:rPr>
        <w:t>5th</w:t>
      </w:r>
      <w:proofErr w:type="spellEnd"/>
      <w:r w:rsidRPr="00A16566">
        <w:rPr>
          <w:lang w:val="fr-CA"/>
        </w:rPr>
        <w:t xml:space="preserve"> </w:t>
      </w:r>
      <w:proofErr w:type="spellStart"/>
      <w:r w:rsidRPr="00A16566">
        <w:rPr>
          <w:lang w:val="fr-CA"/>
        </w:rPr>
        <w:t>ed</w:t>
      </w:r>
      <w:proofErr w:type="spellEnd"/>
      <w:r w:rsidRPr="00A16566">
        <w:rPr>
          <w:lang w:val="fr-CA"/>
        </w:rPr>
        <w:t xml:space="preserve">. </w:t>
      </w:r>
      <w:r w:rsidRPr="00A16566">
        <w:rPr>
          <w:lang w:val="en-US"/>
        </w:rPr>
        <w:t>Markham, Ont.: LexisNexis, 2013, 241.</w:t>
      </w:r>
    </w:p>
    <w:p w14:paraId="4ADAE3D5" w14:textId="40C901B8" w:rsidR="00D87F1E" w:rsidRPr="00A16566" w:rsidRDefault="00D87F1E" w:rsidP="00A84C5D">
      <w:pPr>
        <w:pStyle w:val="SCCNormalDoubleSpacing"/>
        <w:spacing w:after="240" w:line="240" w:lineRule="auto"/>
        <w:ind w:left="547" w:hanging="547"/>
        <w:rPr>
          <w:lang w:val="en-US"/>
        </w:rPr>
      </w:pPr>
      <w:proofErr w:type="spellStart"/>
      <w:r w:rsidRPr="00A16566">
        <w:t>Keitner</w:t>
      </w:r>
      <w:proofErr w:type="spellEnd"/>
      <w:r w:rsidRPr="00A16566">
        <w:t xml:space="preserve">, </w:t>
      </w:r>
      <w:proofErr w:type="spellStart"/>
      <w:r w:rsidRPr="00A16566">
        <w:t>Chimène</w:t>
      </w:r>
      <w:proofErr w:type="spellEnd"/>
      <w:r w:rsidRPr="00A16566">
        <w:t xml:space="preserve"> I. “Rights Beyond Borders” (2011), 36 </w:t>
      </w:r>
      <w:r w:rsidRPr="00A16566">
        <w:rPr>
          <w:i/>
        </w:rPr>
        <w:t>Yale J. Int’l L.</w:t>
      </w:r>
      <w:r w:rsidRPr="00A16566">
        <w:t xml:space="preserve"> 55.</w:t>
      </w:r>
    </w:p>
    <w:p w14:paraId="70AAD778" w14:textId="7F4E8EA2" w:rsidR="00C3217A" w:rsidRPr="00A16566" w:rsidRDefault="00C3217A" w:rsidP="00A84C5D">
      <w:pPr>
        <w:pStyle w:val="SCCNormalDoubleSpacing"/>
        <w:spacing w:after="240" w:line="240" w:lineRule="auto"/>
        <w:ind w:left="547" w:hanging="547"/>
        <w:rPr>
          <w:lang w:val="en-US"/>
        </w:rPr>
      </w:pPr>
      <w:r w:rsidRPr="00A16566">
        <w:rPr>
          <w:lang w:val="en-US"/>
        </w:rPr>
        <w:t xml:space="preserve">McLachlan, Campbell. </w:t>
      </w:r>
      <w:r w:rsidRPr="00A16566">
        <w:rPr>
          <w:i/>
          <w:lang w:val="en-US"/>
        </w:rPr>
        <w:t>Foreign Relations Law</w:t>
      </w:r>
      <w:r w:rsidRPr="00A16566">
        <w:rPr>
          <w:lang w:val="en-US"/>
        </w:rPr>
        <w:t>. Cambridge: Cambridge University Press, 2014.</w:t>
      </w:r>
    </w:p>
    <w:p w14:paraId="0B9A5FCE" w14:textId="6288B19D" w:rsidR="005E0E07" w:rsidRPr="00A16566" w:rsidRDefault="005E0E07" w:rsidP="00A84C5D">
      <w:pPr>
        <w:pStyle w:val="SCCNormalDoubleSpacing"/>
        <w:spacing w:after="240" w:line="240" w:lineRule="auto"/>
        <w:ind w:left="547" w:hanging="547"/>
        <w:rPr>
          <w:lang w:val="en-US"/>
        </w:rPr>
      </w:pPr>
      <w:proofErr w:type="spellStart"/>
      <w:r w:rsidRPr="00A16566">
        <w:rPr>
          <w:lang w:val="en-US"/>
        </w:rPr>
        <w:t>Milanovic</w:t>
      </w:r>
      <w:proofErr w:type="spellEnd"/>
      <w:r w:rsidRPr="00A16566">
        <w:rPr>
          <w:lang w:val="en-US"/>
        </w:rPr>
        <w:t xml:space="preserve">, Marko. </w:t>
      </w:r>
      <w:r w:rsidRPr="00A16566">
        <w:rPr>
          <w:i/>
          <w:lang w:val="en-US"/>
        </w:rPr>
        <w:t>Extraterritorial Application of Human Rights Treaties: Law, Principles, and Policy</w:t>
      </w:r>
      <w:r w:rsidRPr="00A16566">
        <w:rPr>
          <w:lang w:val="en-US"/>
        </w:rPr>
        <w:t xml:space="preserve">. New York: </w:t>
      </w:r>
      <w:r w:rsidRPr="00A16566">
        <w:rPr>
          <w:color w:val="000000"/>
        </w:rPr>
        <w:t>Oxford University Press,</w:t>
      </w:r>
      <w:r w:rsidRPr="00A16566">
        <w:rPr>
          <w:lang w:val="en-US"/>
        </w:rPr>
        <w:t xml:space="preserve"> 2011.</w:t>
      </w:r>
    </w:p>
    <w:p w14:paraId="5AEB90D0" w14:textId="2FFEECA2" w:rsidR="00B261E9" w:rsidRPr="00A16566" w:rsidRDefault="00B261E9" w:rsidP="00A84C5D">
      <w:pPr>
        <w:pStyle w:val="SCCNormalDoubleSpacing"/>
        <w:spacing w:after="240" w:line="240" w:lineRule="auto"/>
        <w:ind w:left="547" w:hanging="547"/>
      </w:pPr>
      <w:r w:rsidRPr="00A16566">
        <w:rPr>
          <w:lang w:val="en-US"/>
        </w:rPr>
        <w:t>Roach, Kent. “</w:t>
      </w:r>
      <w:r w:rsidRPr="00A16566">
        <w:rPr>
          <w:i/>
          <w:lang w:val="en-US"/>
        </w:rPr>
        <w:t xml:space="preserve">R. v. </w:t>
      </w:r>
      <w:proofErr w:type="spellStart"/>
      <w:r w:rsidRPr="00A16566">
        <w:rPr>
          <w:i/>
          <w:lang w:val="en-US"/>
        </w:rPr>
        <w:t>Hape</w:t>
      </w:r>
      <w:proofErr w:type="spellEnd"/>
      <w:r w:rsidR="00A33F89" w:rsidRPr="00A16566">
        <w:rPr>
          <w:lang w:val="en-US"/>
        </w:rPr>
        <w:t xml:space="preserve"> Creates Charter</w:t>
      </w:r>
      <w:r w:rsidR="00A33F89" w:rsidRPr="00A16566">
        <w:rPr>
          <w:lang w:val="en-US"/>
        </w:rPr>
        <w:noBreakHyphen/>
      </w:r>
      <w:r w:rsidRPr="00A16566">
        <w:rPr>
          <w:lang w:val="en-US"/>
        </w:rPr>
        <w:t xml:space="preserve">Free Zones for Canadian Officials Abroad” (2007), 53 </w:t>
      </w:r>
      <w:r w:rsidRPr="00A16566">
        <w:rPr>
          <w:i/>
          <w:lang w:val="en-US"/>
        </w:rPr>
        <w:t xml:space="preserve">Crim. </w:t>
      </w:r>
      <w:proofErr w:type="spellStart"/>
      <w:r w:rsidRPr="00A16566">
        <w:rPr>
          <w:i/>
          <w:lang w:val="en-US"/>
        </w:rPr>
        <w:t>L.Q</w:t>
      </w:r>
      <w:proofErr w:type="spellEnd"/>
      <w:r w:rsidRPr="00A16566">
        <w:rPr>
          <w:i/>
          <w:lang w:val="en-US"/>
        </w:rPr>
        <w:t>.</w:t>
      </w:r>
      <w:r w:rsidRPr="00A16566">
        <w:rPr>
          <w:lang w:val="en-US"/>
        </w:rPr>
        <w:t xml:space="preserve"> 1.</w:t>
      </w:r>
    </w:p>
    <w:p w14:paraId="735F67F9" w14:textId="0AD68A4F" w:rsidR="00565729" w:rsidRPr="00A16566" w:rsidRDefault="00565729" w:rsidP="00A84C5D">
      <w:pPr>
        <w:pStyle w:val="SCCNormalDoubleSpacing"/>
        <w:spacing w:after="240" w:line="240" w:lineRule="auto"/>
        <w:ind w:left="547" w:hanging="547"/>
        <w:rPr>
          <w:lang w:val="en-US"/>
        </w:rPr>
      </w:pPr>
      <w:r w:rsidRPr="00A16566">
        <w:t xml:space="preserve">Saunders, Phillip M., and Robert J. Currie. </w:t>
      </w:r>
      <w:r w:rsidRPr="00A16566">
        <w:rPr>
          <w:i/>
        </w:rPr>
        <w:t>Kindred’s International Law: Chiefly as Interpreted and Applied in Canada</w:t>
      </w:r>
      <w:r w:rsidRPr="00A16566">
        <w:t xml:space="preserve">, 9th ed. Toronto: </w:t>
      </w:r>
      <w:proofErr w:type="spellStart"/>
      <w:r w:rsidRPr="00A16566">
        <w:t>Emond</w:t>
      </w:r>
      <w:proofErr w:type="spellEnd"/>
      <w:r w:rsidR="00946503" w:rsidRPr="00A16566">
        <w:t xml:space="preserve"> Montgomery</w:t>
      </w:r>
      <w:r w:rsidRPr="00A16566">
        <w:t>, 2019.</w:t>
      </w:r>
    </w:p>
    <w:p w14:paraId="5D8B9F2E" w14:textId="4031DCC2" w:rsidR="00AA33CB" w:rsidRPr="00A16566" w:rsidRDefault="00AA33CB" w:rsidP="00A84C5D">
      <w:pPr>
        <w:pStyle w:val="SCCNormalDoubleSpacing"/>
        <w:spacing w:after="240" w:line="240" w:lineRule="auto"/>
        <w:ind w:left="547" w:hanging="547"/>
      </w:pPr>
      <w:proofErr w:type="spellStart"/>
      <w:r w:rsidRPr="00A16566">
        <w:rPr>
          <w:lang w:val="en-US"/>
        </w:rPr>
        <w:t>Sethi</w:t>
      </w:r>
      <w:proofErr w:type="spellEnd"/>
      <w:r w:rsidRPr="00A16566">
        <w:rPr>
          <w:lang w:val="en-US"/>
        </w:rPr>
        <w:t xml:space="preserve">, </w:t>
      </w:r>
      <w:proofErr w:type="spellStart"/>
      <w:r w:rsidRPr="00A16566">
        <w:rPr>
          <w:lang w:val="en-US"/>
        </w:rPr>
        <w:t>Chanakya</w:t>
      </w:r>
      <w:proofErr w:type="spellEnd"/>
      <w:r w:rsidRPr="00A16566">
        <w:rPr>
          <w:lang w:val="en-US"/>
        </w:rPr>
        <w:t xml:space="preserve">. “Does the Charter Follow the Flag? Revisiting Constitutional Extraterritoriality after </w:t>
      </w:r>
      <w:r w:rsidRPr="00A16566">
        <w:rPr>
          <w:i/>
          <w:lang w:val="en-US"/>
        </w:rPr>
        <w:t xml:space="preserve">R v </w:t>
      </w:r>
      <w:proofErr w:type="spellStart"/>
      <w:r w:rsidRPr="00A16566">
        <w:rPr>
          <w:i/>
          <w:lang w:val="en-US"/>
        </w:rPr>
        <w:t>Hape</w:t>
      </w:r>
      <w:proofErr w:type="spellEnd"/>
      <w:r w:rsidRPr="00A16566">
        <w:rPr>
          <w:lang w:val="en-US"/>
        </w:rPr>
        <w:t xml:space="preserve">” (2011), 20 </w:t>
      </w:r>
      <w:r w:rsidRPr="00A16566">
        <w:rPr>
          <w:i/>
          <w:lang w:val="en-US"/>
        </w:rPr>
        <w:t>Dal. J. Leg. Stud.</w:t>
      </w:r>
      <w:r w:rsidRPr="00A16566">
        <w:rPr>
          <w:lang w:val="en-US"/>
        </w:rPr>
        <w:t xml:space="preserve"> 102.</w:t>
      </w:r>
    </w:p>
    <w:p w14:paraId="1658A7A5" w14:textId="2D8377EC" w:rsidR="007A375B" w:rsidRPr="00A16566" w:rsidRDefault="007A375B" w:rsidP="00A84C5D">
      <w:pPr>
        <w:pStyle w:val="SCCNormalDoubleSpacing"/>
        <w:spacing w:after="240" w:line="240" w:lineRule="auto"/>
        <w:ind w:left="547" w:hanging="547"/>
      </w:pPr>
      <w:r w:rsidRPr="00A16566">
        <w:rPr>
          <w:lang w:val="en-US"/>
        </w:rPr>
        <w:t xml:space="preserve">Sun, Kerry. “International Comity and the Construction of the </w:t>
      </w:r>
      <w:r w:rsidRPr="00A16566">
        <w:rPr>
          <w:i/>
          <w:lang w:val="en-US"/>
        </w:rPr>
        <w:t>Charter</w:t>
      </w:r>
      <w:r w:rsidRPr="00A16566">
        <w:rPr>
          <w:lang w:val="en-US"/>
        </w:rPr>
        <w:t xml:space="preserve">’s Limits: </w:t>
      </w:r>
      <w:proofErr w:type="spellStart"/>
      <w:r w:rsidRPr="00A16566">
        <w:rPr>
          <w:i/>
          <w:lang w:val="en-US"/>
        </w:rPr>
        <w:t>Hape</w:t>
      </w:r>
      <w:proofErr w:type="spellEnd"/>
      <w:r w:rsidRPr="00A16566">
        <w:rPr>
          <w:lang w:val="en-US"/>
        </w:rPr>
        <w:t xml:space="preserve"> Revisited” (2019), 45 </w:t>
      </w:r>
      <w:r w:rsidRPr="00A16566">
        <w:rPr>
          <w:i/>
          <w:lang w:val="en-US"/>
        </w:rPr>
        <w:t xml:space="preserve">Queen’s </w:t>
      </w:r>
      <w:proofErr w:type="spellStart"/>
      <w:r w:rsidRPr="00A16566">
        <w:rPr>
          <w:i/>
          <w:lang w:val="en-US"/>
        </w:rPr>
        <w:t>L.J</w:t>
      </w:r>
      <w:proofErr w:type="spellEnd"/>
      <w:r w:rsidRPr="00A16566">
        <w:rPr>
          <w:i/>
          <w:lang w:val="en-US"/>
        </w:rPr>
        <w:t>.</w:t>
      </w:r>
      <w:r w:rsidRPr="00A16566">
        <w:rPr>
          <w:lang w:val="en-US"/>
        </w:rPr>
        <w:t xml:space="preserve"> 115.</w:t>
      </w:r>
    </w:p>
    <w:p w14:paraId="29153974" w14:textId="6A96D256" w:rsidR="00BF44A5" w:rsidRPr="00A16566" w:rsidRDefault="00BF44A5" w:rsidP="00A84C5D">
      <w:pPr>
        <w:pStyle w:val="SCCNormalDoubleSpacing"/>
        <w:spacing w:after="240" w:line="240" w:lineRule="auto"/>
        <w:ind w:left="547" w:hanging="547"/>
      </w:pPr>
      <w:r w:rsidRPr="00A16566">
        <w:t xml:space="preserve">Supreme Court of Canada. </w:t>
      </w:r>
      <w:r w:rsidRPr="00A16566">
        <w:rPr>
          <w:i/>
          <w:lang w:bidi="en-US"/>
        </w:rPr>
        <w:t>Notice to the Profession: March 2017 — Allotting Time for Oral Argument</w:t>
      </w:r>
      <w:r w:rsidRPr="00A16566">
        <w:rPr>
          <w:lang w:bidi="en-US"/>
        </w:rPr>
        <w:t>, March 2, 2017 (online:</w:t>
      </w:r>
      <w:r w:rsidRPr="00A16566">
        <w:t xml:space="preserve"> </w:t>
      </w:r>
      <w:hyperlink r:id="rId10" w:history="1">
        <w:r w:rsidRPr="00045352">
          <w:rPr>
            <w:rStyle w:val="Hyperlink"/>
            <w:lang w:bidi="en-US"/>
          </w:rPr>
          <w:t>https://scc-csc.ca/ar-lr/notices-avis/17-03-eng.aspx</w:t>
        </w:r>
      </w:hyperlink>
      <w:r w:rsidRPr="00A16566">
        <w:rPr>
          <w:lang w:bidi="en-US"/>
        </w:rPr>
        <w:t xml:space="preserve">; archived version: </w:t>
      </w:r>
      <w:hyperlink r:id="rId11" w:history="1">
        <w:r w:rsidRPr="00A16566">
          <w:rPr>
            <w:rStyle w:val="Hyperlink"/>
            <w:rFonts w:eastAsiaTheme="majorEastAsia"/>
          </w:rPr>
          <w:t>https://www.scc-csc.ca/cso-dce/2023SCC-CSC</w:t>
        </w:r>
        <w:r w:rsidR="00D7655B" w:rsidRPr="00A16566">
          <w:rPr>
            <w:rStyle w:val="Hyperlink"/>
            <w:lang w:val="en-US"/>
          </w:rPr>
          <w:t>4</w:t>
        </w:r>
        <w:r w:rsidRPr="00A16566">
          <w:rPr>
            <w:rStyle w:val="Hyperlink"/>
            <w:rFonts w:eastAsiaTheme="majorEastAsia"/>
          </w:rPr>
          <w:t>_1_eng.pdf</w:t>
        </w:r>
      </w:hyperlink>
      <w:r w:rsidRPr="00A16566">
        <w:rPr>
          <w:color w:val="000000"/>
        </w:rPr>
        <w:t>).</w:t>
      </w:r>
    </w:p>
    <w:p w14:paraId="612832F9" w14:textId="5304BD4A" w:rsidR="00A149DF" w:rsidRPr="00A16566" w:rsidRDefault="00BF44A5" w:rsidP="00A84C5D">
      <w:pPr>
        <w:pStyle w:val="SCCNormalDoubleSpacing"/>
        <w:spacing w:after="240" w:line="240" w:lineRule="auto"/>
        <w:ind w:left="547" w:hanging="547"/>
      </w:pPr>
      <w:r w:rsidRPr="00A16566">
        <w:t xml:space="preserve">Supreme Court of Canada. </w:t>
      </w:r>
      <w:r w:rsidRPr="00A16566">
        <w:rPr>
          <w:i/>
          <w:lang w:bidi="en-US"/>
        </w:rPr>
        <w:t>Notice to the Profession: November 2021 — Interventions</w:t>
      </w:r>
      <w:r w:rsidRPr="00A16566">
        <w:rPr>
          <w:lang w:bidi="en-US"/>
        </w:rPr>
        <w:t xml:space="preserve">, November 15, 2021 (online: </w:t>
      </w:r>
      <w:hyperlink r:id="rId12" w:history="1">
        <w:r w:rsidRPr="00045352">
          <w:rPr>
            <w:rStyle w:val="Hyperlink"/>
            <w:lang w:bidi="en-US"/>
          </w:rPr>
          <w:t>https://scc-csc.ca/ar-lr/notices-avis/21-11-eng.aspx</w:t>
        </w:r>
      </w:hyperlink>
      <w:r w:rsidRPr="00A16566">
        <w:rPr>
          <w:lang w:bidi="en-US"/>
        </w:rPr>
        <w:t xml:space="preserve">; archived version: </w:t>
      </w:r>
      <w:hyperlink r:id="rId13" w:history="1">
        <w:r w:rsidRPr="00A16566">
          <w:rPr>
            <w:rStyle w:val="Hyperlink"/>
            <w:rFonts w:eastAsiaTheme="majorEastAsia"/>
          </w:rPr>
          <w:t>https://www.scc-csc.ca/cso-dce/2023SCC-CSC</w:t>
        </w:r>
        <w:r w:rsidR="00292542" w:rsidRPr="00A16566">
          <w:rPr>
            <w:rStyle w:val="Hyperlink"/>
            <w:lang w:val="en-US"/>
          </w:rPr>
          <w:t>4</w:t>
        </w:r>
        <w:r w:rsidRPr="00A16566">
          <w:rPr>
            <w:rStyle w:val="Hyperlink"/>
            <w:rFonts w:eastAsiaTheme="majorEastAsia"/>
          </w:rPr>
          <w:t>_2_eng.pdf</w:t>
        </w:r>
      </w:hyperlink>
      <w:r w:rsidRPr="00A16566">
        <w:rPr>
          <w:color w:val="000000"/>
        </w:rPr>
        <w:t>).</w:t>
      </w:r>
    </w:p>
    <w:p w14:paraId="657BF84C" w14:textId="774F8339" w:rsidR="00264D04" w:rsidRPr="00A16566" w:rsidRDefault="00264D04" w:rsidP="003F7236">
      <w:pPr>
        <w:pStyle w:val="SCCNormalDoubleSpacing"/>
        <w:spacing w:after="240" w:line="240" w:lineRule="auto"/>
        <w:ind w:left="547" w:hanging="547"/>
        <w:rPr>
          <w:lang w:val="en-US"/>
        </w:rPr>
      </w:pPr>
      <w:r w:rsidRPr="00A16566">
        <w:rPr>
          <w:color w:val="000000"/>
        </w:rPr>
        <w:t xml:space="preserve">United Nations. </w:t>
      </w:r>
      <w:r w:rsidRPr="00A16566">
        <w:rPr>
          <w:lang w:val="en-US"/>
        </w:rPr>
        <w:t>Human Rights Committee</w:t>
      </w:r>
      <w:r w:rsidR="00BF5A9C" w:rsidRPr="00A16566">
        <w:rPr>
          <w:lang w:val="en-US"/>
        </w:rPr>
        <w:t>.</w:t>
      </w:r>
      <w:r w:rsidRPr="00A16566">
        <w:rPr>
          <w:lang w:val="en-US"/>
        </w:rPr>
        <w:t xml:space="preserve"> </w:t>
      </w:r>
      <w:r w:rsidRPr="00A16566">
        <w:rPr>
          <w:i/>
          <w:lang w:val="en-US"/>
        </w:rPr>
        <w:t xml:space="preserve">General Comment No. 31: </w:t>
      </w:r>
      <w:r w:rsidRPr="00A16566">
        <w:rPr>
          <w:i/>
          <w:iCs/>
          <w:color w:val="000000"/>
        </w:rPr>
        <w:t>The Nature of the General Legal Obligation Imposed on States Parties to the Covenant</w:t>
      </w:r>
      <w:r w:rsidR="00337A0C" w:rsidRPr="00A16566">
        <w:rPr>
          <w:lang w:val="en-US"/>
        </w:rPr>
        <w:t>.</w:t>
      </w:r>
      <w:r w:rsidRPr="00A16566">
        <w:rPr>
          <w:lang w:val="en-US"/>
        </w:rPr>
        <w:t xml:space="preserve"> U.N. </w:t>
      </w:r>
      <w:r w:rsidRPr="00A16566">
        <w:rPr>
          <w:color w:val="000000"/>
        </w:rPr>
        <w:t>Doc. </w:t>
      </w:r>
      <w:proofErr w:type="spellStart"/>
      <w:r w:rsidRPr="00A16566">
        <w:rPr>
          <w:rStyle w:val="solexhl"/>
          <w:rFonts w:eastAsiaTheme="majorEastAsia"/>
          <w:color w:val="000000"/>
        </w:rPr>
        <w:t>CCPR</w:t>
      </w:r>
      <w:proofErr w:type="spellEnd"/>
      <w:r w:rsidRPr="00A16566">
        <w:rPr>
          <w:rStyle w:val="solexhl"/>
          <w:rFonts w:eastAsiaTheme="majorEastAsia"/>
          <w:color w:val="000000"/>
        </w:rPr>
        <w:t>/C/21/</w:t>
      </w:r>
      <w:proofErr w:type="spellStart"/>
      <w:r w:rsidRPr="00A16566">
        <w:rPr>
          <w:rStyle w:val="solexhl"/>
          <w:rFonts w:eastAsiaTheme="majorEastAsia"/>
          <w:color w:val="000000"/>
        </w:rPr>
        <w:t>Rev.1</w:t>
      </w:r>
      <w:proofErr w:type="spellEnd"/>
      <w:r w:rsidRPr="00A16566">
        <w:rPr>
          <w:rStyle w:val="solexhl"/>
          <w:rFonts w:eastAsiaTheme="majorEastAsia"/>
          <w:color w:val="000000"/>
        </w:rPr>
        <w:t>/</w:t>
      </w:r>
      <w:proofErr w:type="spellStart"/>
      <w:r w:rsidRPr="00A16566">
        <w:rPr>
          <w:rStyle w:val="solexhl"/>
          <w:rFonts w:eastAsiaTheme="majorEastAsia"/>
          <w:color w:val="000000"/>
        </w:rPr>
        <w:t>Add.13</w:t>
      </w:r>
      <w:proofErr w:type="spellEnd"/>
      <w:r w:rsidRPr="00A16566">
        <w:rPr>
          <w:color w:val="000000"/>
        </w:rPr>
        <w:t>, May 26, 2004.</w:t>
      </w:r>
    </w:p>
    <w:p w14:paraId="6DD19202" w14:textId="6F54A02A" w:rsidR="0085669F" w:rsidRPr="00A16566" w:rsidRDefault="0085669F" w:rsidP="003F7236">
      <w:pPr>
        <w:pStyle w:val="SCCNormalDoubleSpacing"/>
        <w:spacing w:after="240" w:line="240" w:lineRule="auto"/>
        <w:ind w:left="547" w:hanging="547"/>
        <w:rPr>
          <w:lang w:val="en-US"/>
        </w:rPr>
      </w:pPr>
      <w:proofErr w:type="gramStart"/>
      <w:r w:rsidRPr="00A16566">
        <w:rPr>
          <w:lang w:val="en-US"/>
        </w:rPr>
        <w:t>van</w:t>
      </w:r>
      <w:proofErr w:type="gramEnd"/>
      <w:r w:rsidRPr="00A16566">
        <w:rPr>
          <w:lang w:val="en-US"/>
        </w:rPr>
        <w:t xml:space="preserve"> </w:t>
      </w:r>
      <w:proofErr w:type="spellStart"/>
      <w:r w:rsidRPr="00A16566">
        <w:rPr>
          <w:lang w:val="en-US"/>
        </w:rPr>
        <w:t>Ert</w:t>
      </w:r>
      <w:proofErr w:type="spellEnd"/>
      <w:r w:rsidRPr="00A16566">
        <w:rPr>
          <w:lang w:val="en-US"/>
        </w:rPr>
        <w:t>, Gibran. “Canadian Cases in P</w:t>
      </w:r>
      <w:r w:rsidR="00A33F89" w:rsidRPr="00A16566">
        <w:rPr>
          <w:lang w:val="en-US"/>
        </w:rPr>
        <w:t>ublic International Law in 2006</w:t>
      </w:r>
      <w:r w:rsidR="00A33F89" w:rsidRPr="00A16566">
        <w:rPr>
          <w:lang w:val="en-US"/>
        </w:rPr>
        <w:noBreakHyphen/>
      </w:r>
      <w:r w:rsidRPr="00A16566">
        <w:rPr>
          <w:lang w:val="en-US"/>
        </w:rPr>
        <w:t xml:space="preserve">7” (2007), 45 </w:t>
      </w:r>
      <w:r w:rsidRPr="00A16566">
        <w:rPr>
          <w:i/>
          <w:lang w:val="en-US"/>
        </w:rPr>
        <w:t xml:space="preserve">Can. </w:t>
      </w:r>
      <w:proofErr w:type="spellStart"/>
      <w:r w:rsidRPr="00A16566">
        <w:rPr>
          <w:i/>
          <w:lang w:val="en-US"/>
        </w:rPr>
        <w:t>Y.B</w:t>
      </w:r>
      <w:proofErr w:type="spellEnd"/>
      <w:r w:rsidRPr="00A16566">
        <w:rPr>
          <w:i/>
          <w:lang w:val="en-US"/>
        </w:rPr>
        <w:t>. Int’l L.</w:t>
      </w:r>
      <w:r w:rsidRPr="00A16566">
        <w:rPr>
          <w:lang w:val="en-US"/>
        </w:rPr>
        <w:t xml:space="preserve"> 527.</w:t>
      </w:r>
    </w:p>
    <w:p w14:paraId="15975AA0" w14:textId="6FD32A8B" w:rsidR="005B3C03" w:rsidRPr="00A16566" w:rsidRDefault="00BC17EE" w:rsidP="005B3C03">
      <w:pPr>
        <w:pStyle w:val="SCCNormalDoubleSpacing"/>
        <w:spacing w:after="240" w:line="240" w:lineRule="auto"/>
        <w:ind w:left="547" w:hanging="547"/>
        <w:rPr>
          <w:lang w:val="en-US"/>
        </w:rPr>
      </w:pPr>
      <w:proofErr w:type="spellStart"/>
      <w:r w:rsidRPr="00A16566">
        <w:rPr>
          <w:lang w:val="en-US"/>
        </w:rPr>
        <w:t>Verdier</w:t>
      </w:r>
      <w:proofErr w:type="spellEnd"/>
      <w:r w:rsidRPr="00A16566">
        <w:rPr>
          <w:lang w:val="en-US"/>
        </w:rPr>
        <w:t>, Pierre</w:t>
      </w:r>
      <w:r w:rsidRPr="00A16566">
        <w:rPr>
          <w:lang w:val="en-US"/>
        </w:rPr>
        <w:noBreakHyphen/>
      </w:r>
      <w:proofErr w:type="spellStart"/>
      <w:r w:rsidR="005B3C03" w:rsidRPr="00A16566">
        <w:rPr>
          <w:lang w:val="en-US"/>
        </w:rPr>
        <w:t>Hugues</w:t>
      </w:r>
      <w:proofErr w:type="spellEnd"/>
      <w:r w:rsidR="005B3C03" w:rsidRPr="00A16566">
        <w:rPr>
          <w:lang w:val="en-US"/>
        </w:rPr>
        <w:t xml:space="preserve">. “International Decisions: </w:t>
      </w:r>
      <w:r w:rsidR="005B3C03" w:rsidRPr="00A16566">
        <w:rPr>
          <w:i/>
          <w:lang w:val="en-US"/>
        </w:rPr>
        <w:t xml:space="preserve">R. v. </w:t>
      </w:r>
      <w:proofErr w:type="spellStart"/>
      <w:r w:rsidR="005B3C03" w:rsidRPr="00A16566">
        <w:rPr>
          <w:i/>
          <w:lang w:val="en-US"/>
        </w:rPr>
        <w:t>Hape</w:t>
      </w:r>
      <w:proofErr w:type="spellEnd"/>
      <w:r w:rsidR="005B3C03" w:rsidRPr="00A16566">
        <w:rPr>
          <w:lang w:val="en-US"/>
        </w:rPr>
        <w:t xml:space="preserve">” (2008), 102 </w:t>
      </w:r>
      <w:r w:rsidR="005B3C03" w:rsidRPr="00A16566">
        <w:rPr>
          <w:i/>
          <w:lang w:val="en-US"/>
        </w:rPr>
        <w:t xml:space="preserve">Am. J. Int’l L. </w:t>
      </w:r>
      <w:r w:rsidR="005B3C03" w:rsidRPr="00A16566">
        <w:rPr>
          <w:lang w:val="en-US"/>
        </w:rPr>
        <w:t>143.</w:t>
      </w:r>
    </w:p>
    <w:p w14:paraId="33A1C6CA" w14:textId="37EA5685" w:rsidR="00D33242" w:rsidRPr="00A16566" w:rsidRDefault="00D33242" w:rsidP="003F7236">
      <w:pPr>
        <w:pStyle w:val="SCCNormalDoubleSpacing"/>
        <w:spacing w:after="240" w:line="240" w:lineRule="auto"/>
        <w:ind w:left="547" w:hanging="547"/>
      </w:pPr>
      <w:r w:rsidRPr="00A16566">
        <w:rPr>
          <w:lang w:val="en-US"/>
        </w:rPr>
        <w:t xml:space="preserve">Watt, D. Lynne, et al. </w:t>
      </w:r>
      <w:r w:rsidRPr="00A16566">
        <w:rPr>
          <w:i/>
        </w:rPr>
        <w:t>Supreme Court of Canada Practice 2022</w:t>
      </w:r>
      <w:r w:rsidRPr="00A16566">
        <w:t xml:space="preserve">. Toronto: </w:t>
      </w:r>
      <w:r w:rsidR="00866126" w:rsidRPr="00A16566">
        <w:t>Thomson/Carswell</w:t>
      </w:r>
      <w:r w:rsidRPr="00A16566">
        <w:t>, 2022.</w:t>
      </w:r>
    </w:p>
    <w:p w14:paraId="7A30C907" w14:textId="55DD878F" w:rsidR="009F7B70" w:rsidRPr="00A16566" w:rsidRDefault="009F7B70" w:rsidP="003F7236">
      <w:pPr>
        <w:pStyle w:val="SCCNormalDoubleSpacing"/>
        <w:spacing w:after="240" w:line="240" w:lineRule="auto"/>
        <w:ind w:left="547" w:hanging="547"/>
      </w:pPr>
      <w:r w:rsidRPr="00A16566">
        <w:rPr>
          <w:lang w:val="en-US"/>
        </w:rPr>
        <w:t xml:space="preserve">Webb, Maureen. “The Constitutional Question of Our Time: Extraterritorial Application of the Charter and the Afghan Detainees Case” (2011), 28 </w:t>
      </w:r>
      <w:proofErr w:type="spellStart"/>
      <w:r w:rsidRPr="00A16566">
        <w:rPr>
          <w:i/>
          <w:lang w:val="en-US"/>
        </w:rPr>
        <w:t>N.J.C.L</w:t>
      </w:r>
      <w:proofErr w:type="spellEnd"/>
      <w:r w:rsidRPr="00A16566">
        <w:rPr>
          <w:i/>
          <w:lang w:val="en-US"/>
        </w:rPr>
        <w:t>.</w:t>
      </w:r>
      <w:r w:rsidRPr="00A16566">
        <w:rPr>
          <w:lang w:val="en-US"/>
        </w:rPr>
        <w:t xml:space="preserve"> 235.</w:t>
      </w:r>
    </w:p>
    <w:p w14:paraId="4B945103" w14:textId="72EE36FC" w:rsidR="003F7236" w:rsidRPr="00A16566" w:rsidRDefault="003F7236" w:rsidP="00390007">
      <w:pPr>
        <w:pStyle w:val="SCCNormalDoubleSpacing"/>
        <w:spacing w:after="240" w:line="240" w:lineRule="auto"/>
        <w:ind w:left="547" w:hanging="547"/>
        <w:rPr>
          <w:lang w:val="en-US"/>
        </w:rPr>
      </w:pPr>
      <w:r w:rsidRPr="00A16566">
        <w:rPr>
          <w:lang w:val="en-US"/>
        </w:rPr>
        <w:t xml:space="preserve">West, Leah. “Canada Stands Alone: A Comparative Analysis of the Extraterritorial Reach of </w:t>
      </w:r>
      <w:r w:rsidR="00F945B9" w:rsidRPr="00A16566">
        <w:rPr>
          <w:lang w:val="en-US"/>
        </w:rPr>
        <w:t xml:space="preserve">State </w:t>
      </w:r>
      <w:r w:rsidRPr="00A16566">
        <w:rPr>
          <w:lang w:val="en-US"/>
        </w:rPr>
        <w:t xml:space="preserve">Human Rights Obligations” </w:t>
      </w:r>
      <w:r w:rsidR="00E54034" w:rsidRPr="00A16566">
        <w:rPr>
          <w:lang w:val="en-US"/>
        </w:rPr>
        <w:t>(</w:t>
      </w:r>
      <w:proofErr w:type="spellStart"/>
      <w:r w:rsidR="00E54034" w:rsidRPr="00A16566">
        <w:rPr>
          <w:i/>
          <w:lang w:val="en-US"/>
        </w:rPr>
        <w:t>U.B.C</w:t>
      </w:r>
      <w:proofErr w:type="spellEnd"/>
      <w:r w:rsidR="00E54034" w:rsidRPr="00A16566">
        <w:rPr>
          <w:i/>
          <w:lang w:val="en-US"/>
        </w:rPr>
        <w:t>. L. Rev.</w:t>
      </w:r>
      <w:r w:rsidR="00E54034" w:rsidRPr="00A16566">
        <w:rPr>
          <w:lang w:val="en-US"/>
        </w:rPr>
        <w:t>, forthcoming)</w:t>
      </w:r>
      <w:r w:rsidRPr="00A16566">
        <w:rPr>
          <w:lang w:val="en-US"/>
        </w:rPr>
        <w:t>.</w:t>
      </w:r>
    </w:p>
    <w:p w14:paraId="3EB28427" w14:textId="324AE362" w:rsidR="00390007" w:rsidRPr="00A16566" w:rsidRDefault="00390007" w:rsidP="00A84C5D">
      <w:pPr>
        <w:pStyle w:val="SCCNormalDoubleSpacing"/>
        <w:spacing w:after="720" w:line="240" w:lineRule="auto"/>
        <w:ind w:left="547" w:hanging="547"/>
      </w:pPr>
      <w:r w:rsidRPr="00A16566">
        <w:rPr>
          <w:lang w:val="en-US"/>
        </w:rPr>
        <w:t xml:space="preserve">West, Leah. “‘Within or Outside Canada’: The Charter’s Application to the Extraterritorial Activities of the Canadian Security Intelligence Service” (2023), 73 </w:t>
      </w:r>
      <w:proofErr w:type="spellStart"/>
      <w:r w:rsidRPr="00A16566">
        <w:rPr>
          <w:i/>
          <w:lang w:val="en-US"/>
        </w:rPr>
        <w:t>U.T.L.J</w:t>
      </w:r>
      <w:proofErr w:type="spellEnd"/>
      <w:r w:rsidRPr="00A16566">
        <w:rPr>
          <w:i/>
          <w:lang w:val="en-US"/>
        </w:rPr>
        <w:t>.</w:t>
      </w:r>
      <w:r w:rsidRPr="00A16566">
        <w:rPr>
          <w:lang w:val="en-US"/>
        </w:rPr>
        <w:t xml:space="preserve"> 1.</w:t>
      </w:r>
    </w:p>
    <w:p w14:paraId="11670E15" w14:textId="17B88A87" w:rsidR="00656313" w:rsidRPr="00A16566" w:rsidRDefault="0012448C" w:rsidP="00A84C5D">
      <w:pPr>
        <w:pStyle w:val="SCCNormalDoubleSpacing"/>
        <w:spacing w:after="480"/>
      </w:pPr>
      <w:r w:rsidRPr="00A16566">
        <w:tab/>
      </w:r>
      <w:r w:rsidR="009B57B3" w:rsidRPr="00A16566">
        <w:t>APPEAL from a judgment of the Court Martial Appeal Court of Canada</w:t>
      </w:r>
      <w:r w:rsidR="00B74F86" w:rsidRPr="00A16566">
        <w:t xml:space="preserve"> (</w:t>
      </w:r>
      <w:r w:rsidR="00252E57" w:rsidRPr="00A16566">
        <w:t xml:space="preserve">Bell </w:t>
      </w:r>
      <w:proofErr w:type="spellStart"/>
      <w:r w:rsidR="00252E57" w:rsidRPr="00A16566">
        <w:t>C.J</w:t>
      </w:r>
      <w:proofErr w:type="spellEnd"/>
      <w:r w:rsidR="00252E57" w:rsidRPr="00A16566">
        <w:t>.</w:t>
      </w:r>
      <w:r w:rsidR="00912212" w:rsidRPr="00A16566">
        <w:t xml:space="preserve"> and</w:t>
      </w:r>
      <w:r w:rsidR="00252E57" w:rsidRPr="00A16566">
        <w:t xml:space="preserve"> Rennie and </w:t>
      </w:r>
      <w:proofErr w:type="spellStart"/>
      <w:r w:rsidR="00252E57" w:rsidRPr="00A16566">
        <w:t>Pardu</w:t>
      </w:r>
      <w:proofErr w:type="spellEnd"/>
      <w:r w:rsidR="00252E57" w:rsidRPr="00A16566">
        <w:t xml:space="preserve"> </w:t>
      </w:r>
      <w:proofErr w:type="spellStart"/>
      <w:r w:rsidR="00252E57" w:rsidRPr="00A16566">
        <w:t>JJ.A</w:t>
      </w:r>
      <w:proofErr w:type="spellEnd"/>
      <w:r w:rsidR="00252E57" w:rsidRPr="00A16566">
        <w:t>.</w:t>
      </w:r>
      <w:r w:rsidR="00B74F86" w:rsidRPr="00A16566">
        <w:t xml:space="preserve">), </w:t>
      </w:r>
      <w:hyperlink r:id="rId14" w:history="1">
        <w:r w:rsidR="00B74F86" w:rsidRPr="00A16566">
          <w:rPr>
            <w:rStyle w:val="Hyperlink"/>
          </w:rPr>
          <w:t xml:space="preserve">2020 </w:t>
        </w:r>
        <w:proofErr w:type="spellStart"/>
        <w:r w:rsidR="00B74F86" w:rsidRPr="00A16566">
          <w:rPr>
            <w:rStyle w:val="Hyperlink"/>
          </w:rPr>
          <w:t>CMAC</w:t>
        </w:r>
        <w:proofErr w:type="spellEnd"/>
        <w:r w:rsidR="00B74F86" w:rsidRPr="00A16566">
          <w:rPr>
            <w:rStyle w:val="Hyperlink"/>
          </w:rPr>
          <w:t xml:space="preserve"> 8</w:t>
        </w:r>
      </w:hyperlink>
      <w:r w:rsidR="009465C5" w:rsidRPr="00A16566">
        <w:t>,</w:t>
      </w:r>
      <w:r w:rsidR="00190E03" w:rsidRPr="00A16566">
        <w:rPr>
          <w:lang w:bidi="en-US"/>
        </w:rPr>
        <w:t xml:space="preserve"> 8 </w:t>
      </w:r>
      <w:proofErr w:type="spellStart"/>
      <w:r w:rsidR="00190E03" w:rsidRPr="00A16566">
        <w:rPr>
          <w:lang w:bidi="en-US"/>
        </w:rPr>
        <w:t>C.M.A.R</w:t>
      </w:r>
      <w:proofErr w:type="spellEnd"/>
      <w:r w:rsidR="00190E03" w:rsidRPr="00A16566">
        <w:rPr>
          <w:lang w:bidi="en-US"/>
        </w:rPr>
        <w:t>. 481,</w:t>
      </w:r>
      <w:r w:rsidR="009465C5" w:rsidRPr="00A16566">
        <w:t xml:space="preserve"> </w:t>
      </w:r>
      <w:r w:rsidR="00A84C5D" w:rsidRPr="00A16566">
        <w:t xml:space="preserve">[2020] </w:t>
      </w:r>
      <w:proofErr w:type="spellStart"/>
      <w:r w:rsidR="00A84C5D" w:rsidRPr="00A16566">
        <w:t>C.M.A.J</w:t>
      </w:r>
      <w:proofErr w:type="spellEnd"/>
      <w:r w:rsidR="00A84C5D" w:rsidRPr="00A16566">
        <w:t>. No. </w:t>
      </w:r>
      <w:r w:rsidR="009465C5" w:rsidRPr="00A16566">
        <w:t>8 (</w:t>
      </w:r>
      <w:proofErr w:type="spellStart"/>
      <w:r w:rsidR="009465C5" w:rsidRPr="00A16566">
        <w:t>QL</w:t>
      </w:r>
      <w:proofErr w:type="spellEnd"/>
      <w:r w:rsidR="009465C5" w:rsidRPr="00A16566">
        <w:t>)</w:t>
      </w:r>
      <w:r w:rsidR="00B74F86" w:rsidRPr="00A16566">
        <w:t xml:space="preserve">, </w:t>
      </w:r>
      <w:r w:rsidR="009465C5" w:rsidRPr="00A16566">
        <w:t xml:space="preserve">2020 </w:t>
      </w:r>
      <w:proofErr w:type="spellStart"/>
      <w:r w:rsidR="009465C5" w:rsidRPr="00A16566">
        <w:t>CarswellNat</w:t>
      </w:r>
      <w:proofErr w:type="spellEnd"/>
      <w:r w:rsidR="009465C5" w:rsidRPr="00A16566">
        <w:t xml:space="preserve"> 5694 (WL), affirming a decision of</w:t>
      </w:r>
      <w:r w:rsidR="00394421" w:rsidRPr="00A16566">
        <w:t xml:space="preserve"> Pelletier </w:t>
      </w:r>
      <w:proofErr w:type="spellStart"/>
      <w:r w:rsidR="00252E57" w:rsidRPr="00A16566">
        <w:t>M.</w:t>
      </w:r>
      <w:r w:rsidR="009465C5" w:rsidRPr="00A16566">
        <w:t>J</w:t>
      </w:r>
      <w:proofErr w:type="spellEnd"/>
      <w:r w:rsidR="009465C5" w:rsidRPr="00A16566">
        <w:t xml:space="preserve">., 2019 CM 4015, 2019 </w:t>
      </w:r>
      <w:proofErr w:type="spellStart"/>
      <w:r w:rsidR="009465C5" w:rsidRPr="00A16566">
        <w:t>CarswellNat</w:t>
      </w:r>
      <w:proofErr w:type="spellEnd"/>
      <w:r w:rsidR="009465C5" w:rsidRPr="00A16566">
        <w:t xml:space="preserve"> 9931 (WL). Appeal </w:t>
      </w:r>
      <w:r w:rsidR="00C92B36" w:rsidRPr="00A16566">
        <w:t>dismissed</w:t>
      </w:r>
      <w:r w:rsidR="009465C5" w:rsidRPr="00A16566">
        <w:t>.</w:t>
      </w:r>
    </w:p>
    <w:p w14:paraId="7E312EFB" w14:textId="77777777" w:rsidR="00376F9F" w:rsidRPr="00A16566" w:rsidRDefault="003D10FA" w:rsidP="00A84C5D">
      <w:pPr>
        <w:pStyle w:val="SCCNormalDoubleSpacing"/>
        <w:spacing w:after="480"/>
      </w:pPr>
      <w:r w:rsidRPr="00A16566">
        <w:rPr>
          <w:rStyle w:val="SCCCounselNameChar"/>
        </w:rPr>
        <w:tab/>
        <w:t>Diana Mansour</w:t>
      </w:r>
      <w:r w:rsidRPr="00A16566">
        <w:rPr>
          <w:rStyle w:val="SCCCounselSeparatorChar"/>
        </w:rPr>
        <w:t xml:space="preserve"> and </w:t>
      </w:r>
      <w:r w:rsidR="005441DC" w:rsidRPr="00A16566">
        <w:rPr>
          <w:rStyle w:val="SCCCounselNameChar"/>
        </w:rPr>
        <w:t xml:space="preserve">Mark </w:t>
      </w:r>
      <w:proofErr w:type="spellStart"/>
      <w:r w:rsidR="005441DC" w:rsidRPr="00A16566">
        <w:rPr>
          <w:rStyle w:val="SCCCounselNameChar"/>
        </w:rPr>
        <w:t>Lé</w:t>
      </w:r>
      <w:r w:rsidRPr="00A16566">
        <w:rPr>
          <w:rStyle w:val="SCCCounselNameChar"/>
        </w:rPr>
        <w:t>tourneau</w:t>
      </w:r>
      <w:proofErr w:type="spellEnd"/>
      <w:r w:rsidRPr="00A16566">
        <w:rPr>
          <w:rStyle w:val="SCCCounselPartyRoleChar"/>
        </w:rPr>
        <w:t>, for the appellant.</w:t>
      </w:r>
    </w:p>
    <w:p w14:paraId="365423A5" w14:textId="77777777" w:rsidR="00376F9F" w:rsidRPr="00A16566" w:rsidRDefault="003D10FA" w:rsidP="00A84C5D">
      <w:pPr>
        <w:pStyle w:val="SCCNormalDoubleSpacing"/>
        <w:spacing w:after="480"/>
      </w:pPr>
      <w:r w:rsidRPr="00A16566">
        <w:rPr>
          <w:rStyle w:val="SCCCounselNameChar"/>
        </w:rPr>
        <w:tab/>
      </w:r>
      <w:r w:rsidR="00E87BD0" w:rsidRPr="00A16566">
        <w:rPr>
          <w:rStyle w:val="SCCCounselNameChar"/>
        </w:rPr>
        <w:t xml:space="preserve">Patrice </w:t>
      </w:r>
      <w:proofErr w:type="spellStart"/>
      <w:r w:rsidR="00E87BD0" w:rsidRPr="00A16566">
        <w:rPr>
          <w:rStyle w:val="SCCCounselNameChar"/>
        </w:rPr>
        <w:t>Germain</w:t>
      </w:r>
      <w:proofErr w:type="spellEnd"/>
      <w:r w:rsidR="00E87BD0" w:rsidRPr="00A16566">
        <w:rPr>
          <w:rStyle w:val="SCCCounselNameChar"/>
          <w:i w:val="0"/>
        </w:rPr>
        <w:t>,</w:t>
      </w:r>
      <w:r w:rsidR="00E87BD0" w:rsidRPr="00A16566">
        <w:rPr>
          <w:rStyle w:val="SCCCounselNameChar"/>
        </w:rPr>
        <w:t xml:space="preserve"> </w:t>
      </w:r>
      <w:r w:rsidRPr="00A16566">
        <w:rPr>
          <w:rStyle w:val="SCCCounselNameChar"/>
        </w:rPr>
        <w:t>Natasha</w:t>
      </w:r>
      <w:r w:rsidR="005441DC" w:rsidRPr="00A16566">
        <w:rPr>
          <w:rStyle w:val="SCCCounselNameChar"/>
        </w:rPr>
        <w:t xml:space="preserve"> A.</w:t>
      </w:r>
      <w:r w:rsidRPr="00A16566">
        <w:rPr>
          <w:rStyle w:val="SCCCounselNameChar"/>
        </w:rPr>
        <w:t xml:space="preserve"> Thiessen</w:t>
      </w:r>
      <w:r w:rsidRPr="00A16566">
        <w:rPr>
          <w:rStyle w:val="SCCCounselSeparatorChar"/>
        </w:rPr>
        <w:t xml:space="preserve"> and</w:t>
      </w:r>
      <w:r w:rsidR="00E87BD0" w:rsidRPr="00A16566">
        <w:rPr>
          <w:rStyle w:val="SCCCounselSeparatorChar"/>
        </w:rPr>
        <w:t xml:space="preserve"> </w:t>
      </w:r>
      <w:proofErr w:type="spellStart"/>
      <w:r w:rsidR="00E87BD0" w:rsidRPr="00A16566">
        <w:rPr>
          <w:i/>
        </w:rPr>
        <w:t>Chavi</w:t>
      </w:r>
      <w:proofErr w:type="spellEnd"/>
      <w:r w:rsidR="00E87BD0" w:rsidRPr="00A16566">
        <w:rPr>
          <w:i/>
        </w:rPr>
        <w:t xml:space="preserve"> Walsh</w:t>
      </w:r>
      <w:r w:rsidRPr="00A16566">
        <w:rPr>
          <w:rStyle w:val="SCCCounselPartyRoleChar"/>
        </w:rPr>
        <w:t>, for the respondent.</w:t>
      </w:r>
    </w:p>
    <w:p w14:paraId="6DB7D5C4" w14:textId="77777777" w:rsidR="000907CC" w:rsidRPr="00A16566" w:rsidRDefault="000907CC" w:rsidP="00A84C5D">
      <w:pPr>
        <w:pStyle w:val="SCCNormalDoubleSpacing"/>
        <w:spacing w:after="480"/>
      </w:pPr>
      <w:r w:rsidRPr="00A16566">
        <w:rPr>
          <w:rStyle w:val="SCCCounselNameChar"/>
        </w:rPr>
        <w:tab/>
        <w:t>Gavin MacDonald</w:t>
      </w:r>
      <w:r w:rsidRPr="00A16566">
        <w:rPr>
          <w:rStyle w:val="SCCCounselSeparatorChar"/>
        </w:rPr>
        <w:t xml:space="preserve"> and </w:t>
      </w:r>
      <w:r w:rsidRPr="00A16566">
        <w:rPr>
          <w:rStyle w:val="SCCCounselNameChar"/>
        </w:rPr>
        <w:t>Stephanie A. Lewis</w:t>
      </w:r>
      <w:r w:rsidRPr="00A16566">
        <w:rPr>
          <w:rStyle w:val="SCCCounselPartyRoleChar"/>
        </w:rPr>
        <w:t>, for the intervener the Attorney General of Ontario.</w:t>
      </w:r>
    </w:p>
    <w:p w14:paraId="0B3812B5" w14:textId="77777777" w:rsidR="00376F9F" w:rsidRPr="00A16566" w:rsidRDefault="003D10FA" w:rsidP="00A84C5D">
      <w:pPr>
        <w:pStyle w:val="SCCNormalDoubleSpacing"/>
        <w:spacing w:after="480"/>
      </w:pPr>
      <w:r w:rsidRPr="00A16566">
        <w:rPr>
          <w:rStyle w:val="SCCCounselNameChar"/>
        </w:rPr>
        <w:tab/>
        <w:t>Jesse Hartery</w:t>
      </w:r>
      <w:r w:rsidRPr="00A16566">
        <w:rPr>
          <w:rStyle w:val="SCCCounselSeparatorChar"/>
        </w:rPr>
        <w:t xml:space="preserve"> and </w:t>
      </w:r>
      <w:proofErr w:type="spellStart"/>
      <w:r w:rsidRPr="00A16566">
        <w:rPr>
          <w:rStyle w:val="SCCCounselNameChar"/>
        </w:rPr>
        <w:t>Akshay</w:t>
      </w:r>
      <w:proofErr w:type="spellEnd"/>
      <w:r w:rsidRPr="00A16566">
        <w:rPr>
          <w:rStyle w:val="SCCCounselNameChar"/>
        </w:rPr>
        <w:t xml:space="preserve"> Aurora</w:t>
      </w:r>
      <w:r w:rsidRPr="00A16566">
        <w:rPr>
          <w:rStyle w:val="SCCCounselPartyRoleChar"/>
        </w:rPr>
        <w:t xml:space="preserve">, for the intervener </w:t>
      </w:r>
      <w:r w:rsidR="000907CC" w:rsidRPr="00A16566">
        <w:rPr>
          <w:rStyle w:val="SCCCounselPartyRoleChar"/>
        </w:rPr>
        <w:t xml:space="preserve">the </w:t>
      </w:r>
      <w:r w:rsidRPr="00A16566">
        <w:rPr>
          <w:rStyle w:val="SCCCounselPartyRoleChar"/>
        </w:rPr>
        <w:t>Canadian Constitution Foundation.</w:t>
      </w:r>
    </w:p>
    <w:p w14:paraId="061AFBFF" w14:textId="77777777" w:rsidR="00376F9F" w:rsidRPr="00A16566" w:rsidRDefault="003D10FA" w:rsidP="00A84C5D">
      <w:pPr>
        <w:pStyle w:val="SCCNormalDoubleSpacing"/>
        <w:spacing w:after="480"/>
      </w:pPr>
      <w:r w:rsidRPr="00A16566">
        <w:rPr>
          <w:rStyle w:val="SCCCounselNameChar"/>
        </w:rPr>
        <w:tab/>
      </w:r>
      <w:proofErr w:type="spellStart"/>
      <w:r w:rsidRPr="00A16566">
        <w:rPr>
          <w:rStyle w:val="SCCCounselNameChar"/>
        </w:rPr>
        <w:t>Gib</w:t>
      </w:r>
      <w:proofErr w:type="spellEnd"/>
      <w:r w:rsidRPr="00A16566">
        <w:rPr>
          <w:rStyle w:val="SCCCounselNameChar"/>
        </w:rPr>
        <w:t xml:space="preserve"> van </w:t>
      </w:r>
      <w:proofErr w:type="spellStart"/>
      <w:r w:rsidRPr="00A16566">
        <w:rPr>
          <w:rStyle w:val="SCCCounselNameChar"/>
        </w:rPr>
        <w:t>Ert</w:t>
      </w:r>
      <w:proofErr w:type="spellEnd"/>
      <w:r w:rsidRPr="00A16566">
        <w:rPr>
          <w:rStyle w:val="SCCCounselSeparatorChar"/>
        </w:rPr>
        <w:t xml:space="preserve"> and </w:t>
      </w:r>
      <w:r w:rsidRPr="00A16566">
        <w:rPr>
          <w:rStyle w:val="SCCCounselNameChar"/>
        </w:rPr>
        <w:t xml:space="preserve">Dahlia </w:t>
      </w:r>
      <w:proofErr w:type="spellStart"/>
      <w:r w:rsidRPr="00A16566">
        <w:rPr>
          <w:rStyle w:val="SCCCounselNameChar"/>
        </w:rPr>
        <w:t>Shuhaibar</w:t>
      </w:r>
      <w:proofErr w:type="spellEnd"/>
      <w:r w:rsidRPr="00A16566">
        <w:rPr>
          <w:rStyle w:val="SCCCounselPartyRoleChar"/>
        </w:rPr>
        <w:t>, for the intervener</w:t>
      </w:r>
      <w:r w:rsidR="000907CC" w:rsidRPr="00A16566">
        <w:rPr>
          <w:rStyle w:val="SCCCounselPartyRoleChar"/>
        </w:rPr>
        <w:t xml:space="preserve"> the</w:t>
      </w:r>
      <w:r w:rsidRPr="00A16566">
        <w:rPr>
          <w:rStyle w:val="SCCCounselPartyRoleChar"/>
        </w:rPr>
        <w:t xml:space="preserve"> British Columbia Civil Liberties Association.</w:t>
      </w:r>
    </w:p>
    <w:p w14:paraId="0499C3ED" w14:textId="77777777" w:rsidR="00376F9F" w:rsidRPr="00A16566" w:rsidRDefault="003D10FA" w:rsidP="00A84C5D">
      <w:pPr>
        <w:pStyle w:val="SCCNormalDoubleSpacing"/>
        <w:spacing w:after="480"/>
      </w:pPr>
      <w:r w:rsidRPr="00A16566">
        <w:rPr>
          <w:rStyle w:val="SCCCounselNameChar"/>
        </w:rPr>
        <w:tab/>
        <w:t>Leah West</w:t>
      </w:r>
      <w:r w:rsidRPr="00A16566">
        <w:rPr>
          <w:rStyle w:val="SCCCounselSeparatorChar"/>
        </w:rPr>
        <w:t xml:space="preserve"> and </w:t>
      </w:r>
      <w:r w:rsidRPr="00A16566">
        <w:rPr>
          <w:rStyle w:val="SCCCounselNameChar"/>
        </w:rPr>
        <w:t>Solomon Friedman</w:t>
      </w:r>
      <w:r w:rsidRPr="00A16566">
        <w:rPr>
          <w:rStyle w:val="SCCCounselPartyRoleChar"/>
        </w:rPr>
        <w:t xml:space="preserve">, for the intervener </w:t>
      </w:r>
      <w:r w:rsidR="000907CC" w:rsidRPr="00A16566">
        <w:rPr>
          <w:rStyle w:val="SCCCounselPartyRoleChar"/>
        </w:rPr>
        <w:t xml:space="preserve">the </w:t>
      </w:r>
      <w:r w:rsidRPr="00A16566">
        <w:rPr>
          <w:rStyle w:val="SCCCounselPartyRoleChar"/>
        </w:rPr>
        <w:t>Canadian Civil Liberties Association.</w:t>
      </w:r>
    </w:p>
    <w:p w14:paraId="08064CB0" w14:textId="77777777" w:rsidR="00A84C5D" w:rsidRPr="00A16566" w:rsidRDefault="003D10FA" w:rsidP="00A84C5D">
      <w:pPr>
        <w:pStyle w:val="SCCNormalDoubleSpacing"/>
        <w:spacing w:after="480"/>
        <w:rPr>
          <w:rStyle w:val="SCCCounselPartyRoleChar"/>
        </w:rPr>
      </w:pPr>
      <w:r w:rsidRPr="00A16566">
        <w:rPr>
          <w:rStyle w:val="SCCCounselNameChar"/>
        </w:rPr>
        <w:tab/>
        <w:t>Gerald Chan</w:t>
      </w:r>
      <w:r w:rsidRPr="00A16566">
        <w:rPr>
          <w:rStyle w:val="SCCCounselSeparatorChar"/>
        </w:rPr>
        <w:t xml:space="preserve"> and </w:t>
      </w:r>
      <w:r w:rsidRPr="00A16566">
        <w:rPr>
          <w:rStyle w:val="SCCCounselNameChar"/>
        </w:rPr>
        <w:t>Alexandra Heine</w:t>
      </w:r>
      <w:r w:rsidRPr="00A16566">
        <w:rPr>
          <w:rStyle w:val="SCCCounselPartyRoleChar"/>
        </w:rPr>
        <w:t xml:space="preserve">, for the intervener </w:t>
      </w:r>
      <w:r w:rsidR="000907CC" w:rsidRPr="00A16566">
        <w:rPr>
          <w:rStyle w:val="SCCCounselPartyRoleChar"/>
        </w:rPr>
        <w:t xml:space="preserve">the </w:t>
      </w:r>
      <w:r w:rsidRPr="00A16566">
        <w:rPr>
          <w:rStyle w:val="SCCCounselPartyRoleChar"/>
        </w:rPr>
        <w:t>David Asper Centre for Constitutional Rights.</w:t>
      </w:r>
    </w:p>
    <w:p w14:paraId="54CBA8CB" w14:textId="77777777" w:rsidR="00A16566" w:rsidRPr="00A16566" w:rsidRDefault="00A16566" w:rsidP="00A16566">
      <w:pPr>
        <w:tabs>
          <w:tab w:val="left" w:pos="1134"/>
        </w:tabs>
        <w:jc w:val="both"/>
      </w:pPr>
      <w:r w:rsidRPr="00342E50">
        <w:rPr>
          <w:lang w:val="en-US"/>
        </w:rPr>
        <w:tab/>
      </w:r>
      <w:r w:rsidRPr="00A16566">
        <w:t xml:space="preserve">The judgment of Wagner </w:t>
      </w:r>
      <w:proofErr w:type="spellStart"/>
      <w:r w:rsidRPr="00A16566">
        <w:t>C.J</w:t>
      </w:r>
      <w:proofErr w:type="spellEnd"/>
      <w:r w:rsidRPr="00A16566">
        <w:t xml:space="preserve">. and </w:t>
      </w:r>
      <w:proofErr w:type="spellStart"/>
      <w:r w:rsidRPr="00A16566">
        <w:t>Moldaver</w:t>
      </w:r>
      <w:proofErr w:type="spellEnd"/>
      <w:r w:rsidRPr="00A16566">
        <w:t xml:space="preserve">, Côté, </w:t>
      </w:r>
      <w:proofErr w:type="spellStart"/>
      <w:r w:rsidRPr="00A16566">
        <w:t>Kasirer</w:t>
      </w:r>
      <w:proofErr w:type="spellEnd"/>
      <w:r w:rsidRPr="00A16566">
        <w:t xml:space="preserve"> and Jamal </w:t>
      </w:r>
      <w:proofErr w:type="spellStart"/>
      <w:r w:rsidRPr="00A16566">
        <w:t>JJ</w:t>
      </w:r>
      <w:proofErr w:type="spellEnd"/>
      <w:r w:rsidRPr="00A16566">
        <w:t xml:space="preserve">. </w:t>
      </w:r>
      <w:proofErr w:type="gramStart"/>
      <w:r w:rsidRPr="00A16566">
        <w:t>was</w:t>
      </w:r>
      <w:proofErr w:type="gramEnd"/>
      <w:r w:rsidRPr="00A16566">
        <w:t xml:space="preserve"> delivered by</w:t>
      </w:r>
    </w:p>
    <w:p w14:paraId="24175827" w14:textId="77777777" w:rsidR="00A16566" w:rsidRPr="00A16566" w:rsidRDefault="00A16566" w:rsidP="00A16566">
      <w:pPr>
        <w:jc w:val="both"/>
      </w:pPr>
    </w:p>
    <w:p w14:paraId="6807255F" w14:textId="77777777" w:rsidR="00A16566" w:rsidRPr="00A16566" w:rsidRDefault="00A16566" w:rsidP="00A16566">
      <w:pPr>
        <w:pStyle w:val="JudgeJuge"/>
        <w:tabs>
          <w:tab w:val="clear" w:pos="1260"/>
          <w:tab w:val="left" w:pos="1134"/>
        </w:tabs>
      </w:pPr>
      <w:r w:rsidRPr="00A16566">
        <w:tab/>
        <w:t xml:space="preserve">Côté J. — </w:t>
      </w:r>
    </w:p>
    <w:p w14:paraId="7531A29F" w14:textId="77777777" w:rsidR="00A16566" w:rsidRPr="00A16566" w:rsidRDefault="00A16566" w:rsidP="00A16566">
      <w:pPr>
        <w:pStyle w:val="Title1LevelTitre1Niveau-AltL"/>
        <w:numPr>
          <w:ilvl w:val="0"/>
          <w:numId w:val="8"/>
        </w:numPr>
        <w:rPr>
          <w:rFonts w:cs="Times New Roman"/>
        </w:rPr>
      </w:pPr>
      <w:r w:rsidRPr="00A16566">
        <w:rPr>
          <w:rFonts w:cs="Times New Roman"/>
        </w:rPr>
        <w:t>Overview</w:t>
      </w:r>
    </w:p>
    <w:p w14:paraId="0C38AA4C" w14:textId="77777777" w:rsidR="00A16566" w:rsidRPr="00A16566" w:rsidRDefault="00A16566" w:rsidP="00A16566">
      <w:pPr>
        <w:pStyle w:val="ParaNoNdepar-AltN"/>
        <w:rPr>
          <w:rFonts w:cs="Times New Roman"/>
        </w:rPr>
      </w:pPr>
      <w:r w:rsidRPr="00A16566">
        <w:rPr>
          <w:rFonts w:cs="Times New Roman"/>
        </w:rPr>
        <w:t>This appeal arises from a criminal investigation conducted by the Canadian Forces National Investigation Service (“</w:t>
      </w:r>
      <w:proofErr w:type="spellStart"/>
      <w:r w:rsidRPr="00A16566">
        <w:rPr>
          <w:rFonts w:cs="Times New Roman"/>
        </w:rPr>
        <w:t>CFNIS</w:t>
      </w:r>
      <w:proofErr w:type="spellEnd"/>
      <w:r w:rsidRPr="00A16566">
        <w:rPr>
          <w:rFonts w:cs="Times New Roman"/>
        </w:rPr>
        <w:t xml:space="preserve">”) in the Commonwealth of Virginia in the United States. The subject of the investigation, Cpl. McGregor, argues that the search and seizure of his electronic devices contravened s. 8 of the </w:t>
      </w:r>
      <w:r w:rsidRPr="00A16566">
        <w:rPr>
          <w:rFonts w:cs="Times New Roman"/>
          <w:i/>
        </w:rPr>
        <w:t>Canadian Charter of Rights and Freedoms</w:t>
      </w:r>
      <w:r w:rsidRPr="00A16566">
        <w:rPr>
          <w:rFonts w:cs="Times New Roman"/>
        </w:rPr>
        <w:t>, and he seeks to exclude the evidence obtained from them.</w:t>
      </w:r>
    </w:p>
    <w:p w14:paraId="74E9D4E3" w14:textId="77777777" w:rsidR="00A16566" w:rsidRPr="00A16566" w:rsidRDefault="00A16566" w:rsidP="00A16566">
      <w:pPr>
        <w:pStyle w:val="ParaNoNdepar-AltN"/>
        <w:rPr>
          <w:rFonts w:cs="Times New Roman"/>
        </w:rPr>
      </w:pPr>
      <w:r w:rsidRPr="00A16566">
        <w:rPr>
          <w:rFonts w:cs="Times New Roman"/>
        </w:rPr>
        <w:t xml:space="preserve">In the Court Martial, Cpl. McGregor brought a motion to exclude the impugned evidence under s. 24(2) of the </w:t>
      </w:r>
      <w:r w:rsidRPr="00A16566">
        <w:rPr>
          <w:rFonts w:cs="Times New Roman"/>
          <w:i/>
        </w:rPr>
        <w:t>Charter</w:t>
      </w:r>
      <w:r w:rsidRPr="00A16566">
        <w:rPr>
          <w:rFonts w:cs="Times New Roman"/>
        </w:rPr>
        <w:t>. He was unsuccessful. The military judge convicted him on counts of voyeurism, possession of a device for surreptitious interception of private communications, sexual assault, and disgraceful conduct. That decision was affirmed by the Court Martial Appeal Court.</w:t>
      </w:r>
    </w:p>
    <w:p w14:paraId="4998F9E8" w14:textId="77777777" w:rsidR="00A16566" w:rsidRPr="00A16566" w:rsidRDefault="00A16566" w:rsidP="00A16566">
      <w:pPr>
        <w:pStyle w:val="ParaNoNdepar-AltN"/>
        <w:rPr>
          <w:rFonts w:cs="Times New Roman"/>
        </w:rPr>
      </w:pPr>
      <w:r w:rsidRPr="00A16566">
        <w:rPr>
          <w:rFonts w:cs="Times New Roman"/>
        </w:rPr>
        <w:t xml:space="preserve">In this appeal, the Court is invited to examine the extraterritorial application of the </w:t>
      </w:r>
      <w:r w:rsidRPr="00A16566">
        <w:rPr>
          <w:rFonts w:cs="Times New Roman"/>
          <w:i/>
        </w:rPr>
        <w:t xml:space="preserve">Charter </w:t>
      </w:r>
      <w:r w:rsidRPr="00A16566">
        <w:rPr>
          <w:rFonts w:cs="Times New Roman"/>
        </w:rPr>
        <w:t>pursuant to</w:t>
      </w:r>
      <w:r w:rsidRPr="00A16566">
        <w:rPr>
          <w:rFonts w:cs="Times New Roman"/>
          <w:i/>
        </w:rPr>
        <w:t xml:space="preserve"> </w:t>
      </w:r>
      <w:r w:rsidRPr="00A16566">
        <w:rPr>
          <w:rFonts w:cs="Times New Roman"/>
        </w:rPr>
        <w:t xml:space="preserve">s. 32(1) of the </w:t>
      </w:r>
      <w:r w:rsidRPr="00A16566">
        <w:rPr>
          <w:rFonts w:cs="Times New Roman"/>
          <w:i/>
        </w:rPr>
        <w:t>Charter</w:t>
      </w:r>
      <w:r w:rsidRPr="00A16566">
        <w:rPr>
          <w:rFonts w:cs="Times New Roman"/>
        </w:rPr>
        <w:t xml:space="preserve">. Both parties rely on this Court’s decision in </w:t>
      </w:r>
      <w:r w:rsidRPr="00A16566">
        <w:rPr>
          <w:rFonts w:cs="Times New Roman"/>
          <w:i/>
        </w:rPr>
        <w:t xml:space="preserve">R. v. </w:t>
      </w:r>
      <w:proofErr w:type="spellStart"/>
      <w:r w:rsidRPr="00A16566">
        <w:rPr>
          <w:rFonts w:cs="Times New Roman"/>
          <w:i/>
        </w:rPr>
        <w:t>Hape</w:t>
      </w:r>
      <w:proofErr w:type="spellEnd"/>
      <w:r w:rsidRPr="00A16566">
        <w:rPr>
          <w:rFonts w:cs="Times New Roman"/>
        </w:rPr>
        <w:t xml:space="preserve">, 2007 SCC 26, [2007] 2 </w:t>
      </w:r>
      <w:proofErr w:type="spellStart"/>
      <w:r w:rsidRPr="00A16566">
        <w:rPr>
          <w:rFonts w:cs="Times New Roman"/>
        </w:rPr>
        <w:t>S.C.R</w:t>
      </w:r>
      <w:proofErr w:type="spellEnd"/>
      <w:r w:rsidRPr="00A16566">
        <w:rPr>
          <w:rFonts w:cs="Times New Roman"/>
        </w:rPr>
        <w:t xml:space="preserve">. 292, which is the governing authority on the territorial reach and limits of the </w:t>
      </w:r>
      <w:r w:rsidRPr="00A16566">
        <w:rPr>
          <w:rFonts w:cs="Times New Roman"/>
          <w:i/>
        </w:rPr>
        <w:t>Charter</w:t>
      </w:r>
      <w:r w:rsidRPr="00A16566">
        <w:rPr>
          <w:rFonts w:cs="Times New Roman"/>
        </w:rPr>
        <w:t xml:space="preserve">. Cpl. McGregor takes the position that the </w:t>
      </w:r>
      <w:r w:rsidRPr="00A16566">
        <w:rPr>
          <w:rFonts w:cs="Times New Roman"/>
          <w:i/>
        </w:rPr>
        <w:t xml:space="preserve">Charter </w:t>
      </w:r>
      <w:r w:rsidRPr="00A16566">
        <w:rPr>
          <w:rFonts w:cs="Times New Roman"/>
        </w:rPr>
        <w:t xml:space="preserve">applied to the actions of the </w:t>
      </w:r>
      <w:proofErr w:type="spellStart"/>
      <w:r w:rsidRPr="00A16566">
        <w:rPr>
          <w:rFonts w:cs="Times New Roman"/>
        </w:rPr>
        <w:t>CFNIS</w:t>
      </w:r>
      <w:proofErr w:type="spellEnd"/>
      <w:r w:rsidRPr="00A16566">
        <w:rPr>
          <w:rFonts w:cs="Times New Roman"/>
        </w:rPr>
        <w:t xml:space="preserve">, whereas the Crown argues that </w:t>
      </w:r>
      <w:proofErr w:type="spellStart"/>
      <w:r w:rsidRPr="00A16566">
        <w:rPr>
          <w:rFonts w:cs="Times New Roman"/>
          <w:i/>
        </w:rPr>
        <w:t>Hape</w:t>
      </w:r>
      <w:proofErr w:type="spellEnd"/>
      <w:r w:rsidRPr="00A16566">
        <w:rPr>
          <w:rFonts w:cs="Times New Roman"/>
        </w:rPr>
        <w:t xml:space="preserve"> dictates the opposite outcome. For their part, the interveners have focused their submissions on whether the </w:t>
      </w:r>
      <w:proofErr w:type="spellStart"/>
      <w:r w:rsidRPr="00A16566">
        <w:rPr>
          <w:rFonts w:cs="Times New Roman"/>
          <w:i/>
        </w:rPr>
        <w:t>Hape</w:t>
      </w:r>
      <w:proofErr w:type="spellEnd"/>
      <w:r w:rsidRPr="00A16566">
        <w:rPr>
          <w:rFonts w:cs="Times New Roman"/>
          <w:i/>
        </w:rPr>
        <w:t xml:space="preserve"> </w:t>
      </w:r>
      <w:r w:rsidRPr="00A16566">
        <w:rPr>
          <w:rFonts w:cs="Times New Roman"/>
        </w:rPr>
        <w:t>framework</w:t>
      </w:r>
      <w:r w:rsidRPr="00A16566">
        <w:rPr>
          <w:rFonts w:cs="Times New Roman"/>
          <w:i/>
        </w:rPr>
        <w:t xml:space="preserve"> </w:t>
      </w:r>
      <w:r w:rsidRPr="00A16566">
        <w:rPr>
          <w:rFonts w:cs="Times New Roman"/>
        </w:rPr>
        <w:t>should be reaffirmed, modified, or overruled.</w:t>
      </w:r>
    </w:p>
    <w:p w14:paraId="0CB8136C" w14:textId="77777777" w:rsidR="00A16566" w:rsidRPr="00A16566" w:rsidRDefault="00A16566" w:rsidP="00A16566">
      <w:pPr>
        <w:pStyle w:val="ParaNoNdepar-AltN"/>
        <w:rPr>
          <w:rFonts w:cs="Times New Roman"/>
        </w:rPr>
      </w:pPr>
      <w:r w:rsidRPr="00A16566">
        <w:rPr>
          <w:rFonts w:cs="Times New Roman"/>
        </w:rPr>
        <w:t xml:space="preserve">In the final analysis, I find it unnecessary to deal with the issue of extraterritoriality to dispose of this appeal. This is so because the </w:t>
      </w:r>
      <w:proofErr w:type="spellStart"/>
      <w:r w:rsidRPr="00A16566">
        <w:rPr>
          <w:rFonts w:cs="Times New Roman"/>
        </w:rPr>
        <w:t>CFNIS</w:t>
      </w:r>
      <w:proofErr w:type="spellEnd"/>
      <w:r w:rsidRPr="00A16566">
        <w:rPr>
          <w:rFonts w:cs="Times New Roman"/>
        </w:rPr>
        <w:t xml:space="preserve"> did not violate the </w:t>
      </w:r>
      <w:r w:rsidRPr="00A16566">
        <w:rPr>
          <w:rFonts w:cs="Times New Roman"/>
          <w:i/>
        </w:rPr>
        <w:t>Charter</w:t>
      </w:r>
      <w:r w:rsidRPr="00A16566">
        <w:rPr>
          <w:rFonts w:cs="Times New Roman"/>
        </w:rPr>
        <w:t xml:space="preserve">. Working within the constraints of its authority in Virginia, the </w:t>
      </w:r>
      <w:proofErr w:type="spellStart"/>
      <w:r w:rsidRPr="00A16566">
        <w:rPr>
          <w:rFonts w:cs="Times New Roman"/>
        </w:rPr>
        <w:t>CFNIS</w:t>
      </w:r>
      <w:proofErr w:type="spellEnd"/>
      <w:r w:rsidRPr="00A16566">
        <w:rPr>
          <w:rFonts w:cs="Times New Roman"/>
        </w:rPr>
        <w:t xml:space="preserve"> sought the cooperation of local authorities to obtain and execute a warrant under Virginia law. The warrant which issued authorized the search, seizure, and analysis of Cpl. McGregor’s electronic devices expressly. The evidence of sexual assault was discovered inadvertently by the investigators in the process of triaging the devices at the scene of the search; its incriminating nature was immediately apparent. Although the warrant did not contemplate such evidence, the digital files in issue fell squarely within the purview of the plain view doctrine. Furthermore, the </w:t>
      </w:r>
      <w:proofErr w:type="spellStart"/>
      <w:r w:rsidRPr="00A16566">
        <w:rPr>
          <w:rFonts w:cs="Times New Roman"/>
        </w:rPr>
        <w:t>CFNIS</w:t>
      </w:r>
      <w:proofErr w:type="spellEnd"/>
      <w:r w:rsidRPr="00A16566">
        <w:rPr>
          <w:rFonts w:cs="Times New Roman"/>
        </w:rPr>
        <w:t xml:space="preserve"> obtained Canadian warrants before conducting an in</w:t>
      </w:r>
      <w:r w:rsidRPr="00A16566">
        <w:rPr>
          <w:rFonts w:cs="Times New Roman"/>
        </w:rPr>
        <w:noBreakHyphen/>
        <w:t xml:space="preserve">depth analysis of these devices. It is difficult to see how the </w:t>
      </w:r>
      <w:proofErr w:type="spellStart"/>
      <w:r w:rsidRPr="00A16566">
        <w:rPr>
          <w:rFonts w:cs="Times New Roman"/>
        </w:rPr>
        <w:t>CFNIS</w:t>
      </w:r>
      <w:proofErr w:type="spellEnd"/>
      <w:r w:rsidRPr="00A16566">
        <w:rPr>
          <w:rFonts w:cs="Times New Roman"/>
        </w:rPr>
        <w:t xml:space="preserve"> investigators could have acted differently to attain their legitimate investigative objectives. I conclude that they did not infringe Cpl. McGregor’s rights under s. 8 of the </w:t>
      </w:r>
      <w:r w:rsidRPr="00A16566">
        <w:rPr>
          <w:rFonts w:cs="Times New Roman"/>
          <w:i/>
        </w:rPr>
        <w:t>Charter</w:t>
      </w:r>
      <w:r w:rsidRPr="00A16566">
        <w:rPr>
          <w:rFonts w:cs="Times New Roman"/>
        </w:rPr>
        <w:t>.</w:t>
      </w:r>
    </w:p>
    <w:p w14:paraId="0CCDDD6B" w14:textId="77777777" w:rsidR="00A16566" w:rsidRPr="00A16566" w:rsidRDefault="00A16566" w:rsidP="00A16566">
      <w:pPr>
        <w:pStyle w:val="ParaNoNdepar-AltN"/>
        <w:rPr>
          <w:rFonts w:cs="Times New Roman"/>
        </w:rPr>
      </w:pPr>
      <w:r w:rsidRPr="00A16566">
        <w:rPr>
          <w:rFonts w:cs="Times New Roman"/>
        </w:rPr>
        <w:t xml:space="preserve">This is not the right case for any reconsideration of the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framework. In light of my conclusion that the actions of the </w:t>
      </w:r>
      <w:proofErr w:type="spellStart"/>
      <w:r w:rsidRPr="00A16566">
        <w:rPr>
          <w:rFonts w:cs="Times New Roman"/>
        </w:rPr>
        <w:t>CFNIS</w:t>
      </w:r>
      <w:proofErr w:type="spellEnd"/>
      <w:r w:rsidRPr="00A16566">
        <w:rPr>
          <w:rFonts w:cs="Times New Roman"/>
        </w:rPr>
        <w:t xml:space="preserve"> conformed to the </w:t>
      </w:r>
      <w:r w:rsidRPr="00A16566">
        <w:rPr>
          <w:rFonts w:cs="Times New Roman"/>
          <w:i/>
        </w:rPr>
        <w:t>Charter</w:t>
      </w:r>
      <w:r w:rsidRPr="00A16566">
        <w:rPr>
          <w:rFonts w:cs="Times New Roman"/>
        </w:rPr>
        <w:t xml:space="preserve">, reconsidering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would make no difference to the outcome of this appeal. Furthermore, the parties have not asked this Court to reconsider </w:t>
      </w:r>
      <w:proofErr w:type="spellStart"/>
      <w:r w:rsidRPr="00A16566">
        <w:rPr>
          <w:rFonts w:cs="Times New Roman"/>
          <w:i/>
        </w:rPr>
        <w:t>Hape</w:t>
      </w:r>
      <w:proofErr w:type="spellEnd"/>
      <w:r w:rsidRPr="00A16566">
        <w:rPr>
          <w:rFonts w:cs="Times New Roman"/>
        </w:rPr>
        <w:t xml:space="preserve">, but rather, as noted above, have based their submissions on how it should apply to the facts of this case. Therefore, I do not decide below whether the </w:t>
      </w:r>
      <w:r w:rsidRPr="00A16566">
        <w:rPr>
          <w:rFonts w:cs="Times New Roman"/>
          <w:i/>
        </w:rPr>
        <w:t xml:space="preserve">Charter </w:t>
      </w:r>
      <w:r w:rsidRPr="00A16566">
        <w:rPr>
          <w:rFonts w:cs="Times New Roman"/>
        </w:rPr>
        <w:t>applies in this case; instead, I show that even if it were to apply, I would still dismiss the appeal.</w:t>
      </w:r>
    </w:p>
    <w:p w14:paraId="50B41AC7" w14:textId="77777777" w:rsidR="00A16566" w:rsidRPr="00A16566" w:rsidRDefault="00A16566" w:rsidP="00A16566">
      <w:pPr>
        <w:pStyle w:val="Title1LevelTitre1Niveau-AltL"/>
        <w:numPr>
          <w:ilvl w:val="0"/>
          <w:numId w:val="8"/>
        </w:numPr>
        <w:rPr>
          <w:rFonts w:cs="Times New Roman"/>
        </w:rPr>
      </w:pPr>
      <w:r w:rsidRPr="00A16566">
        <w:rPr>
          <w:rFonts w:cs="Times New Roman"/>
        </w:rPr>
        <w:t>Background</w:t>
      </w:r>
    </w:p>
    <w:p w14:paraId="28741405" w14:textId="77777777" w:rsidR="00A16566" w:rsidRPr="00A16566" w:rsidRDefault="00A16566" w:rsidP="00A16566">
      <w:pPr>
        <w:pStyle w:val="ParaNoNdepar-AltN"/>
        <w:rPr>
          <w:rFonts w:cs="Times New Roman"/>
        </w:rPr>
      </w:pPr>
      <w:r w:rsidRPr="00A16566">
        <w:rPr>
          <w:rFonts w:cs="Times New Roman"/>
        </w:rPr>
        <w:t>Between August 2015 and March 2017, Cpl. McGregor was a non</w:t>
      </w:r>
      <w:r w:rsidRPr="00A16566">
        <w:rPr>
          <w:rFonts w:cs="Times New Roman"/>
        </w:rPr>
        <w:noBreakHyphen/>
        <w:t xml:space="preserve">commissioned member of the regular Canadian Armed Forces posted to the Canadian Defence Liaison Staff at the Canadian Embassy in Washington, D.C. By virtue of his position in the United States, Cpl. McGregor held diplomatic agent status with immunity in respect of his person, property, and residence pursuant to the </w:t>
      </w:r>
      <w:r w:rsidRPr="00A16566">
        <w:rPr>
          <w:rFonts w:cs="Times New Roman"/>
          <w:i/>
        </w:rPr>
        <w:t>Vienna Convention on Diplomatic Relations</w:t>
      </w:r>
      <w:r w:rsidRPr="00A16566">
        <w:rPr>
          <w:rFonts w:cs="Times New Roman"/>
        </w:rPr>
        <w:t xml:space="preserve">, Can. </w:t>
      </w:r>
      <w:proofErr w:type="spellStart"/>
      <w:r w:rsidRPr="00A16566">
        <w:rPr>
          <w:rFonts w:cs="Times New Roman"/>
        </w:rPr>
        <w:t>T.S</w:t>
      </w:r>
      <w:proofErr w:type="spellEnd"/>
      <w:r w:rsidRPr="00A16566">
        <w:rPr>
          <w:rFonts w:cs="Times New Roman"/>
        </w:rPr>
        <w:t>. 1966 No. 29.</w:t>
      </w:r>
    </w:p>
    <w:p w14:paraId="0830C17C" w14:textId="77777777" w:rsidR="00A16566" w:rsidRPr="00A16566" w:rsidRDefault="00A16566" w:rsidP="00A16566">
      <w:pPr>
        <w:pStyle w:val="ParaNoNdepar-AltN"/>
        <w:rPr>
          <w:rFonts w:cs="Times New Roman"/>
        </w:rPr>
      </w:pPr>
      <w:r w:rsidRPr="00A16566">
        <w:rPr>
          <w:rFonts w:cs="Times New Roman"/>
        </w:rPr>
        <w:t xml:space="preserve">In 2017, another member of the Canadian Armed Forces posted in Washington, D.C., discovered two audio recording devices in her residence. She believed that Cpl. McGregor had placed them there, and she reported the discovery to her chain of command. Upon investigating the matter, the </w:t>
      </w:r>
      <w:proofErr w:type="spellStart"/>
      <w:r w:rsidRPr="00A16566">
        <w:rPr>
          <w:rFonts w:cs="Times New Roman"/>
        </w:rPr>
        <w:t>CFNIS</w:t>
      </w:r>
      <w:proofErr w:type="spellEnd"/>
      <w:r w:rsidRPr="00A16566">
        <w:rPr>
          <w:rFonts w:cs="Times New Roman"/>
        </w:rPr>
        <w:t xml:space="preserve"> concluded that there were reasonable grounds to believe Cpl. McGregor had committed the offences of voyeurism and possession of a device for surreptitious interception of private communications.</w:t>
      </w:r>
    </w:p>
    <w:p w14:paraId="517B7854" w14:textId="77777777" w:rsidR="00A16566" w:rsidRPr="00A16566" w:rsidRDefault="00A16566" w:rsidP="00A16566">
      <w:pPr>
        <w:pStyle w:val="ParaNoNdepar-AltN"/>
        <w:rPr>
          <w:rFonts w:cs="Times New Roman"/>
        </w:rPr>
      </w:pPr>
      <w:r w:rsidRPr="00A16566">
        <w:rPr>
          <w:rFonts w:cs="Times New Roman"/>
        </w:rPr>
        <w:t xml:space="preserve">The Commanding Officer could not issue a warrant under s. 273.3 of the </w:t>
      </w:r>
      <w:r w:rsidRPr="00A16566">
        <w:rPr>
          <w:rFonts w:cs="Times New Roman"/>
          <w:i/>
        </w:rPr>
        <w:t>National Defence Act</w:t>
      </w:r>
      <w:r w:rsidRPr="00A16566">
        <w:rPr>
          <w:rFonts w:cs="Times New Roman"/>
        </w:rPr>
        <w:t xml:space="preserve">, </w:t>
      </w:r>
      <w:proofErr w:type="spellStart"/>
      <w:r w:rsidRPr="00A16566">
        <w:rPr>
          <w:rFonts w:cs="Times New Roman"/>
        </w:rPr>
        <w:t>R.S.C</w:t>
      </w:r>
      <w:proofErr w:type="spellEnd"/>
      <w:r w:rsidRPr="00A16566">
        <w:rPr>
          <w:rFonts w:cs="Times New Roman"/>
        </w:rPr>
        <w:t>. 1985, c. N</w:t>
      </w:r>
      <w:r w:rsidRPr="00A16566">
        <w:rPr>
          <w:rFonts w:cs="Times New Roman"/>
        </w:rPr>
        <w:noBreakHyphen/>
        <w:t>5,</w:t>
      </w:r>
      <w:r w:rsidRPr="00A16566">
        <w:rPr>
          <w:rFonts w:cs="Times New Roman"/>
          <w:i/>
        </w:rPr>
        <w:t xml:space="preserve"> </w:t>
      </w:r>
      <w:r w:rsidRPr="00A16566">
        <w:rPr>
          <w:rFonts w:cs="Times New Roman"/>
        </w:rPr>
        <w:t xml:space="preserve">to authorize the search of Cpl. McGregor’s residence, as it was not located on the property of the Canadian Armed Forces. </w:t>
      </w:r>
      <w:proofErr w:type="spellStart"/>
      <w:r w:rsidRPr="00A16566">
        <w:rPr>
          <w:rFonts w:cs="Times New Roman"/>
        </w:rPr>
        <w:t>M.CPl</w:t>
      </w:r>
      <w:proofErr w:type="spellEnd"/>
      <w:r w:rsidRPr="00A16566">
        <w:rPr>
          <w:rFonts w:cs="Times New Roman"/>
        </w:rPr>
        <w:t>. </w:t>
      </w:r>
      <w:proofErr w:type="spellStart"/>
      <w:r w:rsidRPr="00A16566">
        <w:rPr>
          <w:rFonts w:cs="Times New Roman"/>
        </w:rPr>
        <w:t>Patridge</w:t>
      </w:r>
      <w:proofErr w:type="spellEnd"/>
      <w:r w:rsidRPr="00A16566">
        <w:rPr>
          <w:rFonts w:cs="Times New Roman"/>
          <w:lang w:val="en"/>
        </w:rPr>
        <w:t xml:space="preserve">, the lead </w:t>
      </w:r>
      <w:proofErr w:type="spellStart"/>
      <w:r w:rsidRPr="00A16566">
        <w:rPr>
          <w:rFonts w:cs="Times New Roman"/>
          <w:lang w:val="en"/>
        </w:rPr>
        <w:t>CFNIS</w:t>
      </w:r>
      <w:proofErr w:type="spellEnd"/>
      <w:r w:rsidRPr="00A16566">
        <w:rPr>
          <w:rFonts w:cs="Times New Roman"/>
          <w:lang w:val="en"/>
        </w:rPr>
        <w:t xml:space="preserve"> investigator, sought the assistance of the Alexandria Police Department for the purpose of obtaining a warrant under Virginia law authorizing the search of Cpl. McGregor’s residence in Alexandria.</w:t>
      </w:r>
    </w:p>
    <w:p w14:paraId="08C416E5" w14:textId="77777777" w:rsidR="00A16566" w:rsidRPr="00A16566" w:rsidRDefault="00A16566" w:rsidP="00A16566">
      <w:pPr>
        <w:pStyle w:val="ParaNoNdepar-AltN"/>
        <w:rPr>
          <w:rFonts w:cs="Times New Roman"/>
        </w:rPr>
      </w:pPr>
      <w:r w:rsidRPr="00A16566">
        <w:rPr>
          <w:rFonts w:cs="Times New Roman"/>
          <w:lang w:val="en"/>
        </w:rPr>
        <w:t xml:space="preserve">The Alexandria Police Department advised the </w:t>
      </w:r>
      <w:proofErr w:type="spellStart"/>
      <w:r w:rsidRPr="00A16566">
        <w:rPr>
          <w:rFonts w:cs="Times New Roman"/>
          <w:lang w:val="en"/>
        </w:rPr>
        <w:t>CFNIS</w:t>
      </w:r>
      <w:proofErr w:type="spellEnd"/>
      <w:r w:rsidRPr="00A16566">
        <w:rPr>
          <w:rFonts w:cs="Times New Roman"/>
          <w:lang w:val="en"/>
        </w:rPr>
        <w:t xml:space="preserve"> that it could not apply for a warrant due to Cpl. McGregor’s diplomatic immunity under</w:t>
      </w:r>
      <w:r w:rsidRPr="00A16566">
        <w:rPr>
          <w:rFonts w:cs="Times New Roman"/>
        </w:rPr>
        <w:t xml:space="preserve"> the </w:t>
      </w:r>
      <w:r w:rsidRPr="00A16566">
        <w:rPr>
          <w:rFonts w:cs="Times New Roman"/>
          <w:i/>
        </w:rPr>
        <w:t>Vienna Convention</w:t>
      </w:r>
      <w:r w:rsidRPr="00A16566">
        <w:rPr>
          <w:rFonts w:cs="Times New Roman"/>
          <w:lang w:val="en"/>
        </w:rPr>
        <w:t xml:space="preserve">. This led to the issuance of </w:t>
      </w:r>
      <w:r w:rsidRPr="00A16566">
        <w:rPr>
          <w:rFonts w:cs="Times New Roman"/>
        </w:rPr>
        <w:t>a diplomatic note to the American Department of State, in which the Canadian Embassy acknowledged that the “</w:t>
      </w:r>
      <w:proofErr w:type="spellStart"/>
      <w:r w:rsidRPr="00A16566">
        <w:rPr>
          <w:rFonts w:cs="Times New Roman"/>
        </w:rPr>
        <w:t>CFNIS</w:t>
      </w:r>
      <w:proofErr w:type="spellEnd"/>
      <w:r w:rsidRPr="00A16566">
        <w:rPr>
          <w:rFonts w:cs="Times New Roman"/>
        </w:rPr>
        <w:t xml:space="preserve"> is cooperating with local authorities in Virginia and would like to seek a search warrant to enter Corporal McGregor’s staff quarters in the company of local police to obtain evidence for the purposes of their investigation” (</w:t>
      </w:r>
      <w:proofErr w:type="spellStart"/>
      <w:r w:rsidRPr="00A16566">
        <w:rPr>
          <w:rFonts w:cs="Times New Roman"/>
        </w:rPr>
        <w:t>A.R</w:t>
      </w:r>
      <w:proofErr w:type="spellEnd"/>
      <w:r w:rsidRPr="00A16566">
        <w:rPr>
          <w:rFonts w:cs="Times New Roman"/>
        </w:rPr>
        <w:t xml:space="preserve">., vol. I, at p. 128). In the note, the Embassy waived Cpl. McGregor’s immunity with respect to his “private residence, as well as his papers, correspondence and property”, pursuant to Article 30 of the </w:t>
      </w:r>
      <w:r w:rsidRPr="00A16566">
        <w:rPr>
          <w:rFonts w:cs="Times New Roman"/>
          <w:i/>
        </w:rPr>
        <w:t>Vienna Convention</w:t>
      </w:r>
      <w:r w:rsidRPr="00A16566">
        <w:rPr>
          <w:rFonts w:cs="Times New Roman"/>
        </w:rPr>
        <w:t>, but it expressly retained his “personal inviolability and immunity from arrest or detention” (p. 128).</w:t>
      </w:r>
    </w:p>
    <w:p w14:paraId="65AF03A4" w14:textId="77777777" w:rsidR="00A16566" w:rsidRPr="00A16566" w:rsidRDefault="00A16566" w:rsidP="00A16566">
      <w:pPr>
        <w:pStyle w:val="ParaNoNdepar-AltN"/>
        <w:rPr>
          <w:rFonts w:cs="Times New Roman"/>
        </w:rPr>
      </w:pPr>
      <w:r w:rsidRPr="00A16566">
        <w:rPr>
          <w:rFonts w:cs="Times New Roman"/>
        </w:rPr>
        <w:t>With the waiver of diplomatic immunity in hand, t</w:t>
      </w:r>
      <w:r w:rsidRPr="00A16566">
        <w:rPr>
          <w:rFonts w:cs="Times New Roman"/>
          <w:lang w:val="en"/>
        </w:rPr>
        <w:t>he Alexandria Police Department obtained a warrant from a local magistrate under the law of Virginia. The warrant authorized the search of Cpl. McGregor’s residence in Alexandria as well as objects found therein — including electronic devices. The warrant further authorized the analysis of seized items.</w:t>
      </w:r>
    </w:p>
    <w:p w14:paraId="062B8A1E" w14:textId="77777777" w:rsidR="00A16566" w:rsidRPr="00A16566" w:rsidRDefault="00A16566" w:rsidP="00A16566">
      <w:pPr>
        <w:pStyle w:val="ParaNoNdepar-AltN"/>
        <w:rPr>
          <w:rFonts w:cs="Times New Roman"/>
        </w:rPr>
      </w:pPr>
      <w:r w:rsidRPr="00A16566">
        <w:rPr>
          <w:rFonts w:cs="Times New Roman"/>
          <w:lang w:val="en"/>
        </w:rPr>
        <w:t xml:space="preserve">On February 16, 2017, three </w:t>
      </w:r>
      <w:proofErr w:type="spellStart"/>
      <w:r w:rsidRPr="00A16566">
        <w:rPr>
          <w:rFonts w:cs="Times New Roman"/>
          <w:lang w:val="en"/>
        </w:rPr>
        <w:t>CFNIS</w:t>
      </w:r>
      <w:proofErr w:type="spellEnd"/>
      <w:r w:rsidRPr="00A16566">
        <w:rPr>
          <w:rFonts w:cs="Times New Roman"/>
          <w:lang w:val="en"/>
        </w:rPr>
        <w:t xml:space="preserve"> members and the Alexandria Police Department executed the search warrant. The Alexandria Police Department breached the door, secured the premises, and invited the </w:t>
      </w:r>
      <w:proofErr w:type="spellStart"/>
      <w:r w:rsidRPr="00A16566">
        <w:rPr>
          <w:rFonts w:cs="Times New Roman"/>
          <w:lang w:val="en"/>
        </w:rPr>
        <w:t>CFNIS</w:t>
      </w:r>
      <w:proofErr w:type="spellEnd"/>
      <w:r w:rsidRPr="00A16566">
        <w:rPr>
          <w:rFonts w:cs="Times New Roman"/>
          <w:lang w:val="en"/>
        </w:rPr>
        <w:t xml:space="preserve"> officers to conduct the search. The latter</w:t>
      </w:r>
      <w:r w:rsidRPr="00A16566">
        <w:rPr>
          <w:rFonts w:cs="Times New Roman"/>
        </w:rPr>
        <w:t xml:space="preserve"> took control of the search. </w:t>
      </w:r>
      <w:r w:rsidRPr="00A16566">
        <w:rPr>
          <w:rFonts w:cs="Times New Roman"/>
          <w:lang w:val="en"/>
        </w:rPr>
        <w:t xml:space="preserve">Two forensic investigators, one from the </w:t>
      </w:r>
      <w:proofErr w:type="spellStart"/>
      <w:r w:rsidRPr="00A16566">
        <w:rPr>
          <w:rFonts w:cs="Times New Roman"/>
          <w:lang w:val="en"/>
        </w:rPr>
        <w:t>CFNIS</w:t>
      </w:r>
      <w:proofErr w:type="spellEnd"/>
      <w:r w:rsidRPr="00A16566">
        <w:rPr>
          <w:rFonts w:cs="Times New Roman"/>
          <w:lang w:val="en"/>
        </w:rPr>
        <w:t xml:space="preserve"> and one from the Alexandria Police Department, triaged most of the electronic devices found in the residence, scanning their contents to determine which items to seize.</w:t>
      </w:r>
    </w:p>
    <w:p w14:paraId="4F5E44B7" w14:textId="77777777" w:rsidR="00A16566" w:rsidRPr="00A16566" w:rsidRDefault="00A16566" w:rsidP="00A16566">
      <w:pPr>
        <w:pStyle w:val="ParaNoNdepar-AltN"/>
        <w:rPr>
          <w:rFonts w:cs="Times New Roman"/>
        </w:rPr>
      </w:pPr>
      <w:r w:rsidRPr="00A16566">
        <w:rPr>
          <w:rFonts w:cs="Times New Roman"/>
        </w:rPr>
        <w:t>In the triage process, the investigators discovered evidence relating to unforeseen offences — namely sexual assault and what they believed to be child pornography.</w:t>
      </w:r>
      <w:r w:rsidRPr="00045352">
        <w:rPr>
          <w:rStyle w:val="Hyperlink"/>
          <w:vertAlign w:val="superscript"/>
        </w:rPr>
        <w:footnoteReference w:id="2"/>
      </w:r>
      <w:r w:rsidRPr="00A16566">
        <w:rPr>
          <w:rFonts w:cs="Times New Roman"/>
        </w:rPr>
        <w:t xml:space="preserve"> </w:t>
      </w:r>
      <w:proofErr w:type="spellStart"/>
      <w:r w:rsidRPr="00A16566">
        <w:rPr>
          <w:rFonts w:cs="Times New Roman"/>
        </w:rPr>
        <w:t>CFNIS’s</w:t>
      </w:r>
      <w:proofErr w:type="spellEnd"/>
      <w:r w:rsidRPr="00A16566">
        <w:rPr>
          <w:rFonts w:cs="Times New Roman"/>
        </w:rPr>
        <w:t xml:space="preserve"> forensic investigator, Lieut. Rioux, saw a video file depicting Cpl. McGregor filming himself while sexually touching a woman who appeared to be lying unconscious on a floor.</w:t>
      </w:r>
    </w:p>
    <w:p w14:paraId="6E7EF393" w14:textId="77777777" w:rsidR="00A16566" w:rsidRPr="00A16566" w:rsidRDefault="00A16566" w:rsidP="00A16566">
      <w:pPr>
        <w:pStyle w:val="ParaNoNdepar-AltN"/>
        <w:rPr>
          <w:rFonts w:cs="Times New Roman"/>
        </w:rPr>
      </w:pPr>
      <w:r w:rsidRPr="00A16566">
        <w:rPr>
          <w:rFonts w:cs="Times New Roman"/>
          <w:lang w:val="en"/>
        </w:rPr>
        <w:t xml:space="preserve">The investigators did not triage all of Cpl. McGregor’s devices in executing the search due to the time constraints set out in the warrant. The Alexandria Police Department seized the devices containing incriminating evidence as well as those that were not triaged at the scene. The items seized at Cpl. McGregor’s residence included three fake smoke alarm cameras, two remote controls for these cameras, two personal audio recorders, </w:t>
      </w:r>
      <w:proofErr w:type="gramStart"/>
      <w:r w:rsidRPr="00A16566">
        <w:rPr>
          <w:rFonts w:cs="Times New Roman"/>
          <w:lang w:val="en"/>
        </w:rPr>
        <w:t>an</w:t>
      </w:r>
      <w:proofErr w:type="gramEnd"/>
      <w:r w:rsidRPr="00A16566">
        <w:rPr>
          <w:rFonts w:cs="Times New Roman"/>
          <w:lang w:val="en"/>
        </w:rPr>
        <w:t xml:space="preserve"> oval camera alarm clock, a small square camera alarm clock with a remote, laptops, storage devices, and compact discs.</w:t>
      </w:r>
    </w:p>
    <w:p w14:paraId="1753391A" w14:textId="77777777" w:rsidR="00A16566" w:rsidRPr="00A16566" w:rsidRDefault="00A16566" w:rsidP="00A16566">
      <w:pPr>
        <w:pStyle w:val="ParaNoNdepar-AltN"/>
        <w:rPr>
          <w:rFonts w:cs="Times New Roman"/>
        </w:rPr>
      </w:pPr>
      <w:r w:rsidRPr="00A16566">
        <w:rPr>
          <w:rFonts w:cs="Times New Roman"/>
        </w:rPr>
        <w:t xml:space="preserve">The </w:t>
      </w:r>
      <w:r w:rsidRPr="00A16566">
        <w:rPr>
          <w:rFonts w:cs="Times New Roman"/>
          <w:lang w:val="en"/>
        </w:rPr>
        <w:t>Alexandria Police Department</w:t>
      </w:r>
      <w:r w:rsidRPr="00A16566">
        <w:rPr>
          <w:rFonts w:cs="Times New Roman"/>
        </w:rPr>
        <w:t xml:space="preserve"> made a return before the Virginia magistrate to account for the seized devices, although the </w:t>
      </w:r>
      <w:proofErr w:type="spellStart"/>
      <w:r w:rsidRPr="00A16566">
        <w:rPr>
          <w:rFonts w:cs="Times New Roman"/>
        </w:rPr>
        <w:t>CFNIS</w:t>
      </w:r>
      <w:proofErr w:type="spellEnd"/>
      <w:r w:rsidRPr="00A16566">
        <w:rPr>
          <w:rFonts w:cs="Times New Roman"/>
        </w:rPr>
        <w:t xml:space="preserve"> had them in its custody at all times. Following these events, the </w:t>
      </w:r>
      <w:proofErr w:type="spellStart"/>
      <w:r w:rsidRPr="00A16566">
        <w:rPr>
          <w:rFonts w:cs="Times New Roman"/>
        </w:rPr>
        <w:t>CFNIS</w:t>
      </w:r>
      <w:proofErr w:type="spellEnd"/>
      <w:r w:rsidRPr="00A16566">
        <w:rPr>
          <w:rFonts w:cs="Times New Roman"/>
        </w:rPr>
        <w:t xml:space="preserve"> removed the devices to Canada and obtained Canadian warrants from the Court Martial for further analysis of their contents. A </w:t>
      </w:r>
      <w:proofErr w:type="spellStart"/>
      <w:r w:rsidRPr="00A16566">
        <w:rPr>
          <w:rFonts w:cs="Times New Roman"/>
        </w:rPr>
        <w:t>CFNIS</w:t>
      </w:r>
      <w:proofErr w:type="spellEnd"/>
      <w:r w:rsidRPr="00A16566">
        <w:rPr>
          <w:rFonts w:cs="Times New Roman"/>
        </w:rPr>
        <w:t xml:space="preserve"> investigator arrested Cpl. McGregor in Washington, D.C., and informed him of his right to counsel under s. 10(b) of the </w:t>
      </w:r>
      <w:r w:rsidRPr="00A16566">
        <w:rPr>
          <w:rFonts w:cs="Times New Roman"/>
          <w:i/>
        </w:rPr>
        <w:t>Charter</w:t>
      </w:r>
      <w:r w:rsidRPr="00A16566">
        <w:rPr>
          <w:rFonts w:cs="Times New Roman"/>
        </w:rPr>
        <w:t>.</w:t>
      </w:r>
    </w:p>
    <w:p w14:paraId="6EC26718" w14:textId="77777777" w:rsidR="00A16566" w:rsidRPr="00A16566" w:rsidRDefault="00A16566" w:rsidP="00A16566">
      <w:pPr>
        <w:pStyle w:val="Title1LevelTitre1Niveau-AltL"/>
        <w:numPr>
          <w:ilvl w:val="0"/>
          <w:numId w:val="8"/>
        </w:numPr>
        <w:rPr>
          <w:rFonts w:cs="Times New Roman"/>
        </w:rPr>
      </w:pPr>
      <w:r w:rsidRPr="00A16566">
        <w:rPr>
          <w:rFonts w:cs="Times New Roman"/>
        </w:rPr>
        <w:t>Judicial History</w:t>
      </w:r>
    </w:p>
    <w:p w14:paraId="32F9FCF4" w14:textId="77777777" w:rsidR="00A16566" w:rsidRPr="00A16566" w:rsidRDefault="00A16566" w:rsidP="00A16566">
      <w:pPr>
        <w:pStyle w:val="ParaNoNdepar-AltN"/>
        <w:rPr>
          <w:rFonts w:cs="Times New Roman"/>
        </w:rPr>
      </w:pPr>
      <w:r w:rsidRPr="00A16566">
        <w:rPr>
          <w:rFonts w:cs="Times New Roman"/>
        </w:rPr>
        <w:t xml:space="preserve">At first instance, the military judge held that the </w:t>
      </w:r>
      <w:r w:rsidRPr="00A16566">
        <w:rPr>
          <w:rFonts w:cs="Times New Roman"/>
          <w:i/>
        </w:rPr>
        <w:t xml:space="preserve">Charter </w:t>
      </w:r>
      <w:r w:rsidRPr="00A16566">
        <w:rPr>
          <w:rFonts w:cs="Times New Roman"/>
        </w:rPr>
        <w:t xml:space="preserve">did not apply extraterritorially. He concluded that the search and seizure were in any event consistent with </w:t>
      </w:r>
      <w:r w:rsidRPr="00A16566">
        <w:rPr>
          <w:rFonts w:cs="Times New Roman"/>
          <w:i/>
        </w:rPr>
        <w:t xml:space="preserve">Charter </w:t>
      </w:r>
      <w:r w:rsidRPr="00A16566">
        <w:rPr>
          <w:rFonts w:cs="Times New Roman"/>
        </w:rPr>
        <w:t>standards, and he noted that the evidence of sexual assault fell within the plain view doctrine. The military judge therefore admitted the evidence relating to the offence of sexual assault (2018 CM 4023). He subsequently convicted Cpl. McGregor of two counts of voyeurism, one count of possession of a device for surreptitious interception of private communications, one count of sexual assault, and one count of disgraceful conduct (2019 CM 4015).</w:t>
      </w:r>
    </w:p>
    <w:p w14:paraId="3B69F295" w14:textId="77777777" w:rsidR="00A16566" w:rsidRPr="00A16566" w:rsidRDefault="00A16566" w:rsidP="00A16566">
      <w:pPr>
        <w:pStyle w:val="ParaNoNdepar-AltN"/>
        <w:rPr>
          <w:rFonts w:cs="Times New Roman"/>
        </w:rPr>
      </w:pPr>
      <w:r w:rsidRPr="00A16566">
        <w:rPr>
          <w:rFonts w:cs="Times New Roman"/>
        </w:rPr>
        <w:t xml:space="preserve">In a unanimous opinion, the Court Martial Appeal Court affirmed the military judge’s decision. It agreed with his conclusion that the </w:t>
      </w:r>
      <w:r w:rsidRPr="00A16566">
        <w:rPr>
          <w:rFonts w:cs="Times New Roman"/>
          <w:i/>
        </w:rPr>
        <w:t xml:space="preserve">Charter </w:t>
      </w:r>
      <w:r w:rsidRPr="00A16566">
        <w:rPr>
          <w:rFonts w:cs="Times New Roman"/>
        </w:rPr>
        <w:t xml:space="preserve">did not apply, and it held that the evidence did not affect trial fairness at common law. Furthermore, the Court Martial Appeal Court concluded that even if the </w:t>
      </w:r>
      <w:r w:rsidRPr="00A16566">
        <w:rPr>
          <w:rFonts w:cs="Times New Roman"/>
          <w:i/>
        </w:rPr>
        <w:t xml:space="preserve">Charter </w:t>
      </w:r>
      <w:r w:rsidRPr="00A16566">
        <w:rPr>
          <w:rFonts w:cs="Times New Roman"/>
        </w:rPr>
        <w:t xml:space="preserve">applied, the result would be the same because the search did not infringe Cpl. McGregor’s s. 8 rights (2020 </w:t>
      </w:r>
      <w:proofErr w:type="spellStart"/>
      <w:r w:rsidRPr="00A16566">
        <w:rPr>
          <w:rFonts w:cs="Times New Roman"/>
        </w:rPr>
        <w:t>CMAC</w:t>
      </w:r>
      <w:proofErr w:type="spellEnd"/>
      <w:r w:rsidRPr="00A16566">
        <w:rPr>
          <w:rFonts w:cs="Times New Roman"/>
        </w:rPr>
        <w:t xml:space="preserve"> 8, 8 </w:t>
      </w:r>
      <w:proofErr w:type="spellStart"/>
      <w:r w:rsidRPr="00A16566">
        <w:rPr>
          <w:rFonts w:cs="Times New Roman"/>
        </w:rPr>
        <w:t>C.M.A.R</w:t>
      </w:r>
      <w:proofErr w:type="spellEnd"/>
      <w:r w:rsidRPr="00A16566">
        <w:rPr>
          <w:rFonts w:cs="Times New Roman"/>
        </w:rPr>
        <w:t>. 481).</w:t>
      </w:r>
    </w:p>
    <w:p w14:paraId="6A8C2514" w14:textId="77777777" w:rsidR="00A16566" w:rsidRPr="00A16566" w:rsidRDefault="00A16566" w:rsidP="00A16566">
      <w:pPr>
        <w:pStyle w:val="Title1LevelTitre1Niveau-AltL"/>
        <w:numPr>
          <w:ilvl w:val="0"/>
          <w:numId w:val="8"/>
        </w:numPr>
        <w:rPr>
          <w:rFonts w:cs="Times New Roman"/>
        </w:rPr>
      </w:pPr>
      <w:r w:rsidRPr="00A16566">
        <w:rPr>
          <w:rFonts w:cs="Times New Roman"/>
        </w:rPr>
        <w:t>Issues</w:t>
      </w:r>
    </w:p>
    <w:p w14:paraId="1D776023" w14:textId="77777777" w:rsidR="00A16566" w:rsidRPr="00A16566" w:rsidRDefault="00A16566" w:rsidP="00A16566">
      <w:pPr>
        <w:pStyle w:val="ParaNoNdepar-AltN"/>
        <w:rPr>
          <w:rFonts w:cs="Times New Roman"/>
        </w:rPr>
      </w:pPr>
      <w:r w:rsidRPr="00A16566">
        <w:rPr>
          <w:rFonts w:cs="Times New Roman"/>
        </w:rPr>
        <w:t>This appeal raises two main issues:</w:t>
      </w:r>
    </w:p>
    <w:p w14:paraId="07AFD976" w14:textId="77777777" w:rsidR="00A16566" w:rsidRPr="00A16566" w:rsidRDefault="00A16566" w:rsidP="00A16566">
      <w:pPr>
        <w:pStyle w:val="ParaNoNdepar-AltN"/>
        <w:numPr>
          <w:ilvl w:val="0"/>
          <w:numId w:val="0"/>
        </w:numPr>
        <w:ind w:left="1168"/>
        <w:rPr>
          <w:rFonts w:cs="Times New Roman"/>
        </w:rPr>
      </w:pPr>
      <w:r w:rsidRPr="00A16566">
        <w:rPr>
          <w:rFonts w:cs="Times New Roman"/>
        </w:rPr>
        <w:t>(</w:t>
      </w:r>
      <w:proofErr w:type="spellStart"/>
      <w:r w:rsidRPr="00A16566">
        <w:rPr>
          <w:rFonts w:cs="Times New Roman"/>
        </w:rPr>
        <w:t>i</w:t>
      </w:r>
      <w:proofErr w:type="spellEnd"/>
      <w:r w:rsidRPr="00A16566">
        <w:rPr>
          <w:rFonts w:cs="Times New Roman"/>
        </w:rPr>
        <w:t xml:space="preserve">) Did the </w:t>
      </w:r>
      <w:r w:rsidRPr="00A16566">
        <w:rPr>
          <w:rFonts w:cs="Times New Roman"/>
          <w:i/>
        </w:rPr>
        <w:t>Charter</w:t>
      </w:r>
      <w:r w:rsidRPr="00A16566">
        <w:rPr>
          <w:rFonts w:cs="Times New Roman"/>
        </w:rPr>
        <w:t xml:space="preserve"> apply extraterritorially to the </w:t>
      </w:r>
      <w:proofErr w:type="spellStart"/>
      <w:r w:rsidRPr="00A16566">
        <w:rPr>
          <w:rFonts w:cs="Times New Roman"/>
        </w:rPr>
        <w:t>CFNIS</w:t>
      </w:r>
      <w:proofErr w:type="spellEnd"/>
      <w:r w:rsidRPr="00A16566">
        <w:rPr>
          <w:rFonts w:cs="Times New Roman"/>
        </w:rPr>
        <w:t xml:space="preserve"> investigators in the search of Cpl. McGregor’s residence in Alexandria, Virginia?</w:t>
      </w:r>
    </w:p>
    <w:p w14:paraId="003646EF" w14:textId="77777777" w:rsidR="00A16566" w:rsidRPr="00A16566" w:rsidRDefault="00A16566" w:rsidP="00A16566">
      <w:pPr>
        <w:pStyle w:val="ParaNoNdepar-AltN"/>
        <w:numPr>
          <w:ilvl w:val="0"/>
          <w:numId w:val="0"/>
        </w:numPr>
        <w:ind w:left="1168"/>
        <w:rPr>
          <w:rFonts w:cs="Times New Roman"/>
        </w:rPr>
      </w:pPr>
      <w:r w:rsidRPr="00A16566">
        <w:rPr>
          <w:rFonts w:cs="Times New Roman"/>
        </w:rPr>
        <w:t xml:space="preserve">(ii) Did the </w:t>
      </w:r>
      <w:proofErr w:type="spellStart"/>
      <w:r w:rsidRPr="00A16566">
        <w:rPr>
          <w:rFonts w:cs="Times New Roman"/>
        </w:rPr>
        <w:t>CFNIS</w:t>
      </w:r>
      <w:proofErr w:type="spellEnd"/>
      <w:r w:rsidRPr="00A16566">
        <w:rPr>
          <w:rFonts w:cs="Times New Roman"/>
        </w:rPr>
        <w:t xml:space="preserve"> investigators infringe Cpl. McGregor’s </w:t>
      </w:r>
      <w:r w:rsidRPr="00A16566">
        <w:rPr>
          <w:rFonts w:cs="Times New Roman"/>
          <w:i/>
        </w:rPr>
        <w:t xml:space="preserve">Charter </w:t>
      </w:r>
      <w:r w:rsidRPr="00A16566">
        <w:rPr>
          <w:rFonts w:cs="Times New Roman"/>
        </w:rPr>
        <w:t>rights and, if so, should the resulting evidence be excluded?</w:t>
      </w:r>
    </w:p>
    <w:p w14:paraId="3D4BE1BE" w14:textId="77777777" w:rsidR="00A16566" w:rsidRPr="00A16566" w:rsidRDefault="00A16566" w:rsidP="00A16566">
      <w:pPr>
        <w:pStyle w:val="Title1LevelTitre1Niveau-AltL"/>
        <w:numPr>
          <w:ilvl w:val="0"/>
          <w:numId w:val="8"/>
        </w:numPr>
        <w:rPr>
          <w:rFonts w:cs="Times New Roman"/>
        </w:rPr>
      </w:pPr>
      <w:r w:rsidRPr="00A16566">
        <w:rPr>
          <w:rFonts w:cs="Times New Roman"/>
        </w:rPr>
        <w:t>Analysis</w:t>
      </w:r>
    </w:p>
    <w:p w14:paraId="2320023B" w14:textId="77777777" w:rsidR="00A16566" w:rsidRPr="00A16566" w:rsidRDefault="00A16566" w:rsidP="00A16566">
      <w:pPr>
        <w:pStyle w:val="Title2LevelTitre2Niveau"/>
        <w:numPr>
          <w:ilvl w:val="1"/>
          <w:numId w:val="8"/>
        </w:numPr>
        <w:ind w:left="578" w:hanging="578"/>
        <w:rPr>
          <w:rFonts w:cs="Times New Roman"/>
        </w:rPr>
      </w:pPr>
      <w:r w:rsidRPr="00A16566">
        <w:rPr>
          <w:rFonts w:cs="Times New Roman"/>
        </w:rPr>
        <w:t>Extraterritorial Application of the Charter</w:t>
      </w:r>
    </w:p>
    <w:p w14:paraId="1E0248E2" w14:textId="77777777" w:rsidR="00A16566" w:rsidRPr="00A16566" w:rsidRDefault="00A16566" w:rsidP="00A16566">
      <w:pPr>
        <w:pStyle w:val="ParaNoNdepar-AltN"/>
        <w:rPr>
          <w:rFonts w:cs="Times New Roman"/>
        </w:rPr>
      </w:pPr>
      <w:r w:rsidRPr="00A16566">
        <w:rPr>
          <w:rFonts w:cs="Times New Roman"/>
        </w:rPr>
        <w:t xml:space="preserve">The starting point of the analysis is the text of the Constitution. The scope of application of the </w:t>
      </w:r>
      <w:r w:rsidRPr="00A16566">
        <w:rPr>
          <w:rFonts w:cs="Times New Roman"/>
          <w:i/>
        </w:rPr>
        <w:t xml:space="preserve">Charter </w:t>
      </w:r>
      <w:r w:rsidRPr="00A16566">
        <w:rPr>
          <w:rFonts w:cs="Times New Roman"/>
        </w:rPr>
        <w:t>is delineated in s. 32(1):</w:t>
      </w:r>
    </w:p>
    <w:p w14:paraId="58B2C976" w14:textId="77777777" w:rsidR="00A16566" w:rsidRPr="00A16566" w:rsidRDefault="00A16566" w:rsidP="00A16566">
      <w:pPr>
        <w:pStyle w:val="Citation-AltC"/>
      </w:pPr>
      <w:r w:rsidRPr="00A16566">
        <w:rPr>
          <w:b/>
        </w:rPr>
        <w:t>32 (1)</w:t>
      </w:r>
      <w:r w:rsidRPr="00A16566">
        <w:t xml:space="preserve"> This Charter applies</w:t>
      </w:r>
    </w:p>
    <w:p w14:paraId="5DE79905" w14:textId="77777777" w:rsidR="00A16566" w:rsidRPr="00A16566" w:rsidRDefault="00A16566" w:rsidP="00A16566">
      <w:pPr>
        <w:pStyle w:val="Citation-AltC"/>
      </w:pPr>
    </w:p>
    <w:p w14:paraId="18E636E6" w14:textId="77777777" w:rsidR="00A16566" w:rsidRPr="00A16566" w:rsidRDefault="00A16566" w:rsidP="00A16566">
      <w:pPr>
        <w:pStyle w:val="Citation-AltC"/>
        <w:ind w:left="1440"/>
      </w:pPr>
      <w:r w:rsidRPr="00A16566">
        <w:rPr>
          <w:b/>
        </w:rPr>
        <w:t>(a)</w:t>
      </w:r>
      <w:r w:rsidRPr="00A16566">
        <w:t xml:space="preserve"> to the Parliament and government of Canada in respect of all matters within the authority of Parliament including all matters relating to the Yukon Territory and Northwest Territories; and</w:t>
      </w:r>
    </w:p>
    <w:p w14:paraId="52D4E67A" w14:textId="77777777" w:rsidR="00A16566" w:rsidRPr="00A16566" w:rsidRDefault="00A16566" w:rsidP="00A16566">
      <w:pPr>
        <w:pStyle w:val="Citation-AltC"/>
        <w:ind w:left="1440"/>
      </w:pPr>
    </w:p>
    <w:p w14:paraId="4C9AB6C1" w14:textId="77777777" w:rsidR="00A16566" w:rsidRPr="00A16566" w:rsidRDefault="00A16566" w:rsidP="00A16566">
      <w:pPr>
        <w:pStyle w:val="Citation-AltC"/>
        <w:ind w:left="1440"/>
      </w:pPr>
      <w:r w:rsidRPr="00A16566">
        <w:rPr>
          <w:b/>
        </w:rPr>
        <w:t>(b)</w:t>
      </w:r>
      <w:r w:rsidRPr="00A16566">
        <w:t xml:space="preserve"> </w:t>
      </w:r>
      <w:proofErr w:type="gramStart"/>
      <w:r w:rsidRPr="00A16566">
        <w:t>to</w:t>
      </w:r>
      <w:proofErr w:type="gramEnd"/>
      <w:r w:rsidRPr="00A16566">
        <w:t xml:space="preserve"> the legislature and government of each province in respect of all matters within the authority of the legislature of each province.</w:t>
      </w:r>
    </w:p>
    <w:p w14:paraId="6661DB2F" w14:textId="77777777" w:rsidR="00A16566" w:rsidRPr="00A16566" w:rsidRDefault="00A16566" w:rsidP="00A16566">
      <w:pPr>
        <w:pStyle w:val="ParaNoNdepar-AltN"/>
        <w:numPr>
          <w:ilvl w:val="0"/>
          <w:numId w:val="0"/>
        </w:numPr>
        <w:rPr>
          <w:rFonts w:cs="Times New Roman"/>
        </w:rPr>
      </w:pPr>
      <w:r w:rsidRPr="00A16566">
        <w:rPr>
          <w:rFonts w:cs="Times New Roman"/>
        </w:rPr>
        <w:t xml:space="preserve">This Court’s decision in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is the governing authority on the territorial reach and limits of the </w:t>
      </w:r>
      <w:r w:rsidRPr="00A16566">
        <w:rPr>
          <w:rFonts w:cs="Times New Roman"/>
          <w:i/>
        </w:rPr>
        <w:t xml:space="preserve">Charter </w:t>
      </w:r>
      <w:r w:rsidRPr="00A16566">
        <w:rPr>
          <w:rFonts w:cs="Times New Roman"/>
        </w:rPr>
        <w:t xml:space="preserve">under s. 32(1). Under the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framework, the </w:t>
      </w:r>
      <w:r w:rsidRPr="00A16566">
        <w:rPr>
          <w:rFonts w:cs="Times New Roman"/>
          <w:i/>
        </w:rPr>
        <w:t xml:space="preserve">Charter </w:t>
      </w:r>
      <w:r w:rsidRPr="00A16566">
        <w:rPr>
          <w:rFonts w:cs="Times New Roman"/>
        </w:rPr>
        <w:t>generally cannot apply to Canadian authorities involved in an investigation conducted abroad. This general rule is qualified by two exceptions: (1) consent by the foreign state to the application of Canadian law (para. 106); and (2) Canadian participation in a process that violates Canada’s international law obligations (paras. 51</w:t>
      </w:r>
      <w:r w:rsidRPr="00A16566">
        <w:rPr>
          <w:rFonts w:cs="Times New Roman"/>
        </w:rPr>
        <w:noBreakHyphen/>
        <w:t xml:space="preserve">52 and 101; see also </w:t>
      </w:r>
      <w:r w:rsidRPr="00A16566">
        <w:rPr>
          <w:rFonts w:cs="Times New Roman"/>
          <w:i/>
        </w:rPr>
        <w:t xml:space="preserve">Canada (Justice) </w:t>
      </w:r>
      <w:r w:rsidRPr="00A16566">
        <w:rPr>
          <w:rFonts w:cs="Times New Roman"/>
          <w:i/>
          <w:iCs/>
        </w:rPr>
        <w:t xml:space="preserve">v. </w:t>
      </w:r>
      <w:r w:rsidRPr="00A16566">
        <w:rPr>
          <w:rFonts w:cs="Times New Roman"/>
          <w:i/>
        </w:rPr>
        <w:t>Khadr</w:t>
      </w:r>
      <w:r w:rsidRPr="00A16566">
        <w:rPr>
          <w:rFonts w:cs="Times New Roman"/>
        </w:rPr>
        <w:t xml:space="preserve">, 2008 SCC 28, [2008] 2 </w:t>
      </w:r>
      <w:proofErr w:type="spellStart"/>
      <w:r w:rsidRPr="00A16566">
        <w:rPr>
          <w:rFonts w:cs="Times New Roman"/>
        </w:rPr>
        <w:t>S.C.R</w:t>
      </w:r>
      <w:proofErr w:type="spellEnd"/>
      <w:r w:rsidRPr="00A16566">
        <w:rPr>
          <w:rFonts w:cs="Times New Roman"/>
        </w:rPr>
        <w:t>. 125, at paras. 18</w:t>
      </w:r>
      <w:r w:rsidRPr="00A16566">
        <w:rPr>
          <w:rFonts w:cs="Times New Roman"/>
        </w:rPr>
        <w:noBreakHyphen/>
        <w:t>19).</w:t>
      </w:r>
    </w:p>
    <w:p w14:paraId="53228871" w14:textId="77777777" w:rsidR="00A16566" w:rsidRPr="00A16566" w:rsidRDefault="00A16566" w:rsidP="00A16566">
      <w:pPr>
        <w:pStyle w:val="ParaNoNdepar-AltN"/>
        <w:rPr>
          <w:rFonts w:cs="Times New Roman"/>
        </w:rPr>
      </w:pPr>
      <w:r w:rsidRPr="00A16566">
        <w:rPr>
          <w:rFonts w:cs="Times New Roman"/>
        </w:rPr>
        <w:t>Unlike ordinary Canadian citizens, members of the Canadian Armed Forces bear the burden of the extraterritorial application of Canadian criminal law (</w:t>
      </w:r>
      <w:r w:rsidRPr="00A16566">
        <w:rPr>
          <w:rFonts w:cs="Times New Roman"/>
          <w:i/>
        </w:rPr>
        <w:t>National Defence Act</w:t>
      </w:r>
      <w:r w:rsidRPr="00A16566">
        <w:rPr>
          <w:rFonts w:cs="Times New Roman"/>
        </w:rPr>
        <w:t xml:space="preserve">, ss. 67 and 163.5). Moreover, the </w:t>
      </w:r>
      <w:r w:rsidRPr="00A16566">
        <w:rPr>
          <w:rFonts w:cs="Times New Roman"/>
          <w:i/>
        </w:rPr>
        <w:t>Agreement between the Parties to the North Atlantic Treaty regarding the Status of their Forces</w:t>
      </w:r>
      <w:r w:rsidRPr="00A16566">
        <w:rPr>
          <w:rFonts w:cs="Times New Roman"/>
        </w:rPr>
        <w:t xml:space="preserve">, Can. </w:t>
      </w:r>
      <w:proofErr w:type="spellStart"/>
      <w:r w:rsidRPr="00A16566">
        <w:rPr>
          <w:rFonts w:cs="Times New Roman"/>
        </w:rPr>
        <w:t>T.S</w:t>
      </w:r>
      <w:proofErr w:type="spellEnd"/>
      <w:r w:rsidRPr="00A16566">
        <w:rPr>
          <w:rFonts w:cs="Times New Roman"/>
        </w:rPr>
        <w:t>. 1953 No. 13</w:t>
      </w:r>
      <w:r w:rsidRPr="00A16566">
        <w:rPr>
          <w:rFonts w:cs="Times New Roman"/>
          <w:i/>
        </w:rPr>
        <w:t> </w:t>
      </w:r>
      <w:r w:rsidRPr="00A16566">
        <w:rPr>
          <w:rFonts w:cs="Times New Roman"/>
        </w:rPr>
        <w:t xml:space="preserve">— to which Canada and the United States are signatories — governs the legal status under international law of military forces deployed for official purposes. The </w:t>
      </w:r>
      <w:r w:rsidRPr="00A16566">
        <w:rPr>
          <w:rFonts w:cs="Times New Roman"/>
          <w:i/>
        </w:rPr>
        <w:t>Agreement</w:t>
      </w:r>
      <w:r w:rsidRPr="00A16566">
        <w:rPr>
          <w:rFonts w:cs="Times New Roman"/>
        </w:rPr>
        <w:t xml:space="preserve"> provides that the sending state can exercise criminal and disciplinary jurisdiction over its military forces. However, the </w:t>
      </w:r>
      <w:r w:rsidRPr="00A16566">
        <w:rPr>
          <w:rFonts w:cs="Times New Roman"/>
          <w:i/>
        </w:rPr>
        <w:t>Agreement</w:t>
      </w:r>
      <w:r w:rsidRPr="00A16566">
        <w:rPr>
          <w:rFonts w:cs="Times New Roman"/>
        </w:rPr>
        <w:t xml:space="preserve"> does not confer jurisdiction on the sending state to execute searches of residences located outside of military camps or establishments.</w:t>
      </w:r>
    </w:p>
    <w:p w14:paraId="6ED9463E" w14:textId="77777777" w:rsidR="00A16566" w:rsidRPr="00A16566" w:rsidRDefault="00A16566" w:rsidP="00A16566">
      <w:pPr>
        <w:pStyle w:val="ParaNoNdepar-AltN"/>
        <w:rPr>
          <w:rFonts w:cs="Times New Roman"/>
        </w:rPr>
      </w:pPr>
      <w:r w:rsidRPr="00A16566">
        <w:rPr>
          <w:rFonts w:cs="Times New Roman"/>
        </w:rPr>
        <w:t xml:space="preserve">Cpl. McGregor contends that the </w:t>
      </w:r>
      <w:r w:rsidRPr="00A16566">
        <w:rPr>
          <w:rFonts w:cs="Times New Roman"/>
          <w:i/>
        </w:rPr>
        <w:t xml:space="preserve">Charter </w:t>
      </w:r>
      <w:r w:rsidRPr="00A16566">
        <w:rPr>
          <w:rFonts w:cs="Times New Roman"/>
        </w:rPr>
        <w:t>applied extraterritorially to the search and seizure of his electronic devices by Canadian military authorities. He emphasizes that he was a member of the Canadian Armed Forces required to be on foreign soil and that he was the target of a Canadian</w:t>
      </w:r>
      <w:r w:rsidRPr="00A16566">
        <w:rPr>
          <w:rFonts w:cs="Times New Roman"/>
        </w:rPr>
        <w:noBreakHyphen/>
        <w:t>led investigation pursuant to</w:t>
      </w:r>
      <w:r w:rsidRPr="00A16566">
        <w:rPr>
          <w:rFonts w:cs="Times New Roman"/>
          <w:i/>
        </w:rPr>
        <w:t xml:space="preserve"> </w:t>
      </w:r>
      <w:r w:rsidRPr="00A16566">
        <w:rPr>
          <w:rFonts w:cs="Times New Roman"/>
        </w:rPr>
        <w:t xml:space="preserve">the </w:t>
      </w:r>
      <w:r w:rsidRPr="00A16566">
        <w:rPr>
          <w:rFonts w:cs="Times New Roman"/>
          <w:i/>
        </w:rPr>
        <w:t xml:space="preserve">National Defence Act </w:t>
      </w:r>
      <w:r w:rsidRPr="00A16566">
        <w:rPr>
          <w:rFonts w:cs="Times New Roman"/>
        </w:rPr>
        <w:t xml:space="preserve">and the </w:t>
      </w:r>
      <w:r w:rsidRPr="00A16566">
        <w:rPr>
          <w:rFonts w:cs="Times New Roman"/>
          <w:i/>
        </w:rPr>
        <w:t>Criminal Code</w:t>
      </w:r>
      <w:r w:rsidRPr="00A16566">
        <w:rPr>
          <w:rFonts w:cs="Times New Roman"/>
        </w:rPr>
        <w:t xml:space="preserve">, </w:t>
      </w:r>
      <w:proofErr w:type="spellStart"/>
      <w:r w:rsidRPr="00A16566">
        <w:rPr>
          <w:rFonts w:cs="Times New Roman"/>
        </w:rPr>
        <w:t>R.S.C</w:t>
      </w:r>
      <w:proofErr w:type="spellEnd"/>
      <w:r w:rsidRPr="00A16566">
        <w:rPr>
          <w:rFonts w:cs="Times New Roman"/>
        </w:rPr>
        <w:t>. 1985, c. C</w:t>
      </w:r>
      <w:r w:rsidRPr="00A16566">
        <w:rPr>
          <w:rFonts w:cs="Times New Roman"/>
        </w:rPr>
        <w:noBreakHyphen/>
        <w:t xml:space="preserve">46. In Cpl. McGregor’s view, when the </w:t>
      </w:r>
      <w:r w:rsidRPr="00A16566">
        <w:rPr>
          <w:rFonts w:cs="Times New Roman"/>
          <w:i/>
        </w:rPr>
        <w:t xml:space="preserve">National Defence Act </w:t>
      </w:r>
      <w:r w:rsidRPr="00A16566">
        <w:rPr>
          <w:rFonts w:cs="Times New Roman"/>
        </w:rPr>
        <w:t xml:space="preserve">applies extraterritorially, so too should the </w:t>
      </w:r>
      <w:r w:rsidRPr="00A16566">
        <w:rPr>
          <w:rFonts w:cs="Times New Roman"/>
          <w:i/>
        </w:rPr>
        <w:t xml:space="preserve">Charter </w:t>
      </w:r>
      <w:r w:rsidRPr="00A16566">
        <w:rPr>
          <w:rFonts w:cs="Times New Roman"/>
        </w:rPr>
        <w:t xml:space="preserve">as a matter of principle. To be clear, at the hearing before our Court, Cpl. McGregor confirmed that he is asking the Court to apply the </w:t>
      </w:r>
      <w:r w:rsidRPr="00A16566">
        <w:rPr>
          <w:rFonts w:cs="Times New Roman"/>
          <w:i/>
        </w:rPr>
        <w:t>Charter</w:t>
      </w:r>
      <w:r w:rsidRPr="00A16566">
        <w:rPr>
          <w:rFonts w:cs="Times New Roman"/>
        </w:rPr>
        <w:t xml:space="preserve"> only to the actions of the Canadian authorities in executing the search.</w:t>
      </w:r>
    </w:p>
    <w:p w14:paraId="2068A7A5" w14:textId="77777777" w:rsidR="00A16566" w:rsidRPr="00A16566" w:rsidRDefault="00A16566" w:rsidP="00A16566">
      <w:pPr>
        <w:pStyle w:val="ParaNoNdepar-AltN"/>
        <w:rPr>
          <w:rFonts w:cs="Times New Roman"/>
        </w:rPr>
      </w:pPr>
      <w:r w:rsidRPr="00A16566">
        <w:rPr>
          <w:rFonts w:cs="Times New Roman"/>
        </w:rPr>
        <w:t xml:space="preserve">As a preliminary matter, the parties agree that the issue of extraterritoriality should be resolved on the basis of the existing jurisprudence on s. 32(1) of the </w:t>
      </w:r>
      <w:r w:rsidRPr="00A16566">
        <w:rPr>
          <w:rFonts w:cs="Times New Roman"/>
          <w:i/>
        </w:rPr>
        <w:t>Charter</w:t>
      </w:r>
      <w:r w:rsidRPr="00A16566">
        <w:rPr>
          <w:rFonts w:cs="Times New Roman"/>
        </w:rPr>
        <w:t xml:space="preserve">. The interveners, however, invite our Court to decide whether </w:t>
      </w:r>
      <w:proofErr w:type="spellStart"/>
      <w:r w:rsidRPr="00A16566">
        <w:rPr>
          <w:rFonts w:cs="Times New Roman"/>
          <w:i/>
        </w:rPr>
        <w:t>Hape</w:t>
      </w:r>
      <w:proofErr w:type="spellEnd"/>
      <w:r w:rsidRPr="00A16566">
        <w:rPr>
          <w:rFonts w:cs="Times New Roman"/>
        </w:rPr>
        <w:t xml:space="preserve"> should be reaffirmed, modified, or overruled. Many of their submissions draw on an extensive body of academic criticism in which the </w:t>
      </w:r>
      <w:proofErr w:type="spellStart"/>
      <w:r w:rsidRPr="00A16566">
        <w:rPr>
          <w:rFonts w:cs="Times New Roman"/>
          <w:i/>
        </w:rPr>
        <w:t>Hape</w:t>
      </w:r>
      <w:proofErr w:type="spellEnd"/>
      <w:r w:rsidRPr="00A16566">
        <w:rPr>
          <w:rFonts w:cs="Times New Roman"/>
          <w:i/>
        </w:rPr>
        <w:t xml:space="preserve"> </w:t>
      </w:r>
      <w:r w:rsidRPr="00A16566">
        <w:rPr>
          <w:rFonts w:cs="Times New Roman"/>
        </w:rPr>
        <w:t>framework is challenged on various constitutional and international law grounds.</w:t>
      </w:r>
      <w:r w:rsidRPr="00045352">
        <w:rPr>
          <w:rStyle w:val="Hyperlink"/>
          <w:vertAlign w:val="superscript"/>
        </w:rPr>
        <w:footnoteReference w:id="3"/>
      </w:r>
    </w:p>
    <w:p w14:paraId="69F426CD" w14:textId="77777777" w:rsidR="00A16566" w:rsidRPr="00A16566" w:rsidRDefault="00A16566" w:rsidP="00A16566">
      <w:pPr>
        <w:pStyle w:val="ParaNoNdepar-AltN"/>
        <w:rPr>
          <w:rFonts w:cs="Times New Roman"/>
        </w:rPr>
      </w:pPr>
      <w:r w:rsidRPr="00A16566">
        <w:rPr>
          <w:rFonts w:cs="Times New Roman"/>
        </w:rPr>
        <w:t xml:space="preserve">To be sure, this Court has taken notice of scholarly writings in reconsidering the soundness of its own precedents (see </w:t>
      </w:r>
      <w:r w:rsidRPr="00A16566">
        <w:rPr>
          <w:rFonts w:cs="Times New Roman"/>
          <w:i/>
        </w:rPr>
        <w:t xml:space="preserve">Canada (Minister of Citizenship and Immigration) </w:t>
      </w:r>
      <w:r w:rsidRPr="00A16566">
        <w:rPr>
          <w:rFonts w:cs="Times New Roman"/>
          <w:i/>
          <w:iCs/>
        </w:rPr>
        <w:t>v.</w:t>
      </w:r>
      <w:r w:rsidRPr="00A16566">
        <w:rPr>
          <w:rFonts w:cs="Times New Roman"/>
          <w:i/>
        </w:rPr>
        <w:t xml:space="preserve"> </w:t>
      </w:r>
      <w:proofErr w:type="spellStart"/>
      <w:r w:rsidRPr="00A16566">
        <w:rPr>
          <w:rFonts w:cs="Times New Roman"/>
          <w:i/>
        </w:rPr>
        <w:t>Vavilov</w:t>
      </w:r>
      <w:proofErr w:type="spellEnd"/>
      <w:r w:rsidRPr="00A16566">
        <w:rPr>
          <w:rFonts w:cs="Times New Roman"/>
        </w:rPr>
        <w:t xml:space="preserve">, 2019 SCC 65, [2019] 4 </w:t>
      </w:r>
      <w:proofErr w:type="spellStart"/>
      <w:r w:rsidRPr="00A16566">
        <w:rPr>
          <w:rFonts w:cs="Times New Roman"/>
        </w:rPr>
        <w:t>S.C.R</w:t>
      </w:r>
      <w:proofErr w:type="spellEnd"/>
      <w:r w:rsidRPr="00A16566">
        <w:rPr>
          <w:rFonts w:cs="Times New Roman"/>
        </w:rPr>
        <w:t xml:space="preserve">. 653, at paras. 39 and 209; </w:t>
      </w:r>
      <w:r w:rsidRPr="00A16566">
        <w:rPr>
          <w:rFonts w:cs="Times New Roman"/>
          <w:i/>
        </w:rPr>
        <w:t>Nishi</w:t>
      </w:r>
      <w:r w:rsidRPr="00A16566">
        <w:rPr>
          <w:rFonts w:cs="Times New Roman"/>
          <w:i/>
          <w:iCs/>
        </w:rPr>
        <w:t xml:space="preserve"> v.</w:t>
      </w:r>
      <w:r w:rsidRPr="00A16566">
        <w:rPr>
          <w:rFonts w:cs="Times New Roman"/>
          <w:i/>
        </w:rPr>
        <w:t xml:space="preserve"> Rascal Trucking Ltd.</w:t>
      </w:r>
      <w:r w:rsidRPr="00A16566">
        <w:rPr>
          <w:rFonts w:cs="Times New Roman"/>
        </w:rPr>
        <w:t>,</w:t>
      </w:r>
      <w:r w:rsidRPr="00A16566">
        <w:rPr>
          <w:rFonts w:cs="Times New Roman"/>
          <w:i/>
          <w:iCs/>
        </w:rPr>
        <w:t xml:space="preserve"> </w:t>
      </w:r>
      <w:r w:rsidRPr="00A16566">
        <w:rPr>
          <w:rFonts w:cs="Times New Roman"/>
        </w:rPr>
        <w:t xml:space="preserve">2013 SCC 33, [2013] 2 </w:t>
      </w:r>
      <w:proofErr w:type="spellStart"/>
      <w:r w:rsidRPr="00A16566">
        <w:rPr>
          <w:rFonts w:cs="Times New Roman"/>
        </w:rPr>
        <w:t>S.C.R</w:t>
      </w:r>
      <w:proofErr w:type="spellEnd"/>
      <w:r w:rsidRPr="00A16566">
        <w:rPr>
          <w:rFonts w:cs="Times New Roman"/>
        </w:rPr>
        <w:t xml:space="preserve">. 438, at para. 28; </w:t>
      </w:r>
      <w:r w:rsidRPr="00A16566">
        <w:rPr>
          <w:rFonts w:cs="Times New Roman"/>
          <w:i/>
        </w:rPr>
        <w:t xml:space="preserve">Canada </w:t>
      </w:r>
      <w:r w:rsidRPr="00A16566">
        <w:rPr>
          <w:rFonts w:cs="Times New Roman"/>
          <w:i/>
          <w:iCs/>
        </w:rPr>
        <w:t>v.</w:t>
      </w:r>
      <w:r w:rsidRPr="00A16566">
        <w:rPr>
          <w:rFonts w:cs="Times New Roman"/>
          <w:i/>
        </w:rPr>
        <w:t xml:space="preserve"> Craig</w:t>
      </w:r>
      <w:r w:rsidRPr="00A16566">
        <w:rPr>
          <w:rFonts w:cs="Times New Roman"/>
        </w:rPr>
        <w:t xml:space="preserve">, 2012 SCC 43, [2012] 2 </w:t>
      </w:r>
      <w:proofErr w:type="spellStart"/>
      <w:r w:rsidRPr="00A16566">
        <w:rPr>
          <w:rFonts w:cs="Times New Roman"/>
        </w:rPr>
        <w:t>S.C.R</w:t>
      </w:r>
      <w:proofErr w:type="spellEnd"/>
      <w:r w:rsidRPr="00A16566">
        <w:rPr>
          <w:rFonts w:cs="Times New Roman"/>
        </w:rPr>
        <w:t xml:space="preserve">. 489, at para. 29; </w:t>
      </w:r>
      <w:r w:rsidRPr="00A16566">
        <w:rPr>
          <w:rFonts w:cs="Times New Roman"/>
          <w:i/>
        </w:rPr>
        <w:t>Ontario</w:t>
      </w:r>
      <w:r w:rsidRPr="00A16566">
        <w:rPr>
          <w:rFonts w:cs="Times New Roman"/>
          <w:b/>
          <w:bCs/>
          <w:i/>
        </w:rPr>
        <w:t xml:space="preserve"> </w:t>
      </w:r>
      <w:r w:rsidRPr="00A16566">
        <w:rPr>
          <w:rFonts w:cs="Times New Roman"/>
          <w:i/>
        </w:rPr>
        <w:t xml:space="preserve">(Attorney General) </w:t>
      </w:r>
      <w:r w:rsidRPr="00A16566">
        <w:rPr>
          <w:rFonts w:cs="Times New Roman"/>
          <w:i/>
          <w:iCs/>
        </w:rPr>
        <w:t>v.</w:t>
      </w:r>
      <w:r w:rsidRPr="00A16566">
        <w:rPr>
          <w:rFonts w:cs="Times New Roman"/>
          <w:bCs/>
          <w:i/>
        </w:rPr>
        <w:t xml:space="preserve"> </w:t>
      </w:r>
      <w:r w:rsidRPr="00A16566">
        <w:rPr>
          <w:rFonts w:cs="Times New Roman"/>
          <w:i/>
        </w:rPr>
        <w:t>Fraser</w:t>
      </w:r>
      <w:r w:rsidRPr="00A16566">
        <w:rPr>
          <w:rFonts w:cs="Times New Roman"/>
        </w:rPr>
        <w:t xml:space="preserve">, </w:t>
      </w:r>
      <w:r w:rsidRPr="00A16566">
        <w:rPr>
          <w:rStyle w:val="sccrespondentforrunningheadchar0"/>
          <w:rFonts w:cs="Times New Roman"/>
          <w:smallCaps/>
        </w:rPr>
        <w:t xml:space="preserve">2011 SCC 20, [2011] 2 </w:t>
      </w:r>
      <w:proofErr w:type="spellStart"/>
      <w:r w:rsidRPr="00A16566">
        <w:rPr>
          <w:rStyle w:val="sccrespondentforrunningheadchar0"/>
          <w:rFonts w:cs="Times New Roman"/>
          <w:smallCaps/>
        </w:rPr>
        <w:t>S.C.R</w:t>
      </w:r>
      <w:proofErr w:type="spellEnd"/>
      <w:r w:rsidRPr="00A16566">
        <w:rPr>
          <w:rStyle w:val="sccrespondentforrunningheadchar0"/>
          <w:rFonts w:cs="Times New Roman"/>
          <w:smallCaps/>
        </w:rPr>
        <w:t xml:space="preserve">. 3, </w:t>
      </w:r>
      <w:r w:rsidRPr="00A16566">
        <w:rPr>
          <w:rStyle w:val="sccrespondentforrunningheadchar0"/>
          <w:rFonts w:cs="Times New Roman"/>
        </w:rPr>
        <w:t>at paras. 86</w:t>
      </w:r>
      <w:r w:rsidRPr="00A16566">
        <w:rPr>
          <w:rStyle w:val="sccrespondentforrunningheadchar0"/>
          <w:rFonts w:cs="Times New Roman"/>
        </w:rPr>
        <w:noBreakHyphen/>
        <w:t>88, 146</w:t>
      </w:r>
      <w:r w:rsidRPr="00A16566">
        <w:rPr>
          <w:rStyle w:val="sccrespondentforrunningheadchar0"/>
          <w:rFonts w:cs="Times New Roman"/>
        </w:rPr>
        <w:noBreakHyphen/>
        <w:t>48 and 235</w:t>
      </w:r>
      <w:r w:rsidRPr="00A16566">
        <w:rPr>
          <w:rStyle w:val="sccrespondentforrunningheadchar0"/>
          <w:rFonts w:cs="Times New Roman"/>
        </w:rPr>
        <w:noBreakHyphen/>
        <w:t xml:space="preserve">46; </w:t>
      </w:r>
      <w:r w:rsidRPr="00A16566">
        <w:rPr>
          <w:rFonts w:cs="Times New Roman"/>
          <w:i/>
          <w:spacing w:val="-3"/>
        </w:rPr>
        <w:t xml:space="preserve">R. </w:t>
      </w:r>
      <w:r w:rsidRPr="00A16566">
        <w:rPr>
          <w:rFonts w:cs="Times New Roman"/>
          <w:i/>
          <w:iCs/>
          <w:spacing w:val="-3"/>
        </w:rPr>
        <w:t>v.</w:t>
      </w:r>
      <w:r w:rsidRPr="00A16566">
        <w:rPr>
          <w:rFonts w:cs="Times New Roman"/>
          <w:i/>
          <w:spacing w:val="-3"/>
        </w:rPr>
        <w:t xml:space="preserve"> Robinson</w:t>
      </w:r>
      <w:r w:rsidRPr="00A16566">
        <w:rPr>
          <w:rFonts w:cs="Times New Roman"/>
          <w:spacing w:val="-3"/>
        </w:rPr>
        <w:t xml:space="preserve">, [1996] 1 </w:t>
      </w:r>
      <w:proofErr w:type="spellStart"/>
      <w:r w:rsidRPr="00A16566">
        <w:rPr>
          <w:rFonts w:cs="Times New Roman"/>
          <w:spacing w:val="-3"/>
        </w:rPr>
        <w:t>S.C.R</w:t>
      </w:r>
      <w:proofErr w:type="spellEnd"/>
      <w:r w:rsidRPr="00A16566">
        <w:rPr>
          <w:rFonts w:cs="Times New Roman"/>
          <w:spacing w:val="-3"/>
        </w:rPr>
        <w:t xml:space="preserve">. 683, at para. 39; </w:t>
      </w:r>
      <w:proofErr w:type="spellStart"/>
      <w:r w:rsidRPr="00A16566">
        <w:rPr>
          <w:rFonts w:cs="Times New Roman"/>
          <w:i/>
        </w:rPr>
        <w:t>Tolofson</w:t>
      </w:r>
      <w:proofErr w:type="spellEnd"/>
      <w:r w:rsidRPr="00A16566">
        <w:rPr>
          <w:rFonts w:cs="Times New Roman"/>
          <w:i/>
        </w:rPr>
        <w:t xml:space="preserve"> </w:t>
      </w:r>
      <w:r w:rsidRPr="00A16566">
        <w:rPr>
          <w:rFonts w:cs="Times New Roman"/>
          <w:i/>
          <w:iCs/>
        </w:rPr>
        <w:t>v.</w:t>
      </w:r>
      <w:r w:rsidRPr="00A16566">
        <w:rPr>
          <w:rFonts w:cs="Times New Roman"/>
          <w:i/>
        </w:rPr>
        <w:t xml:space="preserve"> Jensen</w:t>
      </w:r>
      <w:r w:rsidRPr="00A16566">
        <w:rPr>
          <w:rFonts w:cs="Times New Roman"/>
        </w:rPr>
        <w:t xml:space="preserve">, [1994] 3 </w:t>
      </w:r>
      <w:proofErr w:type="spellStart"/>
      <w:r w:rsidRPr="00A16566">
        <w:rPr>
          <w:rFonts w:cs="Times New Roman"/>
        </w:rPr>
        <w:t>S.C.R</w:t>
      </w:r>
      <w:proofErr w:type="spellEnd"/>
      <w:r w:rsidRPr="00A16566">
        <w:rPr>
          <w:rFonts w:cs="Times New Roman"/>
        </w:rPr>
        <w:t xml:space="preserve">. 1022, at p. 1042; </w:t>
      </w:r>
      <w:r w:rsidRPr="00A16566">
        <w:rPr>
          <w:rFonts w:cs="Times New Roman"/>
          <w:i/>
          <w:spacing w:val="-3"/>
        </w:rPr>
        <w:t xml:space="preserve">R. </w:t>
      </w:r>
      <w:r w:rsidRPr="00A16566">
        <w:rPr>
          <w:rFonts w:cs="Times New Roman"/>
          <w:i/>
          <w:iCs/>
          <w:spacing w:val="-3"/>
        </w:rPr>
        <w:t>v.</w:t>
      </w:r>
      <w:r w:rsidRPr="00A16566">
        <w:rPr>
          <w:rFonts w:cs="Times New Roman"/>
          <w:i/>
          <w:spacing w:val="-3"/>
        </w:rPr>
        <w:t xml:space="preserve"> B. (</w:t>
      </w:r>
      <w:proofErr w:type="spellStart"/>
      <w:r w:rsidRPr="00A16566">
        <w:rPr>
          <w:rFonts w:cs="Times New Roman"/>
          <w:i/>
          <w:spacing w:val="-3"/>
        </w:rPr>
        <w:t>K.G</w:t>
      </w:r>
      <w:proofErr w:type="spellEnd"/>
      <w:r w:rsidRPr="00A16566">
        <w:rPr>
          <w:rFonts w:cs="Times New Roman"/>
          <w:i/>
          <w:spacing w:val="-3"/>
        </w:rPr>
        <w:t>.)</w:t>
      </w:r>
      <w:r w:rsidRPr="00A16566">
        <w:rPr>
          <w:rFonts w:cs="Times New Roman"/>
          <w:spacing w:val="-3"/>
        </w:rPr>
        <w:t xml:space="preserve">, [1993] 1 </w:t>
      </w:r>
      <w:proofErr w:type="spellStart"/>
      <w:r w:rsidRPr="00A16566">
        <w:rPr>
          <w:rFonts w:cs="Times New Roman"/>
          <w:spacing w:val="-3"/>
        </w:rPr>
        <w:t>S.C.R</w:t>
      </w:r>
      <w:proofErr w:type="spellEnd"/>
      <w:r w:rsidRPr="00A16566">
        <w:rPr>
          <w:rFonts w:cs="Times New Roman"/>
          <w:spacing w:val="-3"/>
        </w:rPr>
        <w:t>. 740, at pp.</w:t>
      </w:r>
      <w:r w:rsidRPr="00A16566">
        <w:rPr>
          <w:rFonts w:cs="Times New Roman" w:hint="eastAsia"/>
          <w:spacing w:val="-3"/>
        </w:rPr>
        <w:t> </w:t>
      </w:r>
      <w:r w:rsidRPr="00A16566">
        <w:rPr>
          <w:rFonts w:cs="Times New Roman"/>
          <w:spacing w:val="-3"/>
        </w:rPr>
        <w:t>765</w:t>
      </w:r>
      <w:r w:rsidRPr="00A16566">
        <w:rPr>
          <w:rFonts w:cs="Times New Roman"/>
          <w:spacing w:val="-3"/>
        </w:rPr>
        <w:noBreakHyphen/>
        <w:t>71;</w:t>
      </w:r>
      <w:r w:rsidRPr="00A16566">
        <w:rPr>
          <w:rFonts w:cs="Times New Roman"/>
          <w:i/>
          <w:spacing w:val="-3"/>
        </w:rPr>
        <w:t xml:space="preserve"> London Drugs Ltd. </w:t>
      </w:r>
      <w:r w:rsidRPr="00A16566">
        <w:rPr>
          <w:rFonts w:cs="Times New Roman"/>
          <w:i/>
          <w:iCs/>
          <w:spacing w:val="-3"/>
        </w:rPr>
        <w:t>v.</w:t>
      </w:r>
      <w:r w:rsidRPr="00A16566">
        <w:rPr>
          <w:rFonts w:cs="Times New Roman"/>
          <w:i/>
          <w:spacing w:val="-3"/>
        </w:rPr>
        <w:t xml:space="preserve"> </w:t>
      </w:r>
      <w:proofErr w:type="spellStart"/>
      <w:r w:rsidRPr="00A16566">
        <w:rPr>
          <w:rFonts w:cs="Times New Roman"/>
          <w:i/>
          <w:spacing w:val="-3"/>
        </w:rPr>
        <w:t>Kuehne</w:t>
      </w:r>
      <w:proofErr w:type="spellEnd"/>
      <w:r w:rsidRPr="00A16566">
        <w:rPr>
          <w:rFonts w:cs="Times New Roman"/>
          <w:i/>
          <w:spacing w:val="-3"/>
        </w:rPr>
        <w:t xml:space="preserve"> &amp; Nagel International Ltd.</w:t>
      </w:r>
      <w:r w:rsidRPr="00A16566">
        <w:rPr>
          <w:rFonts w:cs="Times New Roman"/>
          <w:spacing w:val="-3"/>
        </w:rPr>
        <w:t xml:space="preserve">, [1992] 3 </w:t>
      </w:r>
      <w:proofErr w:type="spellStart"/>
      <w:r w:rsidRPr="00A16566">
        <w:rPr>
          <w:rFonts w:cs="Times New Roman"/>
          <w:spacing w:val="-3"/>
        </w:rPr>
        <w:t>S.C.R</w:t>
      </w:r>
      <w:proofErr w:type="spellEnd"/>
      <w:r w:rsidRPr="00A16566">
        <w:rPr>
          <w:rFonts w:cs="Times New Roman"/>
          <w:spacing w:val="-3"/>
        </w:rPr>
        <w:t>. 299, at pp.</w:t>
      </w:r>
      <w:r w:rsidRPr="00A16566">
        <w:rPr>
          <w:rFonts w:cs="Times New Roman" w:hint="eastAsia"/>
          <w:spacing w:val="-3"/>
        </w:rPr>
        <w:t> </w:t>
      </w:r>
      <w:r w:rsidRPr="00A16566">
        <w:rPr>
          <w:rFonts w:cs="Times New Roman"/>
          <w:spacing w:val="-3"/>
        </w:rPr>
        <w:t>421</w:t>
      </w:r>
      <w:r w:rsidRPr="00A16566">
        <w:rPr>
          <w:rFonts w:cs="Times New Roman"/>
          <w:spacing w:val="-3"/>
        </w:rPr>
        <w:noBreakHyphen/>
        <w:t xml:space="preserve">23; </w:t>
      </w:r>
      <w:r w:rsidRPr="00A16566">
        <w:rPr>
          <w:rFonts w:cs="Times New Roman"/>
          <w:i/>
          <w:spacing w:val="-3"/>
        </w:rPr>
        <w:t xml:space="preserve">R. </w:t>
      </w:r>
      <w:r w:rsidRPr="00A16566">
        <w:rPr>
          <w:rFonts w:cs="Times New Roman"/>
          <w:i/>
          <w:iCs/>
          <w:spacing w:val="-3"/>
        </w:rPr>
        <w:t xml:space="preserve">v. </w:t>
      </w:r>
      <w:r w:rsidRPr="00A16566">
        <w:rPr>
          <w:rFonts w:cs="Times New Roman"/>
          <w:i/>
          <w:spacing w:val="-3"/>
        </w:rPr>
        <w:t>Bernard</w:t>
      </w:r>
      <w:r w:rsidRPr="00A16566">
        <w:rPr>
          <w:rFonts w:cs="Times New Roman"/>
          <w:spacing w:val="-3"/>
        </w:rPr>
        <w:t xml:space="preserve">, [1988] 2 </w:t>
      </w:r>
      <w:proofErr w:type="spellStart"/>
      <w:r w:rsidRPr="00A16566">
        <w:rPr>
          <w:rFonts w:cs="Times New Roman"/>
          <w:spacing w:val="-3"/>
        </w:rPr>
        <w:t>S.C.R</w:t>
      </w:r>
      <w:proofErr w:type="spellEnd"/>
      <w:r w:rsidRPr="00A16566">
        <w:rPr>
          <w:rFonts w:cs="Times New Roman"/>
          <w:spacing w:val="-3"/>
        </w:rPr>
        <w:t>. 833, at pp. 865</w:t>
      </w:r>
      <w:r w:rsidRPr="00A16566">
        <w:rPr>
          <w:rFonts w:cs="Times New Roman"/>
          <w:spacing w:val="-3"/>
        </w:rPr>
        <w:noBreakHyphen/>
        <w:t>68</w:t>
      </w:r>
      <w:r w:rsidRPr="00A16566">
        <w:rPr>
          <w:rFonts w:cs="Times New Roman"/>
        </w:rPr>
        <w:t xml:space="preserve">). This is not to say, of course, that the judiciary is bound to adopt the prevailing approach proffered in the scholarship or that academic criticism is a sufficient reason not to apply the principles of </w:t>
      </w:r>
      <w:r w:rsidRPr="00A16566">
        <w:rPr>
          <w:rFonts w:cs="Times New Roman"/>
          <w:i/>
        </w:rPr>
        <w:t xml:space="preserve">stare decisis </w:t>
      </w:r>
      <w:r w:rsidRPr="00A16566">
        <w:rPr>
          <w:rFonts w:cs="Times New Roman"/>
        </w:rPr>
        <w:t xml:space="preserve">(see </w:t>
      </w:r>
      <w:r w:rsidRPr="00A16566">
        <w:rPr>
          <w:rFonts w:cs="Times New Roman"/>
          <w:i/>
        </w:rPr>
        <w:t>Fraser</w:t>
      </w:r>
      <w:r w:rsidRPr="00A16566">
        <w:rPr>
          <w:rFonts w:cs="Times New Roman"/>
        </w:rPr>
        <w:t>,</w:t>
      </w:r>
      <w:r w:rsidRPr="00A16566">
        <w:rPr>
          <w:rStyle w:val="sccrespondentforrunningheadchar0"/>
          <w:rFonts w:cs="Times New Roman"/>
          <w:smallCaps/>
        </w:rPr>
        <w:t xml:space="preserve"> </w:t>
      </w:r>
      <w:r w:rsidRPr="00A16566">
        <w:rPr>
          <w:rStyle w:val="sccrespondentforrunningheadchar0"/>
          <w:rFonts w:cs="Times New Roman"/>
        </w:rPr>
        <w:t>at para. 86;</w:t>
      </w:r>
      <w:r w:rsidRPr="00A16566">
        <w:rPr>
          <w:rFonts w:cs="Times New Roman"/>
          <w:i/>
        </w:rPr>
        <w:t xml:space="preserve"> R. </w:t>
      </w:r>
      <w:r w:rsidRPr="00A16566">
        <w:rPr>
          <w:rFonts w:cs="Times New Roman"/>
          <w:i/>
          <w:iCs/>
        </w:rPr>
        <w:t>v.</w:t>
      </w:r>
      <w:r w:rsidRPr="00A16566">
        <w:rPr>
          <w:rFonts w:cs="Times New Roman"/>
          <w:i/>
        </w:rPr>
        <w:t xml:space="preserve"> Tran</w:t>
      </w:r>
      <w:r w:rsidRPr="00A16566">
        <w:rPr>
          <w:rFonts w:cs="Times New Roman"/>
        </w:rPr>
        <w:t>, 2010 SCC 58</w:t>
      </w:r>
      <w:r w:rsidRPr="00A16566">
        <w:rPr>
          <w:rStyle w:val="sccrespondentforrunningheadchar0"/>
          <w:rFonts w:cs="Times New Roman"/>
          <w:smallCaps/>
        </w:rPr>
        <w:t xml:space="preserve">, [2010] 3 </w:t>
      </w:r>
      <w:proofErr w:type="spellStart"/>
      <w:r w:rsidRPr="00A16566">
        <w:rPr>
          <w:rStyle w:val="sccrespondentforrunningheadchar0"/>
          <w:rFonts w:cs="Times New Roman"/>
          <w:smallCaps/>
        </w:rPr>
        <w:t>S.C.R</w:t>
      </w:r>
      <w:proofErr w:type="spellEnd"/>
      <w:r w:rsidRPr="00A16566">
        <w:rPr>
          <w:rStyle w:val="sccrespondentforrunningheadchar0"/>
          <w:rFonts w:cs="Times New Roman"/>
          <w:smallCaps/>
        </w:rPr>
        <w:t xml:space="preserve">. 350, </w:t>
      </w:r>
      <w:r w:rsidRPr="00A16566">
        <w:rPr>
          <w:rStyle w:val="sccrespondentforrunningheadchar0"/>
          <w:rFonts w:cs="Times New Roman"/>
        </w:rPr>
        <w:t>at paras. 28</w:t>
      </w:r>
      <w:r w:rsidRPr="00A16566">
        <w:rPr>
          <w:rStyle w:val="sccrespondentforrunningheadchar0"/>
          <w:rFonts w:cs="Times New Roman"/>
        </w:rPr>
        <w:noBreakHyphen/>
        <w:t xml:space="preserve">29; </w:t>
      </w:r>
      <w:r w:rsidRPr="00A16566">
        <w:rPr>
          <w:rFonts w:cs="Times New Roman"/>
          <w:i/>
          <w:spacing w:val="-3"/>
        </w:rPr>
        <w:t xml:space="preserve">Friesen </w:t>
      </w:r>
      <w:r w:rsidRPr="00A16566">
        <w:rPr>
          <w:rFonts w:cs="Times New Roman"/>
          <w:i/>
          <w:iCs/>
          <w:spacing w:val="-3"/>
        </w:rPr>
        <w:t>v.</w:t>
      </w:r>
      <w:r w:rsidRPr="00A16566">
        <w:rPr>
          <w:rFonts w:cs="Times New Roman"/>
          <w:i/>
          <w:spacing w:val="-3"/>
        </w:rPr>
        <w:t xml:space="preserve"> Canada</w:t>
      </w:r>
      <w:r w:rsidRPr="00A16566">
        <w:rPr>
          <w:rFonts w:cs="Times New Roman"/>
          <w:spacing w:val="-3"/>
        </w:rPr>
        <w:t xml:space="preserve">, [1995] 3 </w:t>
      </w:r>
      <w:proofErr w:type="spellStart"/>
      <w:r w:rsidRPr="00A16566">
        <w:rPr>
          <w:rFonts w:cs="Times New Roman"/>
          <w:spacing w:val="-3"/>
        </w:rPr>
        <w:t>S.C.R</w:t>
      </w:r>
      <w:proofErr w:type="spellEnd"/>
      <w:r w:rsidRPr="00A16566">
        <w:rPr>
          <w:rFonts w:cs="Times New Roman"/>
          <w:spacing w:val="-3"/>
        </w:rPr>
        <w:t xml:space="preserve">. 103, at paras. 56 and 58; </w:t>
      </w:r>
      <w:r w:rsidRPr="00A16566">
        <w:rPr>
          <w:rFonts w:cs="Times New Roman"/>
          <w:i/>
          <w:spacing w:val="-3"/>
        </w:rPr>
        <w:t>B. (</w:t>
      </w:r>
      <w:proofErr w:type="spellStart"/>
      <w:r w:rsidRPr="00A16566">
        <w:rPr>
          <w:rFonts w:cs="Times New Roman"/>
          <w:i/>
          <w:spacing w:val="-3"/>
        </w:rPr>
        <w:t>K.G</w:t>
      </w:r>
      <w:proofErr w:type="spellEnd"/>
      <w:r w:rsidRPr="00A16566">
        <w:rPr>
          <w:rFonts w:cs="Times New Roman"/>
          <w:i/>
          <w:spacing w:val="-3"/>
        </w:rPr>
        <w:t>.)</w:t>
      </w:r>
      <w:r w:rsidRPr="00A16566">
        <w:rPr>
          <w:rFonts w:cs="Times New Roman"/>
          <w:spacing w:val="-3"/>
        </w:rPr>
        <w:t>, at pp.</w:t>
      </w:r>
      <w:r w:rsidRPr="00A16566">
        <w:rPr>
          <w:rFonts w:cs="Times New Roman" w:hint="eastAsia"/>
          <w:spacing w:val="-3"/>
        </w:rPr>
        <w:t> 774</w:t>
      </w:r>
      <w:r w:rsidRPr="00A16566">
        <w:rPr>
          <w:rFonts w:cs="Times New Roman"/>
          <w:spacing w:val="-3"/>
        </w:rPr>
        <w:noBreakHyphen/>
      </w:r>
      <w:r w:rsidRPr="00A16566">
        <w:rPr>
          <w:rFonts w:cs="Times New Roman" w:hint="eastAsia"/>
          <w:spacing w:val="-3"/>
        </w:rPr>
        <w:t>7</w:t>
      </w:r>
      <w:r w:rsidRPr="00A16566">
        <w:rPr>
          <w:rFonts w:cs="Times New Roman"/>
          <w:spacing w:val="-3"/>
        </w:rPr>
        <w:t>7</w:t>
      </w:r>
      <w:r w:rsidRPr="00A16566">
        <w:rPr>
          <w:rStyle w:val="sccrespondentforrunningheadchar0"/>
          <w:rFonts w:cs="Times New Roman"/>
        </w:rPr>
        <w:t>). It is helpful to recall what I wrote with my colleagues Brown and Rowe </w:t>
      </w:r>
      <w:proofErr w:type="spellStart"/>
      <w:r w:rsidRPr="00A16566">
        <w:rPr>
          <w:rStyle w:val="sccrespondentforrunningheadchar0"/>
          <w:rFonts w:cs="Times New Roman"/>
        </w:rPr>
        <w:t>JJ</w:t>
      </w:r>
      <w:proofErr w:type="spellEnd"/>
      <w:r w:rsidRPr="00A16566">
        <w:rPr>
          <w:rStyle w:val="sccrespondentforrunningheadchar0"/>
          <w:rFonts w:cs="Times New Roman"/>
        </w:rPr>
        <w:t xml:space="preserve">. </w:t>
      </w:r>
      <w:proofErr w:type="gramStart"/>
      <w:r w:rsidRPr="00A16566">
        <w:rPr>
          <w:rStyle w:val="sccrespondentforrunningheadchar0"/>
          <w:rFonts w:cs="Times New Roman"/>
        </w:rPr>
        <w:t>in</w:t>
      </w:r>
      <w:proofErr w:type="gramEnd"/>
      <w:r w:rsidRPr="00A16566">
        <w:rPr>
          <w:rStyle w:val="sccrespondentforrunningheadchar0"/>
          <w:rFonts w:cs="Times New Roman"/>
        </w:rPr>
        <w:t xml:space="preserve"> </w:t>
      </w:r>
      <w:r w:rsidRPr="00A16566">
        <w:rPr>
          <w:rStyle w:val="sccrespondentforrunningheadchar0"/>
          <w:rFonts w:cs="Times New Roman"/>
          <w:i/>
        </w:rPr>
        <w:t>R. v. Kirkpatrick</w:t>
      </w:r>
      <w:r w:rsidRPr="00A16566">
        <w:rPr>
          <w:rStyle w:val="sccrespondentforrunningheadchar0"/>
          <w:rFonts w:cs="Times New Roman"/>
        </w:rPr>
        <w:t xml:space="preserve">, 2022 SCC 33, at para. 248: criticism </w:t>
      </w:r>
      <w:r w:rsidRPr="00A16566">
        <w:rPr>
          <w:rStyle w:val="sccrespondentforrunningheadchar0"/>
          <w:rFonts w:cs="Times New Roman"/>
          <w:i/>
        </w:rPr>
        <w:t xml:space="preserve">per se </w:t>
      </w:r>
      <w:r w:rsidRPr="00A16566">
        <w:rPr>
          <w:rStyle w:val="sccrespondentforrunningheadchar0"/>
          <w:rFonts w:cs="Times New Roman"/>
        </w:rPr>
        <w:t>is not a reason to overrule one of our own judgments, but it may help a party make the case for overruling it on appropriate grounds.</w:t>
      </w:r>
      <w:r w:rsidRPr="00045352">
        <w:rPr>
          <w:rStyle w:val="Hyperlink"/>
          <w:vertAlign w:val="superscript"/>
        </w:rPr>
        <w:footnoteReference w:id="4"/>
      </w:r>
      <w:r w:rsidRPr="00A16566">
        <w:rPr>
          <w:rStyle w:val="sccrespondentforrunningheadchar0"/>
          <w:rFonts w:cs="Times New Roman"/>
        </w:rPr>
        <w:t xml:space="preserve"> </w:t>
      </w:r>
    </w:p>
    <w:p w14:paraId="568179B6" w14:textId="77777777" w:rsidR="00A16566" w:rsidRPr="00A16566" w:rsidRDefault="00A16566" w:rsidP="00A16566">
      <w:pPr>
        <w:pStyle w:val="ParaNoNdepar-AltN"/>
        <w:rPr>
          <w:rFonts w:cs="Times New Roman"/>
        </w:rPr>
      </w:pPr>
      <w:r w:rsidRPr="00A16566">
        <w:rPr>
          <w:rFonts w:cs="Times New Roman"/>
        </w:rPr>
        <w:t xml:space="preserve">I do not believe that this is an appropriate case in which to reconsider the extraterritorial application of the </w:t>
      </w:r>
      <w:r w:rsidRPr="00A16566">
        <w:rPr>
          <w:rFonts w:cs="Times New Roman"/>
          <w:i/>
        </w:rPr>
        <w:t>Charter</w:t>
      </w:r>
      <w:r w:rsidRPr="00A16566">
        <w:rPr>
          <w:rFonts w:cs="Times New Roman"/>
        </w:rPr>
        <w:t>.</w:t>
      </w:r>
      <w:r w:rsidRPr="00A16566">
        <w:rPr>
          <w:rFonts w:cs="Times New Roman"/>
          <w:i/>
        </w:rPr>
        <w:t xml:space="preserve"> </w:t>
      </w:r>
      <w:r w:rsidRPr="00A16566">
        <w:rPr>
          <w:rFonts w:cs="Times New Roman"/>
        </w:rPr>
        <w:t xml:space="preserve">The parties do not contend that the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framework should be revisited; they simply debate its application to the facts at hand. As a rule, which the Court should depart from only in rare and exceptional circumstances, we should not overrule a precedent without having been asked to do so by a party. In this instance, only some interveners ask us to overturn </w:t>
      </w:r>
      <w:proofErr w:type="spellStart"/>
      <w:r w:rsidRPr="00A16566">
        <w:rPr>
          <w:rFonts w:cs="Times New Roman"/>
          <w:i/>
        </w:rPr>
        <w:t>Hape</w:t>
      </w:r>
      <w:proofErr w:type="spellEnd"/>
      <w:r w:rsidRPr="00A16566">
        <w:rPr>
          <w:rFonts w:cs="Times New Roman"/>
        </w:rPr>
        <w:t xml:space="preserve">; in doing so, they go beyond their proper role. Doing what they are asking would mean deciding an issue that is not properly before us. Furthermore, as mentioned above, the extraterritorial application of the </w:t>
      </w:r>
      <w:r w:rsidRPr="00A16566">
        <w:rPr>
          <w:rFonts w:cs="Times New Roman"/>
          <w:i/>
        </w:rPr>
        <w:t xml:space="preserve">Charter </w:t>
      </w:r>
      <w:r w:rsidRPr="00A16566">
        <w:rPr>
          <w:rFonts w:cs="Times New Roman"/>
        </w:rPr>
        <w:t xml:space="preserve">has no bearing on the disposition of the present appeal. Indeed, the actions of the </w:t>
      </w:r>
      <w:proofErr w:type="spellStart"/>
      <w:r w:rsidRPr="00A16566">
        <w:rPr>
          <w:rFonts w:cs="Times New Roman"/>
        </w:rPr>
        <w:t>CFNIS</w:t>
      </w:r>
      <w:proofErr w:type="spellEnd"/>
      <w:r w:rsidRPr="00A16566">
        <w:rPr>
          <w:rFonts w:cs="Times New Roman"/>
        </w:rPr>
        <w:t xml:space="preserve"> conformed to the </w:t>
      </w:r>
      <w:r w:rsidRPr="00A16566">
        <w:rPr>
          <w:rFonts w:cs="Times New Roman"/>
          <w:i/>
        </w:rPr>
        <w:t>Charter</w:t>
      </w:r>
      <w:r w:rsidRPr="00A16566">
        <w:rPr>
          <w:rFonts w:cs="Times New Roman"/>
        </w:rPr>
        <w:t xml:space="preserve">, as the s. 8 analysis below makes clear. Simply put, I would dismiss the appeal even if I were to accept Cpl. McGregor’s argument that the </w:t>
      </w:r>
      <w:r w:rsidRPr="00A16566">
        <w:rPr>
          <w:rFonts w:cs="Times New Roman"/>
          <w:i/>
        </w:rPr>
        <w:t xml:space="preserve">Charter </w:t>
      </w:r>
      <w:r w:rsidRPr="00A16566">
        <w:rPr>
          <w:rFonts w:cs="Times New Roman"/>
        </w:rPr>
        <w:t>applies extraterritorially in the present context.</w:t>
      </w:r>
    </w:p>
    <w:p w14:paraId="402722E5"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It is thus preferable to leave for another day any reconsideration of the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framework. A restrained approach is amply supported by our jurisprudence. As </w:t>
      </w:r>
      <w:proofErr w:type="spellStart"/>
      <w:r w:rsidRPr="00A16566">
        <w:rPr>
          <w:rFonts w:cs="Times New Roman"/>
        </w:rPr>
        <w:t>Sopinka</w:t>
      </w:r>
      <w:proofErr w:type="spellEnd"/>
      <w:r w:rsidRPr="00A16566">
        <w:rPr>
          <w:rFonts w:cs="Times New Roman"/>
        </w:rPr>
        <w:t xml:space="preserve"> J. emphasized in </w:t>
      </w:r>
      <w:r w:rsidRPr="00A16566">
        <w:rPr>
          <w:rFonts w:cs="Times New Roman"/>
          <w:i/>
          <w:spacing w:val="-3"/>
        </w:rPr>
        <w:t xml:space="preserve">Phillips </w:t>
      </w:r>
      <w:r w:rsidRPr="00A16566">
        <w:rPr>
          <w:rFonts w:cs="Times New Roman"/>
          <w:i/>
          <w:iCs/>
          <w:spacing w:val="-3"/>
        </w:rPr>
        <w:t>v.</w:t>
      </w:r>
      <w:r w:rsidRPr="00A16566">
        <w:rPr>
          <w:rFonts w:cs="Times New Roman"/>
          <w:i/>
          <w:spacing w:val="-3"/>
        </w:rPr>
        <w:t xml:space="preserve"> Nova Scotia (Commission of Inquiry into the </w:t>
      </w:r>
      <w:proofErr w:type="spellStart"/>
      <w:r w:rsidRPr="00A16566">
        <w:rPr>
          <w:rFonts w:cs="Times New Roman"/>
          <w:i/>
          <w:spacing w:val="-3"/>
        </w:rPr>
        <w:t>Westray</w:t>
      </w:r>
      <w:proofErr w:type="spellEnd"/>
      <w:r w:rsidRPr="00A16566">
        <w:rPr>
          <w:rFonts w:cs="Times New Roman"/>
          <w:i/>
          <w:spacing w:val="-3"/>
        </w:rPr>
        <w:t xml:space="preserve"> Mine Tragedy)</w:t>
      </w:r>
      <w:r w:rsidRPr="00A16566">
        <w:rPr>
          <w:rFonts w:cs="Times New Roman"/>
          <w:spacing w:val="-3"/>
        </w:rPr>
        <w:t xml:space="preserve">, [1995] 2 </w:t>
      </w:r>
      <w:proofErr w:type="spellStart"/>
      <w:r w:rsidRPr="00A16566">
        <w:rPr>
          <w:rFonts w:cs="Times New Roman"/>
          <w:spacing w:val="-3"/>
        </w:rPr>
        <w:t>S.C.R</w:t>
      </w:r>
      <w:proofErr w:type="spellEnd"/>
      <w:r w:rsidRPr="00A16566">
        <w:rPr>
          <w:rFonts w:cs="Times New Roman"/>
          <w:spacing w:val="-3"/>
        </w:rPr>
        <w:t xml:space="preserve">. 97, “This Court has said on numerous occasions that it </w:t>
      </w:r>
      <w:r w:rsidRPr="00A16566">
        <w:rPr>
          <w:rFonts w:cs="Times New Roman"/>
        </w:rPr>
        <w:t xml:space="preserve">should not decide issues of law that are not necessary to a resolution of an appeal. This is particularly true with respect to constitutional issues” (para. 6; see also </w:t>
      </w:r>
      <w:r w:rsidRPr="00A16566">
        <w:rPr>
          <w:rFonts w:cs="Times New Roman"/>
          <w:i/>
        </w:rPr>
        <w:t>R. v. Yusuf</w:t>
      </w:r>
      <w:r w:rsidRPr="00A16566">
        <w:rPr>
          <w:rFonts w:cs="Times New Roman"/>
        </w:rPr>
        <w:t>, 2021 SCC 2, at paras. 3</w:t>
      </w:r>
      <w:r w:rsidRPr="00A16566">
        <w:rPr>
          <w:rFonts w:cs="Times New Roman"/>
        </w:rPr>
        <w:noBreakHyphen/>
        <w:t xml:space="preserve">5; </w:t>
      </w:r>
      <w:r w:rsidRPr="00A16566">
        <w:rPr>
          <w:rFonts w:cs="Times New Roman"/>
          <w:i/>
          <w:lang w:bidi="en-US"/>
        </w:rPr>
        <w:t xml:space="preserve">Canada (Attorney General) </w:t>
      </w:r>
      <w:r w:rsidRPr="00A16566">
        <w:rPr>
          <w:rFonts w:cs="Times New Roman"/>
          <w:i/>
          <w:iCs/>
          <w:lang w:bidi="en-US"/>
        </w:rPr>
        <w:t xml:space="preserve">v. </w:t>
      </w:r>
      <w:r w:rsidRPr="00A16566">
        <w:rPr>
          <w:rFonts w:cs="Times New Roman"/>
          <w:i/>
          <w:lang w:bidi="en-US"/>
        </w:rPr>
        <w:t>Federation of Law Societies of Canada</w:t>
      </w:r>
      <w:r w:rsidRPr="00A16566">
        <w:rPr>
          <w:rFonts w:cs="Times New Roman"/>
          <w:lang w:bidi="en-US"/>
        </w:rPr>
        <w:t xml:space="preserve">, 2015 SCC 7, [2015] 1 </w:t>
      </w:r>
      <w:proofErr w:type="spellStart"/>
      <w:r w:rsidRPr="00A16566">
        <w:rPr>
          <w:rFonts w:cs="Times New Roman"/>
          <w:lang w:bidi="en-US"/>
        </w:rPr>
        <w:t>S.C.R</w:t>
      </w:r>
      <w:proofErr w:type="spellEnd"/>
      <w:r w:rsidRPr="00A16566">
        <w:rPr>
          <w:rFonts w:cs="Times New Roman"/>
          <w:lang w:bidi="en-US"/>
        </w:rPr>
        <w:t xml:space="preserve">. 401, at para. 86; </w:t>
      </w:r>
      <w:r w:rsidRPr="00A16566">
        <w:rPr>
          <w:rFonts w:cs="Times New Roman"/>
          <w:i/>
          <w:iCs/>
        </w:rPr>
        <w:t xml:space="preserve">Law Society of Upper Canada v. </w:t>
      </w:r>
      <w:proofErr w:type="spellStart"/>
      <w:r w:rsidRPr="00A16566">
        <w:rPr>
          <w:rFonts w:cs="Times New Roman"/>
          <w:i/>
          <w:iCs/>
        </w:rPr>
        <w:t>Skapinker</w:t>
      </w:r>
      <w:proofErr w:type="spellEnd"/>
      <w:r w:rsidRPr="00A16566">
        <w:rPr>
          <w:rFonts w:cs="Times New Roman"/>
        </w:rPr>
        <w:t xml:space="preserve">, [1984] 1 </w:t>
      </w:r>
      <w:proofErr w:type="spellStart"/>
      <w:r w:rsidRPr="00A16566">
        <w:rPr>
          <w:rFonts w:cs="Times New Roman"/>
        </w:rPr>
        <w:t>S.C.R</w:t>
      </w:r>
      <w:proofErr w:type="spellEnd"/>
      <w:r w:rsidRPr="00A16566">
        <w:rPr>
          <w:rFonts w:cs="Times New Roman"/>
        </w:rPr>
        <w:t>. 357, at pp. 381</w:t>
      </w:r>
      <w:r w:rsidRPr="00A16566">
        <w:rPr>
          <w:rFonts w:cs="Times New Roman"/>
        </w:rPr>
        <w:noBreakHyphen/>
        <w:t xml:space="preserve">82; </w:t>
      </w:r>
      <w:r w:rsidRPr="00A16566">
        <w:rPr>
          <w:rFonts w:cs="Times New Roman"/>
          <w:i/>
          <w:iCs/>
        </w:rPr>
        <w:t>The Queen in Right of Manitoba v. Air Canada</w:t>
      </w:r>
      <w:r w:rsidRPr="00A16566">
        <w:rPr>
          <w:rFonts w:cs="Times New Roman"/>
        </w:rPr>
        <w:t xml:space="preserve">, [1980] 2 </w:t>
      </w:r>
      <w:proofErr w:type="spellStart"/>
      <w:r w:rsidRPr="00A16566">
        <w:rPr>
          <w:rFonts w:cs="Times New Roman"/>
        </w:rPr>
        <w:t>S.C.R</w:t>
      </w:r>
      <w:proofErr w:type="spellEnd"/>
      <w:r w:rsidRPr="00A16566">
        <w:rPr>
          <w:rFonts w:cs="Times New Roman"/>
        </w:rPr>
        <w:t xml:space="preserve">. 303, at p. 320; </w:t>
      </w:r>
      <w:r w:rsidRPr="00A16566">
        <w:rPr>
          <w:rFonts w:cs="Times New Roman"/>
          <w:i/>
          <w:iCs/>
        </w:rPr>
        <w:t>Attorney General (Que.) v. Cumming</w:t>
      </w:r>
      <w:r w:rsidRPr="00A16566">
        <w:rPr>
          <w:rFonts w:cs="Times New Roman"/>
        </w:rPr>
        <w:t xml:space="preserve">, [1978] 2 </w:t>
      </w:r>
      <w:proofErr w:type="spellStart"/>
      <w:r w:rsidRPr="00A16566">
        <w:rPr>
          <w:rFonts w:cs="Times New Roman"/>
        </w:rPr>
        <w:t>S.C.R</w:t>
      </w:r>
      <w:proofErr w:type="spellEnd"/>
      <w:r w:rsidRPr="00A16566">
        <w:rPr>
          <w:rFonts w:cs="Times New Roman"/>
        </w:rPr>
        <w:t>. 605, at pp. 610</w:t>
      </w:r>
      <w:r w:rsidRPr="00A16566">
        <w:rPr>
          <w:rFonts w:cs="Times New Roman"/>
        </w:rPr>
        <w:noBreakHyphen/>
        <w:t xml:space="preserve">11; </w:t>
      </w:r>
      <w:r w:rsidRPr="00A16566">
        <w:rPr>
          <w:rFonts w:cs="Times New Roman"/>
          <w:i/>
          <w:iCs/>
        </w:rPr>
        <w:t xml:space="preserve">Winner v. </w:t>
      </w:r>
      <w:proofErr w:type="spellStart"/>
      <w:r w:rsidRPr="00A16566">
        <w:rPr>
          <w:rFonts w:cs="Times New Roman"/>
          <w:i/>
          <w:iCs/>
        </w:rPr>
        <w:t>S.M.T</w:t>
      </w:r>
      <w:proofErr w:type="spellEnd"/>
      <w:r w:rsidRPr="00A16566">
        <w:rPr>
          <w:rFonts w:cs="Times New Roman"/>
          <w:i/>
          <w:iCs/>
        </w:rPr>
        <w:t>. (Eastern) Ltd.</w:t>
      </w:r>
      <w:r w:rsidRPr="00A16566">
        <w:rPr>
          <w:rFonts w:cs="Times New Roman"/>
        </w:rPr>
        <w:t xml:space="preserve">, [1951] </w:t>
      </w:r>
      <w:proofErr w:type="spellStart"/>
      <w:r w:rsidRPr="00A16566">
        <w:rPr>
          <w:rFonts w:cs="Times New Roman"/>
        </w:rPr>
        <w:t>S.C.R</w:t>
      </w:r>
      <w:proofErr w:type="spellEnd"/>
      <w:r w:rsidRPr="00A16566">
        <w:rPr>
          <w:rFonts w:cs="Times New Roman"/>
        </w:rPr>
        <w:t xml:space="preserve">. 887, at p. 901, per </w:t>
      </w:r>
      <w:proofErr w:type="spellStart"/>
      <w:r w:rsidRPr="00A16566">
        <w:rPr>
          <w:rFonts w:cs="Times New Roman"/>
        </w:rPr>
        <w:t>Rinfret</w:t>
      </w:r>
      <w:proofErr w:type="spellEnd"/>
      <w:r w:rsidRPr="00A16566">
        <w:rPr>
          <w:rFonts w:cs="Times New Roman"/>
        </w:rPr>
        <w:t> </w:t>
      </w:r>
      <w:proofErr w:type="spellStart"/>
      <w:r w:rsidRPr="00A16566">
        <w:rPr>
          <w:rFonts w:cs="Times New Roman"/>
        </w:rPr>
        <w:t>C.J</w:t>
      </w:r>
      <w:proofErr w:type="spellEnd"/>
      <w:r w:rsidRPr="00A16566">
        <w:rPr>
          <w:rFonts w:cs="Times New Roman"/>
        </w:rPr>
        <w:t xml:space="preserve">., </w:t>
      </w:r>
      <w:proofErr w:type="spellStart"/>
      <w:r w:rsidRPr="00A16566">
        <w:rPr>
          <w:rFonts w:cs="Times New Roman"/>
        </w:rPr>
        <w:t>rev’d</w:t>
      </w:r>
      <w:proofErr w:type="spellEnd"/>
      <w:r w:rsidRPr="00A16566">
        <w:rPr>
          <w:rFonts w:cs="Times New Roman"/>
        </w:rPr>
        <w:t xml:space="preserve"> in part [1954] </w:t>
      </w:r>
      <w:proofErr w:type="spellStart"/>
      <w:r w:rsidRPr="00A16566">
        <w:rPr>
          <w:rFonts w:cs="Times New Roman"/>
        </w:rPr>
        <w:t>A.C</w:t>
      </w:r>
      <w:proofErr w:type="spellEnd"/>
      <w:r w:rsidRPr="00A16566">
        <w:rPr>
          <w:rFonts w:cs="Times New Roman"/>
        </w:rPr>
        <w:t xml:space="preserve">. 541 (P.C.); </w:t>
      </w:r>
      <w:r w:rsidRPr="00A16566">
        <w:rPr>
          <w:rFonts w:cs="Times New Roman"/>
          <w:i/>
          <w:iCs/>
        </w:rPr>
        <w:t>John Deere Plow Co. v. Wharton</w:t>
      </w:r>
      <w:r w:rsidRPr="00A16566">
        <w:rPr>
          <w:rFonts w:cs="Times New Roman"/>
        </w:rPr>
        <w:t xml:space="preserve">, [1915] </w:t>
      </w:r>
      <w:proofErr w:type="spellStart"/>
      <w:r w:rsidRPr="00A16566">
        <w:rPr>
          <w:rFonts w:cs="Times New Roman"/>
        </w:rPr>
        <w:t>A.C</w:t>
      </w:r>
      <w:proofErr w:type="spellEnd"/>
      <w:r w:rsidRPr="00A16566">
        <w:rPr>
          <w:rFonts w:cs="Times New Roman"/>
        </w:rPr>
        <w:t xml:space="preserve">. 330 (P.C.), at p. 339; </w:t>
      </w:r>
      <w:r w:rsidRPr="00A16566">
        <w:rPr>
          <w:rFonts w:cs="Times New Roman"/>
          <w:i/>
        </w:rPr>
        <w:t xml:space="preserve">Citizens Insurance Co. of Canada v. Parsons </w:t>
      </w:r>
      <w:r w:rsidRPr="00A16566">
        <w:rPr>
          <w:rFonts w:cs="Times New Roman"/>
        </w:rPr>
        <w:t xml:space="preserve">(1881), 7 App. </w:t>
      </w:r>
      <w:proofErr w:type="spellStart"/>
      <w:r w:rsidRPr="00A16566">
        <w:rPr>
          <w:rFonts w:cs="Times New Roman"/>
        </w:rPr>
        <w:t>Cas</w:t>
      </w:r>
      <w:proofErr w:type="spellEnd"/>
      <w:r w:rsidRPr="00A16566">
        <w:rPr>
          <w:rFonts w:cs="Times New Roman"/>
        </w:rPr>
        <w:t xml:space="preserve">. 96 (P.C.), at p. 109; </w:t>
      </w:r>
      <w:r w:rsidRPr="00A16566">
        <w:rPr>
          <w:rFonts w:cs="Times New Roman"/>
          <w:i/>
        </w:rPr>
        <w:t>Reference re Remuneration of Judges of the Provincial Court of Prince Edward Island</w:t>
      </w:r>
      <w:r w:rsidRPr="00A16566">
        <w:rPr>
          <w:rFonts w:cs="Times New Roman"/>
        </w:rPr>
        <w:t xml:space="preserve">, [1997] 3 </w:t>
      </w:r>
      <w:proofErr w:type="spellStart"/>
      <w:r w:rsidRPr="00A16566">
        <w:rPr>
          <w:rFonts w:cs="Times New Roman"/>
        </w:rPr>
        <w:t>S.C.R</w:t>
      </w:r>
      <w:proofErr w:type="spellEnd"/>
      <w:r w:rsidRPr="00A16566">
        <w:rPr>
          <w:rFonts w:cs="Times New Roman"/>
        </w:rPr>
        <w:t>. 3, at paras. 301</w:t>
      </w:r>
      <w:r w:rsidRPr="00A16566">
        <w:rPr>
          <w:rFonts w:cs="Times New Roman"/>
        </w:rPr>
        <w:noBreakHyphen/>
        <w:t>2, per La Forest J., dissenting). There are no “exceptional circumstances” (</w:t>
      </w:r>
      <w:r w:rsidRPr="00A16566">
        <w:rPr>
          <w:rFonts w:cs="Times New Roman"/>
          <w:i/>
        </w:rPr>
        <w:t>Cumming</w:t>
      </w:r>
      <w:r w:rsidRPr="00A16566">
        <w:rPr>
          <w:rFonts w:cs="Times New Roman"/>
        </w:rPr>
        <w:t xml:space="preserve">, at p. 611) that warrant departing from this general rule in the present appeal. Therefore, I decline the interveners’ invitation to reconsider the proper approach to the extraterritorial application of the </w:t>
      </w:r>
      <w:r w:rsidRPr="00A16566">
        <w:rPr>
          <w:rFonts w:cs="Times New Roman"/>
          <w:i/>
        </w:rPr>
        <w:t>Charter</w:t>
      </w:r>
      <w:r w:rsidRPr="00A16566">
        <w:rPr>
          <w:rFonts w:cs="Times New Roman"/>
        </w:rPr>
        <w:t>. I would add that, as my colleagues Brown and Rowe </w:t>
      </w:r>
      <w:proofErr w:type="spellStart"/>
      <w:r w:rsidRPr="00A16566">
        <w:rPr>
          <w:rFonts w:cs="Times New Roman"/>
        </w:rPr>
        <w:t>JJ</w:t>
      </w:r>
      <w:proofErr w:type="spellEnd"/>
      <w:r w:rsidRPr="00A16566">
        <w:rPr>
          <w:rFonts w:cs="Times New Roman"/>
        </w:rPr>
        <w:t xml:space="preserve">. </w:t>
      </w:r>
      <w:proofErr w:type="gramStart"/>
      <w:r w:rsidRPr="00A16566">
        <w:rPr>
          <w:rFonts w:cs="Times New Roman"/>
        </w:rPr>
        <w:t>noted</w:t>
      </w:r>
      <w:proofErr w:type="gramEnd"/>
      <w:r w:rsidRPr="00A16566">
        <w:rPr>
          <w:rFonts w:cs="Times New Roman"/>
        </w:rPr>
        <w:t xml:space="preserve"> in </w:t>
      </w:r>
      <w:r w:rsidRPr="00A16566">
        <w:rPr>
          <w:rFonts w:cs="Times New Roman"/>
          <w:i/>
        </w:rPr>
        <w:t>R. v. Sharma</w:t>
      </w:r>
      <w:r w:rsidRPr="00A16566">
        <w:rPr>
          <w:rFonts w:cs="Times New Roman"/>
        </w:rPr>
        <w:t xml:space="preserve">, 2022 SCC 39, at para. 75, it is inappropriate for interveners to supplement the evidentiary record at the appellate level. In the s. 8 analysis which follows, I show that even if the </w:t>
      </w:r>
      <w:r w:rsidRPr="00A16566">
        <w:rPr>
          <w:rFonts w:cs="Times New Roman"/>
          <w:i/>
        </w:rPr>
        <w:t xml:space="preserve">Charter </w:t>
      </w:r>
      <w:r w:rsidRPr="00A16566">
        <w:rPr>
          <w:rFonts w:cs="Times New Roman"/>
        </w:rPr>
        <w:t xml:space="preserve">were to apply to the actions of the </w:t>
      </w:r>
      <w:proofErr w:type="spellStart"/>
      <w:r w:rsidRPr="00A16566">
        <w:rPr>
          <w:rFonts w:cs="Times New Roman"/>
        </w:rPr>
        <w:t>CFNIS</w:t>
      </w:r>
      <w:proofErr w:type="spellEnd"/>
      <w:r w:rsidRPr="00A16566">
        <w:rPr>
          <w:rFonts w:cs="Times New Roman"/>
        </w:rPr>
        <w:t>, the appeal should still be dismissed.</w:t>
      </w:r>
    </w:p>
    <w:p w14:paraId="3872749F" w14:textId="77777777" w:rsidR="00A16566" w:rsidRPr="00A16566" w:rsidRDefault="00A16566" w:rsidP="00A16566">
      <w:pPr>
        <w:pStyle w:val="Title2LevelTitre2Niveau"/>
        <w:numPr>
          <w:ilvl w:val="1"/>
          <w:numId w:val="8"/>
        </w:numPr>
        <w:ind w:left="578" w:hanging="578"/>
        <w:rPr>
          <w:rFonts w:cs="Times New Roman"/>
        </w:rPr>
      </w:pPr>
      <w:r w:rsidRPr="00A16566">
        <w:rPr>
          <w:rFonts w:cs="Times New Roman"/>
        </w:rPr>
        <w:t>Section 8 Analysis</w:t>
      </w:r>
    </w:p>
    <w:p w14:paraId="19F0D1E7"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Cpl. McGregor argues that the search of his electronic devices violated his rights under s. 8 of the </w:t>
      </w:r>
      <w:r w:rsidRPr="00A16566">
        <w:rPr>
          <w:rFonts w:cs="Times New Roman"/>
          <w:i/>
        </w:rPr>
        <w:t>Charter</w:t>
      </w:r>
      <w:r w:rsidRPr="00A16566">
        <w:rPr>
          <w:rFonts w:cs="Times New Roman"/>
        </w:rPr>
        <w:t xml:space="preserve">, either because it was unauthorized by law or because it was conducted in an unreasonable manner. For the reasons outlined below, I reject both arguments and conclude that the conduct of the </w:t>
      </w:r>
      <w:proofErr w:type="spellStart"/>
      <w:r w:rsidRPr="00A16566">
        <w:rPr>
          <w:rFonts w:cs="Times New Roman"/>
        </w:rPr>
        <w:t>CFNIS</w:t>
      </w:r>
      <w:proofErr w:type="spellEnd"/>
      <w:r w:rsidRPr="00A16566">
        <w:rPr>
          <w:rFonts w:cs="Times New Roman"/>
        </w:rPr>
        <w:t xml:space="preserve"> investigators was consistent with the requirements of the </w:t>
      </w:r>
      <w:r w:rsidRPr="00A16566">
        <w:rPr>
          <w:rFonts w:cs="Times New Roman"/>
          <w:i/>
        </w:rPr>
        <w:t>Charter</w:t>
      </w:r>
      <w:r w:rsidRPr="00A16566">
        <w:rPr>
          <w:rFonts w:cs="Times New Roman"/>
        </w:rPr>
        <w:t>.</w:t>
      </w:r>
    </w:p>
    <w:p w14:paraId="46B1521A" w14:textId="77777777" w:rsidR="00A16566" w:rsidRPr="00A16566" w:rsidRDefault="00A16566" w:rsidP="00A16566">
      <w:pPr>
        <w:pStyle w:val="Title3LevelTitre3Niveau"/>
        <w:numPr>
          <w:ilvl w:val="2"/>
          <w:numId w:val="8"/>
        </w:numPr>
        <w:ind w:left="1156" w:hanging="578"/>
        <w:rPr>
          <w:rFonts w:cs="Times New Roman"/>
        </w:rPr>
      </w:pPr>
      <w:r w:rsidRPr="00A16566">
        <w:rPr>
          <w:rFonts w:cs="Times New Roman"/>
        </w:rPr>
        <w:t>Digital Searches: General Principles</w:t>
      </w:r>
    </w:p>
    <w:p w14:paraId="1BA7785A" w14:textId="77777777" w:rsidR="00A16566" w:rsidRPr="00A16566" w:rsidRDefault="00A16566" w:rsidP="00A16566">
      <w:pPr>
        <w:pStyle w:val="ParaNoNdepar-AltN"/>
        <w:rPr>
          <w:rFonts w:cs="Times New Roman"/>
        </w:rPr>
      </w:pPr>
      <w:r w:rsidRPr="00A16566">
        <w:rPr>
          <w:rFonts w:cs="Times New Roman"/>
        </w:rPr>
        <w:t xml:space="preserve">Section 8 of the </w:t>
      </w:r>
      <w:r w:rsidRPr="00A16566">
        <w:rPr>
          <w:rFonts w:cs="Times New Roman"/>
          <w:i/>
        </w:rPr>
        <w:t xml:space="preserve">Charter </w:t>
      </w:r>
      <w:r w:rsidRPr="00A16566">
        <w:rPr>
          <w:rFonts w:cs="Times New Roman"/>
        </w:rPr>
        <w:t>guarantees “the right to be secure against unreasonable search or seizure”. A search is reasonable within the meaning of s. 8 “</w:t>
      </w:r>
      <w:r w:rsidRPr="00A16566">
        <w:rPr>
          <w:rFonts w:cs="Times New Roman"/>
          <w:spacing w:val="-3"/>
        </w:rPr>
        <w:t>if it is authorized by law, if the law itself is reasonable and if the manner in which the search was carried out is reasonable” (</w:t>
      </w:r>
      <w:r w:rsidRPr="00A16566">
        <w:rPr>
          <w:rFonts w:cs="Times New Roman"/>
          <w:i/>
          <w:iCs/>
        </w:rPr>
        <w:t>R. v. Collins</w:t>
      </w:r>
      <w:r w:rsidRPr="00A16566">
        <w:rPr>
          <w:rFonts w:cs="Times New Roman"/>
        </w:rPr>
        <w:t xml:space="preserve">, [1987] 1 </w:t>
      </w:r>
      <w:proofErr w:type="spellStart"/>
      <w:r w:rsidRPr="00A16566">
        <w:rPr>
          <w:rFonts w:cs="Times New Roman"/>
        </w:rPr>
        <w:t>S.C.R</w:t>
      </w:r>
      <w:proofErr w:type="spellEnd"/>
      <w:r w:rsidRPr="00A16566">
        <w:rPr>
          <w:rFonts w:cs="Times New Roman"/>
        </w:rPr>
        <w:t xml:space="preserve">. 265, at p. 278; see also </w:t>
      </w:r>
      <w:r w:rsidRPr="00A16566">
        <w:rPr>
          <w:rFonts w:cs="Times New Roman"/>
          <w:i/>
          <w:iCs/>
        </w:rPr>
        <w:t>R. v. </w:t>
      </w:r>
      <w:proofErr w:type="spellStart"/>
      <w:r w:rsidRPr="00A16566">
        <w:rPr>
          <w:rFonts w:cs="Times New Roman"/>
          <w:i/>
          <w:iCs/>
        </w:rPr>
        <w:t>Caslake</w:t>
      </w:r>
      <w:proofErr w:type="spellEnd"/>
      <w:r w:rsidRPr="00A16566">
        <w:rPr>
          <w:rFonts w:cs="Times New Roman"/>
        </w:rPr>
        <w:t xml:space="preserve">, [1998] 1 </w:t>
      </w:r>
      <w:proofErr w:type="spellStart"/>
      <w:r w:rsidRPr="00A16566">
        <w:rPr>
          <w:rFonts w:cs="Times New Roman"/>
        </w:rPr>
        <w:t>S.C.R</w:t>
      </w:r>
      <w:proofErr w:type="spellEnd"/>
      <w:r w:rsidRPr="00A16566">
        <w:rPr>
          <w:rFonts w:cs="Times New Roman"/>
        </w:rPr>
        <w:t>. 51, at para. </w:t>
      </w:r>
      <w:r w:rsidRPr="00A16566">
        <w:rPr>
          <w:rFonts w:cs="Times New Roman"/>
          <w:lang w:val="fr-CA"/>
        </w:rPr>
        <w:t xml:space="preserve">10; </w:t>
      </w:r>
      <w:r w:rsidRPr="00A16566">
        <w:rPr>
          <w:rFonts w:cs="Times New Roman"/>
          <w:i/>
          <w:lang w:val="fr-CA"/>
        </w:rPr>
        <w:t>R. </w:t>
      </w:r>
      <w:r w:rsidRPr="00A16566">
        <w:rPr>
          <w:rFonts w:cs="Times New Roman"/>
          <w:i/>
          <w:iCs/>
          <w:lang w:val="fr-CA"/>
        </w:rPr>
        <w:t>v.</w:t>
      </w:r>
      <w:r w:rsidRPr="00A16566">
        <w:rPr>
          <w:rFonts w:cs="Times New Roman"/>
          <w:i/>
          <w:lang w:val="fr-CA"/>
        </w:rPr>
        <w:t> </w:t>
      </w:r>
      <w:proofErr w:type="spellStart"/>
      <w:r w:rsidRPr="00A16566">
        <w:rPr>
          <w:rFonts w:cs="Times New Roman"/>
          <w:i/>
          <w:lang w:val="fr-CA"/>
        </w:rPr>
        <w:t>Nolet</w:t>
      </w:r>
      <w:proofErr w:type="spellEnd"/>
      <w:r w:rsidRPr="00A16566">
        <w:rPr>
          <w:rFonts w:cs="Times New Roman"/>
          <w:lang w:val="fr-CA"/>
        </w:rPr>
        <w:t xml:space="preserve">, 2010 </w:t>
      </w:r>
      <w:proofErr w:type="spellStart"/>
      <w:r w:rsidRPr="00A16566">
        <w:rPr>
          <w:rFonts w:cs="Times New Roman"/>
          <w:lang w:val="fr-CA"/>
        </w:rPr>
        <w:t>SCC</w:t>
      </w:r>
      <w:proofErr w:type="spellEnd"/>
      <w:r w:rsidRPr="00A16566">
        <w:rPr>
          <w:rFonts w:cs="Times New Roman"/>
          <w:lang w:val="fr-CA"/>
        </w:rPr>
        <w:t xml:space="preserve"> 24, [2010] 1 </w:t>
      </w:r>
      <w:proofErr w:type="spellStart"/>
      <w:r w:rsidRPr="00A16566">
        <w:rPr>
          <w:rFonts w:cs="Times New Roman"/>
          <w:lang w:val="fr-CA"/>
        </w:rPr>
        <w:t>S.C.R</w:t>
      </w:r>
      <w:proofErr w:type="spellEnd"/>
      <w:r w:rsidRPr="00A16566">
        <w:rPr>
          <w:rFonts w:cs="Times New Roman"/>
          <w:lang w:val="fr-CA"/>
        </w:rPr>
        <w:t xml:space="preserve">. 851, at para. 21; </w:t>
      </w:r>
      <w:r w:rsidRPr="00A16566">
        <w:rPr>
          <w:rFonts w:cs="Times New Roman"/>
          <w:i/>
          <w:lang w:val="fr-CA"/>
        </w:rPr>
        <w:t xml:space="preserve">R. </w:t>
      </w:r>
      <w:r w:rsidRPr="00A16566">
        <w:rPr>
          <w:rFonts w:cs="Times New Roman"/>
          <w:i/>
          <w:iCs/>
          <w:lang w:val="fr-CA"/>
        </w:rPr>
        <w:t>v.</w:t>
      </w:r>
      <w:r w:rsidRPr="00A16566">
        <w:rPr>
          <w:rFonts w:cs="Times New Roman"/>
          <w:i/>
          <w:lang w:val="fr-CA"/>
        </w:rPr>
        <w:t xml:space="preserve"> Vu</w:t>
      </w:r>
      <w:r w:rsidRPr="00A16566">
        <w:rPr>
          <w:rFonts w:cs="Times New Roman"/>
          <w:lang w:val="fr-CA"/>
        </w:rPr>
        <w:t xml:space="preserve">, 2013 </w:t>
      </w:r>
      <w:proofErr w:type="spellStart"/>
      <w:r w:rsidRPr="00A16566">
        <w:rPr>
          <w:rFonts w:cs="Times New Roman"/>
          <w:lang w:val="fr-CA"/>
        </w:rPr>
        <w:t>SCC</w:t>
      </w:r>
      <w:proofErr w:type="spellEnd"/>
      <w:r w:rsidRPr="00A16566">
        <w:rPr>
          <w:rFonts w:cs="Times New Roman"/>
          <w:lang w:val="fr-CA"/>
        </w:rPr>
        <w:t xml:space="preserve"> 60, [2013] 3 </w:t>
      </w:r>
      <w:proofErr w:type="spellStart"/>
      <w:r w:rsidRPr="00A16566">
        <w:rPr>
          <w:rFonts w:cs="Times New Roman"/>
          <w:lang w:val="fr-CA"/>
        </w:rPr>
        <w:t>S.C.R</w:t>
      </w:r>
      <w:proofErr w:type="spellEnd"/>
      <w:r w:rsidRPr="00A16566">
        <w:rPr>
          <w:rFonts w:cs="Times New Roman"/>
          <w:lang w:val="fr-CA"/>
        </w:rPr>
        <w:t>. 657, at paras. </w:t>
      </w:r>
      <w:r w:rsidRPr="00A16566">
        <w:rPr>
          <w:rFonts w:cs="Times New Roman"/>
        </w:rPr>
        <w:t>21</w:t>
      </w:r>
      <w:r w:rsidRPr="00A16566">
        <w:rPr>
          <w:rFonts w:cs="Times New Roman"/>
        </w:rPr>
        <w:noBreakHyphen/>
        <w:t xml:space="preserve">23; </w:t>
      </w:r>
      <w:proofErr w:type="spellStart"/>
      <w:r w:rsidRPr="00A16566">
        <w:rPr>
          <w:rFonts w:cs="Times New Roman"/>
          <w:i/>
        </w:rPr>
        <w:t>Wakeling</w:t>
      </w:r>
      <w:proofErr w:type="spellEnd"/>
      <w:r w:rsidRPr="00A16566">
        <w:rPr>
          <w:rFonts w:cs="Times New Roman"/>
          <w:i/>
          <w:iCs/>
        </w:rPr>
        <w:t xml:space="preserve"> v. </w:t>
      </w:r>
      <w:r w:rsidRPr="00A16566">
        <w:rPr>
          <w:rFonts w:cs="Times New Roman"/>
          <w:i/>
        </w:rPr>
        <w:t>United States of America</w:t>
      </w:r>
      <w:r w:rsidRPr="00A16566">
        <w:rPr>
          <w:rFonts w:cs="Times New Roman"/>
        </w:rPr>
        <w:t xml:space="preserve">, 2014 SCC 72, [2014] 3 </w:t>
      </w:r>
      <w:proofErr w:type="spellStart"/>
      <w:r w:rsidRPr="00A16566">
        <w:rPr>
          <w:rFonts w:cs="Times New Roman"/>
        </w:rPr>
        <w:t>S.C.R</w:t>
      </w:r>
      <w:proofErr w:type="spellEnd"/>
      <w:r w:rsidRPr="00A16566">
        <w:rPr>
          <w:rFonts w:cs="Times New Roman"/>
        </w:rPr>
        <w:t xml:space="preserve">. 549, at para. 41; </w:t>
      </w:r>
      <w:r w:rsidRPr="00A16566">
        <w:rPr>
          <w:rFonts w:cs="Times New Roman"/>
          <w:i/>
        </w:rPr>
        <w:t xml:space="preserve">R. </w:t>
      </w:r>
      <w:r w:rsidRPr="00A16566">
        <w:rPr>
          <w:rFonts w:cs="Times New Roman"/>
          <w:i/>
          <w:iCs/>
        </w:rPr>
        <w:t>v.</w:t>
      </w:r>
      <w:r w:rsidRPr="00A16566">
        <w:rPr>
          <w:rFonts w:cs="Times New Roman"/>
          <w:i/>
        </w:rPr>
        <w:t xml:space="preserve"> </w:t>
      </w:r>
      <w:proofErr w:type="spellStart"/>
      <w:r w:rsidRPr="00A16566">
        <w:rPr>
          <w:rFonts w:cs="Times New Roman"/>
          <w:i/>
        </w:rPr>
        <w:t>Fearon</w:t>
      </w:r>
      <w:proofErr w:type="spellEnd"/>
      <w:r w:rsidRPr="00A16566">
        <w:rPr>
          <w:rFonts w:cs="Times New Roman"/>
        </w:rPr>
        <w:t xml:space="preserve">, 2014 SCC 77, [2014] 3 </w:t>
      </w:r>
      <w:proofErr w:type="spellStart"/>
      <w:r w:rsidRPr="00A16566">
        <w:rPr>
          <w:rFonts w:cs="Times New Roman"/>
        </w:rPr>
        <w:t>S.C.R</w:t>
      </w:r>
      <w:proofErr w:type="spellEnd"/>
      <w:r w:rsidRPr="00A16566">
        <w:rPr>
          <w:rFonts w:cs="Times New Roman"/>
        </w:rPr>
        <w:t xml:space="preserve">. 621, at para. 12; </w:t>
      </w:r>
      <w:r w:rsidRPr="00A16566">
        <w:rPr>
          <w:rFonts w:cs="Times New Roman"/>
          <w:i/>
        </w:rPr>
        <w:t xml:space="preserve">Goodwin </w:t>
      </w:r>
      <w:r w:rsidRPr="00A16566">
        <w:rPr>
          <w:rFonts w:cs="Times New Roman"/>
          <w:i/>
          <w:iCs/>
        </w:rPr>
        <w:t>v.</w:t>
      </w:r>
      <w:r w:rsidRPr="00A16566">
        <w:rPr>
          <w:rFonts w:cs="Times New Roman"/>
          <w:i/>
        </w:rPr>
        <w:t xml:space="preserve"> British Columbia (Superintendent of Motor Vehicles)</w:t>
      </w:r>
      <w:r w:rsidRPr="00A16566">
        <w:rPr>
          <w:rFonts w:cs="Times New Roman"/>
        </w:rPr>
        <w:t xml:space="preserve">, 2015 SCC 46, [2015] 3 </w:t>
      </w:r>
      <w:proofErr w:type="spellStart"/>
      <w:r w:rsidRPr="00A16566">
        <w:rPr>
          <w:rFonts w:cs="Times New Roman"/>
        </w:rPr>
        <w:t>S.C.R</w:t>
      </w:r>
      <w:proofErr w:type="spellEnd"/>
      <w:r w:rsidRPr="00A16566">
        <w:rPr>
          <w:rFonts w:cs="Times New Roman"/>
        </w:rPr>
        <w:t xml:space="preserve">. 250, at para. 48; </w:t>
      </w:r>
      <w:r w:rsidRPr="00A16566">
        <w:rPr>
          <w:rFonts w:cs="Times New Roman"/>
          <w:i/>
          <w:iCs/>
        </w:rPr>
        <w:t>R. v. Saeed</w:t>
      </w:r>
      <w:r w:rsidRPr="00A16566">
        <w:rPr>
          <w:rFonts w:cs="Times New Roman"/>
        </w:rPr>
        <w:t xml:space="preserve">, 2016 SCC 24, [2016] 1 </w:t>
      </w:r>
      <w:proofErr w:type="spellStart"/>
      <w:r w:rsidRPr="00A16566">
        <w:rPr>
          <w:rFonts w:cs="Times New Roman"/>
        </w:rPr>
        <w:t>S.C.R</w:t>
      </w:r>
      <w:proofErr w:type="spellEnd"/>
      <w:r w:rsidRPr="00A16566">
        <w:rPr>
          <w:rFonts w:cs="Times New Roman"/>
        </w:rPr>
        <w:t xml:space="preserve">. 518, at para. 36; </w:t>
      </w:r>
      <w:r w:rsidRPr="00A16566">
        <w:rPr>
          <w:rFonts w:cs="Times New Roman"/>
          <w:i/>
        </w:rPr>
        <w:t>R. v. Tim</w:t>
      </w:r>
      <w:r w:rsidRPr="00A16566">
        <w:rPr>
          <w:rFonts w:cs="Times New Roman"/>
        </w:rPr>
        <w:t>, 2022 SCC 12, at para. 46). This Court has established a presumption that “a search requires prior authorization, usually in the form of a warrant, from a neutral arbiter” (</w:t>
      </w:r>
      <w:r w:rsidRPr="00A16566">
        <w:rPr>
          <w:rFonts w:cs="Times New Roman"/>
          <w:i/>
        </w:rPr>
        <w:t xml:space="preserve">R. </w:t>
      </w:r>
      <w:r w:rsidRPr="00A16566">
        <w:rPr>
          <w:rFonts w:cs="Times New Roman"/>
          <w:i/>
          <w:iCs/>
        </w:rPr>
        <w:t>v</w:t>
      </w:r>
      <w:r w:rsidRPr="00A16566">
        <w:rPr>
          <w:rFonts w:cs="Times New Roman"/>
          <w:i/>
        </w:rPr>
        <w:t>. M. (</w:t>
      </w:r>
      <w:proofErr w:type="spellStart"/>
      <w:r w:rsidRPr="00A16566">
        <w:rPr>
          <w:rFonts w:cs="Times New Roman"/>
          <w:i/>
        </w:rPr>
        <w:t>M.R</w:t>
      </w:r>
      <w:proofErr w:type="spellEnd"/>
      <w:r w:rsidRPr="00A16566">
        <w:rPr>
          <w:rFonts w:cs="Times New Roman"/>
          <w:i/>
        </w:rPr>
        <w:t>.)</w:t>
      </w:r>
      <w:r w:rsidRPr="00A16566">
        <w:rPr>
          <w:rFonts w:cs="Times New Roman"/>
        </w:rPr>
        <w:t xml:space="preserve">, [1998] 3 </w:t>
      </w:r>
      <w:proofErr w:type="spellStart"/>
      <w:r w:rsidRPr="00A16566">
        <w:rPr>
          <w:rFonts w:cs="Times New Roman"/>
        </w:rPr>
        <w:t>S.C.R</w:t>
      </w:r>
      <w:proofErr w:type="spellEnd"/>
      <w:r w:rsidRPr="00A16566">
        <w:rPr>
          <w:rFonts w:cs="Times New Roman"/>
        </w:rPr>
        <w:t xml:space="preserve">. 393, at para. 44, referring to </w:t>
      </w:r>
      <w:r w:rsidRPr="00A16566">
        <w:rPr>
          <w:rFonts w:cs="Times New Roman"/>
          <w:i/>
          <w:iCs/>
        </w:rPr>
        <w:t xml:space="preserve">Hunter v. </w:t>
      </w:r>
      <w:proofErr w:type="spellStart"/>
      <w:r w:rsidRPr="00A16566">
        <w:rPr>
          <w:rFonts w:cs="Times New Roman"/>
          <w:i/>
          <w:iCs/>
        </w:rPr>
        <w:t>Southam</w:t>
      </w:r>
      <w:proofErr w:type="spellEnd"/>
      <w:r w:rsidRPr="00A16566">
        <w:rPr>
          <w:rFonts w:cs="Times New Roman"/>
          <w:i/>
          <w:iCs/>
        </w:rPr>
        <w:t xml:space="preserve"> Inc.</w:t>
      </w:r>
      <w:r w:rsidRPr="00A16566">
        <w:rPr>
          <w:rFonts w:cs="Times New Roman"/>
        </w:rPr>
        <w:t xml:space="preserve">, </w:t>
      </w:r>
      <w:r w:rsidRPr="00A16566">
        <w:rPr>
          <w:rStyle w:val="reflex3-block"/>
          <w:rFonts w:cs="Times New Roman"/>
        </w:rPr>
        <w:t xml:space="preserve">[1984] 2 </w:t>
      </w:r>
      <w:proofErr w:type="spellStart"/>
      <w:r w:rsidRPr="00A16566">
        <w:rPr>
          <w:rStyle w:val="reflex3-block"/>
          <w:rFonts w:cs="Times New Roman"/>
        </w:rPr>
        <w:t>S.C.R</w:t>
      </w:r>
      <w:proofErr w:type="spellEnd"/>
      <w:r w:rsidRPr="00A16566">
        <w:rPr>
          <w:rStyle w:val="reflex3-block"/>
          <w:rFonts w:cs="Times New Roman"/>
        </w:rPr>
        <w:t>. 145, at pp. 160</w:t>
      </w:r>
      <w:r w:rsidRPr="00A16566">
        <w:rPr>
          <w:rStyle w:val="reflex3-block"/>
          <w:rFonts w:cs="Times New Roman"/>
        </w:rPr>
        <w:noBreakHyphen/>
        <w:t>62</w:t>
      </w:r>
      <w:r w:rsidRPr="00A16566">
        <w:rPr>
          <w:rFonts w:cs="Times New Roman"/>
        </w:rPr>
        <w:t xml:space="preserve">; see also </w:t>
      </w:r>
      <w:r w:rsidRPr="00A16566">
        <w:rPr>
          <w:rFonts w:cs="Times New Roman"/>
          <w:i/>
        </w:rPr>
        <w:t>Vu</w:t>
      </w:r>
      <w:r w:rsidRPr="00A16566">
        <w:rPr>
          <w:rFonts w:cs="Times New Roman"/>
        </w:rPr>
        <w:t xml:space="preserve">, at para. 22; </w:t>
      </w:r>
      <w:r w:rsidRPr="00A16566">
        <w:rPr>
          <w:rFonts w:cs="Times New Roman"/>
          <w:i/>
          <w:spacing w:val="-3"/>
        </w:rPr>
        <w:t xml:space="preserve">R. </w:t>
      </w:r>
      <w:r w:rsidRPr="00A16566">
        <w:rPr>
          <w:rFonts w:cs="Times New Roman"/>
          <w:i/>
          <w:iCs/>
          <w:spacing w:val="-3"/>
        </w:rPr>
        <w:t>v.</w:t>
      </w:r>
      <w:r w:rsidRPr="00A16566">
        <w:rPr>
          <w:rFonts w:cs="Times New Roman"/>
          <w:i/>
          <w:spacing w:val="-3"/>
        </w:rPr>
        <w:t xml:space="preserve"> Grant</w:t>
      </w:r>
      <w:r w:rsidRPr="00A16566">
        <w:rPr>
          <w:rFonts w:cs="Times New Roman"/>
          <w:spacing w:val="-3"/>
        </w:rPr>
        <w:t xml:space="preserve">, [1993] 3 </w:t>
      </w:r>
      <w:proofErr w:type="spellStart"/>
      <w:r w:rsidRPr="00A16566">
        <w:rPr>
          <w:rFonts w:cs="Times New Roman"/>
          <w:spacing w:val="-3"/>
        </w:rPr>
        <w:t>S.C.R</w:t>
      </w:r>
      <w:proofErr w:type="spellEnd"/>
      <w:r w:rsidRPr="00A16566">
        <w:rPr>
          <w:rFonts w:cs="Times New Roman"/>
          <w:spacing w:val="-3"/>
        </w:rPr>
        <w:t>. 223, at pp.</w:t>
      </w:r>
      <w:r w:rsidRPr="00A16566">
        <w:rPr>
          <w:rFonts w:cs="Times New Roman" w:hint="eastAsia"/>
          <w:spacing w:val="-3"/>
        </w:rPr>
        <w:t> </w:t>
      </w:r>
      <w:r w:rsidRPr="00A16566">
        <w:rPr>
          <w:rFonts w:cs="Times New Roman"/>
          <w:spacing w:val="-3"/>
        </w:rPr>
        <w:t>238</w:t>
      </w:r>
      <w:r w:rsidRPr="00A16566">
        <w:rPr>
          <w:rFonts w:cs="Times New Roman"/>
          <w:spacing w:val="-3"/>
        </w:rPr>
        <w:noBreakHyphen/>
        <w:t>39</w:t>
      </w:r>
      <w:r w:rsidRPr="00A16566">
        <w:rPr>
          <w:rFonts w:cs="Times New Roman"/>
        </w:rPr>
        <w:t>).</w:t>
      </w:r>
    </w:p>
    <w:p w14:paraId="02C0E46C" w14:textId="77777777" w:rsidR="00A16566" w:rsidRPr="00A16566" w:rsidRDefault="00A16566" w:rsidP="00A16566">
      <w:pPr>
        <w:pStyle w:val="ParaNoNdepar-AltN"/>
        <w:rPr>
          <w:rFonts w:cs="Times New Roman"/>
        </w:rPr>
      </w:pPr>
      <w:r w:rsidRPr="00A16566">
        <w:rPr>
          <w:rFonts w:cs="Times New Roman"/>
        </w:rPr>
        <w:t>In recent years, courts have grappled with the challenges posed by technological innovations in developing the law of search and seizure. This Court’s jurisprudence on digital searches has consistently highlighted the “unique and heightened privacy interests in personal computer data” (</w:t>
      </w:r>
      <w:r w:rsidRPr="00A16566">
        <w:rPr>
          <w:rFonts w:cs="Times New Roman"/>
          <w:i/>
        </w:rPr>
        <w:t xml:space="preserve">R. </w:t>
      </w:r>
      <w:r w:rsidRPr="00A16566">
        <w:rPr>
          <w:rFonts w:cs="Times New Roman"/>
          <w:i/>
          <w:iCs/>
        </w:rPr>
        <w:t>v.</w:t>
      </w:r>
      <w:r w:rsidRPr="00A16566">
        <w:rPr>
          <w:rFonts w:cs="Times New Roman"/>
          <w:i/>
        </w:rPr>
        <w:t xml:space="preserve"> Reeves</w:t>
      </w:r>
      <w:r w:rsidRPr="00A16566">
        <w:rPr>
          <w:rFonts w:cs="Times New Roman"/>
        </w:rPr>
        <w:t xml:space="preserve">, 2018 SCC 56, [2018] 3 </w:t>
      </w:r>
      <w:proofErr w:type="spellStart"/>
      <w:r w:rsidRPr="00A16566">
        <w:rPr>
          <w:rFonts w:cs="Times New Roman"/>
        </w:rPr>
        <w:t>S.C.R</w:t>
      </w:r>
      <w:proofErr w:type="spellEnd"/>
      <w:r w:rsidRPr="00A16566">
        <w:rPr>
          <w:rFonts w:cs="Times New Roman"/>
        </w:rPr>
        <w:t xml:space="preserve">. 531, at para. 35; see also </w:t>
      </w:r>
      <w:proofErr w:type="spellStart"/>
      <w:r w:rsidRPr="00A16566">
        <w:rPr>
          <w:rFonts w:cs="Times New Roman"/>
          <w:i/>
        </w:rPr>
        <w:t>Fearon</w:t>
      </w:r>
      <w:proofErr w:type="spellEnd"/>
      <w:r w:rsidRPr="00A16566">
        <w:rPr>
          <w:rFonts w:cs="Times New Roman"/>
        </w:rPr>
        <w:t xml:space="preserve">, at paras. 74, 132 and 197; </w:t>
      </w:r>
      <w:r w:rsidRPr="00A16566">
        <w:rPr>
          <w:rFonts w:cs="Times New Roman"/>
          <w:i/>
        </w:rPr>
        <w:t>R</w:t>
      </w:r>
      <w:r w:rsidRPr="00A16566">
        <w:rPr>
          <w:rStyle w:val="sccappellantforrunningheadchar0"/>
          <w:rFonts w:cs="Times New Roman"/>
          <w:i/>
        </w:rPr>
        <w:t xml:space="preserve">. </w:t>
      </w:r>
      <w:r w:rsidRPr="00A16566">
        <w:rPr>
          <w:rFonts w:cs="Times New Roman"/>
          <w:i/>
          <w:iCs/>
        </w:rPr>
        <w:t>v.</w:t>
      </w:r>
      <w:r w:rsidRPr="00A16566">
        <w:rPr>
          <w:rFonts w:cs="Times New Roman"/>
          <w:i/>
        </w:rPr>
        <w:t xml:space="preserve"> S</w:t>
      </w:r>
      <w:r w:rsidRPr="00A16566">
        <w:rPr>
          <w:rStyle w:val="sccappellantforrunningheadchar0"/>
          <w:rFonts w:cs="Times New Roman"/>
          <w:i/>
        </w:rPr>
        <w:t>pencer</w:t>
      </w:r>
      <w:r w:rsidRPr="00A16566">
        <w:rPr>
          <w:rFonts w:cs="Times New Roman"/>
        </w:rPr>
        <w:t xml:space="preserve">, 2014 SCC 43, [2014] 2 </w:t>
      </w:r>
      <w:proofErr w:type="spellStart"/>
      <w:r w:rsidRPr="00A16566">
        <w:rPr>
          <w:rFonts w:cs="Times New Roman"/>
        </w:rPr>
        <w:t>S.C.R</w:t>
      </w:r>
      <w:proofErr w:type="spellEnd"/>
      <w:r w:rsidRPr="00A16566">
        <w:rPr>
          <w:rFonts w:cs="Times New Roman"/>
        </w:rPr>
        <w:t xml:space="preserve">. 212, at para. 50; </w:t>
      </w:r>
      <w:r w:rsidRPr="00A16566">
        <w:rPr>
          <w:rFonts w:cs="Times New Roman"/>
          <w:i/>
        </w:rPr>
        <w:t>Vu</w:t>
      </w:r>
      <w:r w:rsidRPr="00A16566">
        <w:rPr>
          <w:rFonts w:cs="Times New Roman"/>
        </w:rPr>
        <w:t>, at paras. 40</w:t>
      </w:r>
      <w:r w:rsidRPr="00A16566">
        <w:rPr>
          <w:rFonts w:cs="Times New Roman"/>
        </w:rPr>
        <w:noBreakHyphen/>
        <w:t xml:space="preserve">41 and 47; </w:t>
      </w:r>
      <w:r w:rsidRPr="00A16566">
        <w:rPr>
          <w:rFonts w:cs="Times New Roman"/>
          <w:i/>
          <w:iCs/>
        </w:rPr>
        <w:t>R. v. Cole</w:t>
      </w:r>
      <w:r w:rsidRPr="00A16566">
        <w:rPr>
          <w:rFonts w:cs="Times New Roman"/>
        </w:rPr>
        <w:t xml:space="preserve">, 2012 SCC 53, [2012] 3 </w:t>
      </w:r>
      <w:proofErr w:type="spellStart"/>
      <w:r w:rsidRPr="00A16566">
        <w:rPr>
          <w:rFonts w:cs="Times New Roman"/>
        </w:rPr>
        <w:t>S.C.R</w:t>
      </w:r>
      <w:proofErr w:type="spellEnd"/>
      <w:r w:rsidRPr="00A16566">
        <w:rPr>
          <w:rFonts w:cs="Times New Roman"/>
        </w:rPr>
        <w:t xml:space="preserve">. 34, at para. 47; </w:t>
      </w:r>
      <w:r w:rsidRPr="00A16566">
        <w:rPr>
          <w:rFonts w:cs="Times New Roman"/>
          <w:i/>
        </w:rPr>
        <w:t>R. v. Morelli</w:t>
      </w:r>
      <w:r w:rsidRPr="00A16566">
        <w:rPr>
          <w:rFonts w:cs="Times New Roman"/>
        </w:rPr>
        <w:t xml:space="preserve">, 2010 SCC 8, [2010] 1 </w:t>
      </w:r>
      <w:proofErr w:type="spellStart"/>
      <w:r w:rsidRPr="00A16566">
        <w:rPr>
          <w:rFonts w:cs="Times New Roman"/>
        </w:rPr>
        <w:t>S.C.R</w:t>
      </w:r>
      <w:proofErr w:type="spellEnd"/>
      <w:r w:rsidRPr="00A16566">
        <w:rPr>
          <w:rFonts w:cs="Times New Roman"/>
        </w:rPr>
        <w:t>. 253, at paras. 105</w:t>
      </w:r>
      <w:r w:rsidRPr="00A16566">
        <w:rPr>
          <w:rFonts w:cs="Times New Roman"/>
        </w:rPr>
        <w:noBreakHyphen/>
        <w:t>6).</w:t>
      </w:r>
    </w:p>
    <w:p w14:paraId="3D07C0E7" w14:textId="77777777" w:rsidR="00A16566" w:rsidRPr="00A16566" w:rsidRDefault="00A16566" w:rsidP="00A16566">
      <w:pPr>
        <w:pStyle w:val="ParaNoNdepar-AltN"/>
        <w:rPr>
          <w:rFonts w:cs="Times New Roman"/>
        </w:rPr>
      </w:pPr>
      <w:r w:rsidRPr="00A16566">
        <w:rPr>
          <w:rFonts w:cs="Times New Roman"/>
        </w:rPr>
        <w:t xml:space="preserve">In </w:t>
      </w:r>
      <w:r w:rsidRPr="00A16566">
        <w:rPr>
          <w:rFonts w:cs="Times New Roman"/>
          <w:i/>
        </w:rPr>
        <w:t>Vu</w:t>
      </w:r>
      <w:r w:rsidRPr="00A16566">
        <w:rPr>
          <w:rFonts w:cs="Times New Roman"/>
        </w:rPr>
        <w:t xml:space="preserve">, the Court recognized that the “particular nature of computers” (para. 39) warrants specific constraints under s. 8 of the </w:t>
      </w:r>
      <w:r w:rsidRPr="00A16566">
        <w:rPr>
          <w:rFonts w:cs="Times New Roman"/>
          <w:i/>
        </w:rPr>
        <w:t xml:space="preserve">Charter </w:t>
      </w:r>
      <w:r w:rsidRPr="00A16566">
        <w:rPr>
          <w:rFonts w:cs="Times New Roman"/>
        </w:rPr>
        <w:t>on both the authorization and the reasonable performance of digital searches. In unanimous reasons written by Cromwell J., the Court established a presumptive “requirement of specific, prior authorization” applicable to digital searches, as summarized at para. 3:</w:t>
      </w:r>
    </w:p>
    <w:p w14:paraId="6D802433" w14:textId="77777777" w:rsidR="00A16566" w:rsidRPr="00A16566" w:rsidRDefault="00A16566" w:rsidP="00A16566">
      <w:pPr>
        <w:pStyle w:val="Citation-AltC"/>
        <w:ind w:firstLine="274"/>
      </w:pPr>
      <w:r w:rsidRPr="00A16566">
        <w:t>In practical terms, the requirement of specific, prior authorization means that if police intend to search computers found within a place with respect to which they seek a warrant, they must satisfy the authorizing justice that they have reasonable grounds to believe that any computers they discover will contain the things they are looking for. If, in the course of a warranted search, police come across a computer that may contain material for which they are authorized to search but the warrant does not give them specific, prior authorization to search computers, they may seize the device but must obtain further authorization before it is searched.</w:t>
      </w:r>
    </w:p>
    <w:p w14:paraId="67F9B7E7" w14:textId="77777777" w:rsidR="00A16566" w:rsidRPr="00A16566" w:rsidRDefault="00A16566" w:rsidP="00A16566">
      <w:pPr>
        <w:pStyle w:val="ContinueParaSuitedupar-AltP"/>
        <w:rPr>
          <w:rFonts w:cs="Times New Roman"/>
        </w:rPr>
      </w:pPr>
      <w:r w:rsidRPr="00A16566">
        <w:rPr>
          <w:rFonts w:cs="Times New Roman"/>
        </w:rPr>
        <w:t>This requirement, I add, extends to other electronic devices that have a “memory capacity akin to a computer” (para. 38). This broad category includes, for example, devices that store personal data, such as cellphones (</w:t>
      </w:r>
      <w:proofErr w:type="spellStart"/>
      <w:r w:rsidRPr="00A16566">
        <w:rPr>
          <w:rFonts w:cs="Times New Roman"/>
          <w:i/>
        </w:rPr>
        <w:t>Fearon</w:t>
      </w:r>
      <w:proofErr w:type="spellEnd"/>
      <w:r w:rsidRPr="00A16566">
        <w:rPr>
          <w:rFonts w:cs="Times New Roman"/>
        </w:rPr>
        <w:t>, at para. 52).</w:t>
      </w:r>
    </w:p>
    <w:p w14:paraId="72111106" w14:textId="77777777" w:rsidR="00A16566" w:rsidRPr="00A16566" w:rsidRDefault="00A16566" w:rsidP="00A16566">
      <w:pPr>
        <w:pStyle w:val="ParaNoNdepar-AltN"/>
        <w:rPr>
          <w:rFonts w:cs="Times New Roman"/>
        </w:rPr>
      </w:pPr>
      <w:r w:rsidRPr="00A16566">
        <w:rPr>
          <w:rFonts w:cs="Times New Roman"/>
        </w:rPr>
        <w:t xml:space="preserve">The fact that a search of an electronic device is expressly authorized by warrant does not mean that any file contained therein may be analyzed — even where no search protocol has been imposed. Cromwell J. stressed in </w:t>
      </w:r>
      <w:r w:rsidRPr="00A16566">
        <w:rPr>
          <w:rFonts w:cs="Times New Roman"/>
          <w:i/>
        </w:rPr>
        <w:t>Vu</w:t>
      </w:r>
      <w:r w:rsidRPr="00A16566">
        <w:rPr>
          <w:rFonts w:cs="Times New Roman"/>
        </w:rPr>
        <w:t xml:space="preserve"> that police officers are “bound, in their search, to adhere to the rule that the manner of the search must be reasonable” (para. 61). Consequently, they cannot “scour the devices indiscriminately” (para. 61) but must limit their search to the types of files that are “reasonably necessary to achieve [the warrant’s] objectives” (para. 22). Should “the officers </w:t>
      </w:r>
      <w:proofErr w:type="spellStart"/>
      <w:r w:rsidRPr="00A16566">
        <w:rPr>
          <w:rFonts w:cs="Times New Roman"/>
        </w:rPr>
        <w:t>realiz</w:t>
      </w:r>
      <w:proofErr w:type="spellEnd"/>
      <w:r w:rsidRPr="00A16566">
        <w:rPr>
          <w:rFonts w:cs="Times New Roman"/>
        </w:rPr>
        <w:t xml:space="preserve">[e] that there was in fact no reason to search a particular program or file on the device, the law of search and seizure would require them not to do so” (para. 61; see also </w:t>
      </w:r>
      <w:proofErr w:type="spellStart"/>
      <w:r w:rsidRPr="00A16566">
        <w:rPr>
          <w:rFonts w:cs="Times New Roman"/>
          <w:i/>
        </w:rPr>
        <w:t>Fearon</w:t>
      </w:r>
      <w:proofErr w:type="spellEnd"/>
      <w:r w:rsidRPr="00A16566">
        <w:rPr>
          <w:rFonts w:cs="Times New Roman"/>
        </w:rPr>
        <w:t xml:space="preserve">, at paras. 57 and 78; </w:t>
      </w:r>
      <w:r w:rsidRPr="00A16566">
        <w:rPr>
          <w:rFonts w:cs="Times New Roman"/>
          <w:i/>
        </w:rPr>
        <w:t>Reeves</w:t>
      </w:r>
      <w:r w:rsidRPr="00A16566">
        <w:rPr>
          <w:rFonts w:cs="Times New Roman"/>
        </w:rPr>
        <w:t>, at para. 35).</w:t>
      </w:r>
    </w:p>
    <w:p w14:paraId="13C719E7" w14:textId="77777777" w:rsidR="00A16566" w:rsidRPr="00A16566" w:rsidRDefault="00A16566" w:rsidP="00A16566">
      <w:pPr>
        <w:pStyle w:val="Title3LevelTitre3Niveau"/>
        <w:numPr>
          <w:ilvl w:val="2"/>
          <w:numId w:val="8"/>
        </w:numPr>
        <w:ind w:left="1156" w:hanging="578"/>
        <w:rPr>
          <w:rFonts w:cs="Times New Roman"/>
        </w:rPr>
      </w:pPr>
      <w:r w:rsidRPr="00A16566">
        <w:rPr>
          <w:rFonts w:cs="Times New Roman"/>
        </w:rPr>
        <w:t>Authorization of the Search</w:t>
      </w:r>
    </w:p>
    <w:p w14:paraId="58397D2C" w14:textId="77777777" w:rsidR="00A16566" w:rsidRPr="00A16566" w:rsidRDefault="00A16566" w:rsidP="00A16566">
      <w:pPr>
        <w:pStyle w:val="ParaNoNdepar-AltN"/>
        <w:rPr>
          <w:rFonts w:cs="Times New Roman"/>
        </w:rPr>
      </w:pPr>
      <w:r w:rsidRPr="00A16566">
        <w:rPr>
          <w:rFonts w:cs="Times New Roman"/>
        </w:rPr>
        <w:t xml:space="preserve">In the circumstances of the present case, prior authorization to gain entry into Cpl. McGregor’s residence could be granted </w:t>
      </w:r>
      <w:r w:rsidRPr="00A16566">
        <w:rPr>
          <w:rFonts w:cs="Times New Roman"/>
          <w:i/>
        </w:rPr>
        <w:t>only</w:t>
      </w:r>
      <w:r w:rsidRPr="00A16566">
        <w:rPr>
          <w:rFonts w:cs="Times New Roman"/>
        </w:rPr>
        <w:t xml:space="preserve"> by a local magistrate under the law of the Commonwealth of Virginia. Neither the </w:t>
      </w:r>
      <w:r w:rsidRPr="00A16566">
        <w:rPr>
          <w:rFonts w:cs="Times New Roman"/>
          <w:i/>
        </w:rPr>
        <w:t xml:space="preserve">Criminal Code </w:t>
      </w:r>
      <w:r w:rsidRPr="00A16566">
        <w:rPr>
          <w:rFonts w:cs="Times New Roman"/>
        </w:rPr>
        <w:t xml:space="preserve">nor the </w:t>
      </w:r>
      <w:r w:rsidRPr="00A16566">
        <w:rPr>
          <w:rFonts w:cs="Times New Roman"/>
          <w:i/>
        </w:rPr>
        <w:t xml:space="preserve">National Defence Act </w:t>
      </w:r>
      <w:r w:rsidRPr="00A16566">
        <w:rPr>
          <w:rFonts w:cs="Times New Roman"/>
        </w:rPr>
        <w:t>provides for the issuance of warrants authorizing the search of private residences located abroad.</w:t>
      </w:r>
    </w:p>
    <w:p w14:paraId="3083DB0D" w14:textId="77777777" w:rsidR="00A16566" w:rsidRPr="00A16566" w:rsidRDefault="00A16566" w:rsidP="00A16566">
      <w:pPr>
        <w:pStyle w:val="ParaNoNdepar-AltN"/>
        <w:rPr>
          <w:rFonts w:cs="Times New Roman"/>
        </w:rPr>
      </w:pPr>
      <w:r w:rsidRPr="00A16566">
        <w:rPr>
          <w:rFonts w:cs="Times New Roman"/>
        </w:rPr>
        <w:t xml:space="preserve">Given the limited reach of Canadian law, the </w:t>
      </w:r>
      <w:proofErr w:type="spellStart"/>
      <w:r w:rsidRPr="00A16566">
        <w:rPr>
          <w:rFonts w:cs="Times New Roman"/>
        </w:rPr>
        <w:t>CFNIS</w:t>
      </w:r>
      <w:proofErr w:type="spellEnd"/>
      <w:r w:rsidRPr="00A16566">
        <w:rPr>
          <w:rFonts w:cs="Times New Roman"/>
        </w:rPr>
        <w:t xml:space="preserve"> communicated with local authorities and availed itself of the </w:t>
      </w:r>
      <w:r w:rsidRPr="00A16566">
        <w:rPr>
          <w:rFonts w:cs="Times New Roman"/>
          <w:i/>
        </w:rPr>
        <w:t>only</w:t>
      </w:r>
      <w:r w:rsidRPr="00A16566">
        <w:rPr>
          <w:rFonts w:cs="Times New Roman"/>
        </w:rPr>
        <w:t xml:space="preserve"> legal mechanism open to it. The </w:t>
      </w:r>
      <w:proofErr w:type="spellStart"/>
      <w:r w:rsidRPr="00A16566">
        <w:rPr>
          <w:rFonts w:cs="Times New Roman"/>
        </w:rPr>
        <w:t>CFNIS</w:t>
      </w:r>
      <w:proofErr w:type="spellEnd"/>
      <w:r w:rsidRPr="00A16566">
        <w:rPr>
          <w:rFonts w:cs="Times New Roman"/>
        </w:rPr>
        <w:t xml:space="preserve"> first obtained the following diplomatic note from the Canadian Embassy:</w:t>
      </w:r>
    </w:p>
    <w:p w14:paraId="4D7741F0" w14:textId="77777777" w:rsidR="00A16566" w:rsidRPr="00A16566" w:rsidRDefault="00A16566" w:rsidP="00A16566">
      <w:pPr>
        <w:pStyle w:val="Citation-AltC"/>
        <w:ind w:firstLine="274"/>
      </w:pPr>
      <w:r w:rsidRPr="00A16566">
        <w:t xml:space="preserve">. . . </w:t>
      </w:r>
      <w:proofErr w:type="gramStart"/>
      <w:r w:rsidRPr="00A16566">
        <w:t>the</w:t>
      </w:r>
      <w:proofErr w:type="gramEnd"/>
      <w:r w:rsidRPr="00A16566">
        <w:t xml:space="preserve"> Embassy has to [</w:t>
      </w:r>
      <w:r w:rsidRPr="00A16566">
        <w:rPr>
          <w:i/>
        </w:rPr>
        <w:t>sic</w:t>
      </w:r>
      <w:r w:rsidRPr="00A16566">
        <w:t xml:space="preserve">] honour to </w:t>
      </w:r>
      <w:r w:rsidRPr="00A16566">
        <w:rPr>
          <w:u w:val="single"/>
        </w:rPr>
        <w:t>waive the inviolability of Corporal McGregor’s private residence, as well as his papers, correspondence and property</w:t>
      </w:r>
      <w:r w:rsidRPr="00A16566">
        <w:t xml:space="preserve"> under article 30 of the </w:t>
      </w:r>
      <w:r w:rsidRPr="00A16566">
        <w:rPr>
          <w:i/>
        </w:rPr>
        <w:t>Vienna Convention on Diplomatic Relations</w:t>
      </w:r>
      <w:r w:rsidRPr="00A16566">
        <w:t xml:space="preserve">, for the exclusive purpose of executing a search warrant obtained for the purposes of the </w:t>
      </w:r>
      <w:proofErr w:type="spellStart"/>
      <w:r w:rsidRPr="00A16566">
        <w:t>CFNIS</w:t>
      </w:r>
      <w:proofErr w:type="spellEnd"/>
      <w:r w:rsidRPr="00A16566">
        <w:t xml:space="preserve"> investigation. Similarly, the Embassy has the honour to waive Corporal McGregor’s immunity from the civil and criminal jurisdiction of the United States of America to the limited extent necessary to allow the court of jurisdiction to issue the warrant required for this exclusive purpose. The Embassy expressly retains any other applicable immunities, including his personal inviolability and his immunity from arrest or detention. [Emphasis added.]</w:t>
      </w:r>
    </w:p>
    <w:p w14:paraId="73296136" w14:textId="77777777" w:rsidR="00A16566" w:rsidRPr="00A16566" w:rsidRDefault="00A16566" w:rsidP="00A16566">
      <w:pPr>
        <w:pStyle w:val="Citation-AltC"/>
        <w:ind w:firstLine="274"/>
      </w:pPr>
    </w:p>
    <w:p w14:paraId="15834A55" w14:textId="77777777" w:rsidR="00A16566" w:rsidRPr="00A16566" w:rsidRDefault="00A16566" w:rsidP="00A16566">
      <w:pPr>
        <w:pStyle w:val="Citation-AltC"/>
        <w:ind w:hanging="32"/>
      </w:pPr>
      <w:r w:rsidRPr="00A16566">
        <w:t>(</w:t>
      </w:r>
      <w:proofErr w:type="spellStart"/>
      <w:r w:rsidRPr="00A16566">
        <w:t>A.R</w:t>
      </w:r>
      <w:proofErr w:type="spellEnd"/>
      <w:r w:rsidRPr="00A16566">
        <w:t>., vol. I, at p. 128)</w:t>
      </w:r>
    </w:p>
    <w:p w14:paraId="68C76024" w14:textId="77777777" w:rsidR="00A16566" w:rsidRPr="00A16566" w:rsidRDefault="00A16566" w:rsidP="00A16566">
      <w:pPr>
        <w:pStyle w:val="ParaNoNdepar-AltN"/>
        <w:numPr>
          <w:ilvl w:val="0"/>
          <w:numId w:val="0"/>
        </w:numPr>
        <w:rPr>
          <w:rFonts w:cs="Times New Roman"/>
        </w:rPr>
      </w:pPr>
      <w:r w:rsidRPr="00A16566">
        <w:rPr>
          <w:rFonts w:cs="Times New Roman"/>
        </w:rPr>
        <w:t xml:space="preserve">At the request of the </w:t>
      </w:r>
      <w:proofErr w:type="spellStart"/>
      <w:r w:rsidRPr="00A16566">
        <w:rPr>
          <w:rFonts w:cs="Times New Roman"/>
        </w:rPr>
        <w:t>CFNIS</w:t>
      </w:r>
      <w:proofErr w:type="spellEnd"/>
      <w:r w:rsidRPr="00A16566">
        <w:rPr>
          <w:rFonts w:cs="Times New Roman"/>
        </w:rPr>
        <w:t xml:space="preserve">, the </w:t>
      </w:r>
      <w:r w:rsidRPr="00A16566">
        <w:rPr>
          <w:rFonts w:cs="Times New Roman"/>
          <w:lang w:val="en"/>
        </w:rPr>
        <w:t>Alexandria Police Department</w:t>
      </w:r>
      <w:r w:rsidRPr="00A16566">
        <w:rPr>
          <w:rFonts w:cs="Times New Roman"/>
        </w:rPr>
        <w:t xml:space="preserve"> then obtained a search warrant issued by a Virginia magistrate. I note that the Virginia warrant meets the requirement of “specific, prior authorization” for digital searches established in </w:t>
      </w:r>
      <w:r w:rsidRPr="00A16566">
        <w:rPr>
          <w:rFonts w:cs="Times New Roman"/>
          <w:i/>
        </w:rPr>
        <w:t>Vu</w:t>
      </w:r>
      <w:r w:rsidRPr="00A16566">
        <w:rPr>
          <w:rFonts w:cs="Times New Roman"/>
        </w:rPr>
        <w:t>. It expressly authorized not only the search of Cpl. McGregor’s residence but also the search and analysis of the electronic devices found therein:</w:t>
      </w:r>
    </w:p>
    <w:p w14:paraId="43C026EF" w14:textId="77777777" w:rsidR="00A16566" w:rsidRPr="00A16566" w:rsidRDefault="00A16566" w:rsidP="00A16566">
      <w:pPr>
        <w:pStyle w:val="Citation-AltC"/>
        <w:ind w:firstLine="274"/>
      </w:pPr>
      <w:r w:rsidRPr="00A16566" w:rsidDel="00DE7B71">
        <w:t>You are hereby commanded in the name of the Commonwealth to forthwith search the following place, person or thing either in day or night</w:t>
      </w:r>
    </w:p>
    <w:p w14:paraId="3DA28135" w14:textId="77777777" w:rsidR="00A16566" w:rsidRPr="00A16566" w:rsidRDefault="00A16566" w:rsidP="00A16566">
      <w:pPr>
        <w:pStyle w:val="Citation-AltC"/>
      </w:pPr>
    </w:p>
    <w:p w14:paraId="1E4394B0" w14:textId="77777777" w:rsidR="00A16566" w:rsidRPr="00A16566" w:rsidRDefault="00A16566" w:rsidP="00A16566">
      <w:pPr>
        <w:pStyle w:val="Citation-AltC"/>
        <w:ind w:firstLine="274"/>
        <w:jc w:val="center"/>
      </w:pPr>
      <w:r w:rsidRPr="00A16566">
        <w:t>. . .</w:t>
      </w:r>
    </w:p>
    <w:p w14:paraId="21ABF3E3" w14:textId="77777777" w:rsidR="00A16566" w:rsidRPr="00A16566" w:rsidRDefault="00A16566" w:rsidP="00A16566">
      <w:pPr>
        <w:pStyle w:val="Citation-AltC"/>
      </w:pPr>
    </w:p>
    <w:p w14:paraId="5CB81E09" w14:textId="77777777" w:rsidR="00A16566" w:rsidRPr="00A16566" w:rsidRDefault="00A16566" w:rsidP="00A16566">
      <w:pPr>
        <w:pStyle w:val="Citation-AltC"/>
        <w:ind w:firstLine="274"/>
      </w:pPr>
      <w:proofErr w:type="gramStart"/>
      <w:r w:rsidRPr="00A16566" w:rsidDel="00DE7B71">
        <w:t>for</w:t>
      </w:r>
      <w:proofErr w:type="gramEnd"/>
      <w:r w:rsidRPr="00A16566" w:rsidDel="00DE7B71">
        <w:t xml:space="preserve"> the following property, objects and/or persons:</w:t>
      </w:r>
    </w:p>
    <w:p w14:paraId="1E651F8E" w14:textId="77777777" w:rsidR="00A16566" w:rsidRPr="00A16566" w:rsidRDefault="00A16566" w:rsidP="00A16566">
      <w:pPr>
        <w:pStyle w:val="Citation-AltC"/>
      </w:pPr>
    </w:p>
    <w:p w14:paraId="28784DB9" w14:textId="77777777" w:rsidR="00A16566" w:rsidRPr="00A16566" w:rsidRDefault="00A16566" w:rsidP="00A16566">
      <w:pPr>
        <w:pStyle w:val="Citation-AltC"/>
        <w:ind w:firstLine="274"/>
      </w:pPr>
      <w:r w:rsidRPr="00A16566" w:rsidDel="00DE7B71">
        <w:t xml:space="preserve">Camera, video recorder, other electronic audio/photo/video recording devices, computer, cell phone, other internet access devices, internet services devices, external electronic storage devices, and </w:t>
      </w:r>
      <w:r w:rsidRPr="00A16566" w:rsidDel="00DE7B71">
        <w:rPr>
          <w:u w:val="single"/>
        </w:rPr>
        <w:t>analysis of the seized items</w:t>
      </w:r>
      <w:r w:rsidRPr="00A16566" w:rsidDel="00DE7B71">
        <w:t>. Photographing of the premise and/or seized items.</w:t>
      </w:r>
      <w:r w:rsidRPr="00A16566">
        <w:t xml:space="preserve"> [Emphasis added.]</w:t>
      </w:r>
    </w:p>
    <w:p w14:paraId="2A4A8275" w14:textId="77777777" w:rsidR="00A16566" w:rsidRPr="00A16566" w:rsidRDefault="00A16566" w:rsidP="00A16566">
      <w:pPr>
        <w:pStyle w:val="Citation-AltC"/>
        <w:ind w:firstLine="274"/>
      </w:pPr>
    </w:p>
    <w:p w14:paraId="077B8A97" w14:textId="77777777" w:rsidR="00A16566" w:rsidRPr="00A16566" w:rsidDel="00DE7B71" w:rsidRDefault="00A16566" w:rsidP="00A16566">
      <w:pPr>
        <w:pStyle w:val="Citation-AltC"/>
        <w:ind w:hanging="32"/>
      </w:pPr>
      <w:r w:rsidRPr="00A16566">
        <w:t>(R.R., at p. 2)</w:t>
      </w:r>
    </w:p>
    <w:p w14:paraId="29806C4B" w14:textId="77777777" w:rsidR="00A16566" w:rsidRPr="00A16566" w:rsidRDefault="00A16566" w:rsidP="00A16566">
      <w:pPr>
        <w:pStyle w:val="ParaNoNdepar-AltN"/>
        <w:rPr>
          <w:rFonts w:cs="Times New Roman"/>
        </w:rPr>
      </w:pPr>
      <w:r w:rsidRPr="00A16566">
        <w:rPr>
          <w:rFonts w:cs="Times New Roman"/>
        </w:rPr>
        <w:t xml:space="preserve">Nevertheless, Cpl. McGregor asserts that the </w:t>
      </w:r>
      <w:proofErr w:type="spellStart"/>
      <w:r w:rsidRPr="00A16566">
        <w:rPr>
          <w:rFonts w:cs="Times New Roman"/>
        </w:rPr>
        <w:t>CFNIS’s</w:t>
      </w:r>
      <w:proofErr w:type="spellEnd"/>
      <w:r w:rsidRPr="00A16566">
        <w:rPr>
          <w:rFonts w:cs="Times New Roman"/>
        </w:rPr>
        <w:t xml:space="preserve"> participation in the search was not authorized by law. His first argument in this regard is that the search did not comply with s. 8 of the </w:t>
      </w:r>
      <w:r w:rsidRPr="00A16566">
        <w:rPr>
          <w:rFonts w:cs="Times New Roman"/>
          <w:i/>
        </w:rPr>
        <w:t>Charter</w:t>
      </w:r>
      <w:r w:rsidRPr="00A16566">
        <w:rPr>
          <w:rFonts w:cs="Times New Roman"/>
        </w:rPr>
        <w:t xml:space="preserve"> because </w:t>
      </w:r>
      <w:r w:rsidRPr="00A16566">
        <w:rPr>
          <w:rFonts w:cs="Times New Roman"/>
          <w:i/>
        </w:rPr>
        <w:t>Vu</w:t>
      </w:r>
      <w:r w:rsidRPr="00A16566">
        <w:rPr>
          <w:rFonts w:cs="Times New Roman"/>
        </w:rPr>
        <w:t xml:space="preserve"> requires a separate warrant to authorize the search of electronic devices, that is, a warrant apart from the one authorizing the search of the residence itself. However, the Court Martial Appeal Court was correct to hold that the substance of </w:t>
      </w:r>
      <w:r w:rsidRPr="00A16566">
        <w:rPr>
          <w:rFonts w:cs="Times New Roman"/>
          <w:i/>
        </w:rPr>
        <w:t>Vu</w:t>
      </w:r>
      <w:r w:rsidRPr="00A16566">
        <w:rPr>
          <w:rFonts w:cs="Times New Roman"/>
        </w:rPr>
        <w:t xml:space="preserve"> is directed not at the form the search warrant takes but rather at the requirement of having independent grounds to search the electronic devices (</w:t>
      </w:r>
      <w:r w:rsidRPr="00A16566">
        <w:rPr>
          <w:rFonts w:cs="Times New Roman"/>
          <w:i/>
        </w:rPr>
        <w:t>Vu</w:t>
      </w:r>
      <w:r w:rsidRPr="00A16566">
        <w:rPr>
          <w:rFonts w:cs="Times New Roman"/>
        </w:rPr>
        <w:t>, at para. 48). There were such grounds in this case, as the devices could reasonably be expected to contain evidence of the voyeurism offence.</w:t>
      </w:r>
    </w:p>
    <w:p w14:paraId="3EC73DE1"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Cpl. McGregor’s main argument regarding authorization is that the search fell outside the scope of the waiver of diplomatic immunity granted by Canada under the </w:t>
      </w:r>
      <w:r w:rsidRPr="00A16566">
        <w:rPr>
          <w:rFonts w:cs="Times New Roman"/>
          <w:i/>
        </w:rPr>
        <w:t>Vienna Convention</w:t>
      </w:r>
      <w:r w:rsidRPr="00A16566">
        <w:rPr>
          <w:rFonts w:cs="Times New Roman"/>
        </w:rPr>
        <w:t>. This is so, in his view, because the waiver of diplomatic immunity did not contemplate the search and seizure of his electronic devices, as it referred only to his residence in Alexandria, Virginia.</w:t>
      </w:r>
    </w:p>
    <w:p w14:paraId="7C9DC943" w14:textId="77777777" w:rsidR="00A16566" w:rsidRPr="00A16566" w:rsidRDefault="00A16566" w:rsidP="00A16566">
      <w:pPr>
        <w:pStyle w:val="ParaNoNdepar-AltN"/>
        <w:rPr>
          <w:rFonts w:cs="Times New Roman"/>
        </w:rPr>
      </w:pPr>
      <w:r w:rsidRPr="00A16566">
        <w:rPr>
          <w:rFonts w:cs="Times New Roman"/>
        </w:rPr>
        <w:t xml:space="preserve">I would not give effect to this argument. Accepting that the authority to conduct the search of the devices depended on the </w:t>
      </w:r>
      <w:r w:rsidRPr="00A16566">
        <w:rPr>
          <w:rFonts w:cs="Times New Roman"/>
          <w:i/>
        </w:rPr>
        <w:t>Vienna Convention</w:t>
      </w:r>
      <w:r w:rsidRPr="00A16566">
        <w:rPr>
          <w:rFonts w:cs="Times New Roman"/>
        </w:rPr>
        <w:t xml:space="preserve">, I find that on any reasonable interpretation of the Canadian Embassy’s diplomatic note, the waiver encompassed the search of both Cpl. McGregor’s private residence </w:t>
      </w:r>
      <w:r w:rsidRPr="00A16566">
        <w:rPr>
          <w:rFonts w:cs="Times New Roman"/>
          <w:i/>
        </w:rPr>
        <w:t xml:space="preserve">and </w:t>
      </w:r>
      <w:r w:rsidRPr="00A16566">
        <w:rPr>
          <w:rFonts w:cs="Times New Roman"/>
        </w:rPr>
        <w:t>his electronic devices.</w:t>
      </w:r>
      <w:r w:rsidRPr="00A16566" w:rsidDel="00B16AD3">
        <w:rPr>
          <w:rFonts w:cs="Times New Roman"/>
        </w:rPr>
        <w:t xml:space="preserve"> </w:t>
      </w:r>
      <w:r w:rsidRPr="00A16566">
        <w:rPr>
          <w:rFonts w:cs="Times New Roman"/>
        </w:rPr>
        <w:t>The express reference to “Corporal </w:t>
      </w:r>
      <w:proofErr w:type="gramStart"/>
      <w:r w:rsidRPr="00A16566">
        <w:rPr>
          <w:rFonts w:cs="Times New Roman"/>
        </w:rPr>
        <w:t>McGregor’s .</w:t>
      </w:r>
      <w:proofErr w:type="gramEnd"/>
      <w:r w:rsidRPr="00A16566">
        <w:rPr>
          <w:rFonts w:cs="Times New Roman"/>
        </w:rPr>
        <w:t> . . property” in the diplomatic note plainly contradicts his submission that “[t]he waiver was limited to [his] residence . . . . It did not target the contents of electronic devices” (</w:t>
      </w:r>
      <w:proofErr w:type="spellStart"/>
      <w:r w:rsidRPr="00A16566">
        <w:rPr>
          <w:rFonts w:cs="Times New Roman"/>
        </w:rPr>
        <w:t>A.F</w:t>
      </w:r>
      <w:proofErr w:type="spellEnd"/>
      <w:r w:rsidRPr="00A16566">
        <w:rPr>
          <w:rFonts w:cs="Times New Roman"/>
        </w:rPr>
        <w:t>., at para. 187). Cpl. McGregor’s argument that the search of his devices was unauthorized by law thus fails.</w:t>
      </w:r>
    </w:p>
    <w:p w14:paraId="4C3EF817" w14:textId="77777777" w:rsidR="00A16566" w:rsidRPr="00A16566" w:rsidRDefault="00A16566" w:rsidP="00A16566">
      <w:pPr>
        <w:pStyle w:val="Title3LevelTitre3Niveau"/>
        <w:numPr>
          <w:ilvl w:val="2"/>
          <w:numId w:val="8"/>
        </w:numPr>
        <w:ind w:left="1156" w:hanging="578"/>
        <w:rPr>
          <w:rFonts w:cs="Times New Roman"/>
        </w:rPr>
      </w:pPr>
      <w:r w:rsidRPr="00A16566">
        <w:rPr>
          <w:rFonts w:cs="Times New Roman"/>
        </w:rPr>
        <w:t>Reasonableness of the Search</w:t>
      </w:r>
    </w:p>
    <w:p w14:paraId="26C061CC" w14:textId="77777777" w:rsidR="00A16566" w:rsidRPr="00A16566" w:rsidRDefault="00A16566" w:rsidP="00A16566">
      <w:pPr>
        <w:pStyle w:val="ParaNoNdepar-AltN"/>
        <w:rPr>
          <w:rFonts w:cs="Times New Roman"/>
        </w:rPr>
      </w:pPr>
      <w:r w:rsidRPr="00A16566">
        <w:rPr>
          <w:rFonts w:cs="Times New Roman"/>
        </w:rPr>
        <w:t xml:space="preserve">Cpl. McGregor further contends that the search was unreasonable pursuant to </w:t>
      </w:r>
      <w:r w:rsidRPr="00A16566">
        <w:rPr>
          <w:rFonts w:cs="Times New Roman"/>
          <w:i/>
        </w:rPr>
        <w:t xml:space="preserve">Charter </w:t>
      </w:r>
      <w:r w:rsidRPr="00A16566">
        <w:rPr>
          <w:rFonts w:cs="Times New Roman"/>
        </w:rPr>
        <w:t xml:space="preserve">standards in that it was more intrusive than necessary. He argues that the investigators unjustifiably expanded the search of the electronic devices to offences of sexual assault and (what they believed to be) child pornography, whereas the warrant contemplated only the offences of breaking and entering, mischief, interception, harassment, and voyeurism. In his view, once the investigators discovered this unanticipated evidence, the </w:t>
      </w:r>
      <w:r w:rsidRPr="00A16566">
        <w:rPr>
          <w:rFonts w:cs="Times New Roman"/>
          <w:i/>
        </w:rPr>
        <w:t xml:space="preserve">Charter </w:t>
      </w:r>
      <w:r w:rsidRPr="00A16566">
        <w:rPr>
          <w:rFonts w:cs="Times New Roman"/>
        </w:rPr>
        <w:t>required them to stop the search, seize the electronic devices, and obtain a subsequent warrant permitting the analysis of the files in question.</w:t>
      </w:r>
    </w:p>
    <w:p w14:paraId="3D74A7FA" w14:textId="77777777" w:rsidR="00A16566" w:rsidRPr="00A16566" w:rsidRDefault="00A16566" w:rsidP="00A16566">
      <w:pPr>
        <w:pStyle w:val="ParaNoNdepar-AltN"/>
        <w:rPr>
          <w:rFonts w:cs="Times New Roman"/>
        </w:rPr>
      </w:pPr>
      <w:r w:rsidRPr="00A16566">
        <w:rPr>
          <w:rFonts w:cs="Times New Roman"/>
        </w:rPr>
        <w:t xml:space="preserve">I cannot accept this argument. It is uncontroversial that the Virginia warrant did not encompass the investigation of sexual assault offences. But the discovery of unforeseen evidence does not invalidate the authorization to conduct a search for the purposes outlined in the original warrant. This principle is an old one, and it renders Cpl. McGregor’s argument meritless, at least as regards the evidence sought (see, for instance, </w:t>
      </w:r>
      <w:r w:rsidRPr="00A16566">
        <w:rPr>
          <w:rFonts w:cs="Times New Roman"/>
          <w:i/>
        </w:rPr>
        <w:t xml:space="preserve">Canadian Pacific Wine Co. v. </w:t>
      </w:r>
      <w:proofErr w:type="spellStart"/>
      <w:r w:rsidRPr="00A16566">
        <w:rPr>
          <w:rFonts w:cs="Times New Roman"/>
          <w:i/>
        </w:rPr>
        <w:t>Tuley</w:t>
      </w:r>
      <w:proofErr w:type="spellEnd"/>
      <w:r w:rsidRPr="00A16566">
        <w:rPr>
          <w:rFonts w:cs="Times New Roman"/>
        </w:rPr>
        <w:t xml:space="preserve">, [1921] 2 </w:t>
      </w:r>
      <w:proofErr w:type="spellStart"/>
      <w:r w:rsidRPr="00A16566">
        <w:rPr>
          <w:rFonts w:cs="Times New Roman"/>
        </w:rPr>
        <w:t>A.C</w:t>
      </w:r>
      <w:proofErr w:type="spellEnd"/>
      <w:r w:rsidRPr="00A16566">
        <w:rPr>
          <w:rFonts w:cs="Times New Roman"/>
        </w:rPr>
        <w:t>. 417 (P.C.), at pp. 424</w:t>
      </w:r>
      <w:r w:rsidRPr="00A16566">
        <w:rPr>
          <w:rFonts w:cs="Times New Roman"/>
        </w:rPr>
        <w:noBreakHyphen/>
        <w:t>25).</w:t>
      </w:r>
      <w:r w:rsidRPr="00A16566">
        <w:rPr>
          <w:rFonts w:cs="Times New Roman"/>
          <w:i/>
        </w:rPr>
        <w:t xml:space="preserve"> </w:t>
      </w:r>
      <w:r w:rsidRPr="00A16566">
        <w:rPr>
          <w:rFonts w:cs="Times New Roman"/>
        </w:rPr>
        <w:t xml:space="preserve">Here, the investigators discovered the impugned evidence when they were in the process of triaging Cpl. McGregor’s electronic devices at the scene of the search, as was expressly authorized by warrant. The investigators set aside the incriminating devices for seizure and further analysis. Indeed, the </w:t>
      </w:r>
      <w:proofErr w:type="spellStart"/>
      <w:r w:rsidRPr="00A16566">
        <w:rPr>
          <w:rFonts w:cs="Times New Roman"/>
        </w:rPr>
        <w:t>CFNIS</w:t>
      </w:r>
      <w:proofErr w:type="spellEnd"/>
      <w:r w:rsidRPr="00A16566">
        <w:rPr>
          <w:rFonts w:cs="Times New Roman"/>
        </w:rPr>
        <w:t xml:space="preserve"> obtained Canadian warrants before further analyzing their contents. In my view, this investigative process was consistent with s. 8 of the </w:t>
      </w:r>
      <w:r w:rsidRPr="00A16566">
        <w:rPr>
          <w:rFonts w:cs="Times New Roman"/>
          <w:i/>
        </w:rPr>
        <w:t>Charter</w:t>
      </w:r>
      <w:r w:rsidRPr="00A16566">
        <w:rPr>
          <w:rFonts w:cs="Times New Roman"/>
        </w:rPr>
        <w:t>.</w:t>
      </w:r>
    </w:p>
    <w:p w14:paraId="3F5CE5A1" w14:textId="77777777" w:rsidR="00A16566" w:rsidRPr="00A16566" w:rsidRDefault="00A16566" w:rsidP="00A16566">
      <w:pPr>
        <w:pStyle w:val="ParaNoNdepar-AltN"/>
        <w:rPr>
          <w:rFonts w:cs="Times New Roman"/>
        </w:rPr>
      </w:pPr>
      <w:r w:rsidRPr="00A16566">
        <w:rPr>
          <w:rFonts w:cs="Times New Roman"/>
        </w:rPr>
        <w:t>Nor does the admission of the unanticipated evidence found in the triage process infringe Cpl. McGregor’s s. 8 rights.</w:t>
      </w:r>
      <w:r w:rsidRPr="00A16566">
        <w:rPr>
          <w:rFonts w:cs="Times New Roman"/>
          <w:i/>
        </w:rPr>
        <w:t xml:space="preserve"> </w:t>
      </w:r>
      <w:r w:rsidRPr="00A16566">
        <w:rPr>
          <w:rFonts w:cs="Times New Roman"/>
        </w:rPr>
        <w:t>Key to my reasoning is the application of the plain view doctrine to the files disclosing evidence of sexual assault. This common law doctrine defeats the presumption that seizures must be judicially authorized. Our Court’s jurisprudence teaches that two requirements must be satisfied for the plain view doctrine to apply: (1) the police officers must have a legitimate “prior justification for the intrusion into the place where the ‘plain view’ seizure occurred” (</w:t>
      </w:r>
      <w:r w:rsidRPr="00A16566">
        <w:rPr>
          <w:rFonts w:cs="Times New Roman"/>
          <w:i/>
        </w:rPr>
        <w:t>R. v.</w:t>
      </w:r>
      <w:r w:rsidRPr="00A16566">
        <w:rPr>
          <w:rFonts w:cs="Times New Roman"/>
        </w:rPr>
        <w:t xml:space="preserve"> </w:t>
      </w:r>
      <w:proofErr w:type="spellStart"/>
      <w:r w:rsidRPr="00A16566">
        <w:rPr>
          <w:rFonts w:cs="Times New Roman"/>
          <w:i/>
        </w:rPr>
        <w:t>Buhay</w:t>
      </w:r>
      <w:proofErr w:type="spellEnd"/>
      <w:r w:rsidRPr="00A16566">
        <w:rPr>
          <w:rFonts w:cs="Times New Roman"/>
        </w:rPr>
        <w:t xml:space="preserve">, 2003 SCC 30, [2003] 1 </w:t>
      </w:r>
      <w:proofErr w:type="spellStart"/>
      <w:r w:rsidRPr="00A16566">
        <w:rPr>
          <w:rFonts w:cs="Times New Roman"/>
        </w:rPr>
        <w:t>S.C.R</w:t>
      </w:r>
      <w:proofErr w:type="spellEnd"/>
      <w:r w:rsidRPr="00A16566">
        <w:rPr>
          <w:rFonts w:cs="Times New Roman"/>
        </w:rPr>
        <w:t>. 631, at para. 37); and (2) the incriminating evidence must be in plain view in that it is “immediately obvious” and “discovered inadvertently” by the police (</w:t>
      </w:r>
      <w:r w:rsidRPr="00A16566">
        <w:rPr>
          <w:rFonts w:cs="Times New Roman"/>
          <w:i/>
        </w:rPr>
        <w:t>R. v. Law</w:t>
      </w:r>
      <w:r w:rsidRPr="00A16566">
        <w:rPr>
          <w:rFonts w:cs="Times New Roman"/>
        </w:rPr>
        <w:t>,</w:t>
      </w:r>
      <w:r w:rsidRPr="00A16566">
        <w:rPr>
          <w:rFonts w:cs="Times New Roman"/>
          <w:i/>
        </w:rPr>
        <w:t xml:space="preserve"> </w:t>
      </w:r>
      <w:r w:rsidRPr="00A16566">
        <w:rPr>
          <w:rFonts w:cs="Times New Roman"/>
        </w:rPr>
        <w:t xml:space="preserve">2002 SCC 10, [2002] 1 </w:t>
      </w:r>
      <w:proofErr w:type="spellStart"/>
      <w:r w:rsidRPr="00A16566">
        <w:rPr>
          <w:rFonts w:cs="Times New Roman"/>
        </w:rPr>
        <w:t>S.C.R</w:t>
      </w:r>
      <w:proofErr w:type="spellEnd"/>
      <w:r w:rsidRPr="00A16566">
        <w:rPr>
          <w:rFonts w:cs="Times New Roman"/>
        </w:rPr>
        <w:t xml:space="preserve">. 227, at para. 27; see also </w:t>
      </w:r>
      <w:proofErr w:type="spellStart"/>
      <w:r w:rsidRPr="00A16566">
        <w:rPr>
          <w:rFonts w:cs="Times New Roman"/>
          <w:i/>
        </w:rPr>
        <w:t>Buhay</w:t>
      </w:r>
      <w:proofErr w:type="spellEnd"/>
      <w:r w:rsidRPr="00A16566">
        <w:rPr>
          <w:rFonts w:cs="Times New Roman"/>
        </w:rPr>
        <w:t>, at para. 37). Concerns have been expressed about the plain view doctrine in relation to electronic seizures (e.g., L. </w:t>
      </w:r>
      <w:proofErr w:type="spellStart"/>
      <w:r w:rsidRPr="00A16566">
        <w:rPr>
          <w:rFonts w:cs="Times New Roman"/>
        </w:rPr>
        <w:t>Jørgensen</w:t>
      </w:r>
      <w:proofErr w:type="spellEnd"/>
      <w:r w:rsidRPr="00A16566">
        <w:rPr>
          <w:rFonts w:cs="Times New Roman"/>
        </w:rPr>
        <w:t>, “In Plain View</w:t>
      </w:r>
      <w:proofErr w:type="gramStart"/>
      <w:r w:rsidRPr="00A16566">
        <w:rPr>
          <w:rFonts w:cs="Times New Roman"/>
        </w:rPr>
        <w:t>?:</w:t>
      </w:r>
      <w:proofErr w:type="gramEnd"/>
      <w:r w:rsidRPr="00A16566">
        <w:rPr>
          <w:rFonts w:cs="Times New Roman"/>
        </w:rPr>
        <w:t xml:space="preserve"> </w:t>
      </w:r>
      <w:r w:rsidRPr="00A16566">
        <w:rPr>
          <w:rFonts w:cs="Times New Roman"/>
          <w:i/>
        </w:rPr>
        <w:t xml:space="preserve">R v Jones </w:t>
      </w:r>
      <w:r w:rsidRPr="00A16566">
        <w:rPr>
          <w:rFonts w:cs="Times New Roman"/>
        </w:rPr>
        <w:t xml:space="preserve">and the Challenge of Protecting Privacy Rights in an Era of Computer Search” (2013), 46 </w:t>
      </w:r>
      <w:proofErr w:type="spellStart"/>
      <w:r w:rsidRPr="00A16566">
        <w:rPr>
          <w:rFonts w:cs="Times New Roman"/>
          <w:i/>
        </w:rPr>
        <w:t>U.B.C</w:t>
      </w:r>
      <w:proofErr w:type="spellEnd"/>
      <w:r w:rsidRPr="00A16566">
        <w:rPr>
          <w:rFonts w:cs="Times New Roman"/>
          <w:i/>
        </w:rPr>
        <w:t>. L. Rev.</w:t>
      </w:r>
      <w:r w:rsidRPr="00A16566">
        <w:rPr>
          <w:rFonts w:cs="Times New Roman"/>
        </w:rPr>
        <w:t xml:space="preserve"> 791). In light of the way this case was argued, I feel it is unnecessary to express a settled opinion on the limits of the doctrine. However, I am satisfied that it does apply in some form to electronic devices (</w:t>
      </w:r>
      <w:r w:rsidRPr="00A16566">
        <w:rPr>
          <w:rFonts w:cs="Times New Roman"/>
          <w:i/>
        </w:rPr>
        <w:t>R. v. Jones</w:t>
      </w:r>
      <w:r w:rsidRPr="00A16566">
        <w:rPr>
          <w:rFonts w:cs="Times New Roman"/>
        </w:rPr>
        <w:t xml:space="preserve">, 2011 </w:t>
      </w:r>
      <w:proofErr w:type="spellStart"/>
      <w:r w:rsidRPr="00A16566">
        <w:rPr>
          <w:rFonts w:cs="Times New Roman"/>
        </w:rPr>
        <w:t>ONCA</w:t>
      </w:r>
      <w:proofErr w:type="spellEnd"/>
      <w:r w:rsidRPr="00A16566">
        <w:rPr>
          <w:rFonts w:cs="Times New Roman"/>
        </w:rPr>
        <w:t xml:space="preserve"> 632, 107 </w:t>
      </w:r>
      <w:proofErr w:type="spellStart"/>
      <w:r w:rsidRPr="00A16566">
        <w:rPr>
          <w:rFonts w:cs="Times New Roman"/>
        </w:rPr>
        <w:t>O.R</w:t>
      </w:r>
      <w:proofErr w:type="spellEnd"/>
      <w:r w:rsidRPr="00A16566">
        <w:rPr>
          <w:rFonts w:cs="Times New Roman"/>
        </w:rPr>
        <w:t>. (</w:t>
      </w:r>
      <w:proofErr w:type="spellStart"/>
      <w:r w:rsidRPr="00A16566">
        <w:rPr>
          <w:rFonts w:cs="Times New Roman"/>
        </w:rPr>
        <w:t>3d</w:t>
      </w:r>
      <w:proofErr w:type="spellEnd"/>
      <w:r w:rsidRPr="00A16566">
        <w:rPr>
          <w:rFonts w:cs="Times New Roman"/>
        </w:rPr>
        <w:t>) 241). In the case at bar, there can be no doubt that the doctrine applies.</w:t>
      </w:r>
    </w:p>
    <w:p w14:paraId="69E23A16" w14:textId="77777777" w:rsidR="00A16566" w:rsidRPr="00A16566" w:rsidRDefault="00A16566" w:rsidP="00A16566">
      <w:pPr>
        <w:pStyle w:val="ParaNoNdepar-AltN"/>
        <w:rPr>
          <w:rFonts w:cs="Times New Roman"/>
        </w:rPr>
      </w:pPr>
      <w:r w:rsidRPr="00A16566">
        <w:rPr>
          <w:rFonts w:cs="Times New Roman"/>
        </w:rPr>
        <w:t>A warrant usually provides a legitimate prior justification for the intrusion, thereby satisfying the first requirement of the plain view doctrine. This is not the case, however, where police officers carry out a search unreasonably. In the context of digital searches, the prior justification extends only to the types of files that are “reasonably necessary” for the proper execution of such a search (</w:t>
      </w:r>
      <w:r w:rsidRPr="00A16566">
        <w:rPr>
          <w:rFonts w:cs="Times New Roman"/>
          <w:i/>
        </w:rPr>
        <w:t>Vu</w:t>
      </w:r>
      <w:r w:rsidRPr="00A16566">
        <w:rPr>
          <w:rFonts w:cs="Times New Roman"/>
        </w:rPr>
        <w:t>, at para. 22). In other words, there must be a reasonable nexus between the files examined and the purposes of the warrant for a search to satisfy the first requirement of the plain view doctrine.</w:t>
      </w:r>
    </w:p>
    <w:p w14:paraId="26DB4DB6" w14:textId="77777777" w:rsidR="00A16566" w:rsidRPr="00A16566" w:rsidRDefault="00A16566" w:rsidP="00A16566">
      <w:pPr>
        <w:pStyle w:val="ParaNoNdepar-AltN"/>
        <w:rPr>
          <w:rFonts w:cs="Times New Roman"/>
        </w:rPr>
      </w:pPr>
      <w:r w:rsidRPr="00A16566">
        <w:rPr>
          <w:rFonts w:cs="Times New Roman"/>
        </w:rPr>
        <w:t xml:space="preserve">Even where police officers are initially justified in examining a digital file, the unanticipated evidence contained therein is not necessarily in plain view. This Court’s reasoning in </w:t>
      </w:r>
      <w:r w:rsidRPr="00A16566">
        <w:rPr>
          <w:rFonts w:cs="Times New Roman"/>
          <w:i/>
        </w:rPr>
        <w:t xml:space="preserve">Law </w:t>
      </w:r>
      <w:r w:rsidRPr="00A16566">
        <w:rPr>
          <w:rFonts w:cs="Times New Roman"/>
        </w:rPr>
        <w:t>offers a useful illustration of the second requirement of the plain view doctrine. In that case, a police officer conducted a cursory examination of the documents in question and found “nothing facially wrong with [them]” (para. 27). The officer failed to “</w:t>
      </w:r>
      <w:proofErr w:type="spellStart"/>
      <w:r w:rsidRPr="00A16566">
        <w:rPr>
          <w:rFonts w:cs="Times New Roman"/>
        </w:rPr>
        <w:t>detec</w:t>
      </w:r>
      <w:proofErr w:type="spellEnd"/>
      <w:r w:rsidRPr="00A16566">
        <w:rPr>
          <w:rFonts w:cs="Times New Roman"/>
        </w:rPr>
        <w:t xml:space="preserve">[t] anything incriminating through the unaided use of his senses”, as the incriminating nature of the evidence “came to light only after he examined, translated and photocopied several documents” (para. 27; see also </w:t>
      </w:r>
      <w:proofErr w:type="spellStart"/>
      <w:r w:rsidRPr="00A16566">
        <w:rPr>
          <w:rFonts w:cs="Times New Roman"/>
          <w:i/>
        </w:rPr>
        <w:t>Buhay</w:t>
      </w:r>
      <w:proofErr w:type="spellEnd"/>
      <w:r w:rsidRPr="00A16566">
        <w:rPr>
          <w:rFonts w:cs="Times New Roman"/>
        </w:rPr>
        <w:t xml:space="preserve">, at para. 37; </w:t>
      </w:r>
      <w:r w:rsidRPr="00A16566">
        <w:rPr>
          <w:rFonts w:cs="Times New Roman"/>
          <w:i/>
        </w:rPr>
        <w:t>R. v. Gill</w:t>
      </w:r>
      <w:r w:rsidRPr="00A16566">
        <w:rPr>
          <w:rFonts w:cs="Times New Roman"/>
        </w:rPr>
        <w:t xml:space="preserve">, 2019 </w:t>
      </w:r>
      <w:proofErr w:type="spellStart"/>
      <w:r w:rsidRPr="00A16566">
        <w:rPr>
          <w:rFonts w:cs="Times New Roman"/>
        </w:rPr>
        <w:t>BCCA</w:t>
      </w:r>
      <w:proofErr w:type="spellEnd"/>
      <w:r w:rsidRPr="00A16566">
        <w:rPr>
          <w:rFonts w:cs="Times New Roman"/>
        </w:rPr>
        <w:t xml:space="preserve"> 260, at para. 59 (</w:t>
      </w:r>
      <w:proofErr w:type="spellStart"/>
      <w:r w:rsidRPr="00A16566">
        <w:rPr>
          <w:rFonts w:cs="Times New Roman"/>
        </w:rPr>
        <w:t>CanLII</w:t>
      </w:r>
      <w:proofErr w:type="spellEnd"/>
      <w:r w:rsidRPr="00A16566">
        <w:rPr>
          <w:rFonts w:cs="Times New Roman"/>
        </w:rPr>
        <w:t xml:space="preserve">)). Consequently, this Court rejected the argument that the documents were in plain view, since </w:t>
      </w:r>
      <w:proofErr w:type="gramStart"/>
      <w:r w:rsidRPr="00A16566">
        <w:rPr>
          <w:rFonts w:cs="Times New Roman"/>
        </w:rPr>
        <w:t>they</w:t>
      </w:r>
      <w:proofErr w:type="gramEnd"/>
      <w:r w:rsidRPr="00A16566">
        <w:rPr>
          <w:rFonts w:cs="Times New Roman"/>
        </w:rPr>
        <w:t xml:space="preserve"> “were neither discovered inadvertently nor immediately evident” (</w:t>
      </w:r>
      <w:r w:rsidRPr="00A16566">
        <w:rPr>
          <w:rFonts w:cs="Times New Roman"/>
          <w:i/>
        </w:rPr>
        <w:t>Law</w:t>
      </w:r>
      <w:r w:rsidRPr="00A16566">
        <w:rPr>
          <w:rFonts w:cs="Times New Roman"/>
        </w:rPr>
        <w:t>, at para. 10).</w:t>
      </w:r>
    </w:p>
    <w:p w14:paraId="4641124A" w14:textId="77777777" w:rsidR="00A16566" w:rsidRPr="00A16566" w:rsidRDefault="00A16566" w:rsidP="00A16566">
      <w:pPr>
        <w:pStyle w:val="ParaNoNdepar-AltN"/>
        <w:rPr>
          <w:rFonts w:cs="Times New Roman"/>
        </w:rPr>
      </w:pPr>
      <w:r w:rsidRPr="00A16566">
        <w:rPr>
          <w:rFonts w:cs="Times New Roman"/>
        </w:rPr>
        <w:t>Applying the foregoing principles, I conclude that both requirements of the plain view doctrine are satisfied in the present case. The application of the plain view doctrine to digital searches may undoubtedly give rise to intricate issues, but this is a straightforward case. The military judge correctly determined that the plain view doctrine applies to the evidence of sexual assault stored in Cpl. McGregor’s devices.</w:t>
      </w:r>
    </w:p>
    <w:p w14:paraId="49676C2F" w14:textId="77777777" w:rsidR="00A16566" w:rsidRPr="00A16566" w:rsidRDefault="00A16566" w:rsidP="00A16566">
      <w:pPr>
        <w:pStyle w:val="ParaNoNdepar-AltN"/>
        <w:rPr>
          <w:rFonts w:cs="Times New Roman"/>
        </w:rPr>
      </w:pPr>
      <w:r w:rsidRPr="00A16566">
        <w:rPr>
          <w:rFonts w:cs="Times New Roman"/>
        </w:rPr>
        <w:t xml:space="preserve">First, the investigators had a legitimate justification for their inspection of the files containing evidence of sexual assault at the scene of the search. As mentioned above, the Virginia warrant meets the </w:t>
      </w:r>
      <w:r w:rsidRPr="00A16566">
        <w:rPr>
          <w:rFonts w:cs="Times New Roman"/>
          <w:i/>
        </w:rPr>
        <w:t xml:space="preserve">Vu </w:t>
      </w:r>
      <w:r w:rsidRPr="00A16566">
        <w:rPr>
          <w:rFonts w:cs="Times New Roman"/>
        </w:rPr>
        <w:t xml:space="preserve">requirement of specific, prior authorization applicable to digital searches. Moreover, the military judge found that “[t]he discovery of files relating to a potential sexual </w:t>
      </w:r>
      <w:proofErr w:type="gramStart"/>
      <w:r w:rsidRPr="00A16566">
        <w:rPr>
          <w:rFonts w:cs="Times New Roman"/>
        </w:rPr>
        <w:t>assault .</w:t>
      </w:r>
      <w:proofErr w:type="gramEnd"/>
      <w:r w:rsidRPr="00A16566">
        <w:rPr>
          <w:rFonts w:cs="Times New Roman"/>
        </w:rPr>
        <w:t> . . occurred while looking for the types of files specifically sought and authorized” (</w:t>
      </w:r>
      <w:proofErr w:type="spellStart"/>
      <w:r w:rsidRPr="00A16566">
        <w:rPr>
          <w:rFonts w:cs="Times New Roman"/>
          <w:i/>
        </w:rPr>
        <w:t>voir</w:t>
      </w:r>
      <w:proofErr w:type="spellEnd"/>
      <w:r w:rsidRPr="00A16566">
        <w:rPr>
          <w:rFonts w:cs="Times New Roman"/>
          <w:i/>
        </w:rPr>
        <w:t xml:space="preserve"> dire</w:t>
      </w:r>
      <w:r w:rsidRPr="00A16566">
        <w:rPr>
          <w:rFonts w:cs="Times New Roman"/>
        </w:rPr>
        <w:t xml:space="preserve"> decision, at para. 25 (</w:t>
      </w:r>
      <w:proofErr w:type="spellStart"/>
      <w:r w:rsidRPr="00A16566">
        <w:rPr>
          <w:rFonts w:cs="Times New Roman"/>
        </w:rPr>
        <w:t>CanLII</w:t>
      </w:r>
      <w:proofErr w:type="spellEnd"/>
      <w:r w:rsidRPr="00A16566">
        <w:rPr>
          <w:rFonts w:cs="Times New Roman"/>
        </w:rPr>
        <w:t>)). The investigators “</w:t>
      </w:r>
      <w:proofErr w:type="spellStart"/>
      <w:r w:rsidRPr="00A16566">
        <w:rPr>
          <w:rFonts w:cs="Times New Roman"/>
        </w:rPr>
        <w:t>demonstrat</w:t>
      </w:r>
      <w:proofErr w:type="spellEnd"/>
      <w:r w:rsidRPr="00A16566">
        <w:rPr>
          <w:rFonts w:cs="Times New Roman"/>
        </w:rPr>
        <w:t>[</w:t>
      </w:r>
      <w:proofErr w:type="spellStart"/>
      <w:r w:rsidRPr="00A16566">
        <w:rPr>
          <w:rFonts w:cs="Times New Roman"/>
        </w:rPr>
        <w:t>ed</w:t>
      </w:r>
      <w:proofErr w:type="spellEnd"/>
      <w:r w:rsidRPr="00A16566">
        <w:rPr>
          <w:rFonts w:cs="Times New Roman"/>
        </w:rPr>
        <w:t>] care to limit the impact of the search through screening and conduct of a targeted search that involved a minimum of personal information” (para. 27). In these circumstances, the initial search leading to the discovery of the files in issue satisfies the requirement of prior justification.</w:t>
      </w:r>
    </w:p>
    <w:p w14:paraId="1FAE35F8"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Second, the digital files disclosing evidence of sexual assault were in plain view, given their inadvertent discovery and immediately apparent unlawfulness. The investigators came upon these files in the triage process, which was designed to quickly identify evidence of interception and voyeurism. The military judge rejected “the submissions to the effect that the investigators continued to look into files they had no authority to look at under the terms of the warrant” (para. 25). He further noted that “any device that was assessed to contain potential child pornography and sexual assault files [was] set aside for seizure and further analysis back in Canada” (para. 25). Moreover, there was no need to closely examine the files to ascertain their incriminating nature — in contrast to the documents in </w:t>
      </w:r>
      <w:r w:rsidRPr="00A16566">
        <w:rPr>
          <w:rFonts w:cs="Times New Roman"/>
          <w:i/>
        </w:rPr>
        <w:t>Law</w:t>
      </w:r>
      <w:r w:rsidRPr="00A16566">
        <w:rPr>
          <w:rFonts w:cs="Times New Roman"/>
        </w:rPr>
        <w:t>, which were not facially unlawful. I thus conclude that the impugned evidence was in plain view and that its seizure during the triage process did not violate s. 8, either as part of a search carried out unreasonably or as an unreasonable seizure.</w:t>
      </w:r>
    </w:p>
    <w:p w14:paraId="79593E56" w14:textId="77777777" w:rsidR="00A16566" w:rsidRPr="00A16566" w:rsidRDefault="00A16566" w:rsidP="00A16566">
      <w:pPr>
        <w:pStyle w:val="ParaNoNdepar-AltN"/>
        <w:rPr>
          <w:rFonts w:cs="Times New Roman"/>
        </w:rPr>
      </w:pPr>
      <w:r w:rsidRPr="00A16566">
        <w:rPr>
          <w:rFonts w:cs="Times New Roman"/>
        </w:rPr>
        <w:t xml:space="preserve">With respect for the contrary view of my colleagues </w:t>
      </w:r>
      <w:proofErr w:type="spellStart"/>
      <w:r w:rsidRPr="00A16566">
        <w:rPr>
          <w:rFonts w:cs="Times New Roman"/>
        </w:rPr>
        <w:t>Karakatsanis</w:t>
      </w:r>
      <w:proofErr w:type="spellEnd"/>
      <w:r w:rsidRPr="00A16566">
        <w:rPr>
          <w:rFonts w:cs="Times New Roman"/>
        </w:rPr>
        <w:t xml:space="preserve"> and Martin </w:t>
      </w:r>
      <w:proofErr w:type="spellStart"/>
      <w:r w:rsidRPr="00A16566">
        <w:rPr>
          <w:rFonts w:cs="Times New Roman"/>
        </w:rPr>
        <w:t>JJ</w:t>
      </w:r>
      <w:proofErr w:type="spellEnd"/>
      <w:r w:rsidRPr="00A16566">
        <w:rPr>
          <w:rFonts w:cs="Times New Roman"/>
        </w:rPr>
        <w:t xml:space="preserve">., I believe that the application of the plain view doctrine is necessary in this case. I do not see on what basis the police could justify seizing either the devices containing, or the actual data constituting, the sexual assault evidence without resort to this doctrine. I agree that the devices were searched pursuant to the Virginia warrant, but that warrant did not authorize the seizure of evidence of sexual assault. After all, it had been issued to search for and seize evidence of voyeurism. A warrant in and of itself is not authority to search for or seize anything which might afford evidence of any offence whatsoever; the plain view doctrine and/or s. 489 of the </w:t>
      </w:r>
      <w:r w:rsidRPr="00A16566">
        <w:rPr>
          <w:rFonts w:cs="Times New Roman"/>
          <w:i/>
        </w:rPr>
        <w:t>Criminal Code</w:t>
      </w:r>
      <w:r w:rsidRPr="00A16566">
        <w:rPr>
          <w:rFonts w:cs="Times New Roman"/>
        </w:rPr>
        <w:t xml:space="preserve"> could authorize such seizures, but only if their requirements are met. Therefore, to be clear, I disagree with my colleagues </w:t>
      </w:r>
      <w:proofErr w:type="spellStart"/>
      <w:r w:rsidRPr="00A16566">
        <w:rPr>
          <w:rFonts w:cs="Times New Roman"/>
        </w:rPr>
        <w:t>Karakatsanis</w:t>
      </w:r>
      <w:proofErr w:type="spellEnd"/>
      <w:r w:rsidRPr="00A16566">
        <w:rPr>
          <w:rFonts w:cs="Times New Roman"/>
        </w:rPr>
        <w:t xml:space="preserve"> and Martin </w:t>
      </w:r>
      <w:proofErr w:type="spellStart"/>
      <w:r w:rsidRPr="00A16566">
        <w:rPr>
          <w:rFonts w:cs="Times New Roman"/>
        </w:rPr>
        <w:t>JJ</w:t>
      </w:r>
      <w:proofErr w:type="spellEnd"/>
      <w:r w:rsidRPr="00A16566">
        <w:rPr>
          <w:rFonts w:cs="Times New Roman"/>
        </w:rPr>
        <w:t>., and I see no need to discuss further their reasons on this issue.</w:t>
      </w:r>
    </w:p>
    <w:p w14:paraId="6FB961E0"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In sum, the </w:t>
      </w:r>
      <w:proofErr w:type="spellStart"/>
      <w:r w:rsidRPr="00A16566">
        <w:rPr>
          <w:rFonts w:cs="Times New Roman"/>
        </w:rPr>
        <w:t>CFNIS</w:t>
      </w:r>
      <w:proofErr w:type="spellEnd"/>
      <w:r w:rsidRPr="00A16566">
        <w:rPr>
          <w:rFonts w:cs="Times New Roman"/>
        </w:rPr>
        <w:t xml:space="preserve"> demonstrably observed the requirements of the </w:t>
      </w:r>
      <w:r w:rsidRPr="00A16566">
        <w:rPr>
          <w:rFonts w:cs="Times New Roman"/>
          <w:i/>
        </w:rPr>
        <w:t>Charter</w:t>
      </w:r>
      <w:r w:rsidRPr="00A16566">
        <w:rPr>
          <w:rFonts w:cs="Times New Roman"/>
        </w:rPr>
        <w:t xml:space="preserve">. The investigators discovered the incriminating evidence in the execution of a digital search expressly authorized by a valid warrant. The evidence of sexual assault, although not contemplated in the original warrant, fell squarely within the purview of the plain view doctrine. The </w:t>
      </w:r>
      <w:proofErr w:type="spellStart"/>
      <w:r w:rsidRPr="00A16566">
        <w:rPr>
          <w:rFonts w:cs="Times New Roman"/>
        </w:rPr>
        <w:t>CFNIS</w:t>
      </w:r>
      <w:proofErr w:type="spellEnd"/>
      <w:r w:rsidRPr="00A16566">
        <w:rPr>
          <w:rFonts w:cs="Times New Roman"/>
        </w:rPr>
        <w:t xml:space="preserve"> seized the evidence in accordance with that doctrine and subsequently obtained Canadian warrants before conducting an in</w:t>
      </w:r>
      <w:r w:rsidRPr="00A16566">
        <w:rPr>
          <w:rFonts w:cs="Times New Roman"/>
        </w:rPr>
        <w:noBreakHyphen/>
        <w:t xml:space="preserve">depth analysis of the files in issue. Even on Cpl. McGregor’s view of the law, it is difficult to see how the </w:t>
      </w:r>
      <w:proofErr w:type="spellStart"/>
      <w:r w:rsidRPr="00A16566">
        <w:rPr>
          <w:rFonts w:cs="Times New Roman"/>
        </w:rPr>
        <w:t>CFNIS</w:t>
      </w:r>
      <w:proofErr w:type="spellEnd"/>
      <w:r w:rsidRPr="00A16566">
        <w:rPr>
          <w:rFonts w:cs="Times New Roman"/>
        </w:rPr>
        <w:t xml:space="preserve"> could have more fully complied with the </w:t>
      </w:r>
      <w:r w:rsidRPr="00A16566">
        <w:rPr>
          <w:rFonts w:cs="Times New Roman"/>
          <w:i/>
        </w:rPr>
        <w:t>Charter</w:t>
      </w:r>
      <w:r w:rsidRPr="00A16566">
        <w:rPr>
          <w:rFonts w:cs="Times New Roman"/>
        </w:rPr>
        <w:t xml:space="preserve">. In light of my conclusion that the investigative process was consistent with s. 8 of the </w:t>
      </w:r>
      <w:r w:rsidRPr="00A16566">
        <w:rPr>
          <w:rFonts w:cs="Times New Roman"/>
          <w:i/>
        </w:rPr>
        <w:t>Charter</w:t>
      </w:r>
      <w:r w:rsidRPr="00A16566">
        <w:rPr>
          <w:rFonts w:cs="Times New Roman"/>
        </w:rPr>
        <w:t>, it is unnecessary to address Cpl. McGregor’s argument that the evidence should be excluded under s. 24(2).</w:t>
      </w:r>
    </w:p>
    <w:p w14:paraId="35ECB94C" w14:textId="77777777" w:rsidR="00A16566" w:rsidRPr="00A16566" w:rsidRDefault="00A16566" w:rsidP="00A16566">
      <w:pPr>
        <w:pStyle w:val="Title1LevelTitre1Niveau-AltL"/>
        <w:numPr>
          <w:ilvl w:val="0"/>
          <w:numId w:val="8"/>
        </w:numPr>
        <w:rPr>
          <w:rFonts w:cs="Times New Roman"/>
        </w:rPr>
      </w:pPr>
      <w:r w:rsidRPr="00A16566">
        <w:rPr>
          <w:rFonts w:cs="Times New Roman"/>
        </w:rPr>
        <w:t>Conclusion</w:t>
      </w:r>
    </w:p>
    <w:p w14:paraId="558D7A3D" w14:textId="77777777" w:rsidR="00A16566" w:rsidRPr="00A16566" w:rsidRDefault="00A16566" w:rsidP="00A16566">
      <w:pPr>
        <w:pStyle w:val="ParaNoNdepar-AltN"/>
        <w:rPr>
          <w:rFonts w:cs="Times New Roman"/>
        </w:rPr>
      </w:pPr>
      <w:r w:rsidRPr="00A16566">
        <w:rPr>
          <w:rFonts w:cs="Times New Roman"/>
        </w:rPr>
        <w:t>For these reasons, I would dismiss the appeal and affirm Cpl. McGregor’s convictions.</w:t>
      </w:r>
    </w:p>
    <w:p w14:paraId="6ACBDF9E" w14:textId="77777777" w:rsidR="00A16566" w:rsidRPr="00A16566" w:rsidRDefault="00A16566" w:rsidP="00A16566">
      <w:pPr>
        <w:tabs>
          <w:tab w:val="left" w:pos="1134"/>
        </w:tabs>
        <w:jc w:val="both"/>
      </w:pPr>
      <w:r w:rsidRPr="00342E50">
        <w:rPr>
          <w:lang w:val="en-US"/>
        </w:rPr>
        <w:tab/>
      </w:r>
      <w:r w:rsidRPr="00A16566">
        <w:t>The following are the reasons delivered by</w:t>
      </w:r>
    </w:p>
    <w:p w14:paraId="2A4EACC8" w14:textId="77777777" w:rsidR="00A16566" w:rsidRPr="00A16566" w:rsidRDefault="00A16566" w:rsidP="00A16566">
      <w:pPr>
        <w:jc w:val="both"/>
      </w:pPr>
    </w:p>
    <w:p w14:paraId="35DFCCC1" w14:textId="77777777" w:rsidR="00A16566" w:rsidRPr="00A16566" w:rsidRDefault="00A16566" w:rsidP="00A16566">
      <w:pPr>
        <w:pStyle w:val="JudgeJuge"/>
        <w:tabs>
          <w:tab w:val="clear" w:pos="1260"/>
          <w:tab w:val="left" w:pos="1134"/>
        </w:tabs>
      </w:pPr>
      <w:r w:rsidRPr="00A16566">
        <w:tab/>
      </w:r>
      <w:proofErr w:type="spellStart"/>
      <w:r w:rsidRPr="00A16566">
        <w:t>Karakatsanis</w:t>
      </w:r>
      <w:proofErr w:type="spellEnd"/>
      <w:r w:rsidRPr="00A16566">
        <w:t xml:space="preserve"> and Martin </w:t>
      </w:r>
      <w:proofErr w:type="spellStart"/>
      <w:r w:rsidRPr="00A16566">
        <w:t>JJ</w:t>
      </w:r>
      <w:proofErr w:type="spellEnd"/>
      <w:r w:rsidRPr="00A16566">
        <w:t xml:space="preserve">. — </w:t>
      </w:r>
    </w:p>
    <w:p w14:paraId="65BEDD28" w14:textId="77777777" w:rsidR="00A16566" w:rsidRPr="00A16566" w:rsidRDefault="00A16566" w:rsidP="00A16566">
      <w:pPr>
        <w:pStyle w:val="Title1LevelTitre1Niveau-AltL"/>
        <w:numPr>
          <w:ilvl w:val="0"/>
          <w:numId w:val="28"/>
        </w:numPr>
        <w:jc w:val="both"/>
        <w:rPr>
          <w:rFonts w:cs="Times New Roman"/>
          <w:lang w:val="en-US"/>
        </w:rPr>
      </w:pPr>
      <w:bookmarkStart w:id="1" w:name="_Toc115350137"/>
      <w:r w:rsidRPr="00A16566">
        <w:rPr>
          <w:rFonts w:cs="Times New Roman"/>
          <w:lang w:val="en-US"/>
        </w:rPr>
        <w:t>Overview</w:t>
      </w:r>
      <w:bookmarkEnd w:id="1"/>
    </w:p>
    <w:p w14:paraId="66372796" w14:textId="77777777" w:rsidR="00A16566" w:rsidRPr="00A16566" w:rsidRDefault="00A16566" w:rsidP="00A16566">
      <w:pPr>
        <w:pStyle w:val="ParaNoNdepar-AltN"/>
        <w:rPr>
          <w:rFonts w:cs="Times New Roman"/>
          <w:lang w:val="en-US"/>
        </w:rPr>
      </w:pPr>
      <w:r w:rsidRPr="00A16566">
        <w:rPr>
          <w:rFonts w:cs="Times New Roman"/>
          <w:lang w:val="en-US"/>
        </w:rPr>
        <w:t xml:space="preserve">In this case a member of the Canadian Armed Forces facing trial in a Canadian court seeks to invoke the protections of the </w:t>
      </w:r>
      <w:r w:rsidRPr="00A16566">
        <w:rPr>
          <w:rFonts w:cs="Times New Roman"/>
          <w:i/>
          <w:lang w:val="en-US"/>
        </w:rPr>
        <w:t>Canadian</w:t>
      </w:r>
      <w:r w:rsidRPr="00A16566">
        <w:rPr>
          <w:rFonts w:cs="Times New Roman"/>
          <w:lang w:val="en-US"/>
        </w:rPr>
        <w:t xml:space="preserve"> </w:t>
      </w:r>
      <w:r w:rsidRPr="00A16566">
        <w:rPr>
          <w:rFonts w:cs="Times New Roman"/>
          <w:i/>
          <w:lang w:val="en-US"/>
        </w:rPr>
        <w:t>Charter of Rights and Freedoms</w:t>
      </w:r>
      <w:r w:rsidRPr="00A16566">
        <w:rPr>
          <w:rFonts w:cs="Times New Roman"/>
          <w:lang w:val="en-US"/>
        </w:rPr>
        <w:t xml:space="preserve"> against actions taken by Canadian officials abroad. Corporal McGregor asks to exclude the contents of certain electronic devices seized from his home by Canadian and American officials in the State of Virginia. He argues that s. 8 of the </w:t>
      </w:r>
      <w:r w:rsidRPr="00A16566">
        <w:rPr>
          <w:rFonts w:cs="Times New Roman"/>
          <w:i/>
          <w:lang w:val="en-US"/>
        </w:rPr>
        <w:t xml:space="preserve">Charter </w:t>
      </w:r>
      <w:r w:rsidRPr="00A16566">
        <w:rPr>
          <w:rFonts w:cs="Times New Roman"/>
          <w:lang w:val="en-US"/>
        </w:rPr>
        <w:t xml:space="preserve">applies and his </w:t>
      </w:r>
      <w:r w:rsidRPr="00A16566">
        <w:rPr>
          <w:rFonts w:cs="Times New Roman"/>
          <w:i/>
          <w:lang w:val="en-US"/>
        </w:rPr>
        <w:t>Charter</w:t>
      </w:r>
      <w:r w:rsidRPr="00A16566">
        <w:rPr>
          <w:rFonts w:cs="Times New Roman"/>
          <w:lang w:val="en-US"/>
        </w:rPr>
        <w:t xml:space="preserve"> rights were breached because under Canadian law a further warrant was required to search his devices.</w:t>
      </w:r>
    </w:p>
    <w:p w14:paraId="6CF6A072" w14:textId="77777777" w:rsidR="00A16566" w:rsidRPr="00A16566" w:rsidRDefault="00A16566" w:rsidP="00A16566">
      <w:pPr>
        <w:pStyle w:val="ParaNoNdepar-AltN"/>
        <w:rPr>
          <w:rFonts w:cs="Times New Roman"/>
          <w:lang w:val="en-US"/>
        </w:rPr>
      </w:pPr>
      <w:r w:rsidRPr="00A16566">
        <w:rPr>
          <w:rFonts w:cs="Times New Roman"/>
          <w:lang w:val="en-US"/>
        </w:rPr>
        <w:t xml:space="preserve">While we agree that the appeal should be dismissed, we also comment on the central question directly at issue in this appeal: does the </w:t>
      </w:r>
      <w:r w:rsidRPr="00A16566">
        <w:rPr>
          <w:rFonts w:cs="Times New Roman"/>
          <w:i/>
          <w:lang w:val="en-US"/>
        </w:rPr>
        <w:t>Charter</w:t>
      </w:r>
      <w:r w:rsidRPr="00A16566">
        <w:rPr>
          <w:rFonts w:cs="Times New Roman"/>
          <w:lang w:val="en-US"/>
        </w:rPr>
        <w:t xml:space="preserve"> apply,</w:t>
      </w:r>
      <w:r w:rsidRPr="00A16566">
        <w:rPr>
          <w:rFonts w:cs="Times New Roman"/>
        </w:rPr>
        <w:t xml:space="preserve"> pursuant to s. 32,</w:t>
      </w:r>
      <w:r w:rsidRPr="00A16566">
        <w:rPr>
          <w:rFonts w:cs="Times New Roman"/>
          <w:lang w:val="en-US"/>
        </w:rPr>
        <w:t xml:space="preserve"> to Canadian authorities’ investigative actions abroad in these circumstances? This was clearly the primary and threshold issue argued by the parties and multiple interveners, it was the reason leave to appeal was sought, and we received full submissions on both constitutional and international law. The extraterritorial application of the </w:t>
      </w:r>
      <w:r w:rsidRPr="00A16566">
        <w:rPr>
          <w:rFonts w:cs="Times New Roman"/>
          <w:i/>
          <w:lang w:val="en-US"/>
        </w:rPr>
        <w:t>Charter</w:t>
      </w:r>
      <w:r w:rsidRPr="00A16566">
        <w:rPr>
          <w:rFonts w:cs="Times New Roman"/>
          <w:lang w:val="en-US"/>
        </w:rPr>
        <w:t xml:space="preserve"> is squarely before the Court and it is an issue that arises infrequently, may easily escape judicial review, and has been subject to significant and sustained criticism by experts in international law.  </w:t>
      </w:r>
    </w:p>
    <w:p w14:paraId="4C763863" w14:textId="77777777" w:rsidR="00A16566" w:rsidRPr="00A16566" w:rsidRDefault="00A16566" w:rsidP="00A16566">
      <w:pPr>
        <w:pStyle w:val="ParaNoNdepar-AltN"/>
        <w:rPr>
          <w:rFonts w:cs="Times New Roman"/>
          <w:lang w:val="en-US"/>
        </w:rPr>
      </w:pPr>
      <w:r w:rsidRPr="00A16566">
        <w:rPr>
          <w:rFonts w:cs="Times New Roman"/>
        </w:rPr>
        <w:t xml:space="preserve">While the extraterritoriality of the </w:t>
      </w:r>
      <w:r w:rsidRPr="00A16566">
        <w:rPr>
          <w:rFonts w:cs="Times New Roman"/>
          <w:i/>
        </w:rPr>
        <w:t>Charter</w:t>
      </w:r>
      <w:r w:rsidRPr="00A16566">
        <w:rPr>
          <w:rFonts w:cs="Times New Roman"/>
        </w:rPr>
        <w:t xml:space="preserve"> may arise in many different types of situations, we comment only on the particular question before us: that is, whether the </w:t>
      </w:r>
      <w:r w:rsidRPr="00A16566">
        <w:rPr>
          <w:rFonts w:cs="Times New Roman"/>
          <w:i/>
        </w:rPr>
        <w:t xml:space="preserve">Charter </w:t>
      </w:r>
      <w:r w:rsidRPr="00A16566">
        <w:rPr>
          <w:rFonts w:cs="Times New Roman"/>
        </w:rPr>
        <w:t>applies for those people</w:t>
      </w:r>
      <w:r w:rsidRPr="00A16566">
        <w:rPr>
          <w:rFonts w:cs="Times New Roman"/>
          <w:lang w:val="en-US"/>
        </w:rPr>
        <w:t xml:space="preserve"> subject to Canadian criminal law for acts committed abroad — whether by virtue of military service or otherwise — and for Canadian officials whose investigations of offences transcend Canada’s borders.</w:t>
      </w:r>
    </w:p>
    <w:p w14:paraId="6E5E1B48" w14:textId="77777777" w:rsidR="00A16566" w:rsidRPr="00A16566" w:rsidRDefault="00A16566" w:rsidP="00A16566">
      <w:pPr>
        <w:pStyle w:val="ParaNoNdepar-AltN"/>
        <w:rPr>
          <w:rFonts w:cs="Times New Roman"/>
        </w:rPr>
      </w:pPr>
      <w:r w:rsidRPr="00A16566">
        <w:rPr>
          <w:rFonts w:cs="Times New Roman"/>
          <w:lang w:val="en-US"/>
        </w:rPr>
        <w:t xml:space="preserve">We begin by interpreting s. 32(1) of the </w:t>
      </w:r>
      <w:r w:rsidRPr="00A16566">
        <w:rPr>
          <w:rFonts w:cs="Times New Roman"/>
          <w:i/>
          <w:lang w:val="en-US"/>
        </w:rPr>
        <w:t xml:space="preserve">Charter </w:t>
      </w:r>
      <w:r w:rsidRPr="00A16566">
        <w:rPr>
          <w:rFonts w:cs="Times New Roman"/>
          <w:lang w:val="en-US"/>
        </w:rPr>
        <w:t xml:space="preserve">and conclude </w:t>
      </w:r>
      <w:r w:rsidRPr="00A16566">
        <w:rPr>
          <w:rFonts w:cs="Times New Roman"/>
        </w:rPr>
        <w:t xml:space="preserve">that the required purposive reading supports the conclusion </w:t>
      </w:r>
      <w:r w:rsidRPr="00A16566">
        <w:rPr>
          <w:rFonts w:cs="Times New Roman"/>
          <w:lang w:val="en-US"/>
        </w:rPr>
        <w:t xml:space="preserve">that the </w:t>
      </w:r>
      <w:r w:rsidRPr="00A16566">
        <w:rPr>
          <w:rFonts w:cs="Times New Roman"/>
          <w:i/>
          <w:lang w:val="en-US"/>
        </w:rPr>
        <w:t>Charter</w:t>
      </w:r>
      <w:r w:rsidRPr="00A16566">
        <w:rPr>
          <w:rFonts w:cs="Times New Roman"/>
          <w:lang w:val="en-US"/>
        </w:rPr>
        <w:t xml:space="preserve"> applies extraterritorially to the conduct of Canadian Forces National Investigation Service (“</w:t>
      </w:r>
      <w:proofErr w:type="spellStart"/>
      <w:r w:rsidRPr="00A16566">
        <w:rPr>
          <w:rFonts w:cs="Times New Roman"/>
          <w:lang w:val="en-US"/>
        </w:rPr>
        <w:t>CFNIS</w:t>
      </w:r>
      <w:proofErr w:type="spellEnd"/>
      <w:r w:rsidRPr="00A16566">
        <w:rPr>
          <w:rFonts w:cs="Times New Roman"/>
          <w:lang w:val="en-US"/>
        </w:rPr>
        <w:t xml:space="preserve">”) officials while fulfilling their investigative duties in a foreign state and that a Canadian court may assess that conduct for </w:t>
      </w:r>
      <w:r w:rsidRPr="00A16566">
        <w:rPr>
          <w:rFonts w:cs="Times New Roman"/>
          <w:i/>
          <w:lang w:val="en-US"/>
        </w:rPr>
        <w:t>Charter</w:t>
      </w:r>
      <w:r w:rsidRPr="00A16566">
        <w:rPr>
          <w:rFonts w:cs="Times New Roman"/>
          <w:lang w:val="en-US"/>
        </w:rPr>
        <w:t xml:space="preserve">-compliance. This was also the reading of s. 32 endorsed by the majority in </w:t>
      </w:r>
      <w:r w:rsidRPr="00A16566">
        <w:rPr>
          <w:rFonts w:cs="Times New Roman"/>
          <w:i/>
          <w:lang w:val="en-US"/>
        </w:rPr>
        <w:t xml:space="preserve">R. v. </w:t>
      </w:r>
      <w:proofErr w:type="spellStart"/>
      <w:r w:rsidRPr="00A16566">
        <w:rPr>
          <w:rFonts w:cs="Times New Roman"/>
          <w:i/>
          <w:lang w:val="en-US"/>
        </w:rPr>
        <w:t>Hape</w:t>
      </w:r>
      <w:proofErr w:type="spellEnd"/>
      <w:r w:rsidRPr="00A16566">
        <w:rPr>
          <w:rFonts w:cs="Times New Roman"/>
          <w:lang w:val="en-US"/>
        </w:rPr>
        <w:t xml:space="preserve">, 2007 SCC 26, [2007] 2 </w:t>
      </w:r>
      <w:proofErr w:type="spellStart"/>
      <w:r w:rsidRPr="00A16566">
        <w:rPr>
          <w:rFonts w:cs="Times New Roman"/>
          <w:lang w:val="en-US"/>
        </w:rPr>
        <w:t>S.C.R</w:t>
      </w:r>
      <w:proofErr w:type="spellEnd"/>
      <w:r w:rsidRPr="00A16566">
        <w:rPr>
          <w:rFonts w:cs="Times New Roman"/>
          <w:lang w:val="en-US"/>
        </w:rPr>
        <w:t xml:space="preserve">. 292. However, they were further of the view that </w:t>
      </w:r>
      <w:r w:rsidRPr="00A16566">
        <w:rPr>
          <w:rFonts w:cs="Times New Roman"/>
        </w:rPr>
        <w:t xml:space="preserve">international law principles of jurisdiction required a more restrictive reading of s. 32. We say that this restrictive reading is ripe for reconsideration as </w:t>
      </w:r>
      <w:proofErr w:type="spellStart"/>
      <w:r w:rsidRPr="00A16566">
        <w:rPr>
          <w:rFonts w:cs="Times New Roman"/>
          <w:i/>
          <w:lang w:val="en-US"/>
        </w:rPr>
        <w:t>Hape</w:t>
      </w:r>
      <w:proofErr w:type="spellEnd"/>
      <w:r w:rsidRPr="00A16566">
        <w:rPr>
          <w:rFonts w:cs="Times New Roman"/>
          <w:lang w:val="en-US"/>
        </w:rPr>
        <w:t xml:space="preserve"> departed from and overruled previous authority without full argument on international law principles. Further, according to scholars in the field, </w:t>
      </w:r>
      <w:proofErr w:type="spellStart"/>
      <w:r w:rsidRPr="00A16566">
        <w:rPr>
          <w:rFonts w:cs="Times New Roman"/>
          <w:i/>
          <w:lang w:val="en-US"/>
        </w:rPr>
        <w:t>Hape</w:t>
      </w:r>
      <w:proofErr w:type="spellEnd"/>
      <w:r w:rsidRPr="00A16566">
        <w:rPr>
          <w:rFonts w:cs="Times New Roman"/>
          <w:lang w:val="en-US"/>
        </w:rPr>
        <w:t xml:space="preserve"> misapplied certain key principles of international law in reaching the conclusions it did. While we agree as a matter of error correction that the result is the same whether or not the </w:t>
      </w:r>
      <w:r w:rsidRPr="00A16566">
        <w:rPr>
          <w:rFonts w:cs="Times New Roman"/>
          <w:i/>
          <w:lang w:val="en-US"/>
        </w:rPr>
        <w:t>Charter</w:t>
      </w:r>
      <w:r w:rsidRPr="00A16566">
        <w:rPr>
          <w:rFonts w:cs="Times New Roman"/>
          <w:lang w:val="en-US"/>
        </w:rPr>
        <w:t xml:space="preserve"> applies, the application of the </w:t>
      </w:r>
      <w:r w:rsidRPr="00A16566">
        <w:rPr>
          <w:rFonts w:cs="Times New Roman"/>
          <w:i/>
          <w:lang w:val="en-US"/>
        </w:rPr>
        <w:t xml:space="preserve">Charter </w:t>
      </w:r>
      <w:r w:rsidRPr="00A16566">
        <w:rPr>
          <w:rFonts w:cs="Times New Roman"/>
          <w:lang w:val="en-US"/>
        </w:rPr>
        <w:t xml:space="preserve">to Canadian officials investigating Canadians abroad is a pressing issue squarely raised in this appeal. While there are significant questions about the correctness of </w:t>
      </w:r>
      <w:proofErr w:type="spellStart"/>
      <w:r w:rsidRPr="00A16566">
        <w:rPr>
          <w:rFonts w:cs="Times New Roman"/>
          <w:i/>
          <w:lang w:val="en-US"/>
        </w:rPr>
        <w:t>Hape</w:t>
      </w:r>
      <w:r w:rsidRPr="00A16566">
        <w:rPr>
          <w:rFonts w:cs="Times New Roman"/>
          <w:lang w:val="en-US"/>
        </w:rPr>
        <w:t>’s</w:t>
      </w:r>
      <w:proofErr w:type="spellEnd"/>
      <w:r w:rsidRPr="00A16566">
        <w:rPr>
          <w:rFonts w:cs="Times New Roman"/>
          <w:lang w:val="en-US"/>
        </w:rPr>
        <w:t xml:space="preserve"> conclusion that the </w:t>
      </w:r>
      <w:r w:rsidRPr="00A16566">
        <w:rPr>
          <w:rFonts w:cs="Times New Roman"/>
          <w:i/>
          <w:lang w:val="en-US"/>
        </w:rPr>
        <w:t xml:space="preserve">Charter </w:t>
      </w:r>
      <w:r w:rsidRPr="00A16566">
        <w:rPr>
          <w:rFonts w:cs="Times New Roman"/>
          <w:lang w:val="en-US"/>
        </w:rPr>
        <w:t xml:space="preserve">does not apply to such investigative action, given the majority’s conclusion, we leave the determination of whether </w:t>
      </w:r>
      <w:proofErr w:type="spellStart"/>
      <w:r w:rsidRPr="00A16566">
        <w:rPr>
          <w:rFonts w:cs="Times New Roman"/>
          <w:i/>
          <w:lang w:val="en-US"/>
        </w:rPr>
        <w:t>Hape</w:t>
      </w:r>
      <w:proofErr w:type="spellEnd"/>
      <w:r w:rsidRPr="00A16566">
        <w:rPr>
          <w:rFonts w:cs="Times New Roman"/>
          <w:lang w:val="en-US"/>
        </w:rPr>
        <w:t xml:space="preserve"> was wrongly decided to another day.</w:t>
      </w:r>
    </w:p>
    <w:p w14:paraId="2B4999E2" w14:textId="77777777" w:rsidR="00A16566" w:rsidRPr="00A16566" w:rsidRDefault="00A16566" w:rsidP="00A16566">
      <w:pPr>
        <w:pStyle w:val="Title1LevelTitre1Niveau-AltL"/>
        <w:jc w:val="both"/>
        <w:rPr>
          <w:rFonts w:cs="Times New Roman"/>
          <w:lang w:val="en-US"/>
        </w:rPr>
      </w:pPr>
      <w:bookmarkStart w:id="2" w:name="_Toc115350138"/>
      <w:r w:rsidRPr="00A16566">
        <w:rPr>
          <w:rFonts w:cs="Times New Roman"/>
          <w:lang w:val="en-US"/>
        </w:rPr>
        <w:t xml:space="preserve">Interpretation of Section 32(1) of the </w:t>
      </w:r>
      <w:r w:rsidRPr="00A16566">
        <w:rPr>
          <w:rFonts w:cs="Times New Roman"/>
          <w:i/>
          <w:lang w:val="en-US"/>
        </w:rPr>
        <w:t>Charter</w:t>
      </w:r>
      <w:bookmarkEnd w:id="2"/>
    </w:p>
    <w:p w14:paraId="41A14F57" w14:textId="77777777" w:rsidR="00A16566" w:rsidRPr="00A16566" w:rsidRDefault="00A16566" w:rsidP="00A16566">
      <w:pPr>
        <w:pStyle w:val="ParaNoNdepar-AltN"/>
        <w:rPr>
          <w:rFonts w:cs="Times New Roman"/>
          <w:lang w:val="en-US"/>
        </w:rPr>
      </w:pPr>
      <w:r w:rsidRPr="00A16566">
        <w:rPr>
          <w:rFonts w:cs="Times New Roman"/>
          <w:lang w:val="en-US"/>
        </w:rPr>
        <w:t xml:space="preserve">It is well established that the interpretation of the </w:t>
      </w:r>
      <w:r w:rsidRPr="00A16566">
        <w:rPr>
          <w:rFonts w:cs="Times New Roman"/>
          <w:i/>
          <w:lang w:val="en-US"/>
        </w:rPr>
        <w:t>Charter</w:t>
      </w:r>
      <w:r w:rsidRPr="00A16566">
        <w:rPr>
          <w:rFonts w:cs="Times New Roman"/>
          <w:lang w:val="en-US"/>
        </w:rPr>
        <w:t xml:space="preserve"> should be purposive, generous, and aimed at securing for individuals the full benefit of the </w:t>
      </w:r>
      <w:r w:rsidRPr="00A16566">
        <w:rPr>
          <w:rFonts w:cs="Times New Roman"/>
          <w:i/>
          <w:lang w:val="en-US"/>
        </w:rPr>
        <w:t>Charter</w:t>
      </w:r>
      <w:r w:rsidRPr="00A16566">
        <w:rPr>
          <w:rFonts w:cs="Times New Roman"/>
          <w:lang w:val="en-US"/>
        </w:rPr>
        <w:t>’s protections (</w:t>
      </w:r>
      <w:r w:rsidRPr="00A16566">
        <w:rPr>
          <w:rFonts w:cs="Times New Roman"/>
          <w:i/>
          <w:lang w:val="en-US"/>
        </w:rPr>
        <w:t>R. v. Big M Drug Mart Ltd.</w:t>
      </w:r>
      <w:r w:rsidRPr="00A16566">
        <w:rPr>
          <w:rFonts w:cs="Times New Roman"/>
          <w:lang w:val="en-US"/>
        </w:rPr>
        <w:t xml:space="preserve">, [1985] 1 </w:t>
      </w:r>
      <w:proofErr w:type="spellStart"/>
      <w:r w:rsidRPr="00A16566">
        <w:rPr>
          <w:rFonts w:cs="Times New Roman"/>
          <w:lang w:val="en-US"/>
        </w:rPr>
        <w:t>S.C.R</w:t>
      </w:r>
      <w:proofErr w:type="spellEnd"/>
      <w:r w:rsidRPr="00A16566">
        <w:rPr>
          <w:rFonts w:cs="Times New Roman"/>
          <w:lang w:val="en-US"/>
        </w:rPr>
        <w:t xml:space="preserve">. 295, at p. 344; </w:t>
      </w:r>
      <w:r w:rsidRPr="00A16566">
        <w:rPr>
          <w:rFonts w:cs="Times New Roman"/>
          <w:i/>
          <w:lang w:val="en-US"/>
        </w:rPr>
        <w:t xml:space="preserve">Hunter v. </w:t>
      </w:r>
      <w:proofErr w:type="spellStart"/>
      <w:r w:rsidRPr="00A16566">
        <w:rPr>
          <w:rFonts w:cs="Times New Roman"/>
          <w:i/>
          <w:lang w:val="en-US"/>
        </w:rPr>
        <w:t>Southam</w:t>
      </w:r>
      <w:proofErr w:type="spellEnd"/>
      <w:r w:rsidRPr="00A16566">
        <w:rPr>
          <w:rFonts w:cs="Times New Roman"/>
          <w:i/>
          <w:lang w:val="en-US"/>
        </w:rPr>
        <w:t xml:space="preserve"> Inc.</w:t>
      </w:r>
      <w:r w:rsidRPr="00A16566">
        <w:rPr>
          <w:rFonts w:cs="Times New Roman"/>
          <w:lang w:val="en-US"/>
        </w:rPr>
        <w:t xml:space="preserve">, [1984] 2 </w:t>
      </w:r>
      <w:proofErr w:type="spellStart"/>
      <w:r w:rsidRPr="00A16566">
        <w:rPr>
          <w:rFonts w:cs="Times New Roman"/>
          <w:lang w:val="en-US"/>
        </w:rPr>
        <w:t>S.C.R</w:t>
      </w:r>
      <w:proofErr w:type="spellEnd"/>
      <w:r w:rsidRPr="00A16566">
        <w:rPr>
          <w:rFonts w:cs="Times New Roman"/>
          <w:lang w:val="en-US"/>
        </w:rPr>
        <w:t xml:space="preserve">. 145, at p. 156). Under this approach, the </w:t>
      </w:r>
      <w:r w:rsidRPr="00A16566">
        <w:rPr>
          <w:rFonts w:cs="Times New Roman"/>
          <w:i/>
          <w:lang w:val="en-US"/>
        </w:rPr>
        <w:t>Charter</w:t>
      </w:r>
      <w:r w:rsidRPr="00A16566">
        <w:rPr>
          <w:rFonts w:cs="Times New Roman"/>
          <w:lang w:val="en-US"/>
        </w:rPr>
        <w:t xml:space="preserve">’s text and purpose support extraterritorial application and the conclusion that the </w:t>
      </w:r>
      <w:r w:rsidRPr="00A16566">
        <w:rPr>
          <w:rFonts w:cs="Times New Roman"/>
          <w:i/>
          <w:lang w:val="en-US"/>
        </w:rPr>
        <w:t xml:space="preserve">Charter </w:t>
      </w:r>
      <w:r w:rsidRPr="00A16566">
        <w:rPr>
          <w:rFonts w:cs="Times New Roman"/>
          <w:lang w:val="en-US"/>
        </w:rPr>
        <w:t xml:space="preserve">applies to Canadian authorities conducting investigations abroad. </w:t>
      </w:r>
    </w:p>
    <w:p w14:paraId="646D8715" w14:textId="77777777" w:rsidR="00A16566" w:rsidRPr="00A16566" w:rsidRDefault="00A16566" w:rsidP="00A16566">
      <w:pPr>
        <w:pStyle w:val="ParaNoNdepar-AltN"/>
        <w:rPr>
          <w:rFonts w:cs="Times New Roman"/>
          <w:lang w:val="en-US"/>
        </w:rPr>
      </w:pPr>
      <w:r w:rsidRPr="00A16566">
        <w:rPr>
          <w:rFonts w:cs="Times New Roman"/>
          <w:lang w:val="en-US"/>
        </w:rPr>
        <w:t>Nothing in the text of s. 32 imposes or even suggests any territorial limitation. It</w:t>
      </w:r>
      <w:r w:rsidRPr="00A16566">
        <w:rPr>
          <w:rFonts w:cs="Times New Roman"/>
        </w:rPr>
        <w:t xml:space="preserve"> expressly limits to </w:t>
      </w:r>
      <w:r w:rsidRPr="00A16566">
        <w:rPr>
          <w:rFonts w:cs="Times New Roman"/>
          <w:i/>
        </w:rPr>
        <w:t>whom</w:t>
      </w:r>
      <w:r w:rsidRPr="00A16566">
        <w:rPr>
          <w:rFonts w:cs="Times New Roman"/>
        </w:rPr>
        <w:t xml:space="preserve"> the </w:t>
      </w:r>
      <w:r w:rsidRPr="00A16566">
        <w:rPr>
          <w:rFonts w:cs="Times New Roman"/>
          <w:i/>
        </w:rPr>
        <w:t>Charter</w:t>
      </w:r>
      <w:r w:rsidRPr="00A16566">
        <w:rPr>
          <w:rFonts w:cs="Times New Roman"/>
        </w:rPr>
        <w:t xml:space="preserve"> applies: the federal and provincial governments and legislatures. Section 32(1) also expressly limits to </w:t>
      </w:r>
      <w:r w:rsidRPr="00A16566">
        <w:rPr>
          <w:rFonts w:cs="Times New Roman"/>
          <w:i/>
        </w:rPr>
        <w:t>what</w:t>
      </w:r>
      <w:r w:rsidRPr="00A16566">
        <w:rPr>
          <w:rFonts w:cs="Times New Roman"/>
        </w:rPr>
        <w:t xml:space="preserve"> the </w:t>
      </w:r>
      <w:r w:rsidRPr="00A16566">
        <w:rPr>
          <w:rFonts w:cs="Times New Roman"/>
          <w:i/>
        </w:rPr>
        <w:t xml:space="preserve">Charter </w:t>
      </w:r>
      <w:r w:rsidRPr="00A16566">
        <w:rPr>
          <w:rFonts w:cs="Times New Roman"/>
        </w:rPr>
        <w:t xml:space="preserve">applies: “. . . all matters within the </w:t>
      </w:r>
      <w:proofErr w:type="gramStart"/>
      <w:r w:rsidRPr="00A16566">
        <w:rPr>
          <w:rFonts w:cs="Times New Roman"/>
        </w:rPr>
        <w:t>authority .</w:t>
      </w:r>
      <w:proofErr w:type="gramEnd"/>
      <w:r w:rsidRPr="00A16566">
        <w:rPr>
          <w:rFonts w:cs="Times New Roman"/>
        </w:rPr>
        <w:t xml:space="preserve"> . .” of Parliament and the legislatures. Importantly, s. 32(1) imposes no express limitation on </w:t>
      </w:r>
      <w:r w:rsidRPr="00A16566">
        <w:rPr>
          <w:rFonts w:cs="Times New Roman"/>
          <w:i/>
        </w:rPr>
        <w:t xml:space="preserve">where </w:t>
      </w:r>
      <w:r w:rsidRPr="00A16566">
        <w:rPr>
          <w:rFonts w:cs="Times New Roman"/>
        </w:rPr>
        <w:t xml:space="preserve">the </w:t>
      </w:r>
      <w:r w:rsidRPr="00A16566">
        <w:rPr>
          <w:rFonts w:cs="Times New Roman"/>
          <w:i/>
        </w:rPr>
        <w:t xml:space="preserve">Charter </w:t>
      </w:r>
      <w:r w:rsidRPr="00A16566">
        <w:rPr>
          <w:rFonts w:cs="Times New Roman"/>
        </w:rPr>
        <w:t>applies (</w:t>
      </w:r>
      <w:proofErr w:type="spellStart"/>
      <w:r w:rsidRPr="00A16566">
        <w:rPr>
          <w:rFonts w:cs="Times New Roman"/>
          <w:i/>
        </w:rPr>
        <w:t>Hape</w:t>
      </w:r>
      <w:proofErr w:type="spellEnd"/>
      <w:r w:rsidRPr="00A16566">
        <w:rPr>
          <w:rFonts w:cs="Times New Roman"/>
        </w:rPr>
        <w:t xml:space="preserve">, at para. 161, per </w:t>
      </w:r>
      <w:proofErr w:type="spellStart"/>
      <w:r w:rsidRPr="00A16566">
        <w:rPr>
          <w:rFonts w:cs="Times New Roman"/>
        </w:rPr>
        <w:t>Bastarache</w:t>
      </w:r>
      <w:proofErr w:type="spellEnd"/>
      <w:r w:rsidRPr="00A16566">
        <w:rPr>
          <w:rFonts w:cs="Times New Roman"/>
        </w:rPr>
        <w:t xml:space="preserve"> J.). </w:t>
      </w:r>
    </w:p>
    <w:p w14:paraId="58E41F99" w14:textId="77777777" w:rsidR="00A16566" w:rsidRPr="00A16566" w:rsidRDefault="00A16566" w:rsidP="00A16566">
      <w:pPr>
        <w:pStyle w:val="ParaNoNdepar-AltN"/>
        <w:tabs>
          <w:tab w:val="left" w:pos="3960"/>
        </w:tabs>
        <w:rPr>
          <w:rFonts w:cs="Times New Roman"/>
          <w:lang w:val="en-US"/>
        </w:rPr>
      </w:pPr>
      <w:r w:rsidRPr="00A16566">
        <w:rPr>
          <w:rFonts w:cs="Times New Roman"/>
        </w:rPr>
        <w:t xml:space="preserve">Nor can it be said that s. 32(1)’s limitation of the </w:t>
      </w:r>
      <w:r w:rsidRPr="00A16566">
        <w:rPr>
          <w:rFonts w:cs="Times New Roman"/>
          <w:i/>
        </w:rPr>
        <w:t>Charter</w:t>
      </w:r>
      <w:r w:rsidRPr="00A16566">
        <w:rPr>
          <w:rFonts w:cs="Times New Roman"/>
        </w:rPr>
        <w:t xml:space="preserve">’s scope to “all matters within the authority” of Parliament and the legislatures </w:t>
      </w:r>
      <w:r w:rsidRPr="00A16566">
        <w:rPr>
          <w:rFonts w:cs="Times New Roman"/>
          <w:lang w:val="en-US"/>
        </w:rPr>
        <w:t xml:space="preserve">implicitly imposes a territorial limit on the </w:t>
      </w:r>
      <w:r w:rsidRPr="00A16566">
        <w:rPr>
          <w:rFonts w:cs="Times New Roman"/>
          <w:i/>
          <w:lang w:val="en-US"/>
        </w:rPr>
        <w:t>Charter</w:t>
      </w:r>
      <w:r w:rsidRPr="00A16566">
        <w:rPr>
          <w:rFonts w:cs="Times New Roman"/>
          <w:lang w:val="en-US"/>
        </w:rPr>
        <w:t>’s</w:t>
      </w:r>
      <w:r w:rsidRPr="00A16566">
        <w:rPr>
          <w:rFonts w:cs="Times New Roman"/>
          <w:i/>
          <w:lang w:val="en-US"/>
        </w:rPr>
        <w:t xml:space="preserve"> </w:t>
      </w:r>
      <w:r w:rsidRPr="00A16566">
        <w:rPr>
          <w:rFonts w:cs="Times New Roman"/>
          <w:lang w:val="en-US"/>
        </w:rPr>
        <w:t>reach.</w:t>
      </w:r>
      <w:r w:rsidRPr="00A16566">
        <w:rPr>
          <w:rFonts w:cs="Times New Roman"/>
          <w:i/>
        </w:rPr>
        <w:t xml:space="preserve"> </w:t>
      </w:r>
      <w:r w:rsidRPr="00A16566">
        <w:rPr>
          <w:rFonts w:cs="Times New Roman"/>
        </w:rPr>
        <w:t>According to</w:t>
      </w:r>
      <w:r w:rsidRPr="00A16566">
        <w:rPr>
          <w:rFonts w:cs="Times New Roman"/>
          <w:i/>
        </w:rPr>
        <w:t xml:space="preserve"> </w:t>
      </w:r>
      <w:r w:rsidRPr="00A16566">
        <w:rPr>
          <w:rFonts w:cs="Times New Roman"/>
        </w:rPr>
        <w:t>Wilson J. (with whom Dickson </w:t>
      </w:r>
      <w:proofErr w:type="spellStart"/>
      <w:r w:rsidRPr="00A16566">
        <w:rPr>
          <w:rFonts w:cs="Times New Roman"/>
        </w:rPr>
        <w:t>C.J</w:t>
      </w:r>
      <w:proofErr w:type="spellEnd"/>
      <w:r w:rsidRPr="00A16566">
        <w:rPr>
          <w:rFonts w:cs="Times New Roman"/>
        </w:rPr>
        <w:t xml:space="preserve">. agreed on this point) in </w:t>
      </w:r>
      <w:r w:rsidRPr="00A16566">
        <w:rPr>
          <w:rFonts w:cs="Times New Roman"/>
          <w:i/>
          <w:iCs/>
        </w:rPr>
        <w:t>Operation Dismantle Inc. v. The Queen</w:t>
      </w:r>
      <w:r w:rsidRPr="00A16566">
        <w:rPr>
          <w:rFonts w:cs="Times New Roman"/>
        </w:rPr>
        <w:t xml:space="preserve">, [1985] 1 </w:t>
      </w:r>
      <w:proofErr w:type="spellStart"/>
      <w:r w:rsidRPr="00A16566">
        <w:rPr>
          <w:rFonts w:cs="Times New Roman"/>
        </w:rPr>
        <w:t>S.C.R</w:t>
      </w:r>
      <w:proofErr w:type="spellEnd"/>
      <w:r w:rsidRPr="00A16566">
        <w:rPr>
          <w:rFonts w:cs="Times New Roman"/>
        </w:rPr>
        <w:t xml:space="preserve">. 441, </w:t>
      </w:r>
      <w:r w:rsidRPr="00A16566">
        <w:rPr>
          <w:rFonts w:cs="Times New Roman"/>
          <w:lang w:val="en-US"/>
        </w:rPr>
        <w:t>this phrase in s. 32(1</w:t>
      </w:r>
      <w:proofErr w:type="gramStart"/>
      <w:r w:rsidRPr="00A16566">
        <w:rPr>
          <w:rFonts w:cs="Times New Roman"/>
          <w:lang w:val="en-US"/>
        </w:rPr>
        <w:t>)(</w:t>
      </w:r>
      <w:proofErr w:type="gramEnd"/>
      <w:r w:rsidRPr="00A16566">
        <w:rPr>
          <w:rFonts w:cs="Times New Roman"/>
          <w:lang w:val="en-US"/>
        </w:rPr>
        <w:t>a),</w:t>
      </w:r>
      <w:r w:rsidRPr="00A16566">
        <w:rPr>
          <w:rFonts w:cs="Times New Roman"/>
        </w:rPr>
        <w:t xml:space="preserve"> “like the corresponding words ‘within the authority of the legislature of each province’ . . ., [was] merely a reference to the division of powers in ss. 91 and 92 of the </w:t>
      </w:r>
      <w:r w:rsidRPr="00A16566">
        <w:rPr>
          <w:rFonts w:cs="Times New Roman"/>
          <w:i/>
          <w:iCs/>
        </w:rPr>
        <w:t>Constitution Act, 1867</w:t>
      </w:r>
      <w:r w:rsidRPr="00A16566">
        <w:rPr>
          <w:rFonts w:cs="Times New Roman"/>
        </w:rPr>
        <w:t>” (pp. 455 and 463</w:t>
      </w:r>
      <w:r w:rsidRPr="00A16566">
        <w:rPr>
          <w:rFonts w:cs="Times New Roman"/>
        </w:rPr>
        <w:noBreakHyphen/>
        <w:t xml:space="preserve">64). </w:t>
      </w:r>
      <w:r w:rsidRPr="00A16566">
        <w:rPr>
          <w:rFonts w:cs="Times New Roman"/>
          <w:lang w:val="en-US"/>
        </w:rPr>
        <w:t xml:space="preserve">It </w:t>
      </w:r>
      <w:r w:rsidRPr="00A16566">
        <w:rPr>
          <w:rFonts w:cs="Times New Roman"/>
        </w:rPr>
        <w:t>simply describes “the subject</w:t>
      </w:r>
      <w:r w:rsidRPr="00A16566">
        <w:rPr>
          <w:rFonts w:cs="Times New Roman"/>
        </w:rPr>
        <w:noBreakHyphen/>
        <w:t xml:space="preserve">matters in relation to which the Parliament of Canada may legislate or the government of Canada may take executive action” (p. 464). In the context of s. 32(1), therefore, those words do not imply or impose any territorial limitation to or on the </w:t>
      </w:r>
      <w:r w:rsidRPr="00A16566">
        <w:rPr>
          <w:rFonts w:cs="Times New Roman"/>
          <w:i/>
        </w:rPr>
        <w:t>Charter</w:t>
      </w:r>
      <w:r w:rsidRPr="00A16566">
        <w:rPr>
          <w:rFonts w:cs="Times New Roman"/>
        </w:rPr>
        <w:t xml:space="preserve">. To read them in that manner would not only be inconsistent with precedent </w:t>
      </w:r>
      <w:r w:rsidRPr="00A16566">
        <w:rPr>
          <w:rFonts w:cs="Times New Roman"/>
          <w:lang w:val="en-US"/>
        </w:rPr>
        <w:t xml:space="preserve">(see C. </w:t>
      </w:r>
      <w:proofErr w:type="spellStart"/>
      <w:r w:rsidRPr="00A16566">
        <w:rPr>
          <w:rFonts w:cs="Times New Roman"/>
          <w:lang w:val="en-US"/>
        </w:rPr>
        <w:t>Sethi</w:t>
      </w:r>
      <w:proofErr w:type="spellEnd"/>
      <w:r w:rsidRPr="00A16566">
        <w:rPr>
          <w:rFonts w:cs="Times New Roman"/>
          <w:lang w:val="en-US"/>
        </w:rPr>
        <w:t xml:space="preserve">, “Does the Charter Follow the Flag? Revisiting Constitutional Extraterritoriality after </w:t>
      </w:r>
      <w:r w:rsidRPr="00A16566">
        <w:rPr>
          <w:rFonts w:cs="Times New Roman"/>
          <w:i/>
          <w:lang w:val="en-US"/>
        </w:rPr>
        <w:t xml:space="preserve">R v </w:t>
      </w:r>
      <w:proofErr w:type="spellStart"/>
      <w:r w:rsidRPr="00A16566">
        <w:rPr>
          <w:rFonts w:cs="Times New Roman"/>
          <w:i/>
          <w:lang w:val="en-US"/>
        </w:rPr>
        <w:t>Hape</w:t>
      </w:r>
      <w:proofErr w:type="spellEnd"/>
      <w:r w:rsidRPr="00A16566">
        <w:rPr>
          <w:rFonts w:cs="Times New Roman"/>
          <w:lang w:val="en-US"/>
        </w:rPr>
        <w:t xml:space="preserve">” (2011), 20 </w:t>
      </w:r>
      <w:r w:rsidRPr="00A16566">
        <w:rPr>
          <w:rFonts w:cs="Times New Roman"/>
          <w:i/>
          <w:lang w:val="en-US"/>
        </w:rPr>
        <w:t>Dal. J. Leg. Stud.</w:t>
      </w:r>
      <w:r w:rsidRPr="00A16566">
        <w:rPr>
          <w:rFonts w:cs="Times New Roman"/>
          <w:lang w:val="en-US"/>
        </w:rPr>
        <w:t xml:space="preserve"> 102, at p. 113; R. J. Currie and J. </w:t>
      </w:r>
      <w:proofErr w:type="spellStart"/>
      <w:r w:rsidRPr="00A16566">
        <w:rPr>
          <w:rFonts w:cs="Times New Roman"/>
          <w:lang w:val="en-US"/>
        </w:rPr>
        <w:t>Rikhof</w:t>
      </w:r>
      <w:proofErr w:type="spellEnd"/>
      <w:r w:rsidRPr="00A16566">
        <w:rPr>
          <w:rFonts w:cs="Times New Roman"/>
          <w:lang w:val="en-US"/>
        </w:rPr>
        <w:t xml:space="preserve">, </w:t>
      </w:r>
      <w:r w:rsidRPr="00A16566">
        <w:rPr>
          <w:rFonts w:cs="Times New Roman"/>
          <w:i/>
          <w:lang w:val="en-US"/>
        </w:rPr>
        <w:t>International &amp; Transnational Criminal Law</w:t>
      </w:r>
      <w:r w:rsidRPr="00A16566">
        <w:rPr>
          <w:rFonts w:cs="Times New Roman"/>
          <w:lang w:val="en-US"/>
        </w:rPr>
        <w:t xml:space="preserve"> (3rd ed. 2020), at pp. 633-34), but would also fail to acknowledge that Canada has the constitutional authority to make laws with extraterritorial application (</w:t>
      </w:r>
      <w:r w:rsidRPr="00A16566">
        <w:rPr>
          <w:rFonts w:cs="Times New Roman"/>
          <w:i/>
          <w:lang w:val="en-US"/>
        </w:rPr>
        <w:t xml:space="preserve">Statute of Westminster, 1931 </w:t>
      </w:r>
      <w:r w:rsidRPr="00A16566">
        <w:rPr>
          <w:rFonts w:cs="Times New Roman"/>
          <w:lang w:val="en-US"/>
        </w:rPr>
        <w:t xml:space="preserve">(U.K.), 22 Geo. 5, c. 4, s. 3; </w:t>
      </w:r>
      <w:r w:rsidRPr="00A16566">
        <w:rPr>
          <w:rFonts w:cs="Times New Roman"/>
          <w:i/>
          <w:lang w:val="en-US"/>
        </w:rPr>
        <w:t xml:space="preserve">Reference re Offshore Mineral Rights </w:t>
      </w:r>
      <w:r w:rsidRPr="00A16566">
        <w:rPr>
          <w:rFonts w:cs="Times New Roman"/>
          <w:i/>
          <w:iCs/>
        </w:rPr>
        <w:t>of British Columbia</w:t>
      </w:r>
      <w:r w:rsidRPr="00A16566">
        <w:rPr>
          <w:rFonts w:cs="Times New Roman"/>
          <w:lang w:val="en-US"/>
        </w:rPr>
        <w:t xml:space="preserve">, [1967] </w:t>
      </w:r>
      <w:proofErr w:type="spellStart"/>
      <w:r w:rsidRPr="00A16566">
        <w:rPr>
          <w:rFonts w:cs="Times New Roman"/>
          <w:lang w:val="en-US"/>
        </w:rPr>
        <w:t>S.C.R</w:t>
      </w:r>
      <w:proofErr w:type="spellEnd"/>
      <w:r w:rsidRPr="00A16566">
        <w:rPr>
          <w:rFonts w:cs="Times New Roman"/>
          <w:lang w:val="en-US"/>
        </w:rPr>
        <w:t xml:space="preserve">. 792, at p. 816; </w:t>
      </w:r>
      <w:proofErr w:type="spellStart"/>
      <w:r w:rsidRPr="00A16566">
        <w:rPr>
          <w:rFonts w:cs="Times New Roman"/>
          <w:i/>
          <w:lang w:val="en-US"/>
        </w:rPr>
        <w:t>Hape</w:t>
      </w:r>
      <w:proofErr w:type="spellEnd"/>
      <w:r w:rsidRPr="00A16566">
        <w:rPr>
          <w:rFonts w:cs="Times New Roman"/>
          <w:lang w:val="en-US"/>
        </w:rPr>
        <w:t xml:space="preserve">, at paras. 66 and 68; see also </w:t>
      </w:r>
      <w:r w:rsidRPr="00A16566">
        <w:rPr>
          <w:rFonts w:cs="Times New Roman"/>
          <w:i/>
          <w:lang w:val="en-US"/>
        </w:rPr>
        <w:t>Interpretation Act</w:t>
      </w:r>
      <w:r w:rsidRPr="00A16566">
        <w:rPr>
          <w:rFonts w:cs="Times New Roman"/>
          <w:lang w:val="en-US"/>
        </w:rPr>
        <w:t xml:space="preserve">, </w:t>
      </w:r>
      <w:proofErr w:type="spellStart"/>
      <w:r w:rsidRPr="00A16566">
        <w:rPr>
          <w:rFonts w:cs="Times New Roman"/>
          <w:lang w:val="en-US"/>
        </w:rPr>
        <w:t>R.S.C</w:t>
      </w:r>
      <w:proofErr w:type="spellEnd"/>
      <w:r w:rsidRPr="00A16566">
        <w:rPr>
          <w:rFonts w:cs="Times New Roman"/>
          <w:lang w:val="en-US"/>
        </w:rPr>
        <w:t xml:space="preserve">. 1985, c. I-21, s. 8(3)). </w:t>
      </w:r>
      <w:r w:rsidRPr="00A16566">
        <w:rPr>
          <w:rFonts w:cs="Times New Roman"/>
        </w:rPr>
        <w:t xml:space="preserve"> </w:t>
      </w:r>
    </w:p>
    <w:p w14:paraId="429D0ACC" w14:textId="77777777" w:rsidR="00A16566" w:rsidRPr="00A16566" w:rsidRDefault="00A16566" w:rsidP="00A16566">
      <w:pPr>
        <w:pStyle w:val="ParaNoNdepar-AltN"/>
        <w:rPr>
          <w:rFonts w:cs="Times New Roman"/>
          <w:lang w:val="en-US"/>
        </w:rPr>
      </w:pPr>
      <w:r w:rsidRPr="00A16566">
        <w:rPr>
          <w:rFonts w:cs="Times New Roman"/>
          <w:lang w:val="en-US"/>
        </w:rPr>
        <w:t xml:space="preserve">If s. 32(1) were meant to distinguish between acts of state actors on Canadian soil or abroad, such a distinction could have easily been drawn expressly, as was done elsewhere in provisions like ss. 3, 6 and 23 of the </w:t>
      </w:r>
      <w:r w:rsidRPr="00A16566">
        <w:rPr>
          <w:rFonts w:cs="Times New Roman"/>
          <w:i/>
          <w:lang w:val="en-US"/>
        </w:rPr>
        <w:t>Charter</w:t>
      </w:r>
      <w:r w:rsidRPr="00A16566">
        <w:rPr>
          <w:rFonts w:cs="Times New Roman"/>
          <w:lang w:val="en-US"/>
        </w:rPr>
        <w:t xml:space="preserve">, which draw distinctions based on citizenship (A. </w:t>
      </w:r>
      <w:proofErr w:type="spellStart"/>
      <w:r w:rsidRPr="00A16566">
        <w:rPr>
          <w:rFonts w:cs="Times New Roman"/>
          <w:lang w:val="en-US"/>
        </w:rPr>
        <w:t>Attaran</w:t>
      </w:r>
      <w:proofErr w:type="spellEnd"/>
      <w:r w:rsidRPr="00A16566">
        <w:rPr>
          <w:rFonts w:cs="Times New Roman"/>
          <w:lang w:val="en-US"/>
        </w:rPr>
        <w:t xml:space="preserve">, “Have Charter, Will Travel? Extraterritoriality in Constitutional Law and Canadian Exceptionalism” (2008), 87 </w:t>
      </w:r>
      <w:r w:rsidRPr="00A16566">
        <w:rPr>
          <w:rFonts w:cs="Times New Roman"/>
          <w:i/>
          <w:lang w:val="en-US"/>
        </w:rPr>
        <w:t>Can. Bar Rev.</w:t>
      </w:r>
      <w:r w:rsidRPr="00A16566">
        <w:rPr>
          <w:rFonts w:cs="Times New Roman"/>
          <w:lang w:val="en-US"/>
        </w:rPr>
        <w:t xml:space="preserve"> 515, at p. 523; see also L. West, “Canada Stands Alone: A Comparative Analysis of the Extraterritorial Reach of State Human Rights Obligations” (</w:t>
      </w:r>
      <w:proofErr w:type="spellStart"/>
      <w:r w:rsidRPr="00A16566">
        <w:rPr>
          <w:rFonts w:cs="Times New Roman"/>
          <w:i/>
          <w:lang w:val="en-US"/>
        </w:rPr>
        <w:t>U.B.C</w:t>
      </w:r>
      <w:proofErr w:type="spellEnd"/>
      <w:r w:rsidRPr="00A16566">
        <w:rPr>
          <w:rFonts w:cs="Times New Roman"/>
          <w:i/>
          <w:lang w:val="en-US"/>
        </w:rPr>
        <w:t>. L. Rev.</w:t>
      </w:r>
      <w:r w:rsidRPr="00A16566">
        <w:rPr>
          <w:rFonts w:cs="Times New Roman"/>
          <w:lang w:val="en-US"/>
        </w:rPr>
        <w:t>, forthcoming), at pp. 8-10).</w:t>
      </w:r>
      <w:r w:rsidRPr="00A16566">
        <w:rPr>
          <w:rFonts w:cs="Times New Roman"/>
        </w:rPr>
        <w:t xml:space="preserve"> Taking into account what is </w:t>
      </w:r>
      <w:r w:rsidRPr="00A16566">
        <w:rPr>
          <w:rFonts w:cs="Times New Roman"/>
          <w:i/>
        </w:rPr>
        <w:t xml:space="preserve">not </w:t>
      </w:r>
      <w:r w:rsidRPr="00A16566">
        <w:rPr>
          <w:rFonts w:cs="Times New Roman"/>
        </w:rPr>
        <w:t xml:space="preserve">in s. 32(1)’s text, but is elsewhere in the </w:t>
      </w:r>
      <w:r w:rsidRPr="00A16566">
        <w:rPr>
          <w:rFonts w:cs="Times New Roman"/>
          <w:i/>
        </w:rPr>
        <w:t>Charter</w:t>
      </w:r>
      <w:r w:rsidRPr="00A16566">
        <w:rPr>
          <w:rFonts w:cs="Times New Roman"/>
        </w:rPr>
        <w:t xml:space="preserve">, confirms that no territorial limitation was intended. </w:t>
      </w:r>
      <w:r w:rsidRPr="00A16566">
        <w:rPr>
          <w:rFonts w:cs="Times New Roman"/>
          <w:lang w:val="en-GB"/>
        </w:rPr>
        <w:t xml:space="preserve">Section 32(1)’s silence as to the </w:t>
      </w:r>
      <w:r w:rsidRPr="00A16566">
        <w:rPr>
          <w:rFonts w:cs="Times New Roman"/>
          <w:i/>
          <w:lang w:val="en-GB"/>
        </w:rPr>
        <w:t>Charter</w:t>
      </w:r>
      <w:r w:rsidRPr="00A16566">
        <w:rPr>
          <w:rFonts w:cs="Times New Roman"/>
          <w:lang w:val="en-GB"/>
        </w:rPr>
        <w:t>’s</w:t>
      </w:r>
      <w:r w:rsidRPr="00A16566">
        <w:rPr>
          <w:rFonts w:cs="Times New Roman"/>
          <w:i/>
          <w:lang w:val="en-GB"/>
        </w:rPr>
        <w:t xml:space="preserve"> </w:t>
      </w:r>
      <w:r w:rsidRPr="00A16566">
        <w:rPr>
          <w:rFonts w:cs="Times New Roman"/>
          <w:lang w:val="en-GB"/>
        </w:rPr>
        <w:t xml:space="preserve">territorial boundaries when other sections are </w:t>
      </w:r>
      <w:r w:rsidRPr="00A16566">
        <w:rPr>
          <w:rFonts w:cs="Times New Roman"/>
          <w:lang w:val="en-US"/>
        </w:rPr>
        <w:t>based on citizenship or are specifically confined to Canada</w:t>
      </w:r>
      <w:r w:rsidRPr="00A16566">
        <w:rPr>
          <w:rFonts w:cs="Times New Roman"/>
          <w:lang w:val="en-GB"/>
        </w:rPr>
        <w:t xml:space="preserve"> was not an omission or the result of happenstance. It was instead a deliberate choice to not limit the </w:t>
      </w:r>
      <w:r w:rsidRPr="00A16566">
        <w:rPr>
          <w:rFonts w:cs="Times New Roman"/>
          <w:i/>
          <w:lang w:val="en-GB"/>
        </w:rPr>
        <w:t>Charter</w:t>
      </w:r>
      <w:r w:rsidRPr="00A16566">
        <w:rPr>
          <w:rFonts w:cs="Times New Roman"/>
          <w:lang w:val="en-GB"/>
        </w:rPr>
        <w:t>’s territorial reach which must be respected. </w:t>
      </w:r>
    </w:p>
    <w:p w14:paraId="1DB40243" w14:textId="77777777" w:rsidR="00A16566" w:rsidRPr="00A16566" w:rsidRDefault="00A16566" w:rsidP="00A16566">
      <w:pPr>
        <w:pStyle w:val="ParaNoNdepar-AltN"/>
        <w:rPr>
          <w:rFonts w:cs="Times New Roman"/>
          <w:lang w:val="en-US"/>
        </w:rPr>
      </w:pPr>
      <w:r w:rsidRPr="00A16566">
        <w:rPr>
          <w:rFonts w:cs="Times New Roman"/>
        </w:rPr>
        <w:t xml:space="preserve">The purpose of s. 32 was to constrain state action within the newly established constitutional democracy. As this Court has acknowledged, the words of s. 32(1) “give a strong message that the </w:t>
      </w:r>
      <w:r w:rsidRPr="00A16566">
        <w:rPr>
          <w:rFonts w:cs="Times New Roman"/>
          <w:i/>
        </w:rPr>
        <w:t xml:space="preserve">Charter </w:t>
      </w:r>
      <w:r w:rsidRPr="00A16566">
        <w:rPr>
          <w:rFonts w:cs="Times New Roman"/>
        </w:rPr>
        <w:t xml:space="preserve">is confined to government action. . . . [T]he </w:t>
      </w:r>
      <w:r w:rsidRPr="00A16566">
        <w:rPr>
          <w:rFonts w:cs="Times New Roman"/>
          <w:i/>
        </w:rPr>
        <w:t xml:space="preserve">Charter </w:t>
      </w:r>
      <w:r w:rsidRPr="00A16566">
        <w:rPr>
          <w:rFonts w:cs="Times New Roman"/>
        </w:rPr>
        <w:t>is essentially an instrument for checking the powers of government over the individual” (</w:t>
      </w:r>
      <w:r w:rsidRPr="00A16566">
        <w:rPr>
          <w:rFonts w:cs="Times New Roman"/>
          <w:i/>
        </w:rPr>
        <w:t>McKinney v. University of Guelph</w:t>
      </w:r>
      <w:r w:rsidRPr="00A16566">
        <w:rPr>
          <w:rFonts w:cs="Times New Roman"/>
        </w:rPr>
        <w:t xml:space="preserve">, [1990] 3 </w:t>
      </w:r>
      <w:proofErr w:type="spellStart"/>
      <w:r w:rsidRPr="00A16566">
        <w:rPr>
          <w:rFonts w:cs="Times New Roman"/>
        </w:rPr>
        <w:t>S.C.R</w:t>
      </w:r>
      <w:proofErr w:type="spellEnd"/>
      <w:r w:rsidRPr="00A16566">
        <w:rPr>
          <w:rFonts w:cs="Times New Roman"/>
        </w:rPr>
        <w:t xml:space="preserve">. 229, at p. 261). </w:t>
      </w:r>
      <w:r w:rsidRPr="00A16566">
        <w:rPr>
          <w:rFonts w:cs="Times New Roman"/>
          <w:lang w:val="en-US"/>
        </w:rPr>
        <w:t>To permit state action abroad that is not constrained by the Constitution would be inconsistent with our constitutional structure, which is premised on preventing arbitrary state conduct (</w:t>
      </w:r>
      <w:r w:rsidRPr="00A16566">
        <w:rPr>
          <w:rFonts w:cs="Times New Roman"/>
          <w:i/>
          <w:lang w:val="en-US"/>
        </w:rPr>
        <w:t>Reference re Secession of Quebec</w:t>
      </w:r>
      <w:r w:rsidRPr="00A16566">
        <w:rPr>
          <w:rFonts w:cs="Times New Roman"/>
          <w:lang w:val="en-US"/>
        </w:rPr>
        <w:t xml:space="preserve">, [1998] 2 </w:t>
      </w:r>
      <w:proofErr w:type="spellStart"/>
      <w:r w:rsidRPr="00A16566">
        <w:rPr>
          <w:rFonts w:cs="Times New Roman"/>
          <w:lang w:val="en-US"/>
        </w:rPr>
        <w:t>S.C.R</w:t>
      </w:r>
      <w:proofErr w:type="spellEnd"/>
      <w:r w:rsidRPr="00A16566">
        <w:rPr>
          <w:rFonts w:cs="Times New Roman"/>
          <w:lang w:val="en-US"/>
        </w:rPr>
        <w:t xml:space="preserve">. 217, at para. 70). The sole claim of government, including the executive, to exercise lawful authority “rests in the powers allocated to them under the Constitution, and can come from no other source” (para. 72). Accordingly, there can be no lawful state action without corresponding constitutional limitations — no matter where the conduct takes place. As one commentator put it, “[t]he executive cannot act outside the Constitution and still act within the rule of law. When it is invited to play on the international scene, it must come as it is: as a constitutional government — not an arbitrary one. It has no license to act arbitrarily away from home” (M. Webb, “The Constitutional Question of Our Time: Extraterritorial Application of the Charter and the Afghan Detainees Case” (2011), 28 </w:t>
      </w:r>
      <w:proofErr w:type="spellStart"/>
      <w:r w:rsidRPr="00A16566">
        <w:rPr>
          <w:rFonts w:cs="Times New Roman"/>
          <w:i/>
          <w:lang w:val="en-US"/>
        </w:rPr>
        <w:t>N.J.C.L</w:t>
      </w:r>
      <w:proofErr w:type="spellEnd"/>
      <w:r w:rsidRPr="00A16566">
        <w:rPr>
          <w:rFonts w:cs="Times New Roman"/>
          <w:i/>
          <w:lang w:val="en-US"/>
        </w:rPr>
        <w:t>.</w:t>
      </w:r>
      <w:r w:rsidRPr="00A16566">
        <w:rPr>
          <w:rFonts w:cs="Times New Roman"/>
          <w:lang w:val="en-US"/>
        </w:rPr>
        <w:t xml:space="preserve"> 235, at p. 256).</w:t>
      </w:r>
    </w:p>
    <w:p w14:paraId="1DC78920" w14:textId="77777777" w:rsidR="00A16566" w:rsidRPr="00A16566" w:rsidRDefault="00A16566" w:rsidP="00A16566">
      <w:pPr>
        <w:pStyle w:val="ParaNoNdepar-AltN"/>
        <w:rPr>
          <w:rFonts w:cs="Times New Roman"/>
          <w:lang w:val="en-US"/>
        </w:rPr>
      </w:pPr>
      <w:r w:rsidRPr="00A16566">
        <w:rPr>
          <w:rFonts w:cs="Times New Roman"/>
          <w:lang w:val="en-US"/>
        </w:rPr>
        <w:t xml:space="preserve">Thus, a purposive interpretation of s. 32(1) leads to the conclusion that the provision draws no distinction between domestic and extraterritorial application. Rather, it sends a strong message that the </w:t>
      </w:r>
      <w:r w:rsidRPr="00A16566">
        <w:rPr>
          <w:rFonts w:cs="Times New Roman"/>
          <w:i/>
          <w:lang w:val="en-US"/>
        </w:rPr>
        <w:t>Charter</w:t>
      </w:r>
      <w:r w:rsidRPr="00A16566">
        <w:rPr>
          <w:rFonts w:cs="Times New Roman"/>
          <w:lang w:val="en-US"/>
        </w:rPr>
        <w:t xml:space="preserve"> is an instrument for checking the powers of the government over the individual and preventing state action that is inconsistent with the rights and freedoms it enshrines (</w:t>
      </w:r>
      <w:r w:rsidRPr="00A16566">
        <w:rPr>
          <w:rFonts w:cs="Times New Roman"/>
          <w:i/>
          <w:lang w:val="en-US"/>
        </w:rPr>
        <w:t>McKinney</w:t>
      </w:r>
      <w:r w:rsidRPr="00A16566">
        <w:rPr>
          <w:rFonts w:cs="Times New Roman"/>
          <w:lang w:val="en-US"/>
        </w:rPr>
        <w:t xml:space="preserve">, at p. 261; see also </w:t>
      </w:r>
      <w:proofErr w:type="spellStart"/>
      <w:r w:rsidRPr="00A16566">
        <w:rPr>
          <w:rFonts w:cs="Times New Roman"/>
          <w:i/>
          <w:lang w:val="en-US"/>
        </w:rPr>
        <w:t>Hape</w:t>
      </w:r>
      <w:proofErr w:type="spellEnd"/>
      <w:r w:rsidRPr="00A16566">
        <w:rPr>
          <w:rFonts w:cs="Times New Roman"/>
          <w:lang w:val="en-US"/>
        </w:rPr>
        <w:t>, at para. 91).</w:t>
      </w:r>
      <w:r w:rsidRPr="00A16566" w:rsidDel="00FF13A7">
        <w:rPr>
          <w:rFonts w:cs="Times New Roman"/>
          <w:lang w:val="en-US"/>
        </w:rPr>
        <w:t xml:space="preserve"> </w:t>
      </w:r>
      <w:r w:rsidRPr="00A16566">
        <w:rPr>
          <w:rFonts w:cs="Times New Roman"/>
          <w:lang w:val="en-US"/>
        </w:rPr>
        <w:t xml:space="preserve">As a result, based on such an interpretation of s. 32(1), the </w:t>
      </w:r>
      <w:r w:rsidRPr="00A16566">
        <w:rPr>
          <w:rFonts w:cs="Times New Roman"/>
          <w:i/>
          <w:lang w:val="en-US"/>
        </w:rPr>
        <w:t>Charter</w:t>
      </w:r>
      <w:r w:rsidRPr="00A16566">
        <w:rPr>
          <w:rFonts w:cs="Times New Roman"/>
          <w:lang w:val="en-US"/>
        </w:rPr>
        <w:t xml:space="preserve"> would apply to constrain Canadian authorities conducting investigations, whether that conduct takes place inside or outside Canada. </w:t>
      </w:r>
    </w:p>
    <w:p w14:paraId="0AE460BA" w14:textId="77777777" w:rsidR="00A16566" w:rsidRPr="00A16566" w:rsidRDefault="00A16566" w:rsidP="00A16566">
      <w:pPr>
        <w:pStyle w:val="Title1LevelTitre1Niveau-AltL"/>
        <w:jc w:val="both"/>
        <w:rPr>
          <w:rFonts w:cs="Times New Roman"/>
          <w:lang w:val="en-US"/>
        </w:rPr>
      </w:pPr>
      <w:r w:rsidRPr="00A16566">
        <w:rPr>
          <w:rFonts w:cs="Times New Roman"/>
          <w:lang w:val="en-US"/>
        </w:rPr>
        <w:t xml:space="preserve">The </w:t>
      </w:r>
      <w:proofErr w:type="spellStart"/>
      <w:r w:rsidRPr="00A16566">
        <w:rPr>
          <w:rFonts w:cs="Times New Roman"/>
          <w:i/>
          <w:lang w:val="en-US"/>
        </w:rPr>
        <w:t>Hape</w:t>
      </w:r>
      <w:proofErr w:type="spellEnd"/>
      <w:r w:rsidRPr="00A16566">
        <w:rPr>
          <w:rFonts w:cs="Times New Roman"/>
          <w:lang w:val="en-US"/>
        </w:rPr>
        <w:t xml:space="preserve"> Decision</w:t>
      </w:r>
    </w:p>
    <w:p w14:paraId="765F79B6" w14:textId="77777777" w:rsidR="00A16566" w:rsidRPr="00A16566" w:rsidRDefault="00A16566" w:rsidP="00A16566">
      <w:pPr>
        <w:pStyle w:val="ParaNoNdepar-AltN"/>
        <w:rPr>
          <w:rFonts w:cs="Times New Roman"/>
          <w:lang w:val="en-US"/>
        </w:rPr>
      </w:pPr>
      <w:r w:rsidRPr="00A16566">
        <w:rPr>
          <w:rFonts w:cs="Times New Roman"/>
          <w:lang w:val="en-US"/>
        </w:rPr>
        <w:t xml:space="preserve">In </w:t>
      </w:r>
      <w:proofErr w:type="spellStart"/>
      <w:r w:rsidRPr="00A16566">
        <w:rPr>
          <w:rFonts w:cs="Times New Roman"/>
          <w:i/>
        </w:rPr>
        <w:t>Hape</w:t>
      </w:r>
      <w:proofErr w:type="spellEnd"/>
      <w:r w:rsidRPr="00A16566">
        <w:rPr>
          <w:rFonts w:cs="Times New Roman"/>
        </w:rPr>
        <w:t xml:space="preserve">, </w:t>
      </w:r>
      <w:proofErr w:type="spellStart"/>
      <w:r w:rsidRPr="00A16566">
        <w:rPr>
          <w:rFonts w:cs="Times New Roman"/>
        </w:rPr>
        <w:t>LeBel</w:t>
      </w:r>
      <w:proofErr w:type="spellEnd"/>
      <w:r w:rsidRPr="00A16566">
        <w:rPr>
          <w:rFonts w:cs="Times New Roman"/>
        </w:rPr>
        <w:t xml:space="preserve"> J., for the majority, also began with the text of s. 32(1) of the </w:t>
      </w:r>
      <w:r w:rsidRPr="00A16566">
        <w:rPr>
          <w:rFonts w:cs="Times New Roman"/>
          <w:i/>
        </w:rPr>
        <w:t>Charter</w:t>
      </w:r>
      <w:r w:rsidRPr="00A16566">
        <w:rPr>
          <w:rFonts w:cs="Times New Roman"/>
        </w:rPr>
        <w:t xml:space="preserve"> and likewise concluded that it contained no express territorial limit</w:t>
      </w:r>
      <w:r w:rsidRPr="00A16566">
        <w:rPr>
          <w:rFonts w:cs="Times New Roman"/>
          <w:i/>
        </w:rPr>
        <w:t xml:space="preserve"> </w:t>
      </w:r>
      <w:r w:rsidRPr="00A16566">
        <w:rPr>
          <w:rFonts w:cs="Times New Roman"/>
        </w:rPr>
        <w:t xml:space="preserve">(paras. 32 and 94). However, in that case, the majority of the Court held the </w:t>
      </w:r>
      <w:r w:rsidRPr="00A16566">
        <w:rPr>
          <w:rFonts w:cs="Times New Roman"/>
          <w:i/>
        </w:rPr>
        <w:t>Charter</w:t>
      </w:r>
      <w:r w:rsidRPr="00A16566">
        <w:rPr>
          <w:rFonts w:cs="Times New Roman"/>
        </w:rPr>
        <w:t xml:space="preserve"> did not apply to the Royal Canadian Mounted Police’s search and seizure of banking documents in Turks and Caicos Islands (paras. 2-14).</w:t>
      </w:r>
      <w:r w:rsidRPr="00A16566">
        <w:rPr>
          <w:rFonts w:cs="Times New Roman"/>
          <w:lang w:val="en-US"/>
        </w:rPr>
        <w:t xml:space="preserve"> The majority overturned </w:t>
      </w:r>
      <w:r w:rsidRPr="00A16566">
        <w:rPr>
          <w:rFonts w:cs="Times New Roman"/>
          <w:i/>
          <w:lang w:val="en-US"/>
        </w:rPr>
        <w:t>R. v. Cook</w:t>
      </w:r>
      <w:r w:rsidRPr="00A16566">
        <w:rPr>
          <w:rFonts w:cs="Times New Roman"/>
          <w:lang w:val="en-US"/>
        </w:rPr>
        <w:t xml:space="preserve">, [1998] 2 </w:t>
      </w:r>
      <w:proofErr w:type="spellStart"/>
      <w:r w:rsidRPr="00A16566">
        <w:rPr>
          <w:rFonts w:cs="Times New Roman"/>
          <w:lang w:val="en-US"/>
        </w:rPr>
        <w:t>S.C.R</w:t>
      </w:r>
      <w:proofErr w:type="spellEnd"/>
      <w:r w:rsidRPr="00A16566">
        <w:rPr>
          <w:rFonts w:cs="Times New Roman"/>
          <w:lang w:val="en-US"/>
        </w:rPr>
        <w:t xml:space="preserve">. 597, and set out a new two-stage framework for determining whether a remedy is available for extraterritorial Canadian state conduct alleged to have violated the </w:t>
      </w:r>
      <w:r w:rsidRPr="00A16566">
        <w:rPr>
          <w:rFonts w:cs="Times New Roman"/>
          <w:i/>
          <w:lang w:val="en-US"/>
        </w:rPr>
        <w:t>Charter</w:t>
      </w:r>
      <w:r w:rsidRPr="00A16566">
        <w:rPr>
          <w:rFonts w:cs="Times New Roman"/>
          <w:lang w:val="en-US"/>
        </w:rPr>
        <w:t xml:space="preserve">. At the first stage, the court must determine if the activity in question falls under s. 32(1) by asking: (1) whether the conduct at issue is that of a Canadian state actor; and (2) if so, whether, on the facts, there is an exception to the principle of sovereignty that would justify applying the </w:t>
      </w:r>
      <w:r w:rsidRPr="00A16566">
        <w:rPr>
          <w:rFonts w:cs="Times New Roman"/>
          <w:i/>
          <w:lang w:val="en-US"/>
        </w:rPr>
        <w:t>Charter</w:t>
      </w:r>
      <w:r w:rsidRPr="00A16566">
        <w:rPr>
          <w:rFonts w:cs="Times New Roman"/>
          <w:lang w:val="en-US"/>
        </w:rPr>
        <w:t xml:space="preserve"> to the state actor’s extraterritorial activities. If there is no exception and the </w:t>
      </w:r>
      <w:r w:rsidRPr="00A16566">
        <w:rPr>
          <w:rFonts w:cs="Times New Roman"/>
          <w:i/>
          <w:lang w:val="en-US"/>
        </w:rPr>
        <w:t>Charter</w:t>
      </w:r>
      <w:r w:rsidRPr="00A16566">
        <w:rPr>
          <w:rFonts w:cs="Times New Roman"/>
          <w:lang w:val="en-US"/>
        </w:rPr>
        <w:t xml:space="preserve"> does not apply, then at the second stage the court must ask if the evidence should be excluded from the trial because its admission would render the trial unfair (para. 113).</w:t>
      </w:r>
    </w:p>
    <w:p w14:paraId="47CD3985" w14:textId="77777777" w:rsidR="00A16566" w:rsidRPr="00A16566" w:rsidRDefault="00A16566" w:rsidP="00A16566">
      <w:pPr>
        <w:pStyle w:val="ParaNoNdepar-AltN"/>
        <w:rPr>
          <w:rFonts w:cs="Times New Roman"/>
        </w:rPr>
      </w:pPr>
      <w:proofErr w:type="spellStart"/>
      <w:r w:rsidRPr="00A16566">
        <w:rPr>
          <w:rFonts w:cs="Times New Roman"/>
        </w:rPr>
        <w:t>LeBel</w:t>
      </w:r>
      <w:proofErr w:type="spellEnd"/>
      <w:r w:rsidRPr="00A16566">
        <w:rPr>
          <w:rFonts w:cs="Times New Roman"/>
        </w:rPr>
        <w:t xml:space="preserve"> J. chose to look to prohibitive rules of customary international law to aid in the interpretation of s. 32 of the </w:t>
      </w:r>
      <w:r w:rsidRPr="00A16566">
        <w:rPr>
          <w:rFonts w:cs="Times New Roman"/>
          <w:i/>
        </w:rPr>
        <w:t>Charter</w:t>
      </w:r>
      <w:r w:rsidRPr="00A16566">
        <w:rPr>
          <w:rFonts w:cs="Times New Roman"/>
        </w:rPr>
        <w:t xml:space="preserve"> (paras. 35-39). Customary international law is composed of norms that meet the two requirements of state practice and </w:t>
      </w:r>
      <w:proofErr w:type="spellStart"/>
      <w:r w:rsidRPr="00A16566">
        <w:rPr>
          <w:rFonts w:cs="Times New Roman"/>
          <w:i/>
        </w:rPr>
        <w:t>opinio</w:t>
      </w:r>
      <w:proofErr w:type="spellEnd"/>
      <w:r w:rsidRPr="00A16566">
        <w:rPr>
          <w:rFonts w:cs="Times New Roman"/>
          <w:i/>
        </w:rPr>
        <w:t xml:space="preserve"> juris</w:t>
      </w:r>
      <w:r w:rsidRPr="00A16566">
        <w:rPr>
          <w:rFonts w:cs="Times New Roman"/>
        </w:rPr>
        <w:t xml:space="preserve">: states must actually follow the norm and must view it as legally binding (para. 46). The majority in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looked to the principle of sovereign equality, which rests upon respect for territorial sovereignty and is “inseparable” from the principle of non-intervention, and which provides that all states are sovereign and equal (paras. 40 and 45-46). The majority relied on the doctrine of adoption to conclude that the principles of non-intervention and territorial sovereignty should be relied on to interpret the </w:t>
      </w:r>
      <w:r w:rsidRPr="00A16566">
        <w:rPr>
          <w:rFonts w:cs="Times New Roman"/>
          <w:i/>
        </w:rPr>
        <w:t>Charter</w:t>
      </w:r>
      <w:r w:rsidRPr="00A16566">
        <w:rPr>
          <w:rFonts w:cs="Times New Roman"/>
        </w:rPr>
        <w:t xml:space="preserve">’s scope. They also applied the presumption of conformity, a principle of statutory interpretation that legislation will be presumed to conform with international law, unless its wording compels otherwise (paras. 39, 46 and 53). They held that in interpreting the </w:t>
      </w:r>
      <w:r w:rsidRPr="00A16566">
        <w:rPr>
          <w:rFonts w:cs="Times New Roman"/>
          <w:i/>
        </w:rPr>
        <w:t>Charter</w:t>
      </w:r>
      <w:r w:rsidRPr="00A16566">
        <w:rPr>
          <w:rFonts w:cs="Times New Roman"/>
        </w:rPr>
        <w:t xml:space="preserve">’s scope, the Court should seek to ensure compliance with Canada’s binding obligations under international law where the </w:t>
      </w:r>
      <w:r w:rsidRPr="00A16566">
        <w:rPr>
          <w:rFonts w:cs="Times New Roman"/>
          <w:i/>
        </w:rPr>
        <w:t>Charter</w:t>
      </w:r>
      <w:r w:rsidRPr="00A16566">
        <w:rPr>
          <w:rFonts w:cs="Times New Roman"/>
        </w:rPr>
        <w:t>’s</w:t>
      </w:r>
      <w:r w:rsidRPr="00A16566">
        <w:rPr>
          <w:rFonts w:cs="Times New Roman"/>
          <w:i/>
        </w:rPr>
        <w:t xml:space="preserve"> </w:t>
      </w:r>
      <w:r w:rsidRPr="00A16566">
        <w:rPr>
          <w:rFonts w:cs="Times New Roman"/>
        </w:rPr>
        <w:t xml:space="preserve">express words are capable of supporting that construction. </w:t>
      </w:r>
    </w:p>
    <w:p w14:paraId="27248DA4" w14:textId="77777777" w:rsidR="00A16566" w:rsidRPr="00A16566" w:rsidRDefault="00A16566" w:rsidP="00A16566">
      <w:pPr>
        <w:pStyle w:val="ParaNoNdepar-AltN"/>
        <w:rPr>
          <w:rFonts w:cs="Times New Roman"/>
        </w:rPr>
      </w:pPr>
      <w:r w:rsidRPr="00A16566">
        <w:rPr>
          <w:rFonts w:cs="Times New Roman"/>
        </w:rPr>
        <w:t xml:space="preserve">The majority found that the comity of nations — defined as “the deference and respect due by other states to the actions of a state legitimately taken within its territory” — was another interpretive principle that aids in interpreting the </w:t>
      </w:r>
      <w:r w:rsidRPr="00A16566">
        <w:rPr>
          <w:rFonts w:cs="Times New Roman"/>
          <w:i/>
        </w:rPr>
        <w:t>Charter</w:t>
      </w:r>
      <w:r w:rsidRPr="00A16566">
        <w:rPr>
          <w:rFonts w:cs="Times New Roman"/>
        </w:rPr>
        <w:t xml:space="preserve">’s extraterritorial reach (paras. 32-33, 47, 50 and 53-56, quoting </w:t>
      </w:r>
      <w:proofErr w:type="spellStart"/>
      <w:r w:rsidRPr="00A16566">
        <w:rPr>
          <w:rFonts w:cs="Times New Roman"/>
          <w:i/>
          <w:iCs/>
        </w:rPr>
        <w:t>Morguard</w:t>
      </w:r>
      <w:proofErr w:type="spellEnd"/>
      <w:r w:rsidRPr="00A16566">
        <w:rPr>
          <w:rFonts w:cs="Times New Roman"/>
          <w:i/>
          <w:iCs/>
        </w:rPr>
        <w:t xml:space="preserve"> Investments Ltd. v. De </w:t>
      </w:r>
      <w:proofErr w:type="spellStart"/>
      <w:r w:rsidRPr="00A16566">
        <w:rPr>
          <w:rFonts w:cs="Times New Roman"/>
          <w:i/>
          <w:iCs/>
        </w:rPr>
        <w:t>Savoye</w:t>
      </w:r>
      <w:proofErr w:type="spellEnd"/>
      <w:r w:rsidRPr="00A16566">
        <w:rPr>
          <w:rFonts w:cs="Times New Roman"/>
        </w:rPr>
        <w:t xml:space="preserve">, [1990] 3 </w:t>
      </w:r>
      <w:proofErr w:type="spellStart"/>
      <w:r w:rsidRPr="00A16566">
        <w:rPr>
          <w:rFonts w:cs="Times New Roman"/>
        </w:rPr>
        <w:t>S.C.R</w:t>
      </w:r>
      <w:proofErr w:type="spellEnd"/>
      <w:r w:rsidRPr="00A16566">
        <w:rPr>
          <w:rFonts w:cs="Times New Roman"/>
        </w:rPr>
        <w:t xml:space="preserve">. 1077, at p. 1095). </w:t>
      </w:r>
      <w:proofErr w:type="spellStart"/>
      <w:r w:rsidRPr="00A16566">
        <w:rPr>
          <w:rFonts w:cs="Times New Roman"/>
        </w:rPr>
        <w:t>LeBel</w:t>
      </w:r>
      <w:proofErr w:type="spellEnd"/>
      <w:r w:rsidRPr="00A16566">
        <w:rPr>
          <w:rFonts w:cs="Times New Roman"/>
        </w:rPr>
        <w:t xml:space="preserve"> J. observed that comity encourages states to cooperate with each other to investigate transnational crime and, where one state assists another, to respect how assistance is given within a state’s territory. However, he made clear that comity “does not offer a rationale for condoning another state’s breach of international law” and that comity’s deference “ends where clear violations of international law and fundamental human rights begin” (paras. 51-52). </w:t>
      </w:r>
    </w:p>
    <w:p w14:paraId="405A9CC0" w14:textId="77777777" w:rsidR="00A16566" w:rsidRPr="00A16566" w:rsidRDefault="00A16566" w:rsidP="00A16566">
      <w:pPr>
        <w:pStyle w:val="ParaNoNdepar-AltN"/>
        <w:rPr>
          <w:rFonts w:cs="Times New Roman"/>
        </w:rPr>
      </w:pPr>
      <w:r w:rsidRPr="00A16566">
        <w:rPr>
          <w:rFonts w:cs="Times New Roman"/>
        </w:rPr>
        <w:t xml:space="preserve">Having set out these additional interpretive principles, the majority reviewed and applied jurisdictional principles of international law. </w:t>
      </w:r>
      <w:proofErr w:type="spellStart"/>
      <w:r w:rsidRPr="00A16566">
        <w:rPr>
          <w:rFonts w:cs="Times New Roman"/>
        </w:rPr>
        <w:t>LeBel</w:t>
      </w:r>
      <w:proofErr w:type="spellEnd"/>
      <w:r w:rsidRPr="00A16566">
        <w:rPr>
          <w:rFonts w:cs="Times New Roman"/>
        </w:rPr>
        <w:t xml:space="preserve"> J. observed there are three forms of jurisdiction: prescriptive, enforcement, and adjudicative. Prescriptive jurisdiction “is the power to make rules, issue commands or grant authorizations that are binding upon persons and entities” (para. 58). Enforcement jurisdiction “is the power to use coercive means to ensure that rules are followed, commands are executed or entitlements are upheld” (</w:t>
      </w:r>
      <w:r w:rsidRPr="00A16566">
        <w:rPr>
          <w:rFonts w:cs="Times New Roman"/>
          <w:i/>
        </w:rPr>
        <w:t>ibid.</w:t>
      </w:r>
      <w:r w:rsidRPr="00A16566">
        <w:rPr>
          <w:rFonts w:cs="Times New Roman"/>
        </w:rPr>
        <w:t>). Finally, adjudicative jurisdiction “is the power of a state’s courts to resolve disputes or interpret the law through decisions that carry binding force” (</w:t>
      </w:r>
      <w:r w:rsidRPr="00A16566">
        <w:rPr>
          <w:rFonts w:cs="Times New Roman"/>
          <w:i/>
        </w:rPr>
        <w:t>ibid.</w:t>
      </w:r>
      <w:r w:rsidRPr="00A16566">
        <w:rPr>
          <w:rFonts w:cs="Times New Roman"/>
        </w:rPr>
        <w:t xml:space="preserve">). He also summarized several bases upon which a state may exercise its jurisdiction, including the territoriality, nationality, and universality principles (paras. 59-61). </w:t>
      </w:r>
    </w:p>
    <w:p w14:paraId="6F3C5939" w14:textId="77777777" w:rsidR="00A16566" w:rsidRPr="00A16566" w:rsidRDefault="00A16566" w:rsidP="00A16566">
      <w:pPr>
        <w:pStyle w:val="ParaNoNdepar-AltN"/>
        <w:rPr>
          <w:rFonts w:cs="Times New Roman"/>
        </w:rPr>
      </w:pPr>
      <w:r w:rsidRPr="00A16566">
        <w:rPr>
          <w:rFonts w:cs="Times New Roman"/>
        </w:rPr>
        <w:t xml:space="preserve">The majority proceeded to discuss principles pertaining to extraterritorial jurisdiction in the Canadian context. They stated that “it is a well-established principle that a state cannot act to enforce its laws within the territory of another state absent either the consent of the other state or, in exceptional cases, some other basis under international law” (para. 65). Observing that, pursuant to the </w:t>
      </w:r>
      <w:r w:rsidRPr="00A16566">
        <w:rPr>
          <w:rFonts w:cs="Times New Roman"/>
          <w:i/>
        </w:rPr>
        <w:t>Statute of Westminster, 1931</w:t>
      </w:r>
      <w:r w:rsidRPr="00A16566">
        <w:rPr>
          <w:rFonts w:cs="Times New Roman"/>
        </w:rPr>
        <w:t xml:space="preserve">, Canada has the authority to make laws having extraterritorial operation (para. 66), they noted that Parliament’s ability to pass extraterritorial legislation is also informed by the above-mentioned interpretive principles. They concluded that while Parliament can </w:t>
      </w:r>
      <w:r w:rsidRPr="00A16566">
        <w:rPr>
          <w:rFonts w:cs="Times New Roman"/>
          <w:i/>
        </w:rPr>
        <w:t>enact</w:t>
      </w:r>
      <w:r w:rsidRPr="00A16566">
        <w:rPr>
          <w:rFonts w:cs="Times New Roman"/>
        </w:rPr>
        <w:t xml:space="preserve"> legislation inconsistent with these interpretive principles, any Canadian law can only be </w:t>
      </w:r>
      <w:r w:rsidRPr="00A16566">
        <w:rPr>
          <w:rFonts w:cs="Times New Roman"/>
          <w:i/>
        </w:rPr>
        <w:t>enforced</w:t>
      </w:r>
      <w:r w:rsidRPr="00A16566">
        <w:rPr>
          <w:rFonts w:cs="Times New Roman"/>
        </w:rPr>
        <w:t xml:space="preserve"> abroad with the consent of other states (paras. 67-68).</w:t>
      </w:r>
    </w:p>
    <w:p w14:paraId="7937D9FD" w14:textId="77777777" w:rsidR="00A16566" w:rsidRPr="00A16566" w:rsidRDefault="00A16566" w:rsidP="00A16566">
      <w:pPr>
        <w:pStyle w:val="ParaNoNdepar-AltN"/>
        <w:rPr>
          <w:rFonts w:cs="Times New Roman"/>
        </w:rPr>
      </w:pPr>
      <w:r w:rsidRPr="00A16566">
        <w:rPr>
          <w:rFonts w:cs="Times New Roman"/>
          <w:lang w:val="en-US"/>
        </w:rPr>
        <w:t xml:space="preserve">With these principles in mind, the majority turned to a review of this Court’s prior jurisprudence and explained why </w:t>
      </w:r>
      <w:r w:rsidRPr="00A16566">
        <w:rPr>
          <w:rFonts w:cs="Times New Roman"/>
          <w:i/>
          <w:lang w:val="en-US"/>
        </w:rPr>
        <w:t>Cook</w:t>
      </w:r>
      <w:r w:rsidRPr="00A16566">
        <w:rPr>
          <w:rFonts w:cs="Times New Roman"/>
          <w:lang w:val="en-US"/>
        </w:rPr>
        <w:t xml:space="preserve">, the Court’s previous decision allowing extraterritorial application of the </w:t>
      </w:r>
      <w:r w:rsidRPr="00A16566">
        <w:rPr>
          <w:rFonts w:cs="Times New Roman"/>
          <w:i/>
          <w:lang w:val="en-US"/>
        </w:rPr>
        <w:t xml:space="preserve">Charter </w:t>
      </w:r>
      <w:r w:rsidRPr="00A16566">
        <w:rPr>
          <w:rFonts w:cs="Times New Roman"/>
          <w:lang w:val="en-US"/>
        </w:rPr>
        <w:t xml:space="preserve">to the actions of Canadian police abroad, ought to be revisited. In </w:t>
      </w:r>
      <w:r w:rsidRPr="00A16566">
        <w:rPr>
          <w:rFonts w:cs="Times New Roman"/>
          <w:i/>
          <w:lang w:val="en-US"/>
        </w:rPr>
        <w:t>Cook</w:t>
      </w:r>
      <w:r w:rsidRPr="00A16566">
        <w:rPr>
          <w:rFonts w:cs="Times New Roman"/>
          <w:lang w:val="en-US"/>
        </w:rPr>
        <w:t xml:space="preserve">, the Court had determined that </w:t>
      </w:r>
      <w:r w:rsidRPr="00A16566">
        <w:rPr>
          <w:rFonts w:cs="Times New Roman"/>
        </w:rPr>
        <w:t xml:space="preserve">the </w:t>
      </w:r>
      <w:r w:rsidRPr="00A16566">
        <w:rPr>
          <w:rFonts w:cs="Times New Roman"/>
          <w:i/>
        </w:rPr>
        <w:t>Charter</w:t>
      </w:r>
      <w:r w:rsidRPr="00A16566">
        <w:rPr>
          <w:rFonts w:cs="Times New Roman"/>
        </w:rPr>
        <w:t xml:space="preserve"> applied to the taking of the accused’s statement by Canadian police in the United States in connection with an investigation of an offence to be prosecuted in Canada. </w:t>
      </w:r>
    </w:p>
    <w:p w14:paraId="6EB2A988" w14:textId="77777777" w:rsidR="00A16566" w:rsidRPr="00A16566" w:rsidRDefault="00A16566" w:rsidP="00A16566">
      <w:pPr>
        <w:pStyle w:val="ParaNoNdepar-AltN"/>
        <w:rPr>
          <w:rFonts w:cs="Times New Roman"/>
          <w:lang w:val="en-US"/>
        </w:rPr>
      </w:pPr>
      <w:r w:rsidRPr="00A16566">
        <w:rPr>
          <w:rFonts w:cs="Times New Roman"/>
          <w:lang w:val="en-US"/>
        </w:rPr>
        <w:t xml:space="preserve">The majority raised three criticisms of </w:t>
      </w:r>
      <w:r w:rsidRPr="00A16566">
        <w:rPr>
          <w:rFonts w:cs="Times New Roman"/>
          <w:i/>
          <w:lang w:val="en-US"/>
        </w:rPr>
        <w:t>Cook</w:t>
      </w:r>
      <w:r w:rsidRPr="00A16566">
        <w:rPr>
          <w:rFonts w:cs="Times New Roman"/>
          <w:lang w:val="en-US"/>
        </w:rPr>
        <w:t xml:space="preserve">. First, they noted that the decision failed to distinguish prescriptive and enforcement jurisdiction (paras. 84-85). As they viewed the extraterritorial application of the </w:t>
      </w:r>
      <w:r w:rsidRPr="00A16566">
        <w:rPr>
          <w:rFonts w:cs="Times New Roman"/>
          <w:i/>
          <w:lang w:val="en-US"/>
        </w:rPr>
        <w:t>Charter</w:t>
      </w:r>
      <w:r w:rsidRPr="00A16566">
        <w:rPr>
          <w:rFonts w:cs="Times New Roman"/>
          <w:lang w:val="en-US"/>
        </w:rPr>
        <w:t xml:space="preserve"> as an exercise of enforcement jurisdiction, and since extraterritorial enforcement of Canadian laws is not possible (without consent), they concluded that extraterritorial application of the </w:t>
      </w:r>
      <w:r w:rsidRPr="00A16566">
        <w:rPr>
          <w:rFonts w:cs="Times New Roman"/>
          <w:i/>
          <w:lang w:val="en-US"/>
        </w:rPr>
        <w:t>Charter</w:t>
      </w:r>
      <w:r w:rsidRPr="00A16566">
        <w:rPr>
          <w:rFonts w:cs="Times New Roman"/>
          <w:lang w:val="en-US"/>
        </w:rPr>
        <w:t xml:space="preserve"> is impossible (para. 85). </w:t>
      </w:r>
    </w:p>
    <w:p w14:paraId="571EB287" w14:textId="77777777" w:rsidR="00A16566" w:rsidRPr="00A16566" w:rsidRDefault="00A16566" w:rsidP="00A16566">
      <w:pPr>
        <w:pStyle w:val="ParaNoNdepar-AltN"/>
        <w:rPr>
          <w:rFonts w:cs="Times New Roman"/>
          <w:lang w:val="en-US"/>
        </w:rPr>
      </w:pPr>
      <w:r w:rsidRPr="00A16566">
        <w:rPr>
          <w:rFonts w:cs="Times New Roman"/>
          <w:lang w:val="en-US"/>
        </w:rPr>
        <w:t xml:space="preserve">Second, they noted practical and theoretical difficulties arose when the </w:t>
      </w:r>
      <w:r w:rsidRPr="00A16566">
        <w:rPr>
          <w:rFonts w:cs="Times New Roman"/>
          <w:i/>
          <w:lang w:val="en-US"/>
        </w:rPr>
        <w:t>Cook</w:t>
      </w:r>
      <w:r w:rsidRPr="00A16566">
        <w:rPr>
          <w:rFonts w:cs="Times New Roman"/>
          <w:lang w:val="en-US"/>
        </w:rPr>
        <w:t xml:space="preserve"> approach was applied to different facts, such as those in </w:t>
      </w:r>
      <w:proofErr w:type="spellStart"/>
      <w:r w:rsidRPr="00A16566">
        <w:rPr>
          <w:rFonts w:cs="Times New Roman"/>
          <w:i/>
          <w:lang w:val="en-US"/>
        </w:rPr>
        <w:t>Hape</w:t>
      </w:r>
      <w:proofErr w:type="spellEnd"/>
      <w:r w:rsidRPr="00A16566">
        <w:rPr>
          <w:rFonts w:cs="Times New Roman"/>
          <w:lang w:val="en-US"/>
        </w:rPr>
        <w:t xml:space="preserve">, where a warrant for the impugned search was not necessary under Turks and Caicos law (paras. 86-92). The majority concluded that, both theoretically and practically, the </w:t>
      </w:r>
      <w:r w:rsidRPr="00A16566">
        <w:rPr>
          <w:rFonts w:cs="Times New Roman"/>
          <w:i/>
          <w:lang w:val="en-US"/>
        </w:rPr>
        <w:t>Charter</w:t>
      </w:r>
      <w:r w:rsidRPr="00A16566">
        <w:rPr>
          <w:rFonts w:cs="Times New Roman"/>
          <w:lang w:val="en-US"/>
        </w:rPr>
        <w:t xml:space="preserve"> cannot apply to searches and seizures conducted abroad (paras. 86-92). </w:t>
      </w:r>
    </w:p>
    <w:p w14:paraId="4FB3C314" w14:textId="77777777" w:rsidR="00A16566" w:rsidRPr="00A16566" w:rsidRDefault="00A16566" w:rsidP="00A16566">
      <w:pPr>
        <w:pStyle w:val="ParaNoNdepar-AltN"/>
        <w:rPr>
          <w:rFonts w:cs="Times New Roman"/>
          <w:lang w:val="en-US"/>
        </w:rPr>
      </w:pPr>
      <w:r w:rsidRPr="00A16566">
        <w:rPr>
          <w:rFonts w:cs="Times New Roman"/>
          <w:lang w:val="en-US"/>
        </w:rPr>
        <w:t xml:space="preserve">Third, they found that </w:t>
      </w:r>
      <w:r w:rsidRPr="00A16566">
        <w:rPr>
          <w:rFonts w:cs="Times New Roman"/>
          <w:i/>
          <w:lang w:val="en-US"/>
        </w:rPr>
        <w:t>Cook</w:t>
      </w:r>
      <w:r w:rsidRPr="00A16566">
        <w:rPr>
          <w:rFonts w:cs="Times New Roman"/>
          <w:lang w:val="en-US"/>
        </w:rPr>
        <w:t xml:space="preserve"> failed to give proper consideration to the wording of s. 32(1) (paras. 93-95). Interpreting s. 32(1) in light of the interpretive principles discussed above, they concluded that extraterritorial enforcement actions were outside the scope of the </w:t>
      </w:r>
      <w:r w:rsidRPr="00A16566">
        <w:rPr>
          <w:rFonts w:cs="Times New Roman"/>
          <w:i/>
          <w:lang w:val="en-US"/>
        </w:rPr>
        <w:t>Charter</w:t>
      </w:r>
      <w:r w:rsidRPr="00A16566">
        <w:rPr>
          <w:rFonts w:cs="Times New Roman"/>
          <w:lang w:val="en-US"/>
        </w:rPr>
        <w:t xml:space="preserve">. Section 32(1) states the </w:t>
      </w:r>
      <w:r w:rsidRPr="00A16566">
        <w:rPr>
          <w:rFonts w:cs="Times New Roman"/>
          <w:i/>
          <w:lang w:val="en-US"/>
        </w:rPr>
        <w:t>Charter</w:t>
      </w:r>
      <w:r w:rsidRPr="00A16566">
        <w:rPr>
          <w:rFonts w:cs="Times New Roman"/>
          <w:lang w:val="en-US"/>
        </w:rPr>
        <w:t xml:space="preserve"> applies to “matters within the authority of” Parliament or the provincial legislatures. Having found that Parliament and the provincial legislatures do not have jurisdiction to authorize enforcement abroad, the majority concluded that activities such as criminal investigations abroad are not “matters within the authority of” Parliament or the provincial legislatures and are thus not captured by s. 32(1) (para. 94). </w:t>
      </w:r>
    </w:p>
    <w:p w14:paraId="3E4FAE88" w14:textId="77777777" w:rsidR="00A16566" w:rsidRPr="00A16566" w:rsidRDefault="00A16566" w:rsidP="00A16566">
      <w:pPr>
        <w:pStyle w:val="ParaNoNdepar-AltN"/>
        <w:rPr>
          <w:rFonts w:cs="Times New Roman"/>
          <w:lang w:val="en-US"/>
        </w:rPr>
      </w:pPr>
      <w:r w:rsidRPr="00A16566">
        <w:rPr>
          <w:rFonts w:cs="Times New Roman"/>
          <w:lang w:val="en-US"/>
        </w:rPr>
        <w:t xml:space="preserve">Despite finding that the </w:t>
      </w:r>
      <w:r w:rsidRPr="00A16566">
        <w:rPr>
          <w:rFonts w:cs="Times New Roman"/>
          <w:i/>
          <w:lang w:val="en-US"/>
        </w:rPr>
        <w:t>Charter</w:t>
      </w:r>
      <w:r w:rsidRPr="00A16566">
        <w:rPr>
          <w:rFonts w:cs="Times New Roman"/>
          <w:lang w:val="en-US"/>
        </w:rPr>
        <w:t xml:space="preserve"> generally could not be applied to the actions of Canadian officials conducted as part of an investigation occurring abroad, </w:t>
      </w:r>
      <w:proofErr w:type="spellStart"/>
      <w:r w:rsidRPr="00A16566">
        <w:rPr>
          <w:rFonts w:cs="Times New Roman"/>
          <w:i/>
          <w:lang w:val="en-US"/>
        </w:rPr>
        <w:t>Hape</w:t>
      </w:r>
      <w:proofErr w:type="spellEnd"/>
      <w:r w:rsidRPr="00A16566">
        <w:rPr>
          <w:rFonts w:cs="Times New Roman"/>
          <w:lang w:val="en-US"/>
        </w:rPr>
        <w:t xml:space="preserve"> identified three exceptions pursuant to which </w:t>
      </w:r>
      <w:r w:rsidRPr="00A16566">
        <w:rPr>
          <w:rFonts w:cs="Times New Roman"/>
          <w:i/>
          <w:lang w:val="en-US"/>
        </w:rPr>
        <w:t>Charter</w:t>
      </w:r>
      <w:r w:rsidRPr="00A16566">
        <w:rPr>
          <w:rFonts w:cs="Times New Roman"/>
          <w:lang w:val="en-US"/>
        </w:rPr>
        <w:t xml:space="preserve"> protections might apply. First, the </w:t>
      </w:r>
      <w:r w:rsidRPr="00A16566">
        <w:rPr>
          <w:rFonts w:cs="Times New Roman"/>
          <w:i/>
          <w:lang w:val="en-US"/>
        </w:rPr>
        <w:t>Charter</w:t>
      </w:r>
      <w:r w:rsidRPr="00A16566">
        <w:rPr>
          <w:rFonts w:cs="Times New Roman"/>
          <w:lang w:val="en-US"/>
        </w:rPr>
        <w:t xml:space="preserve"> could apply extraterritorially where the foreign state consented to the </w:t>
      </w:r>
      <w:r w:rsidRPr="00A16566">
        <w:rPr>
          <w:rFonts w:cs="Times New Roman"/>
          <w:i/>
          <w:lang w:val="en-US"/>
        </w:rPr>
        <w:t>Charter</w:t>
      </w:r>
      <w:r w:rsidRPr="00A16566">
        <w:rPr>
          <w:rFonts w:cs="Times New Roman"/>
          <w:lang w:val="en-US"/>
        </w:rPr>
        <w:t xml:space="preserve">’s application (para. 106). Second, the principle of comity “may give way” where the participation of Canadian officers in the investigative activities would violate Canada’s international human rights obligations (para. 101). Third, ss. 7 and 11(d) of the </w:t>
      </w:r>
      <w:r w:rsidRPr="00A16566">
        <w:rPr>
          <w:rFonts w:cs="Times New Roman"/>
          <w:i/>
          <w:lang w:val="en-US"/>
        </w:rPr>
        <w:t>Charter</w:t>
      </w:r>
      <w:r w:rsidRPr="00A16566">
        <w:rPr>
          <w:rFonts w:cs="Times New Roman"/>
          <w:lang w:val="en-US"/>
        </w:rPr>
        <w:t xml:space="preserve"> could operate to exclude evidence obtained by Canadian officials abroad, if admitting the evidence would result in an unfair trial (paras. 107-12). </w:t>
      </w:r>
    </w:p>
    <w:p w14:paraId="11E77033" w14:textId="77777777" w:rsidR="00A16566" w:rsidRPr="00A16566" w:rsidRDefault="00A16566" w:rsidP="00A16566">
      <w:pPr>
        <w:pStyle w:val="Title1LevelTitre1Niveau-AltL"/>
        <w:jc w:val="both"/>
        <w:rPr>
          <w:rFonts w:cs="Times New Roman"/>
          <w:lang w:val="en-US"/>
        </w:rPr>
      </w:pPr>
      <w:bookmarkStart w:id="3" w:name="_Toc115350146"/>
      <w:r w:rsidRPr="00A16566">
        <w:rPr>
          <w:rFonts w:cs="Times New Roman"/>
          <w:lang w:val="en-US"/>
        </w:rPr>
        <w:t xml:space="preserve">Criticisms of </w:t>
      </w:r>
      <w:proofErr w:type="spellStart"/>
      <w:r w:rsidRPr="00A16566">
        <w:rPr>
          <w:rFonts w:cs="Times New Roman"/>
          <w:i/>
          <w:lang w:val="en-US"/>
        </w:rPr>
        <w:t>Hape</w:t>
      </w:r>
      <w:bookmarkEnd w:id="3"/>
      <w:proofErr w:type="spellEnd"/>
      <w:r w:rsidRPr="00A16566">
        <w:rPr>
          <w:rFonts w:cs="Times New Roman"/>
          <w:i/>
          <w:lang w:val="en-US"/>
        </w:rPr>
        <w:t xml:space="preserve"> </w:t>
      </w:r>
    </w:p>
    <w:p w14:paraId="76C8115E" w14:textId="77777777" w:rsidR="00A16566" w:rsidRPr="00A16566" w:rsidRDefault="00A16566" w:rsidP="00A16566">
      <w:pPr>
        <w:pStyle w:val="ParaNoNdepar-AltN"/>
        <w:rPr>
          <w:rFonts w:cs="Times New Roman"/>
          <w:lang w:val="en-US"/>
        </w:rPr>
      </w:pPr>
      <w:r w:rsidRPr="00A16566">
        <w:rPr>
          <w:rFonts w:cs="Times New Roman"/>
          <w:lang w:val="en-US"/>
        </w:rPr>
        <w:t xml:space="preserve">The decision in </w:t>
      </w:r>
      <w:proofErr w:type="spellStart"/>
      <w:r w:rsidRPr="00A16566">
        <w:rPr>
          <w:rFonts w:cs="Times New Roman"/>
          <w:i/>
          <w:lang w:val="en-US"/>
        </w:rPr>
        <w:t>Hape</w:t>
      </w:r>
      <w:proofErr w:type="spellEnd"/>
      <w:r w:rsidRPr="00A16566">
        <w:rPr>
          <w:rFonts w:cs="Times New Roman"/>
          <w:lang w:val="en-US"/>
        </w:rPr>
        <w:t xml:space="preserve"> and its approach has been the subject of significant and sustained criticism by experts in international law.</w:t>
      </w:r>
      <w:r w:rsidRPr="00045352">
        <w:rPr>
          <w:rStyle w:val="Hyperlink"/>
          <w:vertAlign w:val="superscript"/>
        </w:rPr>
        <w:footnoteReference w:customMarkFollows="1" w:id="5"/>
        <w:t>4</w:t>
      </w:r>
      <w:r w:rsidRPr="00A16566">
        <w:rPr>
          <w:rFonts w:cs="Times New Roman"/>
          <w:lang w:val="en-US"/>
        </w:rPr>
        <w:t xml:space="preserve"> Three main flaws in </w:t>
      </w:r>
      <w:proofErr w:type="spellStart"/>
      <w:r w:rsidRPr="00A16566">
        <w:rPr>
          <w:rFonts w:cs="Times New Roman"/>
          <w:i/>
          <w:lang w:val="en-US"/>
        </w:rPr>
        <w:t>Hape</w:t>
      </w:r>
      <w:proofErr w:type="spellEnd"/>
      <w:r w:rsidRPr="00A16566">
        <w:rPr>
          <w:rFonts w:cs="Times New Roman"/>
          <w:lang w:val="en-US"/>
        </w:rPr>
        <w:t xml:space="preserve"> have been identified: (1) </w:t>
      </w:r>
      <w:proofErr w:type="spellStart"/>
      <w:r w:rsidRPr="00A16566">
        <w:rPr>
          <w:rFonts w:cs="Times New Roman"/>
          <w:i/>
          <w:lang w:val="en-US"/>
        </w:rPr>
        <w:t>Hape</w:t>
      </w:r>
      <w:proofErr w:type="spellEnd"/>
      <w:r w:rsidRPr="00A16566">
        <w:rPr>
          <w:rFonts w:cs="Times New Roman"/>
          <w:i/>
          <w:lang w:val="en-US"/>
        </w:rPr>
        <w:t xml:space="preserve"> </w:t>
      </w:r>
      <w:r w:rsidRPr="00A16566">
        <w:rPr>
          <w:rFonts w:cs="Times New Roman"/>
          <w:lang w:val="en-US"/>
        </w:rPr>
        <w:t xml:space="preserve">applied improper interpretive principles, including jurisdictional principles of international law and a principle of statutory interpretation, to its interpretation of s. 32(1); (2) </w:t>
      </w:r>
      <w:proofErr w:type="spellStart"/>
      <w:r w:rsidRPr="00A16566">
        <w:rPr>
          <w:rFonts w:cs="Times New Roman"/>
          <w:i/>
          <w:lang w:val="en-US"/>
        </w:rPr>
        <w:t>Hape</w:t>
      </w:r>
      <w:proofErr w:type="spellEnd"/>
      <w:r w:rsidRPr="00A16566">
        <w:rPr>
          <w:rFonts w:cs="Times New Roman"/>
          <w:i/>
          <w:lang w:val="en-US"/>
        </w:rPr>
        <w:t xml:space="preserve"> </w:t>
      </w:r>
      <w:r w:rsidRPr="00A16566">
        <w:rPr>
          <w:rFonts w:cs="Times New Roman"/>
          <w:lang w:val="en-US"/>
        </w:rPr>
        <w:t xml:space="preserve">mischaracterized the extraterritorial application of the </w:t>
      </w:r>
      <w:r w:rsidRPr="00A16566">
        <w:rPr>
          <w:rFonts w:cs="Times New Roman"/>
          <w:i/>
          <w:lang w:val="en-US"/>
        </w:rPr>
        <w:t xml:space="preserve">Charter </w:t>
      </w:r>
      <w:r w:rsidRPr="00A16566">
        <w:rPr>
          <w:rFonts w:cs="Times New Roman"/>
          <w:lang w:val="en-US"/>
        </w:rPr>
        <w:t xml:space="preserve">as an unlawful exercise of enforcement jurisdiction; and (3) </w:t>
      </w:r>
      <w:proofErr w:type="spellStart"/>
      <w:r w:rsidRPr="00A16566">
        <w:rPr>
          <w:rFonts w:cs="Times New Roman"/>
          <w:i/>
          <w:lang w:val="en-US"/>
        </w:rPr>
        <w:t>Hape</w:t>
      </w:r>
      <w:r w:rsidRPr="00A16566">
        <w:rPr>
          <w:rFonts w:cs="Times New Roman"/>
          <w:lang w:val="en-US"/>
        </w:rPr>
        <w:t>’s</w:t>
      </w:r>
      <w:proofErr w:type="spellEnd"/>
      <w:r w:rsidRPr="00A16566">
        <w:rPr>
          <w:rFonts w:cs="Times New Roman"/>
          <w:lang w:val="en-US"/>
        </w:rPr>
        <w:t xml:space="preserve"> three exceptions are inadequate. </w:t>
      </w:r>
      <w:proofErr w:type="spellStart"/>
      <w:r w:rsidRPr="00A16566">
        <w:rPr>
          <w:rFonts w:cs="Times New Roman"/>
          <w:lang w:val="en-US"/>
        </w:rPr>
        <w:t>LeBel</w:t>
      </w:r>
      <w:proofErr w:type="spellEnd"/>
      <w:r w:rsidRPr="00A16566">
        <w:rPr>
          <w:rFonts w:cs="Times New Roman"/>
          <w:lang w:val="en-US"/>
        </w:rPr>
        <w:t xml:space="preserve"> </w:t>
      </w:r>
      <w:proofErr w:type="spellStart"/>
      <w:r w:rsidRPr="00A16566">
        <w:rPr>
          <w:rFonts w:cs="Times New Roman"/>
          <w:lang w:val="en-US"/>
        </w:rPr>
        <w:t>J.’s</w:t>
      </w:r>
      <w:proofErr w:type="spellEnd"/>
      <w:r w:rsidRPr="00A16566">
        <w:rPr>
          <w:rFonts w:cs="Times New Roman"/>
          <w:lang w:val="en-US"/>
        </w:rPr>
        <w:t xml:space="preserve"> reliance on and misapplication of these international law principles has generated the level and type of cogent criticism and doctrinal instability which calls for a reconsideration of this aspect of the </w:t>
      </w:r>
      <w:proofErr w:type="spellStart"/>
      <w:r w:rsidRPr="00A16566">
        <w:rPr>
          <w:rFonts w:cs="Times New Roman"/>
          <w:i/>
          <w:lang w:val="en-US"/>
        </w:rPr>
        <w:t>Hape</w:t>
      </w:r>
      <w:proofErr w:type="spellEnd"/>
      <w:r w:rsidRPr="00A16566">
        <w:rPr>
          <w:rFonts w:cs="Times New Roman"/>
          <w:lang w:val="en-US"/>
        </w:rPr>
        <w:t xml:space="preserve"> decision. We look at each of these three main criticisms in turn.</w:t>
      </w:r>
    </w:p>
    <w:p w14:paraId="744F2FDE" w14:textId="77777777" w:rsidR="00A16566" w:rsidRPr="00A16566" w:rsidRDefault="00A16566" w:rsidP="00A16566">
      <w:pPr>
        <w:pStyle w:val="ParaNoNdepar-AltN"/>
        <w:rPr>
          <w:rFonts w:cs="Times New Roman"/>
          <w:lang w:val="en-US"/>
        </w:rPr>
      </w:pPr>
      <w:r w:rsidRPr="00A16566">
        <w:rPr>
          <w:rFonts w:cs="Times New Roman"/>
          <w:lang w:val="en-US"/>
        </w:rPr>
        <w:t xml:space="preserve">First, a fundamental underpinning of </w:t>
      </w:r>
      <w:proofErr w:type="spellStart"/>
      <w:r w:rsidRPr="00A16566">
        <w:rPr>
          <w:rFonts w:cs="Times New Roman"/>
          <w:i/>
          <w:lang w:val="en-US"/>
        </w:rPr>
        <w:t>Hape</w:t>
      </w:r>
      <w:proofErr w:type="spellEnd"/>
      <w:r w:rsidRPr="00A16566">
        <w:rPr>
          <w:rFonts w:cs="Times New Roman"/>
          <w:lang w:val="en-US"/>
        </w:rPr>
        <w:t xml:space="preserve"> was that s. 32(1) ought to be interpreted in a way that ensures compliance with rules of international law that are binding on Canada, which in this case led to a more restrictive reading of s. 32 (para. 56). Methodologically, imposing international law principles as an overlay to </w:t>
      </w:r>
      <w:r w:rsidRPr="00A16566">
        <w:rPr>
          <w:rFonts w:cs="Times New Roman"/>
          <w:i/>
          <w:lang w:val="en-US"/>
        </w:rPr>
        <w:t>limit</w:t>
      </w:r>
      <w:r w:rsidRPr="00A16566">
        <w:rPr>
          <w:rFonts w:cs="Times New Roman"/>
          <w:lang w:val="en-US"/>
        </w:rPr>
        <w:t xml:space="preserve"> the scope of the </w:t>
      </w:r>
      <w:r w:rsidRPr="00A16566">
        <w:rPr>
          <w:rFonts w:cs="Times New Roman"/>
          <w:i/>
          <w:lang w:val="en-US"/>
        </w:rPr>
        <w:t>Charter</w:t>
      </w:r>
      <w:r w:rsidRPr="00A16566">
        <w:rPr>
          <w:rFonts w:cs="Times New Roman"/>
          <w:lang w:val="en-US"/>
        </w:rPr>
        <w:t xml:space="preserve"> </w:t>
      </w:r>
      <w:r w:rsidRPr="00A16566">
        <w:rPr>
          <w:rFonts w:cs="Times New Roman"/>
        </w:rPr>
        <w:t xml:space="preserve">undermines the purposive approach to </w:t>
      </w:r>
      <w:r w:rsidRPr="00A16566">
        <w:rPr>
          <w:rFonts w:cs="Times New Roman"/>
          <w:i/>
        </w:rPr>
        <w:t xml:space="preserve">Charter </w:t>
      </w:r>
      <w:r w:rsidRPr="00A16566">
        <w:rPr>
          <w:rFonts w:cs="Times New Roman"/>
        </w:rPr>
        <w:t>interpretation (</w:t>
      </w:r>
      <w:r w:rsidRPr="00A16566">
        <w:rPr>
          <w:rFonts w:cs="Times New Roman"/>
          <w:lang w:val="en-US"/>
        </w:rPr>
        <w:t xml:space="preserve">West, “Canada Stands Alone”, at pp. 9-10; </w:t>
      </w:r>
      <w:r w:rsidRPr="00A16566">
        <w:rPr>
          <w:rFonts w:cs="Times New Roman"/>
          <w:i/>
          <w:lang w:val="en-US"/>
        </w:rPr>
        <w:t>Cook</w:t>
      </w:r>
      <w:r w:rsidRPr="00A16566">
        <w:rPr>
          <w:rFonts w:cs="Times New Roman"/>
          <w:lang w:val="en-US"/>
        </w:rPr>
        <w:t xml:space="preserve">, at para. 147, per </w:t>
      </w:r>
      <w:proofErr w:type="spellStart"/>
      <w:r w:rsidRPr="00A16566">
        <w:rPr>
          <w:rFonts w:cs="Times New Roman"/>
          <w:lang w:val="en-US"/>
        </w:rPr>
        <w:t>Bastarache</w:t>
      </w:r>
      <w:proofErr w:type="spellEnd"/>
      <w:r w:rsidRPr="00A16566">
        <w:rPr>
          <w:rFonts w:cs="Times New Roman"/>
          <w:lang w:val="en-US"/>
        </w:rPr>
        <w:t xml:space="preserve"> J.)</w:t>
      </w:r>
      <w:r w:rsidRPr="00A16566">
        <w:rPr>
          <w:rFonts w:cs="Times New Roman"/>
        </w:rPr>
        <w:t xml:space="preserve">. Rather, international law </w:t>
      </w:r>
      <w:r w:rsidRPr="00A16566">
        <w:rPr>
          <w:rFonts w:cs="Times New Roman"/>
          <w:lang w:val="en-US"/>
        </w:rPr>
        <w:t>should generally be used to support or confirm an interpretation arrived at through the purposive approach (</w:t>
      </w:r>
      <w:r w:rsidRPr="00A16566">
        <w:rPr>
          <w:rFonts w:cs="Times New Roman"/>
          <w:i/>
          <w:lang w:val="en-US"/>
        </w:rPr>
        <w:t xml:space="preserve">R. v. </w:t>
      </w:r>
      <w:proofErr w:type="spellStart"/>
      <w:r w:rsidRPr="00A16566">
        <w:rPr>
          <w:rFonts w:cs="Times New Roman"/>
          <w:i/>
          <w:lang w:val="en-US"/>
        </w:rPr>
        <w:t>Bissonnette</w:t>
      </w:r>
      <w:proofErr w:type="spellEnd"/>
      <w:r w:rsidRPr="00A16566">
        <w:rPr>
          <w:rFonts w:cs="Times New Roman"/>
          <w:lang w:val="en-US"/>
        </w:rPr>
        <w:t xml:space="preserve">, 2022 SCC 23, at para. 98; H. S. Fairley, “International Law Comes of Age: </w:t>
      </w:r>
      <w:proofErr w:type="spellStart"/>
      <w:r w:rsidRPr="00A16566">
        <w:rPr>
          <w:rFonts w:cs="Times New Roman"/>
          <w:i/>
          <w:lang w:val="en-US"/>
        </w:rPr>
        <w:t>Hape</w:t>
      </w:r>
      <w:proofErr w:type="spellEnd"/>
      <w:r w:rsidRPr="00A16566">
        <w:rPr>
          <w:rFonts w:cs="Times New Roman"/>
          <w:i/>
          <w:lang w:val="en-US"/>
        </w:rPr>
        <w:t xml:space="preserve"> v. The Queen</w:t>
      </w:r>
      <w:r w:rsidRPr="00A16566">
        <w:rPr>
          <w:rFonts w:cs="Times New Roman"/>
          <w:lang w:val="en-US"/>
        </w:rPr>
        <w:t xml:space="preserve">” (2008), 87 </w:t>
      </w:r>
      <w:r w:rsidRPr="00A16566">
        <w:rPr>
          <w:rFonts w:cs="Times New Roman"/>
          <w:i/>
          <w:lang w:val="en-US"/>
        </w:rPr>
        <w:t>Can. Bar Rev.</w:t>
      </w:r>
      <w:r w:rsidRPr="00A16566">
        <w:rPr>
          <w:rFonts w:cs="Times New Roman"/>
          <w:lang w:val="en-US"/>
        </w:rPr>
        <w:t xml:space="preserve"> 229, at p. 236). Moreover, jurisdictional principles of international law are not an appropriate basis for limiting the meaning of “authority” in s. 32(1) as a matter of domestic constitutional law. Parliament’s authority is plenary within the classes of subjects enumerated in s. 91 of the </w:t>
      </w:r>
      <w:r w:rsidRPr="00A16566">
        <w:rPr>
          <w:rFonts w:cs="Times New Roman"/>
          <w:i/>
          <w:lang w:val="en-US"/>
        </w:rPr>
        <w:t>Constitution Act, 1867</w:t>
      </w:r>
      <w:r w:rsidRPr="00A16566">
        <w:rPr>
          <w:rFonts w:cs="Times New Roman"/>
          <w:lang w:val="en-US"/>
        </w:rPr>
        <w:t xml:space="preserve"> and extends to extraterritorial enforcement action, including actions that violate international law itself (</w:t>
      </w:r>
      <w:r w:rsidRPr="00A16566">
        <w:rPr>
          <w:rFonts w:cs="Times New Roman"/>
          <w:i/>
          <w:lang w:val="en-US"/>
        </w:rPr>
        <w:t>Statute of Westminster, 1931</w:t>
      </w:r>
      <w:r w:rsidRPr="00A16566">
        <w:rPr>
          <w:rFonts w:cs="Times New Roman"/>
          <w:lang w:val="en-US"/>
        </w:rPr>
        <w:t xml:space="preserve">, s. 3; </w:t>
      </w:r>
      <w:r w:rsidRPr="00A16566">
        <w:rPr>
          <w:rFonts w:cs="Times New Roman"/>
          <w:i/>
          <w:lang w:val="en-US"/>
        </w:rPr>
        <w:t xml:space="preserve">Croft v. </w:t>
      </w:r>
      <w:proofErr w:type="spellStart"/>
      <w:r w:rsidRPr="00A16566">
        <w:rPr>
          <w:rFonts w:cs="Times New Roman"/>
          <w:i/>
          <w:lang w:val="en-US"/>
        </w:rPr>
        <w:t>Dunphy</w:t>
      </w:r>
      <w:proofErr w:type="spellEnd"/>
      <w:r w:rsidRPr="00A16566">
        <w:rPr>
          <w:rFonts w:cs="Times New Roman"/>
          <w:lang w:val="en-US"/>
        </w:rPr>
        <w:t xml:space="preserve">, [1933] </w:t>
      </w:r>
      <w:proofErr w:type="spellStart"/>
      <w:r w:rsidRPr="00A16566">
        <w:rPr>
          <w:rFonts w:cs="Times New Roman"/>
          <w:lang w:val="en-US"/>
        </w:rPr>
        <w:t>A.C</w:t>
      </w:r>
      <w:proofErr w:type="spellEnd"/>
      <w:r w:rsidRPr="00A16566">
        <w:rPr>
          <w:rFonts w:cs="Times New Roman"/>
          <w:lang w:val="en-US"/>
        </w:rPr>
        <w:t xml:space="preserve">. 156 (P.C.), at p. 163; </w:t>
      </w:r>
      <w:r w:rsidRPr="00A16566">
        <w:rPr>
          <w:rFonts w:cs="Times New Roman"/>
          <w:i/>
          <w:lang w:val="en-US"/>
        </w:rPr>
        <w:t>Society of Composers, Authors and Music Publishers of Canada v. Canadian Assn. of Internet Providers</w:t>
      </w:r>
      <w:r w:rsidRPr="00A16566">
        <w:rPr>
          <w:rFonts w:cs="Times New Roman"/>
          <w:lang w:val="en-US"/>
        </w:rPr>
        <w:t xml:space="preserve">, 2004 SCC 45, [2004] 2 </w:t>
      </w:r>
      <w:proofErr w:type="spellStart"/>
      <w:r w:rsidRPr="00A16566">
        <w:rPr>
          <w:rFonts w:cs="Times New Roman"/>
          <w:lang w:val="en-US"/>
        </w:rPr>
        <w:t>S.C.R</w:t>
      </w:r>
      <w:proofErr w:type="spellEnd"/>
      <w:r w:rsidRPr="00A16566">
        <w:rPr>
          <w:rFonts w:cs="Times New Roman"/>
          <w:lang w:val="en-US"/>
        </w:rPr>
        <w:t>. 427, at para. 141, per</w:t>
      </w:r>
      <w:r w:rsidRPr="00A16566">
        <w:rPr>
          <w:rFonts w:cs="Times New Roman"/>
          <w:i/>
          <w:lang w:val="en-US"/>
        </w:rPr>
        <w:t xml:space="preserve"> </w:t>
      </w:r>
      <w:proofErr w:type="spellStart"/>
      <w:r w:rsidRPr="00A16566">
        <w:rPr>
          <w:rFonts w:cs="Times New Roman"/>
          <w:lang w:val="en-US"/>
        </w:rPr>
        <w:t>LeBel</w:t>
      </w:r>
      <w:proofErr w:type="spellEnd"/>
      <w:r w:rsidRPr="00A16566">
        <w:rPr>
          <w:rFonts w:cs="Times New Roman"/>
          <w:lang w:val="en-US"/>
        </w:rPr>
        <w:t xml:space="preserve"> J.; J. H. Currie, “</w:t>
      </w:r>
      <w:r w:rsidRPr="00A16566">
        <w:rPr>
          <w:rFonts w:cs="Times New Roman"/>
          <w:i/>
          <w:lang w:val="en-US"/>
        </w:rPr>
        <w:t>Khadr</w:t>
      </w:r>
      <w:r w:rsidRPr="00A16566">
        <w:rPr>
          <w:rFonts w:cs="Times New Roman"/>
          <w:lang w:val="en-US"/>
        </w:rPr>
        <w:t xml:space="preserve">’s Twist on </w:t>
      </w:r>
      <w:proofErr w:type="spellStart"/>
      <w:r w:rsidRPr="00A16566">
        <w:rPr>
          <w:rFonts w:cs="Times New Roman"/>
          <w:i/>
          <w:lang w:val="en-US"/>
        </w:rPr>
        <w:t>Hape</w:t>
      </w:r>
      <w:proofErr w:type="spellEnd"/>
      <w:r w:rsidRPr="00A16566">
        <w:rPr>
          <w:rFonts w:cs="Times New Roman"/>
          <w:lang w:val="en-US"/>
        </w:rPr>
        <w:t xml:space="preserve">: Tortured Determinations of the Extraterritorial Reach of the Canadian </w:t>
      </w:r>
      <w:r w:rsidRPr="00A16566">
        <w:rPr>
          <w:rFonts w:cs="Times New Roman"/>
          <w:i/>
          <w:lang w:val="en-US"/>
        </w:rPr>
        <w:t>Charter</w:t>
      </w:r>
      <w:r w:rsidRPr="00A16566">
        <w:rPr>
          <w:rFonts w:cs="Times New Roman"/>
          <w:lang w:val="en-US"/>
        </w:rPr>
        <w:t xml:space="preserve">” (2008), 46 </w:t>
      </w:r>
      <w:r w:rsidRPr="00A16566">
        <w:rPr>
          <w:rFonts w:cs="Times New Roman"/>
          <w:i/>
          <w:lang w:val="en-US"/>
        </w:rPr>
        <w:t xml:space="preserve">Can. </w:t>
      </w:r>
      <w:proofErr w:type="spellStart"/>
      <w:r w:rsidRPr="00A16566">
        <w:rPr>
          <w:rFonts w:cs="Times New Roman"/>
          <w:i/>
          <w:lang w:val="en-US"/>
        </w:rPr>
        <w:t>Y.B</w:t>
      </w:r>
      <w:proofErr w:type="spellEnd"/>
      <w:r w:rsidRPr="00A16566">
        <w:rPr>
          <w:rFonts w:cs="Times New Roman"/>
          <w:i/>
          <w:lang w:val="en-US"/>
        </w:rPr>
        <w:t>. Int’l L.</w:t>
      </w:r>
      <w:r w:rsidRPr="00A16566">
        <w:rPr>
          <w:rFonts w:cs="Times New Roman"/>
          <w:lang w:val="en-US"/>
        </w:rPr>
        <w:t xml:space="preserve"> 307, at pp. 318-19; </w:t>
      </w:r>
      <w:proofErr w:type="spellStart"/>
      <w:r w:rsidRPr="00A16566">
        <w:rPr>
          <w:rFonts w:cs="Times New Roman"/>
          <w:i/>
          <w:lang w:val="en-US"/>
        </w:rPr>
        <w:t>Hape</w:t>
      </w:r>
      <w:proofErr w:type="spellEnd"/>
      <w:r w:rsidRPr="00A16566">
        <w:rPr>
          <w:rFonts w:cs="Times New Roman"/>
          <w:lang w:val="en-US"/>
        </w:rPr>
        <w:t xml:space="preserve">, at paras. 39, 53 and 68; G. van </w:t>
      </w:r>
      <w:proofErr w:type="spellStart"/>
      <w:r w:rsidRPr="00A16566">
        <w:rPr>
          <w:rFonts w:cs="Times New Roman"/>
          <w:lang w:val="en-US"/>
        </w:rPr>
        <w:t>Ert</w:t>
      </w:r>
      <w:proofErr w:type="spellEnd"/>
      <w:r w:rsidRPr="00A16566">
        <w:rPr>
          <w:rFonts w:cs="Times New Roman"/>
          <w:lang w:val="en-US"/>
        </w:rPr>
        <w:t xml:space="preserve">, “Canadian Cases in Public International Law in 2006-7” (2007), 45 </w:t>
      </w:r>
      <w:r w:rsidRPr="00A16566">
        <w:rPr>
          <w:rFonts w:cs="Times New Roman"/>
          <w:i/>
          <w:lang w:val="en-US"/>
        </w:rPr>
        <w:t xml:space="preserve">Can. </w:t>
      </w:r>
      <w:proofErr w:type="spellStart"/>
      <w:r w:rsidRPr="00A16566">
        <w:rPr>
          <w:rFonts w:cs="Times New Roman"/>
          <w:i/>
          <w:lang w:val="en-US"/>
        </w:rPr>
        <w:t>Y.B</w:t>
      </w:r>
      <w:proofErr w:type="spellEnd"/>
      <w:r w:rsidRPr="00A16566">
        <w:rPr>
          <w:rFonts w:cs="Times New Roman"/>
          <w:i/>
          <w:lang w:val="en-US"/>
        </w:rPr>
        <w:t>. Int’l L.</w:t>
      </w:r>
      <w:r w:rsidRPr="00A16566">
        <w:rPr>
          <w:rFonts w:cs="Times New Roman"/>
          <w:lang w:val="en-US"/>
        </w:rPr>
        <w:t xml:space="preserve"> 527, at p. 551; West, “Canada Stands Alone”, at pp. 13-14). As well, concerns over international comity and the policy goal of increasing international cooperation between police forces should not be permitted to overtake a proper purposive interpretation or used to insulate state conduct from judicial review (Currie and </w:t>
      </w:r>
      <w:proofErr w:type="spellStart"/>
      <w:r w:rsidRPr="00A16566">
        <w:rPr>
          <w:rFonts w:cs="Times New Roman"/>
          <w:lang w:val="en-US"/>
        </w:rPr>
        <w:t>Rikhof</w:t>
      </w:r>
      <w:proofErr w:type="spellEnd"/>
      <w:r w:rsidRPr="00A16566">
        <w:rPr>
          <w:rFonts w:cs="Times New Roman"/>
          <w:lang w:val="en-US"/>
        </w:rPr>
        <w:t xml:space="preserve">, at pp. 628-29). </w:t>
      </w:r>
    </w:p>
    <w:p w14:paraId="1CEC4712" w14:textId="77777777" w:rsidR="00A16566" w:rsidRPr="00A16566" w:rsidRDefault="00A16566" w:rsidP="00A16566">
      <w:pPr>
        <w:pStyle w:val="ParaNoNdepar-AltN"/>
        <w:rPr>
          <w:rFonts w:cs="Times New Roman"/>
          <w:lang w:val="en-US"/>
        </w:rPr>
      </w:pPr>
      <w:r w:rsidRPr="00A16566">
        <w:rPr>
          <w:rFonts w:cs="Times New Roman"/>
          <w:lang w:val="en-US"/>
        </w:rPr>
        <w:t xml:space="preserve">Additionally, </w:t>
      </w:r>
      <w:proofErr w:type="spellStart"/>
      <w:r w:rsidRPr="00A16566">
        <w:rPr>
          <w:rFonts w:cs="Times New Roman"/>
          <w:i/>
          <w:lang w:val="en-US"/>
        </w:rPr>
        <w:t>Hape</w:t>
      </w:r>
      <w:proofErr w:type="spellEnd"/>
      <w:r w:rsidRPr="00A16566">
        <w:rPr>
          <w:rFonts w:cs="Times New Roman"/>
          <w:i/>
          <w:lang w:val="en-US"/>
        </w:rPr>
        <w:t xml:space="preserve"> </w:t>
      </w:r>
      <w:r w:rsidRPr="00A16566">
        <w:rPr>
          <w:rFonts w:cs="Times New Roman"/>
          <w:lang w:val="en-US"/>
        </w:rPr>
        <w:t xml:space="preserve">applied the presumption of conformity — a principle of </w:t>
      </w:r>
      <w:r w:rsidRPr="00A16566">
        <w:rPr>
          <w:rFonts w:cs="Times New Roman"/>
          <w:i/>
          <w:lang w:val="en-US"/>
        </w:rPr>
        <w:t xml:space="preserve">statutory </w:t>
      </w:r>
      <w:r w:rsidRPr="00A16566">
        <w:rPr>
          <w:rFonts w:cs="Times New Roman"/>
          <w:lang w:val="en-US"/>
        </w:rPr>
        <w:t xml:space="preserve">interpretation (para. 53) — to its interpretation of s. 32(1) </w:t>
      </w:r>
      <w:r w:rsidRPr="00A16566">
        <w:rPr>
          <w:rFonts w:cs="Times New Roman"/>
        </w:rPr>
        <w:t>(</w:t>
      </w:r>
      <w:r w:rsidRPr="00A16566">
        <w:rPr>
          <w:rFonts w:cs="Times New Roman"/>
          <w:lang w:val="en-US"/>
        </w:rPr>
        <w:t xml:space="preserve">Currie (2008), at p. 315; </w:t>
      </w:r>
      <w:proofErr w:type="spellStart"/>
      <w:r w:rsidRPr="00A16566">
        <w:rPr>
          <w:rFonts w:cs="Times New Roman"/>
          <w:lang w:val="en-US"/>
        </w:rPr>
        <w:t>Sethi</w:t>
      </w:r>
      <w:proofErr w:type="spellEnd"/>
      <w:r w:rsidRPr="00A16566">
        <w:rPr>
          <w:rFonts w:cs="Times New Roman"/>
          <w:lang w:val="en-US"/>
        </w:rPr>
        <w:t xml:space="preserve">, at p. 113; J. H. Currie, “International Human Rights Law in the Supreme Court’s Charter Jurisprudence: Commitment, Retrenchment </w:t>
      </w:r>
      <w:r w:rsidRPr="00A16566">
        <w:rPr>
          <w:rFonts w:cs="Times New Roman"/>
          <w:i/>
          <w:lang w:val="en-US"/>
        </w:rPr>
        <w:t>and</w:t>
      </w:r>
      <w:r w:rsidRPr="00A16566">
        <w:rPr>
          <w:rFonts w:cs="Times New Roman"/>
          <w:lang w:val="en-US"/>
        </w:rPr>
        <w:t xml:space="preserve"> Retreat — In No Particular Order” (2010), 50 </w:t>
      </w:r>
      <w:proofErr w:type="spellStart"/>
      <w:r w:rsidRPr="00A16566">
        <w:rPr>
          <w:rFonts w:cs="Times New Roman"/>
          <w:i/>
          <w:lang w:val="en-US"/>
        </w:rPr>
        <w:t>S.C.L.R</w:t>
      </w:r>
      <w:proofErr w:type="spellEnd"/>
      <w:r w:rsidRPr="00A16566">
        <w:rPr>
          <w:rFonts w:cs="Times New Roman"/>
          <w:i/>
          <w:lang w:val="en-US"/>
        </w:rPr>
        <w:t>.</w:t>
      </w:r>
      <w:r w:rsidRPr="00A16566">
        <w:rPr>
          <w:rFonts w:cs="Times New Roman"/>
          <w:lang w:val="en-US"/>
        </w:rPr>
        <w:t xml:space="preserve"> (</w:t>
      </w:r>
      <w:proofErr w:type="spellStart"/>
      <w:r w:rsidRPr="00A16566">
        <w:rPr>
          <w:rFonts w:cs="Times New Roman"/>
          <w:lang w:val="en-US"/>
        </w:rPr>
        <w:t>2d</w:t>
      </w:r>
      <w:proofErr w:type="spellEnd"/>
      <w:r w:rsidRPr="00A16566">
        <w:rPr>
          <w:rFonts w:cs="Times New Roman"/>
          <w:lang w:val="en-US"/>
        </w:rPr>
        <w:t xml:space="preserve">) 423, </w:t>
      </w:r>
      <w:r w:rsidRPr="00A16566">
        <w:rPr>
          <w:rFonts w:cs="Times New Roman"/>
        </w:rPr>
        <w:t>at</w:t>
      </w:r>
      <w:r w:rsidRPr="00A16566">
        <w:rPr>
          <w:rFonts w:cs="Times New Roman"/>
          <w:lang w:val="en-US"/>
        </w:rPr>
        <w:t xml:space="preserve"> pp. 441</w:t>
      </w:r>
      <w:r w:rsidRPr="00A16566">
        <w:rPr>
          <w:rFonts w:cs="Times New Roman"/>
          <w:lang w:val="en-US"/>
        </w:rPr>
        <w:noBreakHyphen/>
        <w:t>43 and 453</w:t>
      </w:r>
      <w:r w:rsidRPr="00A16566">
        <w:rPr>
          <w:rFonts w:cs="Times New Roman"/>
          <w:lang w:val="en-US"/>
        </w:rPr>
        <w:noBreakHyphen/>
        <w:t xml:space="preserve">54). The presumptions used in </w:t>
      </w:r>
      <w:r w:rsidRPr="00A16566">
        <w:rPr>
          <w:rFonts w:cs="Times New Roman"/>
          <w:i/>
          <w:lang w:val="en-US"/>
        </w:rPr>
        <w:t>Charter</w:t>
      </w:r>
      <w:r w:rsidRPr="00A16566">
        <w:rPr>
          <w:rFonts w:cs="Times New Roman"/>
          <w:lang w:val="en-US"/>
        </w:rPr>
        <w:t xml:space="preserve"> interpretation are different from those used in statutory interpretation (</w:t>
      </w:r>
      <w:r w:rsidRPr="00A16566">
        <w:rPr>
          <w:rFonts w:cs="Times New Roman"/>
          <w:i/>
          <w:lang w:val="en-US"/>
        </w:rPr>
        <w:t>Hunter</w:t>
      </w:r>
      <w:r w:rsidRPr="00A16566">
        <w:rPr>
          <w:rFonts w:cs="Times New Roman"/>
          <w:lang w:val="en-US"/>
        </w:rPr>
        <w:t xml:space="preserve">, at p. 155). Rather than presuming conformity, in the </w:t>
      </w:r>
      <w:r w:rsidRPr="00A16566">
        <w:rPr>
          <w:rFonts w:cs="Times New Roman"/>
          <w:i/>
          <w:lang w:val="en-US"/>
        </w:rPr>
        <w:t xml:space="preserve">Charter </w:t>
      </w:r>
      <w:r w:rsidRPr="00A16566">
        <w:rPr>
          <w:rFonts w:cs="Times New Roman"/>
          <w:lang w:val="en-US"/>
        </w:rPr>
        <w:t xml:space="preserve">context we presume that the </w:t>
      </w:r>
      <w:r w:rsidRPr="00A16566">
        <w:rPr>
          <w:rFonts w:cs="Times New Roman"/>
          <w:i/>
          <w:lang w:val="en-US"/>
        </w:rPr>
        <w:t>Charter</w:t>
      </w:r>
      <w:r w:rsidRPr="00A16566">
        <w:rPr>
          <w:rFonts w:cs="Times New Roman"/>
          <w:i/>
        </w:rPr>
        <w:t xml:space="preserve"> </w:t>
      </w:r>
      <w:r w:rsidRPr="00A16566">
        <w:rPr>
          <w:rFonts w:cs="Times New Roman"/>
        </w:rPr>
        <w:t>“</w:t>
      </w:r>
      <w:r w:rsidRPr="00A16566">
        <w:rPr>
          <w:rFonts w:cs="Times New Roman"/>
          <w:lang w:val="en-US"/>
        </w:rPr>
        <w:t xml:space="preserve">provide[s] protection at least as great as that afforded by similar provisions in international human rights documents which Canada has ratified”, creating a floor — but not a ceiling — for </w:t>
      </w:r>
      <w:r w:rsidRPr="00A16566">
        <w:rPr>
          <w:rFonts w:cs="Times New Roman"/>
          <w:i/>
          <w:lang w:val="en-US"/>
        </w:rPr>
        <w:t>Charter</w:t>
      </w:r>
      <w:r w:rsidRPr="00A16566">
        <w:rPr>
          <w:rFonts w:cs="Times New Roman"/>
          <w:lang w:val="en-US"/>
        </w:rPr>
        <w:t xml:space="preserve"> protections based on binding international human rights instruments (</w:t>
      </w:r>
      <w:r w:rsidRPr="00A16566">
        <w:rPr>
          <w:rFonts w:cs="Times New Roman"/>
          <w:i/>
          <w:lang w:val="en-US"/>
        </w:rPr>
        <w:t>Reference re Public Service Employee Relations Act (Alta.)</w:t>
      </w:r>
      <w:r w:rsidRPr="00A16566">
        <w:rPr>
          <w:rFonts w:cs="Times New Roman"/>
          <w:lang w:val="en-US"/>
        </w:rPr>
        <w:t xml:space="preserve">, [1987] 1 </w:t>
      </w:r>
      <w:proofErr w:type="spellStart"/>
      <w:r w:rsidRPr="00A16566">
        <w:rPr>
          <w:rFonts w:cs="Times New Roman"/>
          <w:lang w:val="en-US"/>
        </w:rPr>
        <w:t>S.C.R</w:t>
      </w:r>
      <w:proofErr w:type="spellEnd"/>
      <w:r w:rsidRPr="00A16566">
        <w:rPr>
          <w:rFonts w:cs="Times New Roman"/>
          <w:lang w:val="en-US"/>
        </w:rPr>
        <w:t xml:space="preserve">. 313, at p. 349, per Dickson </w:t>
      </w:r>
      <w:proofErr w:type="spellStart"/>
      <w:r w:rsidRPr="00A16566">
        <w:rPr>
          <w:rFonts w:cs="Times New Roman"/>
          <w:lang w:val="en-US"/>
        </w:rPr>
        <w:t>C.J</w:t>
      </w:r>
      <w:proofErr w:type="spellEnd"/>
      <w:r w:rsidRPr="00A16566">
        <w:rPr>
          <w:rFonts w:cs="Times New Roman"/>
          <w:lang w:val="en-US"/>
        </w:rPr>
        <w:t xml:space="preserve">.; </w:t>
      </w:r>
      <w:proofErr w:type="spellStart"/>
      <w:r w:rsidRPr="00A16566">
        <w:rPr>
          <w:rFonts w:cs="Times New Roman"/>
          <w:i/>
          <w:lang w:val="en-US"/>
        </w:rPr>
        <w:t>Slaight</w:t>
      </w:r>
      <w:proofErr w:type="spellEnd"/>
      <w:r w:rsidRPr="00A16566">
        <w:rPr>
          <w:rFonts w:cs="Times New Roman"/>
          <w:i/>
          <w:lang w:val="en-US"/>
        </w:rPr>
        <w:t xml:space="preserve"> Communications Inc. v. Davidson</w:t>
      </w:r>
      <w:r w:rsidRPr="00A16566">
        <w:rPr>
          <w:rFonts w:cs="Times New Roman"/>
          <w:lang w:val="en-US"/>
        </w:rPr>
        <w:t xml:space="preserve">, [1989] 1 </w:t>
      </w:r>
      <w:proofErr w:type="spellStart"/>
      <w:r w:rsidRPr="00A16566">
        <w:rPr>
          <w:rFonts w:cs="Times New Roman"/>
          <w:lang w:val="en-US"/>
        </w:rPr>
        <w:t>S.C.R</w:t>
      </w:r>
      <w:proofErr w:type="spellEnd"/>
      <w:r w:rsidRPr="00A16566">
        <w:rPr>
          <w:rFonts w:cs="Times New Roman"/>
          <w:lang w:val="en-US"/>
        </w:rPr>
        <w:t xml:space="preserve">. 1038, at p. 1056, quoted in </w:t>
      </w:r>
      <w:proofErr w:type="spellStart"/>
      <w:r w:rsidRPr="00A16566">
        <w:rPr>
          <w:rFonts w:cs="Times New Roman"/>
          <w:i/>
          <w:lang w:val="en-US"/>
        </w:rPr>
        <w:t>Hape</w:t>
      </w:r>
      <w:proofErr w:type="spellEnd"/>
      <w:r w:rsidRPr="00A16566">
        <w:rPr>
          <w:rFonts w:cs="Times New Roman"/>
          <w:lang w:val="en-US"/>
        </w:rPr>
        <w:t xml:space="preserve">, at para. 55; L. West, “‘Within or Outside Canada’: The Charter’s Application to the Extraterritorial Activities of the Canadian Security Intelligence Service” (2023), 73 </w:t>
      </w:r>
      <w:proofErr w:type="spellStart"/>
      <w:r w:rsidRPr="00A16566">
        <w:rPr>
          <w:rFonts w:cs="Times New Roman"/>
          <w:i/>
          <w:lang w:val="en-US"/>
        </w:rPr>
        <w:t>U.T.L.J</w:t>
      </w:r>
      <w:proofErr w:type="spellEnd"/>
      <w:r w:rsidRPr="00A16566">
        <w:rPr>
          <w:rFonts w:cs="Times New Roman"/>
          <w:i/>
          <w:lang w:val="en-US"/>
        </w:rPr>
        <w:t>.</w:t>
      </w:r>
      <w:r w:rsidRPr="00A16566">
        <w:rPr>
          <w:rFonts w:cs="Times New Roman"/>
          <w:lang w:val="en-US"/>
        </w:rPr>
        <w:t xml:space="preserve"> 1, at p. 39; Currie (2008), at p. 321). </w:t>
      </w:r>
      <w:proofErr w:type="spellStart"/>
      <w:r w:rsidRPr="00A16566">
        <w:rPr>
          <w:rFonts w:cs="Times New Roman"/>
          <w:i/>
          <w:lang w:val="en-US"/>
        </w:rPr>
        <w:t>Hape</w:t>
      </w:r>
      <w:r w:rsidRPr="00A16566">
        <w:rPr>
          <w:rFonts w:cs="Times New Roman"/>
          <w:lang w:val="en-US"/>
        </w:rPr>
        <w:t>’s</w:t>
      </w:r>
      <w:proofErr w:type="spellEnd"/>
      <w:r w:rsidRPr="00A16566">
        <w:rPr>
          <w:rFonts w:cs="Times New Roman"/>
          <w:lang w:val="en-US"/>
        </w:rPr>
        <w:t xml:space="preserve"> application of international law principles and statutory interpretation principles to its interpretation of s. 32(1), contrary to the established purposive approach, suggests the need for reconsideration. </w:t>
      </w:r>
    </w:p>
    <w:p w14:paraId="2F6F34EA" w14:textId="77777777" w:rsidR="00A16566" w:rsidRPr="00A16566" w:rsidRDefault="00A16566" w:rsidP="00A16566">
      <w:pPr>
        <w:pStyle w:val="ParaNoNdepar-AltN"/>
        <w:rPr>
          <w:rFonts w:cs="Times New Roman"/>
          <w:lang w:val="en-US"/>
        </w:rPr>
      </w:pPr>
      <w:r w:rsidRPr="00A16566">
        <w:rPr>
          <w:rFonts w:cs="Times New Roman"/>
          <w:lang w:val="en-US"/>
        </w:rPr>
        <w:t xml:space="preserve">Second, according to international law scholars, this portion of </w:t>
      </w:r>
      <w:proofErr w:type="spellStart"/>
      <w:r w:rsidRPr="00A16566">
        <w:rPr>
          <w:rFonts w:cs="Times New Roman"/>
          <w:i/>
          <w:lang w:val="en-US"/>
        </w:rPr>
        <w:t>Hape</w:t>
      </w:r>
      <w:proofErr w:type="spellEnd"/>
      <w:r w:rsidRPr="00A16566">
        <w:rPr>
          <w:rFonts w:cs="Times New Roman"/>
          <w:i/>
          <w:lang w:val="en-US"/>
        </w:rPr>
        <w:t xml:space="preserve"> </w:t>
      </w:r>
      <w:r w:rsidRPr="00A16566">
        <w:rPr>
          <w:rFonts w:cs="Times New Roman"/>
          <w:lang w:val="en-US"/>
        </w:rPr>
        <w:t xml:space="preserve">mischaracterizes the extraterritorial </w:t>
      </w:r>
      <w:r w:rsidRPr="00A16566">
        <w:rPr>
          <w:rFonts w:cs="Times New Roman"/>
        </w:rPr>
        <w:t>application</w:t>
      </w:r>
      <w:r w:rsidRPr="00A16566">
        <w:rPr>
          <w:rFonts w:cs="Times New Roman"/>
          <w:lang w:val="en-US"/>
        </w:rPr>
        <w:t xml:space="preserve"> of the </w:t>
      </w:r>
      <w:r w:rsidRPr="00A16566">
        <w:rPr>
          <w:rFonts w:cs="Times New Roman"/>
          <w:i/>
          <w:lang w:val="en-US"/>
        </w:rPr>
        <w:t>Charter</w:t>
      </w:r>
      <w:r w:rsidRPr="00A16566">
        <w:rPr>
          <w:rFonts w:cs="Times New Roman"/>
          <w:lang w:val="en-US"/>
        </w:rPr>
        <w:t xml:space="preserve"> as an unlawful exercise of enforcement jurisdiction. We agree with </w:t>
      </w:r>
      <w:proofErr w:type="spellStart"/>
      <w:r w:rsidRPr="00A16566">
        <w:rPr>
          <w:rFonts w:cs="Times New Roman"/>
          <w:i/>
          <w:lang w:val="en-US"/>
        </w:rPr>
        <w:t>Hape</w:t>
      </w:r>
      <w:proofErr w:type="spellEnd"/>
      <w:r w:rsidRPr="00A16566">
        <w:rPr>
          <w:rFonts w:cs="Times New Roman"/>
          <w:i/>
          <w:lang w:val="en-US"/>
        </w:rPr>
        <w:t xml:space="preserve"> </w:t>
      </w:r>
      <w:r w:rsidRPr="00A16566">
        <w:rPr>
          <w:rFonts w:cs="Times New Roman"/>
          <w:lang w:val="en-US"/>
        </w:rPr>
        <w:t>that Canadian officials conducting an investigation abroad are exercising extraterritorial enforcement jurisdiction (</w:t>
      </w:r>
      <w:proofErr w:type="spellStart"/>
      <w:r w:rsidRPr="00A16566">
        <w:rPr>
          <w:rFonts w:cs="Times New Roman"/>
          <w:i/>
          <w:lang w:val="en-US"/>
        </w:rPr>
        <w:t>Hape</w:t>
      </w:r>
      <w:proofErr w:type="spellEnd"/>
      <w:r w:rsidRPr="00A16566">
        <w:rPr>
          <w:rFonts w:cs="Times New Roman"/>
          <w:lang w:val="en-US"/>
        </w:rPr>
        <w:t xml:space="preserve">, at paras. 58, 64-65 and 105; Currie and </w:t>
      </w:r>
      <w:proofErr w:type="spellStart"/>
      <w:r w:rsidRPr="00A16566">
        <w:rPr>
          <w:rFonts w:cs="Times New Roman"/>
          <w:lang w:val="en-US"/>
        </w:rPr>
        <w:t>Rikhof</w:t>
      </w:r>
      <w:proofErr w:type="spellEnd"/>
      <w:r w:rsidRPr="00A16566">
        <w:rPr>
          <w:rFonts w:cs="Times New Roman"/>
          <w:lang w:val="en-US"/>
        </w:rPr>
        <w:t xml:space="preserve">, at p. 98). But, academics contend that when jurisdictional principles are properly applied, it becomes clear that requiring Canadian officials to comply with the </w:t>
      </w:r>
      <w:r w:rsidRPr="00A16566">
        <w:rPr>
          <w:rFonts w:cs="Times New Roman"/>
          <w:i/>
          <w:lang w:val="en-US"/>
        </w:rPr>
        <w:t xml:space="preserve">Charter </w:t>
      </w:r>
      <w:r w:rsidRPr="00A16566">
        <w:rPr>
          <w:rFonts w:cs="Times New Roman"/>
          <w:lang w:val="en-US"/>
        </w:rPr>
        <w:t xml:space="preserve">when abroad and allowing Canadian courts to assess their conduct for such compliance are exercises of prescriptive and adjudicative jurisdiction respectively, neither of which violate international law nor interfere with the sovereign authority of another state (van </w:t>
      </w:r>
      <w:proofErr w:type="spellStart"/>
      <w:r w:rsidRPr="00A16566">
        <w:rPr>
          <w:rFonts w:cs="Times New Roman"/>
          <w:lang w:val="en-US"/>
        </w:rPr>
        <w:t>Ert</w:t>
      </w:r>
      <w:proofErr w:type="spellEnd"/>
      <w:r w:rsidRPr="00A16566">
        <w:rPr>
          <w:rFonts w:cs="Times New Roman"/>
          <w:lang w:val="en-US"/>
        </w:rPr>
        <w:t xml:space="preserve">, at p. 552; J. Crawford, </w:t>
      </w:r>
      <w:proofErr w:type="spellStart"/>
      <w:r w:rsidRPr="00A16566">
        <w:rPr>
          <w:rFonts w:cs="Times New Roman"/>
          <w:i/>
        </w:rPr>
        <w:t>Brownlie’s</w:t>
      </w:r>
      <w:proofErr w:type="spellEnd"/>
      <w:r w:rsidRPr="00A16566">
        <w:rPr>
          <w:rFonts w:cs="Times New Roman"/>
        </w:rPr>
        <w:t xml:space="preserve"> </w:t>
      </w:r>
      <w:r w:rsidRPr="00A16566">
        <w:rPr>
          <w:rFonts w:cs="Times New Roman"/>
          <w:i/>
          <w:iCs/>
        </w:rPr>
        <w:t>Principles of Public International Law</w:t>
      </w:r>
      <w:r w:rsidRPr="00A16566">
        <w:rPr>
          <w:rFonts w:cs="Times New Roman"/>
          <w:lang w:val="en-US"/>
        </w:rPr>
        <w:t xml:space="preserve"> (9th ed. 2019), at p. 462; see also Currie (2008), at p. 317). These criticisms leave </w:t>
      </w:r>
      <w:proofErr w:type="spellStart"/>
      <w:r w:rsidRPr="00A16566">
        <w:rPr>
          <w:rFonts w:cs="Times New Roman"/>
          <w:i/>
          <w:lang w:val="en-US"/>
        </w:rPr>
        <w:t>Hape</w:t>
      </w:r>
      <w:r w:rsidRPr="00A16566">
        <w:rPr>
          <w:rFonts w:cs="Times New Roman"/>
          <w:lang w:val="en-US"/>
        </w:rPr>
        <w:t>’s</w:t>
      </w:r>
      <w:proofErr w:type="spellEnd"/>
      <w:r w:rsidRPr="00A16566">
        <w:rPr>
          <w:rFonts w:cs="Times New Roman"/>
          <w:lang w:val="en-US"/>
        </w:rPr>
        <w:t xml:space="preserve"> analysis ripe for reconsideration. </w:t>
      </w:r>
    </w:p>
    <w:p w14:paraId="584DB166" w14:textId="77777777" w:rsidR="00A16566" w:rsidRPr="00A16566" w:rsidRDefault="00A16566" w:rsidP="00A16566">
      <w:pPr>
        <w:pStyle w:val="ParaNoNdepar-AltN"/>
        <w:rPr>
          <w:rFonts w:cs="Times New Roman"/>
          <w:lang w:val="en-US"/>
        </w:rPr>
      </w:pPr>
      <w:r w:rsidRPr="00A16566">
        <w:rPr>
          <w:rFonts w:cs="Times New Roman"/>
          <w:lang w:val="en-US"/>
        </w:rPr>
        <w:t xml:space="preserve">Furthermore, </w:t>
      </w:r>
      <w:proofErr w:type="spellStart"/>
      <w:r w:rsidRPr="00A16566">
        <w:rPr>
          <w:rFonts w:cs="Times New Roman"/>
          <w:i/>
          <w:lang w:val="en-US"/>
        </w:rPr>
        <w:t>Hape</w:t>
      </w:r>
      <w:proofErr w:type="spellEnd"/>
      <w:r w:rsidRPr="00A16566">
        <w:rPr>
          <w:rFonts w:cs="Times New Roman"/>
          <w:i/>
          <w:lang w:val="en-US"/>
        </w:rPr>
        <w:t xml:space="preserve"> </w:t>
      </w:r>
      <w:r w:rsidRPr="00A16566">
        <w:rPr>
          <w:rFonts w:cs="Times New Roman"/>
          <w:lang w:val="en-US"/>
        </w:rPr>
        <w:t xml:space="preserve">equated the application of the </w:t>
      </w:r>
      <w:r w:rsidRPr="00A16566">
        <w:rPr>
          <w:rFonts w:cs="Times New Roman"/>
          <w:i/>
          <w:lang w:val="en-US"/>
        </w:rPr>
        <w:t>Charter</w:t>
      </w:r>
      <w:r w:rsidRPr="00A16566">
        <w:rPr>
          <w:rFonts w:cs="Times New Roman"/>
          <w:lang w:val="en-US"/>
        </w:rPr>
        <w:t xml:space="preserve"> with a requirement that Canadian procedure govern the investigation (paras. 84, 86 and 98), which muddied the analysis. Applying the </w:t>
      </w:r>
      <w:r w:rsidRPr="00A16566">
        <w:rPr>
          <w:rFonts w:cs="Times New Roman"/>
          <w:i/>
          <w:lang w:val="en-US"/>
        </w:rPr>
        <w:t>Charter</w:t>
      </w:r>
      <w:r w:rsidRPr="00A16566">
        <w:rPr>
          <w:rFonts w:cs="Times New Roman"/>
          <w:lang w:val="en-US"/>
        </w:rPr>
        <w:t xml:space="preserve"> to the </w:t>
      </w:r>
      <w:r w:rsidRPr="00A16566">
        <w:rPr>
          <w:rFonts w:cs="Times New Roman"/>
        </w:rPr>
        <w:t>conduct</w:t>
      </w:r>
      <w:r w:rsidRPr="00A16566">
        <w:rPr>
          <w:rFonts w:cs="Times New Roman"/>
          <w:lang w:val="en-US"/>
        </w:rPr>
        <w:t xml:space="preserve"> of Canadian officials acting abroad is not the same thing as requiring Canadian laws of criminal procedure to govern the foreign investigation (Currie and </w:t>
      </w:r>
      <w:proofErr w:type="spellStart"/>
      <w:r w:rsidRPr="00A16566">
        <w:rPr>
          <w:rFonts w:cs="Times New Roman"/>
          <w:lang w:val="en-US"/>
        </w:rPr>
        <w:t>Rikhof</w:t>
      </w:r>
      <w:proofErr w:type="spellEnd"/>
      <w:r w:rsidRPr="00A16566">
        <w:rPr>
          <w:rFonts w:cs="Times New Roman"/>
          <w:lang w:val="en-US"/>
        </w:rPr>
        <w:t xml:space="preserve">, at p. 634). The </w:t>
      </w:r>
      <w:r w:rsidRPr="00A16566">
        <w:rPr>
          <w:rFonts w:cs="Times New Roman"/>
          <w:i/>
          <w:lang w:val="en-US"/>
        </w:rPr>
        <w:t>Charter</w:t>
      </w:r>
      <w:r w:rsidRPr="00A16566">
        <w:rPr>
          <w:rFonts w:cs="Times New Roman"/>
          <w:lang w:val="en-US"/>
        </w:rPr>
        <w:t xml:space="preserve"> does not govern the activities of foreign officials and Canadian officials engaging in enforcement activities in another state are required to comply with that state’s laws (</w:t>
      </w:r>
      <w:r w:rsidRPr="00A16566">
        <w:rPr>
          <w:rFonts w:cs="Times New Roman"/>
          <w:i/>
        </w:rPr>
        <w:t>R. v. Terry</w:t>
      </w:r>
      <w:r w:rsidRPr="00A16566">
        <w:rPr>
          <w:rFonts w:cs="Times New Roman"/>
        </w:rPr>
        <w:t xml:space="preserve">, [1996] 2 </w:t>
      </w:r>
      <w:proofErr w:type="spellStart"/>
      <w:r w:rsidRPr="00A16566">
        <w:rPr>
          <w:rFonts w:cs="Times New Roman"/>
        </w:rPr>
        <w:t>S.C.R</w:t>
      </w:r>
      <w:proofErr w:type="spellEnd"/>
      <w:r w:rsidRPr="00A16566">
        <w:rPr>
          <w:rFonts w:cs="Times New Roman"/>
        </w:rPr>
        <w:t xml:space="preserve">. 207, </w:t>
      </w:r>
      <w:r w:rsidRPr="00A16566">
        <w:rPr>
          <w:rFonts w:cs="Times New Roman"/>
          <w:lang w:val="en-US"/>
        </w:rPr>
        <w:t xml:space="preserve">at para. 19; </w:t>
      </w:r>
      <w:r w:rsidRPr="00A16566">
        <w:rPr>
          <w:rFonts w:cs="Times New Roman"/>
          <w:i/>
        </w:rPr>
        <w:t xml:space="preserve">R. v. </w:t>
      </w:r>
      <w:proofErr w:type="spellStart"/>
      <w:r w:rsidRPr="00A16566">
        <w:rPr>
          <w:rFonts w:cs="Times New Roman"/>
          <w:i/>
        </w:rPr>
        <w:t>Harrer</w:t>
      </w:r>
      <w:proofErr w:type="spellEnd"/>
      <w:r w:rsidRPr="00A16566">
        <w:rPr>
          <w:rFonts w:cs="Times New Roman"/>
        </w:rPr>
        <w:t xml:space="preserve">, [1995] 3 </w:t>
      </w:r>
      <w:proofErr w:type="spellStart"/>
      <w:r w:rsidRPr="00A16566">
        <w:rPr>
          <w:rFonts w:cs="Times New Roman"/>
        </w:rPr>
        <w:t>S.C.R</w:t>
      </w:r>
      <w:proofErr w:type="spellEnd"/>
      <w:r w:rsidRPr="00A16566">
        <w:rPr>
          <w:rFonts w:cs="Times New Roman"/>
        </w:rPr>
        <w:t xml:space="preserve">. 562, </w:t>
      </w:r>
      <w:r w:rsidRPr="00A16566">
        <w:rPr>
          <w:rFonts w:cs="Times New Roman"/>
          <w:lang w:val="en-US"/>
        </w:rPr>
        <w:t xml:space="preserve">at para. 15). State sovereignty is respected by gaining consent to participate in the investigation and by requiring that Canadian officers conducting duties abroad comply with the laws of the foreign state. Requiring Canadian authorities to also abide by the </w:t>
      </w:r>
      <w:r w:rsidRPr="00A16566">
        <w:rPr>
          <w:rFonts w:cs="Times New Roman"/>
          <w:i/>
          <w:lang w:val="en-US"/>
        </w:rPr>
        <w:t>Charter</w:t>
      </w:r>
      <w:r w:rsidRPr="00A16566">
        <w:rPr>
          <w:rFonts w:cs="Times New Roman"/>
          <w:lang w:val="en-US"/>
        </w:rPr>
        <w:t xml:space="preserve"> does not preclude the need to respect foreign law prerequisites. </w:t>
      </w:r>
    </w:p>
    <w:p w14:paraId="379B7F54" w14:textId="77777777" w:rsidR="00A16566" w:rsidRPr="00A16566" w:rsidRDefault="00A16566" w:rsidP="00A16566">
      <w:pPr>
        <w:pStyle w:val="ParaNoNdepar-AltN"/>
        <w:rPr>
          <w:rFonts w:cs="Times New Roman"/>
          <w:lang w:val="en-US"/>
        </w:rPr>
      </w:pPr>
      <w:r w:rsidRPr="00A16566">
        <w:rPr>
          <w:rFonts w:cs="Times New Roman"/>
          <w:lang w:val="en-US"/>
        </w:rPr>
        <w:t xml:space="preserve">In addition, scholarship and foreign case law suggest comity concerns are minimal. States routinely apply their domestic law to </w:t>
      </w:r>
      <w:r w:rsidRPr="00A16566">
        <w:rPr>
          <w:rFonts w:cs="Times New Roman"/>
        </w:rPr>
        <w:t>the</w:t>
      </w:r>
      <w:r w:rsidRPr="00A16566">
        <w:rPr>
          <w:rFonts w:cs="Times New Roman"/>
          <w:lang w:val="en-US"/>
        </w:rPr>
        <w:t xml:space="preserve"> actions of their officials abroad, without seeking the consent of the territorial state (M. </w:t>
      </w:r>
      <w:proofErr w:type="spellStart"/>
      <w:r w:rsidRPr="00A16566">
        <w:rPr>
          <w:rFonts w:cs="Times New Roman"/>
          <w:lang w:val="en-US"/>
        </w:rPr>
        <w:t>Milanovic</w:t>
      </w:r>
      <w:proofErr w:type="spellEnd"/>
      <w:r w:rsidRPr="00A16566">
        <w:rPr>
          <w:rFonts w:cs="Times New Roman"/>
          <w:lang w:val="en-US"/>
        </w:rPr>
        <w:t xml:space="preserve">, </w:t>
      </w:r>
      <w:r w:rsidRPr="00A16566">
        <w:rPr>
          <w:rFonts w:cs="Times New Roman"/>
          <w:i/>
          <w:lang w:val="en-US"/>
        </w:rPr>
        <w:t>Extraterritorial Application of Human Rights Treaties: Law, Principles, and Policy</w:t>
      </w:r>
      <w:r w:rsidRPr="00A16566">
        <w:rPr>
          <w:rFonts w:cs="Times New Roman"/>
          <w:lang w:val="en-US"/>
        </w:rPr>
        <w:t xml:space="preserve"> (2011), at p. 65; see, e.g., </w:t>
      </w:r>
      <w:r w:rsidRPr="00A16566">
        <w:rPr>
          <w:rFonts w:cs="Times New Roman"/>
          <w:i/>
        </w:rPr>
        <w:t xml:space="preserve">United States v. </w:t>
      </w:r>
      <w:proofErr w:type="spellStart"/>
      <w:r w:rsidRPr="00A16566">
        <w:rPr>
          <w:rFonts w:cs="Times New Roman"/>
          <w:i/>
        </w:rPr>
        <w:t>Verdugo-Urquidez</w:t>
      </w:r>
      <w:proofErr w:type="spellEnd"/>
      <w:r w:rsidRPr="00A16566">
        <w:rPr>
          <w:rFonts w:cs="Times New Roman"/>
        </w:rPr>
        <w:t xml:space="preserve">, 494 U.S. 259 (1990), at p. 283, fn. 7, per Brennan J., dissenting; </w:t>
      </w:r>
      <w:r w:rsidRPr="00A16566">
        <w:rPr>
          <w:rFonts w:cs="Times New Roman"/>
          <w:lang w:val="en-US"/>
        </w:rPr>
        <w:t xml:space="preserve">C. McLachlan, </w:t>
      </w:r>
      <w:r w:rsidRPr="00A16566">
        <w:rPr>
          <w:rFonts w:cs="Times New Roman"/>
          <w:i/>
          <w:lang w:val="en-US"/>
        </w:rPr>
        <w:t>Foreign Relations Law</w:t>
      </w:r>
      <w:r w:rsidRPr="00A16566">
        <w:rPr>
          <w:rFonts w:cs="Times New Roman"/>
          <w:lang w:val="en-US"/>
        </w:rPr>
        <w:t xml:space="preserve"> (2014), at paras. 5.154-5.156; </w:t>
      </w:r>
      <w:r w:rsidRPr="00A16566">
        <w:rPr>
          <w:rFonts w:cs="Times New Roman"/>
          <w:i/>
        </w:rPr>
        <w:t>Smith v. Ministry of Defence</w:t>
      </w:r>
      <w:r w:rsidRPr="00A16566">
        <w:rPr>
          <w:rFonts w:cs="Times New Roman"/>
        </w:rPr>
        <w:t xml:space="preserve">, [2013] </w:t>
      </w:r>
      <w:proofErr w:type="spellStart"/>
      <w:r w:rsidRPr="00A16566">
        <w:rPr>
          <w:rFonts w:cs="Times New Roman"/>
        </w:rPr>
        <w:t>UKSC</w:t>
      </w:r>
      <w:proofErr w:type="spellEnd"/>
      <w:r w:rsidRPr="00A16566">
        <w:rPr>
          <w:rFonts w:cs="Times New Roman"/>
        </w:rPr>
        <w:t xml:space="preserve"> 41, [2014] </w:t>
      </w:r>
      <w:proofErr w:type="spellStart"/>
      <w:r w:rsidRPr="00A16566">
        <w:rPr>
          <w:rFonts w:cs="Times New Roman"/>
        </w:rPr>
        <w:t>A.C</w:t>
      </w:r>
      <w:proofErr w:type="spellEnd"/>
      <w:r w:rsidRPr="00A16566">
        <w:rPr>
          <w:rFonts w:cs="Times New Roman"/>
        </w:rPr>
        <w:t>. 52, at paras. 46</w:t>
      </w:r>
      <w:r w:rsidRPr="00A16566">
        <w:rPr>
          <w:rFonts w:cs="Times New Roman"/>
        </w:rPr>
        <w:noBreakHyphen/>
        <w:t xml:space="preserve">49; </w:t>
      </w:r>
      <w:r w:rsidRPr="00A16566">
        <w:rPr>
          <w:rFonts w:cs="Times New Roman"/>
          <w:i/>
          <w:lang w:val="en-US"/>
        </w:rPr>
        <w:t>Kaunda v. President of the Republic of South Africa</w:t>
      </w:r>
      <w:r w:rsidRPr="00A16566">
        <w:rPr>
          <w:rFonts w:cs="Times New Roman"/>
          <w:lang w:val="en-US"/>
        </w:rPr>
        <w:t xml:space="preserve">, [2004] </w:t>
      </w:r>
      <w:proofErr w:type="spellStart"/>
      <w:r w:rsidRPr="00A16566">
        <w:rPr>
          <w:rFonts w:cs="Times New Roman"/>
          <w:lang w:val="en-US"/>
        </w:rPr>
        <w:t>ZACC</w:t>
      </w:r>
      <w:proofErr w:type="spellEnd"/>
      <w:r w:rsidRPr="00A16566">
        <w:rPr>
          <w:rFonts w:cs="Times New Roman"/>
          <w:lang w:val="en-US"/>
        </w:rPr>
        <w:t xml:space="preserve"> 5, 2005 (4) S.A. 235, at paras</w:t>
      </w:r>
      <w:r w:rsidRPr="00A16566">
        <w:rPr>
          <w:rFonts w:cs="Times New Roman"/>
        </w:rPr>
        <w:t>.</w:t>
      </w:r>
      <w:r w:rsidRPr="00A16566">
        <w:rPr>
          <w:rFonts w:cs="Times New Roman"/>
          <w:lang w:val="en-US"/>
        </w:rPr>
        <w:t xml:space="preserve"> 42-44 and 228-29;</w:t>
      </w:r>
      <w:r w:rsidRPr="00A16566">
        <w:rPr>
          <w:rFonts w:cs="Times New Roman"/>
        </w:rPr>
        <w:t xml:space="preserve"> </w:t>
      </w:r>
      <w:r w:rsidRPr="00A16566">
        <w:rPr>
          <w:rFonts w:cs="Times New Roman"/>
          <w:i/>
          <w:lang w:val="en-US"/>
        </w:rPr>
        <w:t>Young v. Attorney-General</w:t>
      </w:r>
      <w:r w:rsidRPr="00A16566">
        <w:rPr>
          <w:rFonts w:cs="Times New Roman"/>
          <w:lang w:val="en-US"/>
        </w:rPr>
        <w:t>,</w:t>
      </w:r>
      <w:r w:rsidRPr="00A16566">
        <w:rPr>
          <w:rFonts w:cs="Times New Roman"/>
          <w:i/>
          <w:lang w:val="en-US"/>
        </w:rPr>
        <w:t xml:space="preserve"> </w:t>
      </w:r>
      <w:r w:rsidRPr="00A16566">
        <w:rPr>
          <w:rFonts w:eastAsia="Times New Roman" w:cs="Times New Roman"/>
          <w:szCs w:val="24"/>
          <w:lang w:eastAsia="en-CA"/>
        </w:rPr>
        <w:t xml:space="preserve">[2018] </w:t>
      </w:r>
      <w:proofErr w:type="spellStart"/>
      <w:r w:rsidRPr="00A16566">
        <w:rPr>
          <w:rFonts w:eastAsia="Times New Roman" w:cs="Times New Roman"/>
          <w:szCs w:val="24"/>
          <w:lang w:eastAsia="en-CA"/>
        </w:rPr>
        <w:t>NZCA</w:t>
      </w:r>
      <w:proofErr w:type="spellEnd"/>
      <w:r w:rsidRPr="00A16566">
        <w:rPr>
          <w:rFonts w:eastAsia="Times New Roman" w:cs="Times New Roman"/>
          <w:szCs w:val="24"/>
          <w:lang w:eastAsia="en-CA"/>
        </w:rPr>
        <w:t xml:space="preserve"> 307</w:t>
      </w:r>
      <w:r w:rsidRPr="00A16566">
        <w:rPr>
          <w:rFonts w:cs="Times New Roman"/>
          <w:lang w:val="en-US"/>
        </w:rPr>
        <w:t xml:space="preserve">, [2018] 3 </w:t>
      </w:r>
      <w:proofErr w:type="spellStart"/>
      <w:r w:rsidRPr="00A16566">
        <w:rPr>
          <w:rFonts w:cs="Times New Roman"/>
          <w:lang w:val="en-US"/>
        </w:rPr>
        <w:t>N.Z.L.R</w:t>
      </w:r>
      <w:proofErr w:type="spellEnd"/>
      <w:r w:rsidRPr="00A16566">
        <w:rPr>
          <w:rFonts w:cs="Times New Roman"/>
          <w:lang w:val="en-US"/>
        </w:rPr>
        <w:t>. 827, at paras</w:t>
      </w:r>
      <w:r w:rsidRPr="00A16566">
        <w:rPr>
          <w:rFonts w:cs="Times New Roman"/>
        </w:rPr>
        <w:t>.</w:t>
      </w:r>
      <w:r w:rsidRPr="00A16566">
        <w:rPr>
          <w:rFonts w:cs="Times New Roman"/>
          <w:lang w:val="en-US"/>
        </w:rPr>
        <w:t xml:space="preserve"> 28-30; </w:t>
      </w:r>
      <w:r w:rsidRPr="00A16566">
        <w:rPr>
          <w:rFonts w:cs="Times New Roman"/>
          <w:i/>
          <w:lang w:val="en-US"/>
        </w:rPr>
        <w:t>Smith v. R.</w:t>
      </w:r>
      <w:r w:rsidRPr="00A16566">
        <w:rPr>
          <w:rFonts w:cs="Times New Roman"/>
          <w:lang w:val="en-US"/>
        </w:rPr>
        <w:t xml:space="preserve">, [2020] </w:t>
      </w:r>
      <w:proofErr w:type="spellStart"/>
      <w:r w:rsidRPr="00A16566">
        <w:rPr>
          <w:rFonts w:cs="Times New Roman"/>
          <w:lang w:val="en-US"/>
        </w:rPr>
        <w:t>NZCA</w:t>
      </w:r>
      <w:proofErr w:type="spellEnd"/>
      <w:r w:rsidRPr="00A16566">
        <w:rPr>
          <w:rFonts w:cs="Times New Roman"/>
          <w:lang w:val="en-US"/>
        </w:rPr>
        <w:t xml:space="preserve"> 499, [2021] 3 </w:t>
      </w:r>
      <w:proofErr w:type="spellStart"/>
      <w:r w:rsidRPr="00A16566">
        <w:rPr>
          <w:rFonts w:cs="Times New Roman"/>
          <w:lang w:val="en-US"/>
        </w:rPr>
        <w:t>N.Z.L.R</w:t>
      </w:r>
      <w:proofErr w:type="spellEnd"/>
      <w:r w:rsidRPr="00A16566">
        <w:rPr>
          <w:rFonts w:cs="Times New Roman"/>
          <w:lang w:val="en-US"/>
        </w:rPr>
        <w:t xml:space="preserve">. 324, at para. 92; </w:t>
      </w:r>
      <w:r w:rsidRPr="00A16566">
        <w:rPr>
          <w:rFonts w:cs="Times New Roman"/>
          <w:i/>
          <w:lang w:val="en-US"/>
        </w:rPr>
        <w:t>Afghan Nationals v. Minister for Immigration</w:t>
      </w:r>
      <w:r w:rsidRPr="00A16566">
        <w:rPr>
          <w:rFonts w:cs="Times New Roman"/>
          <w:lang w:val="en-US"/>
        </w:rPr>
        <w:t xml:space="preserve">, [2021] </w:t>
      </w:r>
      <w:proofErr w:type="spellStart"/>
      <w:r w:rsidRPr="00A16566">
        <w:rPr>
          <w:rFonts w:cs="Times New Roman"/>
          <w:lang w:val="en-US"/>
        </w:rPr>
        <w:t>NZHC</w:t>
      </w:r>
      <w:proofErr w:type="spellEnd"/>
      <w:r w:rsidRPr="00A16566">
        <w:rPr>
          <w:rFonts w:cs="Times New Roman"/>
          <w:lang w:val="en-US"/>
        </w:rPr>
        <w:t xml:space="preserve"> 3154, [2022] 2 </w:t>
      </w:r>
      <w:proofErr w:type="spellStart"/>
      <w:r w:rsidRPr="00A16566">
        <w:rPr>
          <w:rFonts w:cs="Times New Roman"/>
          <w:lang w:val="en-US"/>
        </w:rPr>
        <w:t>N.Z.L.R</w:t>
      </w:r>
      <w:proofErr w:type="spellEnd"/>
      <w:r w:rsidRPr="00A16566">
        <w:rPr>
          <w:rFonts w:cs="Times New Roman"/>
          <w:lang w:val="en-US"/>
        </w:rPr>
        <w:t xml:space="preserve">. 102, at para. 39; </w:t>
      </w:r>
      <w:r w:rsidRPr="00A16566">
        <w:rPr>
          <w:rFonts w:cs="Times New Roman"/>
          <w:i/>
          <w:lang w:val="en-US"/>
        </w:rPr>
        <w:t>Federal Intelligence Service — foreign surveillance</w:t>
      </w:r>
      <w:r w:rsidRPr="00A16566">
        <w:rPr>
          <w:rFonts w:cs="Times New Roman"/>
          <w:lang w:val="en-US"/>
        </w:rPr>
        <w:t xml:space="preserve">, </w:t>
      </w:r>
      <w:proofErr w:type="spellStart"/>
      <w:r w:rsidRPr="00A16566">
        <w:rPr>
          <w:rFonts w:cs="Times New Roman"/>
        </w:rPr>
        <w:t>BVerfG</w:t>
      </w:r>
      <w:proofErr w:type="spellEnd"/>
      <w:r w:rsidRPr="00A16566">
        <w:rPr>
          <w:rFonts w:cs="Times New Roman"/>
        </w:rPr>
        <w:t xml:space="preserve">, </w:t>
      </w:r>
      <w:r w:rsidRPr="00A16566">
        <w:rPr>
          <w:rFonts w:cs="Times New Roman"/>
          <w:lang w:val="en-US"/>
        </w:rPr>
        <w:t xml:space="preserve">1 </w:t>
      </w:r>
      <w:proofErr w:type="spellStart"/>
      <w:r w:rsidRPr="00A16566">
        <w:rPr>
          <w:rFonts w:cs="Times New Roman"/>
          <w:lang w:val="en-US"/>
        </w:rPr>
        <w:t>BvR</w:t>
      </w:r>
      <w:proofErr w:type="spellEnd"/>
      <w:r w:rsidRPr="00A16566">
        <w:rPr>
          <w:rFonts w:cs="Times New Roman"/>
          <w:lang w:val="en-US"/>
        </w:rPr>
        <w:t xml:space="preserve"> 2835/17, Decision of May 19, 2020 (Germany), at paras</w:t>
      </w:r>
      <w:r w:rsidRPr="00A16566">
        <w:rPr>
          <w:rFonts w:cs="Times New Roman"/>
        </w:rPr>
        <w:t>.</w:t>
      </w:r>
      <w:r w:rsidRPr="00A16566">
        <w:rPr>
          <w:rFonts w:cs="Times New Roman"/>
          <w:lang w:val="en-US"/>
        </w:rPr>
        <w:t xml:space="preserve"> 91, 93-94, 101 and 104). This reality of state practice suggests that no norm of customary international law prohibits a state from regulating the actions of its officials abroad through its domestic law. And it indicates that comity is in no way offended by applying domestic law to state officials’ actions abroad because states do not view this as any breach of rules of courtesy or any violation of international law. </w:t>
      </w:r>
    </w:p>
    <w:p w14:paraId="63709B38" w14:textId="77777777" w:rsidR="00A16566" w:rsidRPr="00A16566" w:rsidRDefault="00A16566" w:rsidP="00A16566">
      <w:pPr>
        <w:pStyle w:val="ParaNoNdepar-AltN"/>
        <w:rPr>
          <w:rFonts w:cs="Times New Roman"/>
        </w:rPr>
      </w:pPr>
      <w:r w:rsidRPr="00A16566">
        <w:rPr>
          <w:rFonts w:cs="Times New Roman"/>
          <w:lang w:val="en-US"/>
        </w:rPr>
        <w:t xml:space="preserve">Moreover, Canada’s international </w:t>
      </w:r>
      <w:r w:rsidRPr="00A16566">
        <w:rPr>
          <w:rFonts w:cs="Times New Roman"/>
        </w:rPr>
        <w:t>human</w:t>
      </w:r>
      <w:r w:rsidRPr="00A16566">
        <w:rPr>
          <w:rFonts w:cs="Times New Roman"/>
          <w:lang w:val="en-US"/>
        </w:rPr>
        <w:t xml:space="preserve"> rights obligations support applying the </w:t>
      </w:r>
      <w:r w:rsidRPr="00A16566">
        <w:rPr>
          <w:rFonts w:cs="Times New Roman"/>
          <w:i/>
          <w:lang w:val="en-US"/>
        </w:rPr>
        <w:t xml:space="preserve">Charter </w:t>
      </w:r>
      <w:r w:rsidRPr="00A16566">
        <w:rPr>
          <w:rFonts w:cs="Times New Roman"/>
          <w:lang w:val="en-US"/>
        </w:rPr>
        <w:t xml:space="preserve">extraterritorially. The </w:t>
      </w:r>
      <w:r w:rsidRPr="00A16566">
        <w:rPr>
          <w:rFonts w:cs="Times New Roman"/>
          <w:i/>
          <w:lang w:val="en-US"/>
        </w:rPr>
        <w:t>International Covenant on Civil and Political Rights</w:t>
      </w:r>
      <w:r w:rsidRPr="00A16566">
        <w:rPr>
          <w:rFonts w:cs="Times New Roman"/>
          <w:lang w:val="en-US"/>
        </w:rPr>
        <w:t xml:space="preserve">, Can. </w:t>
      </w:r>
      <w:proofErr w:type="spellStart"/>
      <w:r w:rsidRPr="00A16566">
        <w:rPr>
          <w:rFonts w:cs="Times New Roman"/>
          <w:lang w:val="en-US"/>
        </w:rPr>
        <w:t>T.S</w:t>
      </w:r>
      <w:proofErr w:type="spellEnd"/>
      <w:r w:rsidRPr="00A16566">
        <w:rPr>
          <w:rFonts w:cs="Times New Roman"/>
          <w:lang w:val="en-US"/>
        </w:rPr>
        <w:t xml:space="preserve">. 1976 No. 47, which is ratified by and therefore binding on Canada, “covers much of the same ground” and is “relevant to the interpretation of the </w:t>
      </w:r>
      <w:r w:rsidRPr="00A16566">
        <w:rPr>
          <w:rFonts w:cs="Times New Roman"/>
          <w:i/>
          <w:lang w:val="en-US"/>
        </w:rPr>
        <w:t>Charter</w:t>
      </w:r>
      <w:r w:rsidRPr="00A16566">
        <w:rPr>
          <w:rFonts w:cs="Times New Roman"/>
          <w:lang w:val="en-US"/>
        </w:rPr>
        <w:t xml:space="preserve">” (P. W. Hogg and W. K. Wright, </w:t>
      </w:r>
      <w:r w:rsidRPr="00A16566">
        <w:rPr>
          <w:rFonts w:cs="Times New Roman"/>
          <w:i/>
          <w:lang w:val="en-US"/>
        </w:rPr>
        <w:t xml:space="preserve">Constitutional Law of Canada </w:t>
      </w:r>
      <w:r w:rsidRPr="00A16566">
        <w:rPr>
          <w:rFonts w:cs="Times New Roman"/>
          <w:lang w:val="en-US"/>
        </w:rPr>
        <w:t>(5th ed.</w:t>
      </w:r>
      <w:r w:rsidRPr="00A16566">
        <w:rPr>
          <w:rFonts w:cs="Times New Roman"/>
          <w:i/>
          <w:lang w:val="en-US"/>
        </w:rPr>
        <w:t xml:space="preserve"> </w:t>
      </w:r>
      <w:r w:rsidRPr="00A16566">
        <w:rPr>
          <w:rFonts w:cs="Times New Roman"/>
        </w:rPr>
        <w:t>Supp.)</w:t>
      </w:r>
      <w:r w:rsidRPr="00A16566">
        <w:rPr>
          <w:rFonts w:cs="Times New Roman"/>
          <w:lang w:val="en-US"/>
        </w:rPr>
        <w:t xml:space="preserve">, at § 36:28; </w:t>
      </w:r>
      <w:proofErr w:type="spellStart"/>
      <w:r w:rsidRPr="00A16566">
        <w:rPr>
          <w:rFonts w:cs="Times New Roman"/>
          <w:i/>
          <w:lang w:val="en-US"/>
        </w:rPr>
        <w:t>Bissonnette</w:t>
      </w:r>
      <w:proofErr w:type="spellEnd"/>
      <w:r w:rsidRPr="00A16566">
        <w:rPr>
          <w:rFonts w:cs="Times New Roman"/>
          <w:lang w:val="en-US"/>
        </w:rPr>
        <w:t xml:space="preserve">, at para. 99). The </w:t>
      </w:r>
      <w:r w:rsidRPr="00A16566">
        <w:rPr>
          <w:rFonts w:cs="Times New Roman"/>
          <w:i/>
          <w:lang w:val="en-US"/>
        </w:rPr>
        <w:t>International Covenant on Civil and Political Rights</w:t>
      </w:r>
      <w:r w:rsidRPr="00A16566">
        <w:rPr>
          <w:rFonts w:cs="Times New Roman"/>
          <w:lang w:val="en-US"/>
        </w:rPr>
        <w:t xml:space="preserve"> has been interpreted as imposing extraterritorial obligations on state parties (Article 2(1); </w:t>
      </w:r>
      <w:r w:rsidRPr="00A16566">
        <w:rPr>
          <w:rFonts w:cs="Times New Roman"/>
          <w:i/>
          <w:lang w:val="en-US"/>
        </w:rPr>
        <w:t>Legal Consequences of the Construction of a Wall in the Occupied Palestinian Territory</w:t>
      </w:r>
      <w:r w:rsidRPr="00A16566">
        <w:rPr>
          <w:rFonts w:cs="Times New Roman"/>
        </w:rPr>
        <w:t xml:space="preserve">, </w:t>
      </w:r>
      <w:r w:rsidRPr="00A16566">
        <w:rPr>
          <w:rFonts w:cs="Times New Roman"/>
          <w:lang w:val="en-US"/>
        </w:rPr>
        <w:t xml:space="preserve">Advisory Opinion, </w:t>
      </w:r>
      <w:proofErr w:type="spellStart"/>
      <w:r w:rsidRPr="00A16566">
        <w:rPr>
          <w:rFonts w:cs="Times New Roman"/>
          <w:lang w:val="en-US"/>
        </w:rPr>
        <w:t>I.C.J</w:t>
      </w:r>
      <w:proofErr w:type="spellEnd"/>
      <w:r w:rsidRPr="00A16566">
        <w:rPr>
          <w:rFonts w:cs="Times New Roman"/>
          <w:lang w:val="en-US"/>
        </w:rPr>
        <w:t xml:space="preserve">. Reports 2004, p. 136, at paras. 108-11; Human Rights Committee, </w:t>
      </w:r>
      <w:r w:rsidRPr="00A16566">
        <w:rPr>
          <w:rFonts w:cs="Times New Roman"/>
          <w:i/>
          <w:lang w:val="en-US"/>
        </w:rPr>
        <w:t xml:space="preserve">General Comment No. 31: </w:t>
      </w:r>
      <w:r w:rsidRPr="00A16566">
        <w:rPr>
          <w:rFonts w:cs="Times New Roman"/>
          <w:i/>
          <w:iCs/>
        </w:rPr>
        <w:t>The Nature of the General Legal Obligation Imposed on States Parties to the Covenant</w:t>
      </w:r>
      <w:r w:rsidRPr="00A16566">
        <w:rPr>
          <w:rFonts w:cs="Times New Roman"/>
          <w:lang w:val="en-US"/>
        </w:rPr>
        <w:t xml:space="preserve">, U.N. </w:t>
      </w:r>
      <w:r w:rsidRPr="00A16566">
        <w:rPr>
          <w:rFonts w:cs="Times New Roman"/>
        </w:rPr>
        <w:t>Doc. </w:t>
      </w:r>
      <w:proofErr w:type="spellStart"/>
      <w:r w:rsidRPr="00A16566">
        <w:rPr>
          <w:rStyle w:val="solexhl"/>
          <w:rFonts w:cs="Times New Roman"/>
        </w:rPr>
        <w:t>CCPR</w:t>
      </w:r>
      <w:proofErr w:type="spellEnd"/>
      <w:r w:rsidRPr="00A16566">
        <w:rPr>
          <w:rStyle w:val="solexhl"/>
          <w:rFonts w:cs="Times New Roman"/>
        </w:rPr>
        <w:t>/C/21/</w:t>
      </w:r>
      <w:proofErr w:type="spellStart"/>
      <w:r w:rsidRPr="00A16566">
        <w:rPr>
          <w:rStyle w:val="solexhl"/>
          <w:rFonts w:cs="Times New Roman"/>
        </w:rPr>
        <w:t>Rev.1</w:t>
      </w:r>
      <w:proofErr w:type="spellEnd"/>
      <w:r w:rsidRPr="00A16566">
        <w:rPr>
          <w:rStyle w:val="solexhl"/>
          <w:rFonts w:cs="Times New Roman"/>
        </w:rPr>
        <w:t>/</w:t>
      </w:r>
      <w:proofErr w:type="spellStart"/>
      <w:r w:rsidRPr="00A16566">
        <w:rPr>
          <w:rStyle w:val="solexhl"/>
          <w:rFonts w:cs="Times New Roman"/>
        </w:rPr>
        <w:t>Add.13</w:t>
      </w:r>
      <w:proofErr w:type="spellEnd"/>
      <w:r w:rsidRPr="00A16566">
        <w:rPr>
          <w:rFonts w:cs="Times New Roman"/>
        </w:rPr>
        <w:t>, May 26, 2004</w:t>
      </w:r>
      <w:r w:rsidRPr="00A16566">
        <w:rPr>
          <w:rFonts w:cs="Times New Roman"/>
          <w:lang w:val="en-US"/>
        </w:rPr>
        <w:t xml:space="preserve">, at para. 12; </w:t>
      </w:r>
      <w:proofErr w:type="spellStart"/>
      <w:r w:rsidRPr="00A16566">
        <w:rPr>
          <w:rFonts w:cs="Times New Roman"/>
          <w:i/>
          <w:lang w:val="en-US"/>
        </w:rPr>
        <w:t>Munaf</w:t>
      </w:r>
      <w:proofErr w:type="spellEnd"/>
      <w:r w:rsidRPr="00A16566">
        <w:rPr>
          <w:rFonts w:cs="Times New Roman"/>
          <w:i/>
          <w:lang w:val="en-US"/>
        </w:rPr>
        <w:t xml:space="preserve"> v. Romania</w:t>
      </w:r>
      <w:r w:rsidRPr="00A16566">
        <w:rPr>
          <w:rFonts w:cs="Times New Roman"/>
          <w:lang w:val="en-US"/>
        </w:rPr>
        <w:t xml:space="preserve">, Communication No. 1539/2006, U.N. Doc. </w:t>
      </w:r>
      <w:proofErr w:type="spellStart"/>
      <w:r w:rsidRPr="00A16566">
        <w:rPr>
          <w:rFonts w:cs="Times New Roman"/>
          <w:lang w:val="en-US"/>
        </w:rPr>
        <w:t>CCPR</w:t>
      </w:r>
      <w:proofErr w:type="spellEnd"/>
      <w:r w:rsidRPr="00A16566">
        <w:rPr>
          <w:rFonts w:cs="Times New Roman"/>
          <w:lang w:val="en-US"/>
        </w:rPr>
        <w:t xml:space="preserve">/C/96/D/1539/2006 (2009), at para. 14.2; </w:t>
      </w:r>
      <w:r w:rsidRPr="00A16566">
        <w:rPr>
          <w:rFonts w:cs="Times New Roman"/>
          <w:i/>
          <w:lang w:val="en-US"/>
        </w:rPr>
        <w:t xml:space="preserve">Lopez </w:t>
      </w:r>
      <w:r w:rsidRPr="00A16566">
        <w:rPr>
          <w:rFonts w:cs="Times New Roman"/>
          <w:i/>
        </w:rPr>
        <w:t>Burgos</w:t>
      </w:r>
      <w:r w:rsidRPr="00A16566">
        <w:rPr>
          <w:rFonts w:cs="Times New Roman"/>
          <w:i/>
          <w:lang w:val="en-US"/>
        </w:rPr>
        <w:t xml:space="preserve"> v. Uruguay</w:t>
      </w:r>
      <w:r w:rsidRPr="00A16566">
        <w:rPr>
          <w:rFonts w:cs="Times New Roman"/>
          <w:lang w:val="en-US"/>
        </w:rPr>
        <w:t xml:space="preserve">, Communication No. 52/1979, U.N. Doc. </w:t>
      </w:r>
      <w:proofErr w:type="spellStart"/>
      <w:r w:rsidRPr="00A16566">
        <w:rPr>
          <w:rFonts w:cs="Times New Roman"/>
          <w:lang w:val="en-US"/>
        </w:rPr>
        <w:t>CCPR</w:t>
      </w:r>
      <w:proofErr w:type="spellEnd"/>
      <w:r w:rsidRPr="00A16566">
        <w:rPr>
          <w:rFonts w:cs="Times New Roman"/>
          <w:lang w:val="en-US"/>
        </w:rPr>
        <w:t>/C/13/D/52/1979 (1981), at para. 12.3; Currie (2010), at pp. 440</w:t>
      </w:r>
      <w:r w:rsidRPr="00A16566">
        <w:rPr>
          <w:rFonts w:cs="Times New Roman"/>
          <w:lang w:val="en-US"/>
        </w:rPr>
        <w:noBreakHyphen/>
        <w:t xml:space="preserve">41). Because the </w:t>
      </w:r>
      <w:r w:rsidRPr="00A16566">
        <w:rPr>
          <w:rFonts w:cs="Times New Roman"/>
          <w:i/>
          <w:lang w:val="en-US"/>
        </w:rPr>
        <w:t xml:space="preserve">Charter </w:t>
      </w:r>
      <w:r w:rsidRPr="00A16566">
        <w:rPr>
          <w:rFonts w:cs="Times New Roman"/>
          <w:lang w:val="en-US"/>
        </w:rPr>
        <w:t>is presumed to provide protections at least as great (</w:t>
      </w:r>
      <w:proofErr w:type="spellStart"/>
      <w:r w:rsidRPr="00A16566">
        <w:rPr>
          <w:rFonts w:cs="Times New Roman"/>
          <w:i/>
          <w:lang w:val="en-US"/>
        </w:rPr>
        <w:t>Slaight</w:t>
      </w:r>
      <w:proofErr w:type="spellEnd"/>
      <w:r w:rsidRPr="00A16566">
        <w:rPr>
          <w:rFonts w:cs="Times New Roman"/>
          <w:lang w:val="en-US"/>
        </w:rPr>
        <w:t xml:space="preserve">, at p. 1056), it would follow that the </w:t>
      </w:r>
      <w:r w:rsidRPr="00A16566">
        <w:rPr>
          <w:rFonts w:cs="Times New Roman"/>
          <w:i/>
          <w:lang w:val="en-US"/>
        </w:rPr>
        <w:t xml:space="preserve">Charter </w:t>
      </w:r>
      <w:r w:rsidRPr="00A16566">
        <w:rPr>
          <w:rFonts w:cs="Times New Roman"/>
          <w:lang w:val="en-US"/>
        </w:rPr>
        <w:t xml:space="preserve">should also extend to the actions of state officials when abroad. </w:t>
      </w:r>
    </w:p>
    <w:p w14:paraId="71FFAE26" w14:textId="77777777" w:rsidR="00A16566" w:rsidRPr="00A16566" w:rsidRDefault="00A16566" w:rsidP="00A16566">
      <w:pPr>
        <w:pStyle w:val="ParaNoNdepar-AltN"/>
        <w:rPr>
          <w:rFonts w:cs="Times New Roman"/>
          <w:lang w:val="en-US"/>
        </w:rPr>
      </w:pPr>
      <w:r w:rsidRPr="00A16566">
        <w:rPr>
          <w:rFonts w:cs="Times New Roman"/>
          <w:lang w:val="en-US"/>
        </w:rPr>
        <w:t xml:space="preserve">Third, critics contend that </w:t>
      </w:r>
      <w:proofErr w:type="spellStart"/>
      <w:r w:rsidRPr="00A16566">
        <w:rPr>
          <w:rFonts w:cs="Times New Roman"/>
          <w:i/>
          <w:lang w:val="en-US"/>
        </w:rPr>
        <w:t>Hape</w:t>
      </w:r>
      <w:r w:rsidRPr="00A16566">
        <w:rPr>
          <w:rFonts w:cs="Times New Roman"/>
          <w:lang w:val="en-US"/>
        </w:rPr>
        <w:t>’s</w:t>
      </w:r>
      <w:proofErr w:type="spellEnd"/>
      <w:r w:rsidRPr="00A16566">
        <w:rPr>
          <w:rFonts w:cs="Times New Roman"/>
          <w:lang w:val="en-US"/>
        </w:rPr>
        <w:t xml:space="preserve"> three exceptions — consent, violations of international human rights obligations, and trial fairness — are inadequate. They fail to provide the same robust protections as expressly contained in the </w:t>
      </w:r>
      <w:r w:rsidRPr="00A16566">
        <w:rPr>
          <w:rFonts w:cs="Times New Roman"/>
          <w:i/>
          <w:lang w:val="en-US"/>
        </w:rPr>
        <w:t>Charter</w:t>
      </w:r>
      <w:r w:rsidRPr="00A16566">
        <w:rPr>
          <w:rFonts w:cs="Times New Roman"/>
          <w:lang w:val="en-US"/>
        </w:rPr>
        <w:t xml:space="preserve">. This is cause for concern and suggests the need to revisit </w:t>
      </w:r>
      <w:proofErr w:type="spellStart"/>
      <w:r w:rsidRPr="00A16566">
        <w:rPr>
          <w:rFonts w:cs="Times New Roman"/>
          <w:i/>
          <w:lang w:val="en-US"/>
        </w:rPr>
        <w:t>Hape</w:t>
      </w:r>
      <w:r w:rsidRPr="00A16566">
        <w:rPr>
          <w:rFonts w:cs="Times New Roman"/>
          <w:lang w:val="en-US"/>
        </w:rPr>
        <w:t>’s</w:t>
      </w:r>
      <w:proofErr w:type="spellEnd"/>
      <w:r w:rsidRPr="00A16566">
        <w:rPr>
          <w:rFonts w:cs="Times New Roman"/>
          <w:lang w:val="en-US"/>
        </w:rPr>
        <w:t xml:space="preserve"> conclusion. </w:t>
      </w:r>
    </w:p>
    <w:p w14:paraId="78C8DCD7" w14:textId="77777777" w:rsidR="00A16566" w:rsidRPr="00A16566" w:rsidRDefault="00A16566" w:rsidP="00A16566">
      <w:pPr>
        <w:pStyle w:val="ParaNoNdepar-AltN"/>
        <w:rPr>
          <w:rFonts w:cs="Times New Roman"/>
          <w:lang w:val="en-US"/>
        </w:rPr>
      </w:pPr>
      <w:r w:rsidRPr="00A16566">
        <w:rPr>
          <w:rFonts w:cs="Times New Roman"/>
          <w:lang w:val="en-US"/>
        </w:rPr>
        <w:t>Scholars have pointed out that the consent exception proves illusory in many circumstances (</w:t>
      </w:r>
      <w:proofErr w:type="spellStart"/>
      <w:r w:rsidRPr="00A16566">
        <w:rPr>
          <w:rFonts w:cs="Times New Roman"/>
          <w:lang w:val="en-US"/>
        </w:rPr>
        <w:t>Attaran</w:t>
      </w:r>
      <w:proofErr w:type="spellEnd"/>
      <w:r w:rsidRPr="00A16566">
        <w:rPr>
          <w:rFonts w:cs="Times New Roman"/>
          <w:lang w:val="en-US"/>
        </w:rPr>
        <w:t xml:space="preserve">, at pp. 534-36 and 538-39; </w:t>
      </w:r>
      <w:r w:rsidRPr="00A16566">
        <w:rPr>
          <w:rFonts w:cs="Times New Roman"/>
        </w:rPr>
        <w:t>West</w:t>
      </w:r>
      <w:r w:rsidRPr="00A16566">
        <w:rPr>
          <w:rFonts w:cs="Times New Roman"/>
          <w:lang w:val="en-US"/>
        </w:rPr>
        <w:t xml:space="preserve">, “Within or Outside Canada”, at pp. 37-39). Moreover, if the extraterritorial application of the </w:t>
      </w:r>
      <w:r w:rsidRPr="00A16566">
        <w:rPr>
          <w:rFonts w:cs="Times New Roman"/>
          <w:i/>
          <w:lang w:val="en-US"/>
        </w:rPr>
        <w:t>Charter</w:t>
      </w:r>
      <w:r w:rsidRPr="00A16566">
        <w:rPr>
          <w:rFonts w:cs="Times New Roman"/>
          <w:lang w:val="en-US"/>
        </w:rPr>
        <w:t xml:space="preserve"> is not an exercise of enforcement jurisdiction (as international law scholars contend), the consent exception is based on: (1) the unsustainable notion of Canadian officials asking for other states’ permission to apply Canada’s constitutional limits to Canada’s own conduct; and (2) the assumption that the territorial state would understand the question or should control the answer (van </w:t>
      </w:r>
      <w:proofErr w:type="spellStart"/>
      <w:r w:rsidRPr="00A16566">
        <w:rPr>
          <w:rFonts w:cs="Times New Roman"/>
          <w:lang w:val="en-US"/>
        </w:rPr>
        <w:t>Ert</w:t>
      </w:r>
      <w:proofErr w:type="spellEnd"/>
      <w:r w:rsidRPr="00A16566">
        <w:rPr>
          <w:rFonts w:cs="Times New Roman"/>
          <w:lang w:val="en-US"/>
        </w:rPr>
        <w:t xml:space="preserve">, at p. 555). </w:t>
      </w:r>
    </w:p>
    <w:p w14:paraId="4CCD19D1" w14:textId="77777777" w:rsidR="00A16566" w:rsidRPr="00A16566" w:rsidRDefault="00A16566" w:rsidP="00A16566">
      <w:pPr>
        <w:pStyle w:val="ParaNoNdepar-AltN"/>
        <w:rPr>
          <w:rFonts w:cs="Times New Roman"/>
          <w:lang w:val="en-US"/>
        </w:rPr>
      </w:pPr>
      <w:r w:rsidRPr="00A16566">
        <w:rPr>
          <w:rFonts w:cs="Times New Roman"/>
          <w:lang w:val="en-US"/>
        </w:rPr>
        <w:t xml:space="preserve">Academics have noted that the human rights exception leaves gaps where </w:t>
      </w:r>
      <w:r w:rsidRPr="00A16566">
        <w:rPr>
          <w:rFonts w:cs="Times New Roman"/>
          <w:i/>
          <w:lang w:val="en-US"/>
        </w:rPr>
        <w:t>Charter</w:t>
      </w:r>
      <w:r w:rsidRPr="00A16566">
        <w:rPr>
          <w:rFonts w:cs="Times New Roman"/>
          <w:lang w:val="en-US"/>
        </w:rPr>
        <w:t xml:space="preserve"> protections exceed the rights guaranteed in </w:t>
      </w:r>
      <w:r w:rsidRPr="00A16566">
        <w:rPr>
          <w:rFonts w:cs="Times New Roman"/>
        </w:rPr>
        <w:t>international</w:t>
      </w:r>
      <w:r w:rsidRPr="00A16566">
        <w:rPr>
          <w:rFonts w:cs="Times New Roman"/>
          <w:lang w:val="en-US"/>
        </w:rPr>
        <w:t xml:space="preserve"> human rights instruments (West, “Within or Outside Canada” at p. 39; Currie (2008), at pp. 320-21). That gaps will arise is a given in light of the presumption that the </w:t>
      </w:r>
      <w:r w:rsidRPr="00A16566">
        <w:rPr>
          <w:rFonts w:cs="Times New Roman"/>
          <w:i/>
          <w:lang w:val="en-US"/>
        </w:rPr>
        <w:t xml:space="preserve">Charter </w:t>
      </w:r>
      <w:r w:rsidRPr="00A16566">
        <w:rPr>
          <w:rFonts w:cs="Times New Roman"/>
          <w:lang w:val="en-US"/>
        </w:rPr>
        <w:t>provides protections at least as great as those provided for under Canada’s international human rights obligations (</w:t>
      </w:r>
      <w:proofErr w:type="spellStart"/>
      <w:r w:rsidRPr="00A16566">
        <w:rPr>
          <w:rFonts w:cs="Times New Roman"/>
          <w:i/>
          <w:lang w:val="en-US"/>
        </w:rPr>
        <w:t>Slaight</w:t>
      </w:r>
      <w:proofErr w:type="spellEnd"/>
      <w:r w:rsidRPr="00A16566">
        <w:rPr>
          <w:rFonts w:cs="Times New Roman"/>
          <w:lang w:val="en-US"/>
        </w:rPr>
        <w:t>, at p. 1056). As well, it is illogical for the nature of the breach to determine the application of the rights-protecting instrument (</w:t>
      </w:r>
      <w:proofErr w:type="spellStart"/>
      <w:r w:rsidRPr="00A16566">
        <w:rPr>
          <w:rFonts w:cs="Times New Roman"/>
          <w:lang w:val="en-US"/>
        </w:rPr>
        <w:t>Attaran</w:t>
      </w:r>
      <w:proofErr w:type="spellEnd"/>
      <w:r w:rsidRPr="00A16566">
        <w:rPr>
          <w:rFonts w:cs="Times New Roman"/>
          <w:lang w:val="en-US"/>
        </w:rPr>
        <w:t xml:space="preserve">, at p. 520; see also </w:t>
      </w:r>
      <w:r w:rsidRPr="00A16566">
        <w:rPr>
          <w:rFonts w:cs="Times New Roman"/>
          <w:i/>
          <w:lang w:val="en-US"/>
        </w:rPr>
        <w:t xml:space="preserve">Amnesty International Canada v. Canada (Chief of the </w:t>
      </w:r>
      <w:proofErr w:type="spellStart"/>
      <w:r w:rsidRPr="00A16566">
        <w:rPr>
          <w:rFonts w:cs="Times New Roman"/>
          <w:i/>
          <w:lang w:val="en-US"/>
        </w:rPr>
        <w:t>Defence</w:t>
      </w:r>
      <w:proofErr w:type="spellEnd"/>
      <w:r w:rsidRPr="00A16566">
        <w:rPr>
          <w:rFonts w:cs="Times New Roman"/>
          <w:i/>
          <w:lang w:val="en-US"/>
        </w:rPr>
        <w:t xml:space="preserve"> Staff)</w:t>
      </w:r>
      <w:r w:rsidRPr="00A16566">
        <w:rPr>
          <w:rFonts w:cs="Times New Roman"/>
          <w:lang w:val="en-US"/>
        </w:rPr>
        <w:t xml:space="preserve">, 2008 FC 336, </w:t>
      </w:r>
      <w:r w:rsidRPr="00A16566">
        <w:rPr>
          <w:rFonts w:cs="Times New Roman"/>
        </w:rPr>
        <w:t xml:space="preserve">[2008] 4 </w:t>
      </w:r>
      <w:proofErr w:type="spellStart"/>
      <w:r w:rsidRPr="00A16566">
        <w:rPr>
          <w:rFonts w:cs="Times New Roman"/>
        </w:rPr>
        <w:t>F.C.R</w:t>
      </w:r>
      <w:proofErr w:type="spellEnd"/>
      <w:r w:rsidRPr="00A16566">
        <w:rPr>
          <w:rFonts w:cs="Times New Roman"/>
        </w:rPr>
        <w:t>. 546,</w:t>
      </w:r>
      <w:r w:rsidRPr="00A16566">
        <w:rPr>
          <w:rFonts w:cs="Times New Roman"/>
          <w:lang w:val="en-US"/>
        </w:rPr>
        <w:t xml:space="preserve"> at paras. 312-13, aff’d 2008 </w:t>
      </w:r>
      <w:proofErr w:type="spellStart"/>
      <w:r w:rsidRPr="00A16566">
        <w:rPr>
          <w:rFonts w:cs="Times New Roman"/>
          <w:lang w:val="en-US"/>
        </w:rPr>
        <w:t>FCA</w:t>
      </w:r>
      <w:proofErr w:type="spellEnd"/>
      <w:r w:rsidRPr="00A16566">
        <w:rPr>
          <w:rFonts w:cs="Times New Roman"/>
          <w:lang w:val="en-US"/>
        </w:rPr>
        <w:t xml:space="preserve"> 401, </w:t>
      </w:r>
      <w:r w:rsidRPr="00A16566">
        <w:rPr>
          <w:rFonts w:cs="Times New Roman"/>
        </w:rPr>
        <w:t xml:space="preserve">[2009] 4 </w:t>
      </w:r>
      <w:proofErr w:type="spellStart"/>
      <w:r w:rsidRPr="00A16566">
        <w:rPr>
          <w:rFonts w:cs="Times New Roman"/>
        </w:rPr>
        <w:t>F.C.R</w:t>
      </w:r>
      <w:proofErr w:type="spellEnd"/>
      <w:r w:rsidRPr="00A16566">
        <w:rPr>
          <w:rFonts w:cs="Times New Roman"/>
        </w:rPr>
        <w:t>. 149</w:t>
      </w:r>
      <w:r w:rsidRPr="00A16566">
        <w:rPr>
          <w:rFonts w:cs="Times New Roman"/>
          <w:lang w:val="en-US"/>
        </w:rPr>
        <w:t xml:space="preserve">). Doctrinally, the exception is inconsistent with the principle that treaties, the key source of Canada’s international human rights obligations, do not take effect in Canadian law directly unless they have been implemented through legislation and fails to recognize that the </w:t>
      </w:r>
      <w:r w:rsidRPr="00A16566">
        <w:rPr>
          <w:rFonts w:cs="Times New Roman"/>
          <w:i/>
          <w:lang w:val="en-US"/>
        </w:rPr>
        <w:t>Charter</w:t>
      </w:r>
      <w:r w:rsidRPr="00A16566">
        <w:rPr>
          <w:rFonts w:cs="Times New Roman"/>
          <w:lang w:val="en-US"/>
        </w:rPr>
        <w:t xml:space="preserve"> is the means by which Canada has implemented many of these obligations (</w:t>
      </w:r>
      <w:r w:rsidRPr="00A16566">
        <w:rPr>
          <w:rFonts w:cs="Times New Roman"/>
          <w:i/>
          <w:lang w:val="en-US"/>
        </w:rPr>
        <w:t>Baker v. Canada (Minister of Citizenship and Immigration)</w:t>
      </w:r>
      <w:r w:rsidRPr="00A16566">
        <w:rPr>
          <w:rFonts w:cs="Times New Roman"/>
          <w:lang w:val="en-US"/>
        </w:rPr>
        <w:t xml:space="preserve">, [1999] 2 </w:t>
      </w:r>
      <w:proofErr w:type="spellStart"/>
      <w:r w:rsidRPr="00A16566">
        <w:rPr>
          <w:rFonts w:cs="Times New Roman"/>
          <w:lang w:val="en-US"/>
        </w:rPr>
        <w:t>S.C.R</w:t>
      </w:r>
      <w:proofErr w:type="spellEnd"/>
      <w:r w:rsidRPr="00A16566">
        <w:rPr>
          <w:rFonts w:cs="Times New Roman"/>
          <w:lang w:val="en-US"/>
        </w:rPr>
        <w:t xml:space="preserve">. 817, at para. 69; van </w:t>
      </w:r>
      <w:proofErr w:type="spellStart"/>
      <w:r w:rsidRPr="00A16566">
        <w:rPr>
          <w:rFonts w:cs="Times New Roman"/>
          <w:lang w:val="en-US"/>
        </w:rPr>
        <w:t>Ert</w:t>
      </w:r>
      <w:proofErr w:type="spellEnd"/>
      <w:r w:rsidRPr="00A16566">
        <w:rPr>
          <w:rFonts w:cs="Times New Roman"/>
          <w:lang w:val="en-US"/>
        </w:rPr>
        <w:t xml:space="preserve">, at p. 553; J. H. Currie, “Weaving a Tangled Web: </w:t>
      </w:r>
      <w:proofErr w:type="spellStart"/>
      <w:r w:rsidRPr="00A16566">
        <w:rPr>
          <w:rFonts w:cs="Times New Roman"/>
          <w:i/>
          <w:lang w:val="en-US"/>
        </w:rPr>
        <w:t>Hape</w:t>
      </w:r>
      <w:proofErr w:type="spellEnd"/>
      <w:r w:rsidRPr="00A16566">
        <w:rPr>
          <w:rFonts w:cs="Times New Roman"/>
          <w:lang w:val="en-US"/>
        </w:rPr>
        <w:t xml:space="preserve"> and the Obfuscation of Canadian Reception Law” (2007), 45 </w:t>
      </w:r>
      <w:r w:rsidRPr="00A16566">
        <w:rPr>
          <w:rFonts w:cs="Times New Roman"/>
          <w:i/>
          <w:lang w:val="en-US"/>
        </w:rPr>
        <w:t xml:space="preserve">Can. </w:t>
      </w:r>
      <w:proofErr w:type="spellStart"/>
      <w:r w:rsidRPr="00A16566">
        <w:rPr>
          <w:rFonts w:cs="Times New Roman"/>
          <w:i/>
          <w:lang w:val="en-US"/>
        </w:rPr>
        <w:t>Y.B</w:t>
      </w:r>
      <w:proofErr w:type="spellEnd"/>
      <w:r w:rsidRPr="00A16566">
        <w:rPr>
          <w:rFonts w:cs="Times New Roman"/>
          <w:i/>
          <w:lang w:val="en-US"/>
        </w:rPr>
        <w:t>. Int’l L.</w:t>
      </w:r>
      <w:r w:rsidRPr="00A16566">
        <w:rPr>
          <w:rFonts w:cs="Times New Roman"/>
          <w:lang w:val="en-US"/>
        </w:rPr>
        <w:t xml:space="preserve"> 55, at pp. 80-81; Currie and </w:t>
      </w:r>
      <w:proofErr w:type="spellStart"/>
      <w:r w:rsidRPr="00A16566">
        <w:rPr>
          <w:rFonts w:cs="Times New Roman"/>
          <w:lang w:val="en-US"/>
        </w:rPr>
        <w:t>Rikhof</w:t>
      </w:r>
      <w:proofErr w:type="spellEnd"/>
      <w:r w:rsidRPr="00A16566">
        <w:rPr>
          <w:rFonts w:cs="Times New Roman"/>
          <w:lang w:val="en-US"/>
        </w:rPr>
        <w:t xml:space="preserve">, at p. 636; see also K. Sun, “International Comity and the Construction of the </w:t>
      </w:r>
      <w:r w:rsidRPr="00A16566">
        <w:rPr>
          <w:rFonts w:cs="Times New Roman"/>
          <w:i/>
          <w:lang w:val="en-US"/>
        </w:rPr>
        <w:t>Charter</w:t>
      </w:r>
      <w:r w:rsidRPr="00A16566">
        <w:rPr>
          <w:rFonts w:cs="Times New Roman"/>
          <w:lang w:val="en-US"/>
        </w:rPr>
        <w:t xml:space="preserve">’s Limits: </w:t>
      </w:r>
      <w:proofErr w:type="spellStart"/>
      <w:r w:rsidRPr="00A16566">
        <w:rPr>
          <w:rFonts w:cs="Times New Roman"/>
          <w:i/>
          <w:lang w:val="en-US"/>
        </w:rPr>
        <w:t>Hape</w:t>
      </w:r>
      <w:proofErr w:type="spellEnd"/>
      <w:r w:rsidRPr="00A16566">
        <w:rPr>
          <w:rFonts w:cs="Times New Roman"/>
          <w:lang w:val="en-US"/>
        </w:rPr>
        <w:t xml:space="preserve"> Revisited” (2019), 45 </w:t>
      </w:r>
      <w:r w:rsidRPr="00A16566">
        <w:rPr>
          <w:rFonts w:cs="Times New Roman"/>
          <w:i/>
          <w:lang w:val="en-US"/>
        </w:rPr>
        <w:t xml:space="preserve">Queen’s </w:t>
      </w:r>
      <w:proofErr w:type="spellStart"/>
      <w:r w:rsidRPr="00A16566">
        <w:rPr>
          <w:rFonts w:cs="Times New Roman"/>
          <w:i/>
          <w:lang w:val="en-US"/>
        </w:rPr>
        <w:t>L.J</w:t>
      </w:r>
      <w:proofErr w:type="spellEnd"/>
      <w:r w:rsidRPr="00A16566">
        <w:rPr>
          <w:rFonts w:cs="Times New Roman"/>
          <w:i/>
          <w:lang w:val="en-US"/>
        </w:rPr>
        <w:t>.</w:t>
      </w:r>
      <w:r w:rsidRPr="00A16566">
        <w:rPr>
          <w:rFonts w:cs="Times New Roman"/>
          <w:lang w:val="en-US"/>
        </w:rPr>
        <w:t xml:space="preserve"> 115, at p. 145)</w:t>
      </w:r>
      <w:r w:rsidRPr="00A16566">
        <w:rPr>
          <w:rFonts w:cs="Times New Roman"/>
        </w:rPr>
        <w:t xml:space="preserve">. </w:t>
      </w:r>
      <w:r w:rsidRPr="00A16566">
        <w:rPr>
          <w:rFonts w:cs="Times New Roman"/>
          <w:lang w:val="en-US"/>
        </w:rPr>
        <w:t xml:space="preserve">And the “curious” result </w:t>
      </w:r>
      <w:r w:rsidRPr="00A16566">
        <w:rPr>
          <w:rFonts w:cs="Times New Roman"/>
        </w:rPr>
        <w:t xml:space="preserve">of the exception — that international human rights law, rather than the </w:t>
      </w:r>
      <w:r w:rsidRPr="00A16566">
        <w:rPr>
          <w:rFonts w:cs="Times New Roman"/>
          <w:i/>
        </w:rPr>
        <w:t>Charter</w:t>
      </w:r>
      <w:r w:rsidRPr="00A16566">
        <w:rPr>
          <w:rFonts w:cs="Times New Roman"/>
        </w:rPr>
        <w:t xml:space="preserve">, is used to assess the actions of Canadian officials acting abroad (van </w:t>
      </w:r>
      <w:proofErr w:type="spellStart"/>
      <w:r w:rsidRPr="00A16566">
        <w:rPr>
          <w:rFonts w:cs="Times New Roman"/>
        </w:rPr>
        <w:t>Ert</w:t>
      </w:r>
      <w:proofErr w:type="spellEnd"/>
      <w:r w:rsidRPr="00A16566">
        <w:rPr>
          <w:rFonts w:cs="Times New Roman"/>
        </w:rPr>
        <w:t xml:space="preserve">, at p. 553) — creates uncertainty for Canadian state actors acting abroad who </w:t>
      </w:r>
      <w:r w:rsidRPr="00A16566">
        <w:rPr>
          <w:rFonts w:cs="Times New Roman"/>
          <w:lang w:val="en-US"/>
        </w:rPr>
        <w:t>are unlikely to be familiar with Canada’s international human rights obligations</w:t>
      </w:r>
      <w:r w:rsidRPr="00A16566">
        <w:rPr>
          <w:rFonts w:cs="Times New Roman"/>
        </w:rPr>
        <w:t xml:space="preserve"> (</w:t>
      </w:r>
      <w:r w:rsidRPr="00A16566">
        <w:rPr>
          <w:rFonts w:cs="Times New Roman"/>
          <w:i/>
          <w:lang w:val="en-US"/>
        </w:rPr>
        <w:t>Amnesty International</w:t>
      </w:r>
      <w:r w:rsidRPr="00A16566">
        <w:rPr>
          <w:rFonts w:cs="Times New Roman"/>
          <w:lang w:val="en-US"/>
        </w:rPr>
        <w:t xml:space="preserve">, at para. 314; </w:t>
      </w:r>
      <w:proofErr w:type="spellStart"/>
      <w:r w:rsidRPr="00A16566">
        <w:rPr>
          <w:rFonts w:cs="Times New Roman"/>
          <w:i/>
          <w:lang w:val="en-US"/>
        </w:rPr>
        <w:t>Hape</w:t>
      </w:r>
      <w:proofErr w:type="spellEnd"/>
      <w:r w:rsidRPr="00A16566">
        <w:rPr>
          <w:rFonts w:cs="Times New Roman"/>
          <w:lang w:val="en-US"/>
        </w:rPr>
        <w:t>, at para. 173, per</w:t>
      </w:r>
      <w:r w:rsidRPr="00A16566">
        <w:rPr>
          <w:rFonts w:cs="Times New Roman"/>
          <w:i/>
          <w:lang w:val="en-US"/>
        </w:rPr>
        <w:t xml:space="preserve"> </w:t>
      </w:r>
      <w:proofErr w:type="spellStart"/>
      <w:r w:rsidRPr="00A16566">
        <w:rPr>
          <w:rFonts w:cs="Times New Roman"/>
          <w:lang w:val="en-US"/>
        </w:rPr>
        <w:t>Bastarache</w:t>
      </w:r>
      <w:proofErr w:type="spellEnd"/>
      <w:r w:rsidRPr="00A16566">
        <w:rPr>
          <w:rFonts w:cs="Times New Roman"/>
          <w:lang w:val="en-US"/>
        </w:rPr>
        <w:t xml:space="preserve"> J.). </w:t>
      </w:r>
    </w:p>
    <w:p w14:paraId="73644E8C" w14:textId="77777777" w:rsidR="00A16566" w:rsidRPr="00A16566" w:rsidRDefault="00A16566" w:rsidP="00A16566">
      <w:pPr>
        <w:pStyle w:val="ParaNoNdepar-AltN"/>
        <w:rPr>
          <w:rFonts w:cs="Times New Roman"/>
          <w:lang w:val="en-US"/>
        </w:rPr>
      </w:pPr>
      <w:r w:rsidRPr="00A16566">
        <w:rPr>
          <w:rFonts w:cs="Times New Roman"/>
          <w:lang w:val="en-US"/>
        </w:rPr>
        <w:t xml:space="preserve">Finally, critics suggest the trial fairness exception also leaves gaps because it does not apply when an individual’s </w:t>
      </w:r>
      <w:r w:rsidRPr="00A16566">
        <w:rPr>
          <w:rFonts w:cs="Times New Roman"/>
          <w:i/>
          <w:lang w:val="en-US"/>
        </w:rPr>
        <w:t>Charter</w:t>
      </w:r>
      <w:r w:rsidRPr="00A16566">
        <w:rPr>
          <w:rFonts w:cs="Times New Roman"/>
          <w:lang w:val="en-US"/>
        </w:rPr>
        <w:t xml:space="preserve"> rights are breached in a manner that does not result in obtaining evidence that would place the fairness </w:t>
      </w:r>
      <w:r w:rsidRPr="00A16566">
        <w:rPr>
          <w:rFonts w:cs="Times New Roman"/>
          <w:i/>
          <w:lang w:val="en-US"/>
        </w:rPr>
        <w:t>of the trial</w:t>
      </w:r>
      <w:r w:rsidRPr="00A16566">
        <w:rPr>
          <w:rFonts w:cs="Times New Roman"/>
          <w:lang w:val="en-US"/>
        </w:rPr>
        <w:t xml:space="preserve"> in question or when the </w:t>
      </w:r>
      <w:r w:rsidRPr="00A16566">
        <w:rPr>
          <w:rFonts w:cs="Times New Roman"/>
          <w:i/>
          <w:lang w:val="en-US"/>
        </w:rPr>
        <w:t>Charter</w:t>
      </w:r>
      <w:r w:rsidRPr="00A16566">
        <w:rPr>
          <w:rFonts w:cs="Times New Roman"/>
          <w:lang w:val="en-US"/>
        </w:rPr>
        <w:t>-infringing state conduct never leads to a criminal trial in Canada (K. Roach, “</w:t>
      </w:r>
      <w:r w:rsidRPr="00A16566">
        <w:rPr>
          <w:rFonts w:cs="Times New Roman"/>
          <w:i/>
          <w:lang w:val="en-US"/>
        </w:rPr>
        <w:t xml:space="preserve">R. v. </w:t>
      </w:r>
      <w:proofErr w:type="spellStart"/>
      <w:r w:rsidRPr="00A16566">
        <w:rPr>
          <w:rFonts w:cs="Times New Roman"/>
          <w:i/>
          <w:lang w:val="en-US"/>
        </w:rPr>
        <w:t>Hape</w:t>
      </w:r>
      <w:proofErr w:type="spellEnd"/>
      <w:r w:rsidRPr="00A16566">
        <w:rPr>
          <w:rFonts w:cs="Times New Roman"/>
          <w:lang w:val="en-US"/>
        </w:rPr>
        <w:t xml:space="preserve"> Creates Charter-Free Zones for Canadian Officials Abroad” (2007), 53 </w:t>
      </w:r>
      <w:r w:rsidRPr="00A16566">
        <w:rPr>
          <w:rFonts w:cs="Times New Roman"/>
          <w:i/>
          <w:lang w:val="en-US"/>
        </w:rPr>
        <w:t xml:space="preserve">Crim. </w:t>
      </w:r>
      <w:proofErr w:type="spellStart"/>
      <w:r w:rsidRPr="00A16566">
        <w:rPr>
          <w:rFonts w:cs="Times New Roman"/>
          <w:i/>
          <w:lang w:val="en-US"/>
        </w:rPr>
        <w:t>L.Q</w:t>
      </w:r>
      <w:proofErr w:type="spellEnd"/>
      <w:r w:rsidRPr="00A16566">
        <w:rPr>
          <w:rFonts w:cs="Times New Roman"/>
          <w:i/>
          <w:lang w:val="en-US"/>
        </w:rPr>
        <w:t>.</w:t>
      </w:r>
      <w:r w:rsidRPr="00A16566">
        <w:rPr>
          <w:rFonts w:cs="Times New Roman"/>
          <w:lang w:val="en-US"/>
        </w:rPr>
        <w:t xml:space="preserve"> 1, at p. 2; Currie and </w:t>
      </w:r>
      <w:proofErr w:type="spellStart"/>
      <w:r w:rsidRPr="00A16566">
        <w:rPr>
          <w:rFonts w:cs="Times New Roman"/>
          <w:lang w:val="en-US"/>
        </w:rPr>
        <w:t>Rikhof</w:t>
      </w:r>
      <w:proofErr w:type="spellEnd"/>
      <w:r w:rsidRPr="00A16566">
        <w:rPr>
          <w:rFonts w:cs="Times New Roman"/>
          <w:lang w:val="en-US"/>
        </w:rPr>
        <w:t>, at p. 634). And, as originally outlined in</w:t>
      </w:r>
      <w:r w:rsidRPr="00A16566">
        <w:rPr>
          <w:rFonts w:cs="Times New Roman"/>
          <w:i/>
          <w:lang w:val="en-US"/>
        </w:rPr>
        <w:t xml:space="preserve"> </w:t>
      </w:r>
      <w:proofErr w:type="spellStart"/>
      <w:r w:rsidRPr="00A16566">
        <w:rPr>
          <w:rFonts w:cs="Times New Roman"/>
          <w:i/>
          <w:lang w:val="en-US"/>
        </w:rPr>
        <w:t>Harrer</w:t>
      </w:r>
      <w:proofErr w:type="spellEnd"/>
      <w:r w:rsidRPr="00A16566">
        <w:rPr>
          <w:rFonts w:cs="Times New Roman"/>
          <w:lang w:val="en-US"/>
        </w:rPr>
        <w:t xml:space="preserve">, the exception was intended to apply to circumstances where evidence was collected by foreign authorities to whom the </w:t>
      </w:r>
      <w:r w:rsidRPr="00A16566">
        <w:rPr>
          <w:rFonts w:cs="Times New Roman"/>
          <w:i/>
          <w:lang w:val="en-US"/>
        </w:rPr>
        <w:t>Charter</w:t>
      </w:r>
      <w:r w:rsidRPr="00A16566">
        <w:rPr>
          <w:rFonts w:cs="Times New Roman"/>
          <w:lang w:val="en-US"/>
        </w:rPr>
        <w:t xml:space="preserve"> does not apply. It was not intended to address the gap created by failing to apply the </w:t>
      </w:r>
      <w:r w:rsidRPr="00A16566">
        <w:rPr>
          <w:rFonts w:cs="Times New Roman"/>
          <w:i/>
          <w:lang w:val="en-US"/>
        </w:rPr>
        <w:t>Charter</w:t>
      </w:r>
      <w:r w:rsidRPr="00A16566">
        <w:rPr>
          <w:rFonts w:cs="Times New Roman"/>
          <w:lang w:val="en-US"/>
        </w:rPr>
        <w:t xml:space="preserve"> to </w:t>
      </w:r>
      <w:r w:rsidRPr="00A16566">
        <w:rPr>
          <w:rFonts w:cs="Times New Roman"/>
          <w:i/>
          <w:lang w:val="en-US"/>
        </w:rPr>
        <w:t>Canadian</w:t>
      </w:r>
      <w:r w:rsidRPr="00A16566">
        <w:rPr>
          <w:rFonts w:cs="Times New Roman"/>
          <w:lang w:val="en-US"/>
        </w:rPr>
        <w:t xml:space="preserve"> authorities.</w:t>
      </w:r>
      <w:r w:rsidRPr="00A16566">
        <w:rPr>
          <w:rFonts w:cs="Times New Roman"/>
        </w:rPr>
        <w:t xml:space="preserve"> More significantly, in our view, the exception only provides the protections contained in ss. 7 and 11(d) of the </w:t>
      </w:r>
      <w:r w:rsidRPr="00A16566">
        <w:rPr>
          <w:rFonts w:cs="Times New Roman"/>
          <w:i/>
        </w:rPr>
        <w:t>Charter</w:t>
      </w:r>
      <w:r w:rsidRPr="00A16566">
        <w:rPr>
          <w:rFonts w:cs="Times New Roman"/>
        </w:rPr>
        <w:t xml:space="preserve">. These two rights alone are insufficient to guarantee a fully </w:t>
      </w:r>
      <w:r w:rsidRPr="00A16566">
        <w:rPr>
          <w:rFonts w:cs="Times New Roman"/>
          <w:i/>
        </w:rPr>
        <w:t>Charter</w:t>
      </w:r>
      <w:r w:rsidRPr="00A16566">
        <w:rPr>
          <w:rFonts w:cs="Times New Roman"/>
        </w:rPr>
        <w:t xml:space="preserve">-compliant trial. Attempting to supercharge ss. 7 and 11(d) so that they can stand in the stead of all the other rights contained in the </w:t>
      </w:r>
      <w:r w:rsidRPr="00A16566">
        <w:rPr>
          <w:rFonts w:cs="Times New Roman"/>
          <w:i/>
        </w:rPr>
        <w:t>Charter</w:t>
      </w:r>
      <w:r w:rsidRPr="00A16566">
        <w:rPr>
          <w:rFonts w:cs="Times New Roman"/>
        </w:rPr>
        <w:t xml:space="preserve"> defeats the very purpose of the </w:t>
      </w:r>
      <w:r w:rsidRPr="00A16566">
        <w:rPr>
          <w:rFonts w:cs="Times New Roman"/>
          <w:i/>
        </w:rPr>
        <w:t>Charter</w:t>
      </w:r>
      <w:r w:rsidRPr="00A16566">
        <w:rPr>
          <w:rFonts w:cs="Times New Roman"/>
        </w:rPr>
        <w:t xml:space="preserve">: to guarantee all the rights and freedoms set out within it. </w:t>
      </w:r>
    </w:p>
    <w:p w14:paraId="6A265914" w14:textId="77777777" w:rsidR="00A16566" w:rsidRPr="00A16566" w:rsidRDefault="00A16566" w:rsidP="00A16566">
      <w:pPr>
        <w:pStyle w:val="Title1LevelTitre1Niveau-AltL"/>
        <w:jc w:val="both"/>
        <w:rPr>
          <w:rFonts w:cs="Times New Roman"/>
          <w:lang w:val="en-US"/>
        </w:rPr>
      </w:pPr>
      <w:bookmarkStart w:id="4" w:name="_Toc115350158"/>
      <w:r w:rsidRPr="00A16566">
        <w:rPr>
          <w:rFonts w:cs="Times New Roman"/>
          <w:lang w:val="en-US"/>
        </w:rPr>
        <w:t xml:space="preserve">Conclusion on </w:t>
      </w:r>
      <w:proofErr w:type="spellStart"/>
      <w:r w:rsidRPr="00A16566">
        <w:rPr>
          <w:rFonts w:cs="Times New Roman"/>
          <w:i/>
          <w:lang w:val="en-US"/>
        </w:rPr>
        <w:t>Hape</w:t>
      </w:r>
      <w:bookmarkEnd w:id="4"/>
      <w:proofErr w:type="spellEnd"/>
      <w:r w:rsidRPr="00A16566">
        <w:rPr>
          <w:rFonts w:cs="Times New Roman"/>
          <w:lang w:val="en-US"/>
        </w:rPr>
        <w:t xml:space="preserve"> </w:t>
      </w:r>
    </w:p>
    <w:p w14:paraId="5C3436CC" w14:textId="77777777" w:rsidR="00A16566" w:rsidRPr="00A16566" w:rsidRDefault="00A16566" w:rsidP="00A16566">
      <w:pPr>
        <w:pStyle w:val="ParaNoNdepar-AltN"/>
        <w:rPr>
          <w:rFonts w:cs="Times New Roman"/>
          <w:lang w:val="en-US"/>
        </w:rPr>
      </w:pPr>
      <w:r w:rsidRPr="00A16566">
        <w:rPr>
          <w:rFonts w:cs="Times New Roman"/>
          <w:lang w:val="en-US"/>
        </w:rPr>
        <w:t xml:space="preserve">The decision in </w:t>
      </w:r>
      <w:proofErr w:type="spellStart"/>
      <w:r w:rsidRPr="00A16566">
        <w:rPr>
          <w:rFonts w:cs="Times New Roman"/>
          <w:i/>
          <w:lang w:val="en-US"/>
        </w:rPr>
        <w:t>Hape</w:t>
      </w:r>
      <w:proofErr w:type="spellEnd"/>
      <w:r w:rsidRPr="00A16566">
        <w:rPr>
          <w:rFonts w:cs="Times New Roman"/>
          <w:lang w:val="en-US"/>
        </w:rPr>
        <w:t xml:space="preserve"> remains important in many respects, such as its pronouncements on the incorporation of customary international law by the common law (see </w:t>
      </w:r>
      <w:proofErr w:type="spellStart"/>
      <w:r w:rsidRPr="00A16566">
        <w:rPr>
          <w:rFonts w:cs="Times New Roman"/>
          <w:i/>
          <w:lang w:val="en-US"/>
        </w:rPr>
        <w:t>Nevsun</w:t>
      </w:r>
      <w:proofErr w:type="spellEnd"/>
      <w:r w:rsidRPr="00A16566">
        <w:rPr>
          <w:rFonts w:cs="Times New Roman"/>
          <w:i/>
          <w:lang w:val="en-US"/>
        </w:rPr>
        <w:t xml:space="preserve"> Resources Ltd. v. Araya</w:t>
      </w:r>
      <w:r w:rsidRPr="00A16566">
        <w:rPr>
          <w:rFonts w:cs="Times New Roman"/>
          <w:lang w:val="en-US"/>
        </w:rPr>
        <w:t xml:space="preserve">, 2020 SCC 5, [2020] 1 </w:t>
      </w:r>
      <w:proofErr w:type="spellStart"/>
      <w:r w:rsidRPr="00A16566">
        <w:rPr>
          <w:rFonts w:cs="Times New Roman"/>
          <w:lang w:val="en-US"/>
        </w:rPr>
        <w:t>S.C.R</w:t>
      </w:r>
      <w:proofErr w:type="spellEnd"/>
      <w:r w:rsidRPr="00A16566">
        <w:rPr>
          <w:rFonts w:cs="Times New Roman"/>
          <w:lang w:val="en-US"/>
        </w:rPr>
        <w:t xml:space="preserve">. 166, at </w:t>
      </w:r>
      <w:r w:rsidRPr="00A16566">
        <w:rPr>
          <w:rFonts w:cs="Times New Roman"/>
        </w:rPr>
        <w:t>para</w:t>
      </w:r>
      <w:r w:rsidRPr="00A16566">
        <w:rPr>
          <w:rFonts w:cs="Times New Roman"/>
          <w:lang w:val="en-US"/>
        </w:rPr>
        <w:t xml:space="preserve">. 86; van </w:t>
      </w:r>
      <w:proofErr w:type="spellStart"/>
      <w:r w:rsidRPr="00A16566">
        <w:rPr>
          <w:rFonts w:cs="Times New Roman"/>
          <w:lang w:val="en-US"/>
        </w:rPr>
        <w:t>Ert</w:t>
      </w:r>
      <w:proofErr w:type="spellEnd"/>
      <w:r w:rsidRPr="00A16566">
        <w:rPr>
          <w:rFonts w:cs="Times New Roman"/>
          <w:lang w:val="en-US"/>
        </w:rPr>
        <w:t xml:space="preserve">, at p. 555), on state sovereignty and sovereign equality, and on the interpretative principle that statutes are presumed to operate in </w:t>
      </w:r>
      <w:r w:rsidRPr="00A16566">
        <w:rPr>
          <w:rFonts w:cs="Times New Roman"/>
        </w:rPr>
        <w:t>conformity</w:t>
      </w:r>
      <w:r w:rsidRPr="00A16566">
        <w:rPr>
          <w:rFonts w:cs="Times New Roman"/>
          <w:lang w:val="en-US"/>
        </w:rPr>
        <w:t xml:space="preserve"> with Canada’s international obligations (see </w:t>
      </w:r>
      <w:r w:rsidRPr="00A16566">
        <w:rPr>
          <w:rFonts w:cs="Times New Roman"/>
          <w:i/>
          <w:lang w:val="en-US"/>
        </w:rPr>
        <w:t xml:space="preserve">Canada (Minister of Citizenship and Immigration) v. </w:t>
      </w:r>
      <w:proofErr w:type="spellStart"/>
      <w:r w:rsidRPr="00A16566">
        <w:rPr>
          <w:rFonts w:cs="Times New Roman"/>
          <w:i/>
          <w:lang w:val="en-US"/>
        </w:rPr>
        <w:t>Vavilov</w:t>
      </w:r>
      <w:proofErr w:type="spellEnd"/>
      <w:r w:rsidRPr="00A16566">
        <w:rPr>
          <w:rFonts w:cs="Times New Roman"/>
          <w:lang w:val="en-US"/>
        </w:rPr>
        <w:t xml:space="preserve">, 2019 SCC 65, [2019] 4 </w:t>
      </w:r>
      <w:proofErr w:type="spellStart"/>
      <w:r w:rsidRPr="00A16566">
        <w:rPr>
          <w:rFonts w:cs="Times New Roman"/>
          <w:lang w:val="en-US"/>
        </w:rPr>
        <w:t>S.C.R</w:t>
      </w:r>
      <w:proofErr w:type="spellEnd"/>
      <w:r w:rsidRPr="00A16566">
        <w:rPr>
          <w:rFonts w:cs="Times New Roman"/>
          <w:lang w:val="en-US"/>
        </w:rPr>
        <w:t xml:space="preserve">. 653, at para. 114; van </w:t>
      </w:r>
      <w:proofErr w:type="spellStart"/>
      <w:r w:rsidRPr="00A16566">
        <w:rPr>
          <w:rFonts w:cs="Times New Roman"/>
          <w:lang w:val="en-US"/>
        </w:rPr>
        <w:t>Ert</w:t>
      </w:r>
      <w:proofErr w:type="spellEnd"/>
      <w:r w:rsidRPr="00A16566">
        <w:rPr>
          <w:rFonts w:cs="Times New Roman"/>
          <w:lang w:val="en-US"/>
        </w:rPr>
        <w:t>, at p. 555).</w:t>
      </w:r>
    </w:p>
    <w:p w14:paraId="5A27047A" w14:textId="77777777" w:rsidR="00A16566" w:rsidRPr="00A16566" w:rsidRDefault="00A16566" w:rsidP="00A16566">
      <w:pPr>
        <w:pStyle w:val="ParaNoNdepar-AltN"/>
        <w:rPr>
          <w:rFonts w:cs="Times New Roman"/>
          <w:lang w:val="en-US"/>
        </w:rPr>
      </w:pPr>
      <w:r w:rsidRPr="00A16566">
        <w:rPr>
          <w:rFonts w:cs="Times New Roman"/>
          <w:lang w:val="en-US"/>
        </w:rPr>
        <w:t xml:space="preserve">The Court, however, had received no submissions on international law, and it departed from the theoretical foundation of this Court’s </w:t>
      </w:r>
      <w:r w:rsidRPr="00A16566">
        <w:rPr>
          <w:rFonts w:cs="Times New Roman"/>
        </w:rPr>
        <w:t>prior</w:t>
      </w:r>
      <w:r w:rsidRPr="00A16566">
        <w:rPr>
          <w:rFonts w:cs="Times New Roman"/>
          <w:lang w:val="en-US"/>
        </w:rPr>
        <w:t xml:space="preserve"> jurisprudence on the application of the </w:t>
      </w:r>
      <w:r w:rsidRPr="00A16566">
        <w:rPr>
          <w:rFonts w:cs="Times New Roman"/>
          <w:i/>
          <w:lang w:val="en-US"/>
        </w:rPr>
        <w:t>Charter</w:t>
      </w:r>
      <w:r w:rsidRPr="00A16566">
        <w:rPr>
          <w:rFonts w:cs="Times New Roman"/>
          <w:lang w:val="en-US"/>
        </w:rPr>
        <w:t xml:space="preserve"> abroad even though no parties or interveners before the Court in </w:t>
      </w:r>
      <w:proofErr w:type="spellStart"/>
      <w:r w:rsidRPr="00A16566">
        <w:rPr>
          <w:rFonts w:cs="Times New Roman"/>
          <w:i/>
          <w:lang w:val="en-US"/>
        </w:rPr>
        <w:t>Hape</w:t>
      </w:r>
      <w:proofErr w:type="spellEnd"/>
      <w:r w:rsidRPr="00A16566">
        <w:rPr>
          <w:rFonts w:cs="Times New Roman"/>
          <w:lang w:val="en-US"/>
        </w:rPr>
        <w:t xml:space="preserve"> had asked for the previous jurisprudence to be </w:t>
      </w:r>
      <w:r w:rsidRPr="00A16566">
        <w:rPr>
          <w:rFonts w:cs="Times New Roman"/>
        </w:rPr>
        <w:t>revised</w:t>
      </w:r>
      <w:r w:rsidRPr="00A16566">
        <w:rPr>
          <w:rFonts w:cs="Times New Roman"/>
          <w:lang w:val="en-US"/>
        </w:rPr>
        <w:t xml:space="preserve"> or overruled (paras. 182, 184-86 and 189, per Binnie J.). Numerous theoretical and practical problems have unfortunately followed </w:t>
      </w:r>
      <w:proofErr w:type="spellStart"/>
      <w:r w:rsidRPr="00A16566">
        <w:rPr>
          <w:rFonts w:cs="Times New Roman"/>
          <w:i/>
          <w:lang w:val="en-US"/>
        </w:rPr>
        <w:t>Hape</w:t>
      </w:r>
      <w:proofErr w:type="spellEnd"/>
      <w:r w:rsidRPr="00A16566">
        <w:rPr>
          <w:rFonts w:cs="Times New Roman"/>
          <w:lang w:val="en-US"/>
        </w:rPr>
        <w:t xml:space="preserve">, as highlighted by the wealth of judicial and academic criticisms that have emerged in the last 15 years. </w:t>
      </w:r>
    </w:p>
    <w:p w14:paraId="25E3AA64" w14:textId="77777777" w:rsidR="00A16566" w:rsidRPr="00A16566" w:rsidRDefault="00A16566" w:rsidP="00A16566">
      <w:pPr>
        <w:pStyle w:val="ParaNoNdepar-AltN"/>
        <w:rPr>
          <w:rFonts w:cs="Times New Roman"/>
          <w:lang w:val="en-US"/>
        </w:rPr>
      </w:pPr>
      <w:r w:rsidRPr="00A16566">
        <w:rPr>
          <w:rFonts w:cs="Times New Roman"/>
          <w:lang w:val="en-US"/>
        </w:rPr>
        <w:t xml:space="preserve">These are significant concerns. They go to the </w:t>
      </w:r>
      <w:r w:rsidRPr="00A16566">
        <w:rPr>
          <w:rFonts w:cs="Times New Roman"/>
        </w:rPr>
        <w:t>core</w:t>
      </w:r>
      <w:r w:rsidRPr="00A16566">
        <w:rPr>
          <w:rFonts w:cs="Times New Roman"/>
          <w:lang w:val="en-US"/>
        </w:rPr>
        <w:t xml:space="preserve"> of our jurisprudence on the extraterritorial application of the </w:t>
      </w:r>
      <w:r w:rsidRPr="00A16566">
        <w:rPr>
          <w:rFonts w:cs="Times New Roman"/>
          <w:i/>
          <w:lang w:val="en-US"/>
        </w:rPr>
        <w:t>Charter</w:t>
      </w:r>
      <w:r w:rsidRPr="00A16566">
        <w:rPr>
          <w:rFonts w:cs="Times New Roman"/>
          <w:lang w:val="en-US"/>
        </w:rPr>
        <w:t xml:space="preserve">, to the practical implications of its application, and to the ensuing lack of consistency and predictability of this area of the law. These concerns leave </w:t>
      </w:r>
      <w:r w:rsidRPr="00A16566">
        <w:rPr>
          <w:rFonts w:cs="Times New Roman"/>
        </w:rPr>
        <w:t xml:space="preserve">this portion of </w:t>
      </w:r>
      <w:proofErr w:type="spellStart"/>
      <w:r w:rsidRPr="00A16566">
        <w:rPr>
          <w:rFonts w:cs="Times New Roman"/>
          <w:i/>
        </w:rPr>
        <w:t>Hape</w:t>
      </w:r>
      <w:proofErr w:type="spellEnd"/>
      <w:r w:rsidRPr="00A16566">
        <w:rPr>
          <w:rFonts w:cs="Times New Roman"/>
        </w:rPr>
        <w:t xml:space="preserve"> ripe for reconsideration. </w:t>
      </w:r>
      <w:r w:rsidRPr="00A16566">
        <w:rPr>
          <w:rFonts w:cs="Times New Roman"/>
          <w:lang w:val="en-US"/>
        </w:rPr>
        <w:t xml:space="preserve">However, given the majority’s decision not to address it, we would leave the determination of whether </w:t>
      </w:r>
      <w:proofErr w:type="spellStart"/>
      <w:r w:rsidRPr="00A16566">
        <w:rPr>
          <w:rFonts w:cs="Times New Roman"/>
          <w:i/>
          <w:lang w:val="en-US"/>
        </w:rPr>
        <w:t>Hape</w:t>
      </w:r>
      <w:proofErr w:type="spellEnd"/>
      <w:r w:rsidRPr="00A16566">
        <w:rPr>
          <w:rFonts w:cs="Times New Roman"/>
          <w:lang w:val="en-US"/>
        </w:rPr>
        <w:t xml:space="preserve"> was wrongly decided to another day.</w:t>
      </w:r>
    </w:p>
    <w:p w14:paraId="2A0C91A6" w14:textId="77777777" w:rsidR="00A16566" w:rsidRPr="00A16566" w:rsidRDefault="00A16566" w:rsidP="00A16566">
      <w:pPr>
        <w:pStyle w:val="ParaNoNdepar-AltN"/>
        <w:rPr>
          <w:rFonts w:cs="Times New Roman"/>
        </w:rPr>
      </w:pPr>
      <w:r w:rsidRPr="00A16566">
        <w:rPr>
          <w:rFonts w:cs="Times New Roman"/>
        </w:rPr>
        <w:t xml:space="preserve">Because we do not reach a conclusion as to whether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was wrongly decided, we need not elaborate </w:t>
      </w:r>
      <w:r w:rsidRPr="00A16566">
        <w:rPr>
          <w:rFonts w:cs="Times New Roman"/>
          <w:i/>
        </w:rPr>
        <w:t xml:space="preserve">how </w:t>
      </w:r>
      <w:r w:rsidRPr="00A16566">
        <w:rPr>
          <w:rFonts w:cs="Times New Roman"/>
        </w:rPr>
        <w:t xml:space="preserve">the </w:t>
      </w:r>
      <w:r w:rsidRPr="00A16566">
        <w:rPr>
          <w:rFonts w:cs="Times New Roman"/>
          <w:i/>
        </w:rPr>
        <w:t xml:space="preserve">Charter </w:t>
      </w:r>
      <w:r w:rsidRPr="00A16566">
        <w:rPr>
          <w:rFonts w:cs="Times New Roman"/>
        </w:rPr>
        <w:t xml:space="preserve">should apply abroad — an issue that was also not a major focus of the submissions in this appeal. However, we note that in our view the </w:t>
      </w:r>
      <w:r w:rsidRPr="00A16566">
        <w:rPr>
          <w:rFonts w:cs="Times New Roman"/>
          <w:i/>
        </w:rPr>
        <w:t>Charter</w:t>
      </w:r>
      <w:r w:rsidRPr="00A16566">
        <w:rPr>
          <w:rFonts w:cs="Times New Roman"/>
        </w:rPr>
        <w:t xml:space="preserve"> is sufficiently flexible to take foreign context and the associated concerns raised by the </w:t>
      </w:r>
      <w:proofErr w:type="spellStart"/>
      <w:r w:rsidRPr="00A16566">
        <w:rPr>
          <w:rFonts w:cs="Times New Roman"/>
          <w:i/>
        </w:rPr>
        <w:t>Hape</w:t>
      </w:r>
      <w:proofErr w:type="spellEnd"/>
      <w:r w:rsidRPr="00A16566">
        <w:rPr>
          <w:rFonts w:cs="Times New Roman"/>
        </w:rPr>
        <w:t xml:space="preserve"> majority into account in the analysis, on a case-by-case basis. As </w:t>
      </w:r>
      <w:proofErr w:type="spellStart"/>
      <w:r w:rsidRPr="00A16566">
        <w:rPr>
          <w:rFonts w:cs="Times New Roman"/>
        </w:rPr>
        <w:t>Bastarache</w:t>
      </w:r>
      <w:proofErr w:type="spellEnd"/>
      <w:r w:rsidRPr="00A16566">
        <w:rPr>
          <w:rFonts w:cs="Times New Roman"/>
        </w:rPr>
        <w:t xml:space="preserve"> J. recognized in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(para. 125), the </w:t>
      </w:r>
      <w:r w:rsidRPr="00A16566">
        <w:rPr>
          <w:rFonts w:cs="Times New Roman"/>
          <w:i/>
        </w:rPr>
        <w:t xml:space="preserve">Charter </w:t>
      </w:r>
      <w:r w:rsidRPr="00A16566">
        <w:rPr>
          <w:rFonts w:cs="Times New Roman"/>
        </w:rPr>
        <w:t xml:space="preserve">“is a flexible document, amenable to contextual interpretation and permitting reasonable justifications of limitations to fundamental rights”. Such flexibility could exist at both the breach and remedial stages. Foreign laws and procedures may be relevant in assessing whether there was a </w:t>
      </w:r>
      <w:r w:rsidRPr="00A16566">
        <w:rPr>
          <w:rFonts w:cs="Times New Roman"/>
          <w:i/>
        </w:rPr>
        <w:t xml:space="preserve">Charter </w:t>
      </w:r>
      <w:r w:rsidRPr="00A16566">
        <w:rPr>
          <w:rFonts w:cs="Times New Roman"/>
        </w:rPr>
        <w:t>breach. And operational concerns arising from differences between Canadian and foreign procedures might be addressed through a flexible application of remedial discretion under s. 24.</w:t>
      </w:r>
    </w:p>
    <w:p w14:paraId="3F3C668B" w14:textId="77777777" w:rsidR="00A16566" w:rsidRPr="00A16566" w:rsidRDefault="00A16566" w:rsidP="00A16566">
      <w:pPr>
        <w:pStyle w:val="ParaNoNdepar-AltN"/>
        <w:rPr>
          <w:rFonts w:cs="Times New Roman"/>
        </w:rPr>
      </w:pPr>
      <w:r w:rsidRPr="00A16566">
        <w:rPr>
          <w:rFonts w:cs="Times New Roman"/>
          <w:lang w:val="en-US"/>
        </w:rPr>
        <w:t xml:space="preserve">In conclusion, we would add that while this Court’s rules and guidance to the profession do place certain limits upon what interveners may argue, we disagree with our colleagues that the interveners went beyond their proper role in this case. While interveners must not introduce new issues, the role of interveners is to provide their own view of the legal issues by providing “useful . . . and different” submissions, thus bringing “broader perspectives” before the Court (Supreme Court of Canada, </w:t>
      </w:r>
      <w:r w:rsidRPr="00A16566">
        <w:rPr>
          <w:rFonts w:cs="Times New Roman"/>
          <w:i/>
          <w:lang w:val="en-US"/>
        </w:rPr>
        <w:t>Notice to the Profession: November 2021 – Interventions</w:t>
      </w:r>
      <w:r w:rsidRPr="00A16566">
        <w:rPr>
          <w:rFonts w:cs="Times New Roman"/>
          <w:lang w:val="en-US"/>
        </w:rPr>
        <w:t xml:space="preserve">, November 15, 2021, (online)). Several interveners in this case did precisely that when they asked this Court to revisit </w:t>
      </w:r>
      <w:proofErr w:type="spellStart"/>
      <w:r w:rsidRPr="00A16566">
        <w:rPr>
          <w:rFonts w:cs="Times New Roman"/>
          <w:i/>
          <w:lang w:val="en-US"/>
        </w:rPr>
        <w:t>Hape</w:t>
      </w:r>
      <w:proofErr w:type="spellEnd"/>
      <w:r w:rsidRPr="00A16566">
        <w:rPr>
          <w:rFonts w:cs="Times New Roman"/>
          <w:lang w:val="en-US"/>
        </w:rPr>
        <w:t xml:space="preserve">: they proposed a different view of the core legal issue of whether the </w:t>
      </w:r>
      <w:r w:rsidRPr="00A16566">
        <w:rPr>
          <w:rFonts w:cs="Times New Roman"/>
          <w:i/>
          <w:lang w:val="en-US"/>
        </w:rPr>
        <w:t>Charter</w:t>
      </w:r>
      <w:r w:rsidRPr="00A16566">
        <w:rPr>
          <w:rFonts w:cs="Times New Roman"/>
          <w:lang w:val="en-US"/>
        </w:rPr>
        <w:t xml:space="preserve"> applied to the conduct of the </w:t>
      </w:r>
      <w:proofErr w:type="spellStart"/>
      <w:r w:rsidRPr="00A16566">
        <w:rPr>
          <w:rFonts w:cs="Times New Roman"/>
          <w:lang w:val="en-US"/>
        </w:rPr>
        <w:t>CFNIS</w:t>
      </w:r>
      <w:proofErr w:type="spellEnd"/>
      <w:r w:rsidRPr="00A16566">
        <w:rPr>
          <w:rFonts w:cs="Times New Roman"/>
          <w:lang w:val="en-US"/>
        </w:rPr>
        <w:t xml:space="preserve"> officers. Indeed, these interveners were granted leave to intervene on this basis: when seeking leave, they all clearly signaled their intent to criticize </w:t>
      </w:r>
      <w:proofErr w:type="spellStart"/>
      <w:r w:rsidRPr="00A16566">
        <w:rPr>
          <w:rFonts w:cs="Times New Roman"/>
          <w:i/>
          <w:lang w:val="en-US"/>
        </w:rPr>
        <w:t>Hape</w:t>
      </w:r>
      <w:proofErr w:type="spellEnd"/>
      <w:r w:rsidRPr="00A16566">
        <w:rPr>
          <w:rFonts w:cs="Times New Roman"/>
          <w:lang w:val="en-US"/>
        </w:rPr>
        <w:t xml:space="preserve"> and suggest revisions to its framework, with the Canadian Constitution Foundation specifically stating </w:t>
      </w:r>
      <w:proofErr w:type="spellStart"/>
      <w:r w:rsidRPr="00A16566">
        <w:rPr>
          <w:rFonts w:cs="Times New Roman"/>
          <w:i/>
          <w:lang w:val="en-US"/>
        </w:rPr>
        <w:t>Hape</w:t>
      </w:r>
      <w:proofErr w:type="spellEnd"/>
      <w:r w:rsidRPr="00A16566">
        <w:rPr>
          <w:rFonts w:cs="Times New Roman"/>
          <w:lang w:val="en-US"/>
        </w:rPr>
        <w:t xml:space="preserve"> must be revisited (memorandum of argument, at para. 10). To hold that we cannot engage with this different view, simply because the parties themselves did not propose it, ignores the purpose of intervener submissions as set out in the </w:t>
      </w:r>
      <w:r w:rsidRPr="00A16566">
        <w:rPr>
          <w:rFonts w:cs="Times New Roman"/>
          <w:i/>
          <w:lang w:val="en-US"/>
        </w:rPr>
        <w:t>Notice to the Profession</w:t>
      </w:r>
      <w:r w:rsidRPr="00A16566">
        <w:rPr>
          <w:rFonts w:cs="Times New Roman"/>
          <w:lang w:val="en-US"/>
        </w:rPr>
        <w:t xml:space="preserve"> and runs contrary to this Court’s past practice in decisions that have relied on the frameworks proposed by interveners. </w:t>
      </w:r>
    </w:p>
    <w:p w14:paraId="0B36C927" w14:textId="77777777" w:rsidR="00A16566" w:rsidRPr="00A16566" w:rsidRDefault="00A16566" w:rsidP="00A16566">
      <w:pPr>
        <w:pStyle w:val="ParaNoNdepar-AltN"/>
        <w:rPr>
          <w:rFonts w:cs="Times New Roman"/>
        </w:rPr>
      </w:pPr>
      <w:r w:rsidRPr="00A16566">
        <w:rPr>
          <w:rFonts w:cs="Times New Roman"/>
          <w:lang w:val="en-US"/>
        </w:rPr>
        <w:t xml:space="preserve">More importantly, any limitation on the role of interveners in no way limits the </w:t>
      </w:r>
      <w:r w:rsidRPr="00A16566">
        <w:rPr>
          <w:rFonts w:cs="Times New Roman"/>
          <w:i/>
          <w:lang w:val="en-US"/>
        </w:rPr>
        <w:t>jurisdiction of this Court</w:t>
      </w:r>
      <w:r w:rsidRPr="00A16566">
        <w:rPr>
          <w:rFonts w:cs="Times New Roman"/>
          <w:lang w:val="en-US"/>
        </w:rPr>
        <w:t xml:space="preserve"> to decide issues in a manner other than that proposed by the parties. Indeed, </w:t>
      </w:r>
      <w:proofErr w:type="spellStart"/>
      <w:r w:rsidRPr="00A16566">
        <w:rPr>
          <w:rFonts w:cs="Times New Roman"/>
          <w:i/>
          <w:lang w:val="en-US"/>
        </w:rPr>
        <w:t>Hape</w:t>
      </w:r>
      <w:proofErr w:type="spellEnd"/>
      <w:r w:rsidRPr="00A16566">
        <w:rPr>
          <w:rFonts w:cs="Times New Roman"/>
          <w:lang w:val="en-US"/>
        </w:rPr>
        <w:t xml:space="preserve"> itself demonstrates that this Court can overturn precedent without any invitation from the parties or interveners (para. 187, per Binnie J.). Such a restriction also runs counter to the role of this Court, which is not merely one of error correction. Rather, the role of the Court, as an apex court, is oriented to the “development of the jurisprudence” by “deal[</w:t>
      </w:r>
      <w:proofErr w:type="spellStart"/>
      <w:r w:rsidRPr="00A16566">
        <w:rPr>
          <w:rFonts w:cs="Times New Roman"/>
          <w:lang w:val="en-US"/>
        </w:rPr>
        <w:t>ing</w:t>
      </w:r>
      <w:proofErr w:type="spellEnd"/>
      <w:r w:rsidRPr="00A16566">
        <w:rPr>
          <w:rFonts w:cs="Times New Roman"/>
          <w:lang w:val="en-US"/>
        </w:rPr>
        <w:t>] with questions of ‘public importance’”, and much of the Court’s work “necessarily [goes] beyond what [is] essential for the disposition of the particular case” (</w:t>
      </w:r>
      <w:r w:rsidRPr="00A16566">
        <w:rPr>
          <w:rFonts w:cs="Times New Roman"/>
          <w:i/>
          <w:lang w:val="en-US"/>
        </w:rPr>
        <w:t>R. v. Henry</w:t>
      </w:r>
      <w:r w:rsidRPr="00A16566">
        <w:rPr>
          <w:rFonts w:cs="Times New Roman"/>
          <w:lang w:val="en-US"/>
        </w:rPr>
        <w:t xml:space="preserve">, 2005 SCC 76, [2005] 3 </w:t>
      </w:r>
      <w:proofErr w:type="spellStart"/>
      <w:r w:rsidRPr="00A16566">
        <w:rPr>
          <w:rFonts w:cs="Times New Roman"/>
          <w:lang w:val="en-US"/>
        </w:rPr>
        <w:t>S.C.R</w:t>
      </w:r>
      <w:proofErr w:type="spellEnd"/>
      <w:r w:rsidRPr="00A16566">
        <w:rPr>
          <w:rFonts w:cs="Times New Roman"/>
          <w:lang w:val="en-US"/>
        </w:rPr>
        <w:t xml:space="preserve">. 609, at para. 53; </w:t>
      </w:r>
      <w:r w:rsidRPr="00A16566">
        <w:rPr>
          <w:rFonts w:cs="Times New Roman"/>
          <w:i/>
          <w:lang w:val="en-US"/>
        </w:rPr>
        <w:t>Reference re Supreme Court Act, ss. 5 and 6</w:t>
      </w:r>
      <w:r w:rsidRPr="00A16566">
        <w:rPr>
          <w:rFonts w:cs="Times New Roman"/>
          <w:lang w:val="en-US"/>
        </w:rPr>
        <w:t xml:space="preserve">, 2014 SCC 21, [2014] 1 </w:t>
      </w:r>
      <w:proofErr w:type="spellStart"/>
      <w:r w:rsidRPr="00A16566">
        <w:rPr>
          <w:rFonts w:cs="Times New Roman"/>
          <w:lang w:val="en-US"/>
        </w:rPr>
        <w:t>S.C.R</w:t>
      </w:r>
      <w:proofErr w:type="spellEnd"/>
      <w:r w:rsidRPr="00A16566">
        <w:rPr>
          <w:rFonts w:cs="Times New Roman"/>
          <w:lang w:val="en-US"/>
        </w:rPr>
        <w:t>. 433, at para. 86). By “bringing broader perspectives before the Court than those advanced by appellants and respondents”, and by advancing their own views on legal issues before the Court, interveners help the Court fulfill this institutional role (</w:t>
      </w:r>
      <w:r w:rsidRPr="00A16566">
        <w:rPr>
          <w:rFonts w:cs="Times New Roman"/>
          <w:i/>
          <w:lang w:val="en-US"/>
        </w:rPr>
        <w:t>Notice to the Profession</w:t>
      </w:r>
      <w:r w:rsidRPr="00A16566">
        <w:rPr>
          <w:rFonts w:cs="Times New Roman"/>
          <w:lang w:val="en-US"/>
        </w:rPr>
        <w:t>).</w:t>
      </w:r>
    </w:p>
    <w:p w14:paraId="4FCF8ACC" w14:textId="77777777" w:rsidR="00A16566" w:rsidRPr="00A16566" w:rsidRDefault="00A16566" w:rsidP="00A16566">
      <w:pPr>
        <w:pStyle w:val="Title1LevelTitre1Niveau-AltL"/>
        <w:jc w:val="both"/>
        <w:rPr>
          <w:rFonts w:cs="Times New Roman"/>
          <w:lang w:val="en-US"/>
        </w:rPr>
      </w:pPr>
      <w:bookmarkStart w:id="5" w:name="_Toc115350160"/>
      <w:r w:rsidRPr="00A16566">
        <w:rPr>
          <w:rFonts w:cs="Times New Roman"/>
          <w:lang w:val="en-US"/>
        </w:rPr>
        <w:t>Application</w:t>
      </w:r>
      <w:bookmarkEnd w:id="5"/>
      <w:r w:rsidRPr="00A16566">
        <w:rPr>
          <w:rFonts w:cs="Times New Roman"/>
          <w:lang w:val="en-US"/>
        </w:rPr>
        <w:t xml:space="preserve"> </w:t>
      </w:r>
    </w:p>
    <w:p w14:paraId="680CA5B3" w14:textId="77777777" w:rsidR="00A16566" w:rsidRPr="00A16566" w:rsidRDefault="00A16566" w:rsidP="00A16566">
      <w:pPr>
        <w:pStyle w:val="ParaNoNdepar-AltN"/>
        <w:rPr>
          <w:rFonts w:cs="Times New Roman"/>
          <w:lang w:val="en-US"/>
        </w:rPr>
      </w:pPr>
      <w:r w:rsidRPr="00A16566">
        <w:rPr>
          <w:rFonts w:cs="Times New Roman"/>
          <w:lang w:val="en-US"/>
        </w:rPr>
        <w:t xml:space="preserve">Assuming that, pursuant to s. 32(1), the </w:t>
      </w:r>
      <w:r w:rsidRPr="00A16566">
        <w:rPr>
          <w:rFonts w:cs="Times New Roman"/>
          <w:i/>
          <w:lang w:val="en-US"/>
        </w:rPr>
        <w:t>Charter</w:t>
      </w:r>
      <w:r w:rsidRPr="00A16566">
        <w:rPr>
          <w:rFonts w:cs="Times New Roman"/>
          <w:lang w:val="en-US"/>
        </w:rPr>
        <w:t xml:space="preserve"> applied to the conduct of the officers during </w:t>
      </w:r>
      <w:r w:rsidRPr="00A16566">
        <w:rPr>
          <w:rFonts w:cs="Times New Roman"/>
        </w:rPr>
        <w:t>their</w:t>
      </w:r>
      <w:r w:rsidRPr="00A16566">
        <w:rPr>
          <w:rFonts w:cs="Times New Roman"/>
          <w:lang w:val="en-US"/>
        </w:rPr>
        <w:t xml:space="preserve"> investigation, Cpl. McGregor’s s. 8 rights were not infringed.</w:t>
      </w:r>
    </w:p>
    <w:p w14:paraId="483DABF4" w14:textId="77777777" w:rsidR="00A16566" w:rsidRPr="00A16566" w:rsidRDefault="00A16566" w:rsidP="00A16566">
      <w:pPr>
        <w:pStyle w:val="ParaNoNdepar-AltN"/>
        <w:rPr>
          <w:rFonts w:cs="Times New Roman"/>
          <w:lang w:val="en-US"/>
        </w:rPr>
      </w:pPr>
      <w:r w:rsidRPr="00A16566">
        <w:rPr>
          <w:rFonts w:cs="Times New Roman"/>
          <w:lang w:val="en-US"/>
        </w:rPr>
        <w:t xml:space="preserve">A search is reasonable if it is authorized by law, if the law is reasonable, and if the </w:t>
      </w:r>
      <w:r w:rsidRPr="00A16566">
        <w:rPr>
          <w:rFonts w:cs="Times New Roman"/>
        </w:rPr>
        <w:t>search</w:t>
      </w:r>
      <w:r w:rsidRPr="00A16566">
        <w:rPr>
          <w:rFonts w:cs="Times New Roman"/>
          <w:lang w:val="en-US"/>
        </w:rPr>
        <w:t xml:space="preserve"> is conducted reasonably (</w:t>
      </w:r>
      <w:r w:rsidRPr="00A16566">
        <w:rPr>
          <w:rFonts w:cs="Times New Roman"/>
          <w:i/>
          <w:lang w:val="en-US"/>
        </w:rPr>
        <w:t>R. v. Collins</w:t>
      </w:r>
      <w:r w:rsidRPr="00A16566">
        <w:rPr>
          <w:rFonts w:cs="Times New Roman"/>
          <w:lang w:val="en-US"/>
        </w:rPr>
        <w:t xml:space="preserve">, [1987] 1 </w:t>
      </w:r>
      <w:proofErr w:type="spellStart"/>
      <w:r w:rsidRPr="00A16566">
        <w:rPr>
          <w:rFonts w:cs="Times New Roman"/>
          <w:lang w:val="en-US"/>
        </w:rPr>
        <w:t>S.C.R</w:t>
      </w:r>
      <w:proofErr w:type="spellEnd"/>
      <w:r w:rsidRPr="00A16566">
        <w:rPr>
          <w:rFonts w:cs="Times New Roman"/>
          <w:lang w:val="en-US"/>
        </w:rPr>
        <w:t xml:space="preserve">. 265, at p. 278). In </w:t>
      </w:r>
      <w:r w:rsidRPr="00A16566">
        <w:rPr>
          <w:rFonts w:cs="Times New Roman"/>
          <w:i/>
          <w:lang w:val="en-US"/>
        </w:rPr>
        <w:t>R. v. Vu</w:t>
      </w:r>
      <w:r w:rsidRPr="00A16566">
        <w:rPr>
          <w:rFonts w:cs="Times New Roman"/>
          <w:lang w:val="en-US"/>
        </w:rPr>
        <w:t xml:space="preserve">, 2013 SCC 60, </w:t>
      </w:r>
      <w:r w:rsidRPr="00A16566">
        <w:rPr>
          <w:rFonts w:cs="Times New Roman"/>
        </w:rPr>
        <w:t xml:space="preserve">[2013] 3 </w:t>
      </w:r>
      <w:proofErr w:type="spellStart"/>
      <w:r w:rsidRPr="00A16566">
        <w:rPr>
          <w:rFonts w:cs="Times New Roman"/>
        </w:rPr>
        <w:t>S.C.R</w:t>
      </w:r>
      <w:proofErr w:type="spellEnd"/>
      <w:r w:rsidRPr="00A16566">
        <w:rPr>
          <w:rFonts w:cs="Times New Roman"/>
        </w:rPr>
        <w:t>. 657</w:t>
      </w:r>
      <w:r w:rsidRPr="00A16566">
        <w:rPr>
          <w:rFonts w:cs="Times New Roman"/>
          <w:lang w:val="en-US"/>
        </w:rPr>
        <w:t xml:space="preserve">, this Court decided that specific prior authorization was required to search computers (paras. 3 and 47). This means </w:t>
      </w:r>
      <w:r w:rsidRPr="00A16566">
        <w:rPr>
          <w:rFonts w:cs="Times New Roman"/>
        </w:rPr>
        <w:t>“that if police intend to search any computers found within a place they want to search, they must first satisfy the authorizing justice that they have reasonable grounds to believe that any computers they discover will contain the things they are looking for” (para. 48).  </w:t>
      </w:r>
    </w:p>
    <w:p w14:paraId="00FA8703" w14:textId="77777777" w:rsidR="00A16566" w:rsidRPr="00A16566" w:rsidRDefault="00A16566" w:rsidP="00A16566">
      <w:pPr>
        <w:pStyle w:val="ParaNoNdepar-AltN"/>
        <w:rPr>
          <w:rFonts w:cs="Times New Roman"/>
          <w:lang w:val="en-US"/>
        </w:rPr>
      </w:pPr>
      <w:r w:rsidRPr="00A16566">
        <w:rPr>
          <w:rFonts w:cs="Times New Roman"/>
          <w:lang w:val="en-US"/>
        </w:rPr>
        <w:t xml:space="preserve">We conclude, as does our colleague Côté J., </w:t>
      </w:r>
      <w:r w:rsidRPr="00A16566">
        <w:rPr>
          <w:rFonts w:cs="Times New Roman"/>
        </w:rPr>
        <w:t>that</w:t>
      </w:r>
      <w:r w:rsidRPr="00A16566">
        <w:rPr>
          <w:rFonts w:cs="Times New Roman"/>
          <w:lang w:val="en-US"/>
        </w:rPr>
        <w:t xml:space="preserve"> those requirements are met in this case. First, the warrant issued by a Virginia </w:t>
      </w:r>
      <w:r w:rsidRPr="00A16566">
        <w:rPr>
          <w:rFonts w:cs="Times New Roman"/>
        </w:rPr>
        <w:t>magistrate</w:t>
      </w:r>
      <w:r w:rsidRPr="00A16566">
        <w:rPr>
          <w:rFonts w:cs="Times New Roman"/>
          <w:lang w:val="en-US"/>
        </w:rPr>
        <w:t xml:space="preserve"> specifically authorized the search of computers and electronic devices. As well, the reference to “Corporal </w:t>
      </w:r>
      <w:proofErr w:type="gramStart"/>
      <w:r w:rsidRPr="00A16566">
        <w:rPr>
          <w:rFonts w:cs="Times New Roman"/>
          <w:lang w:val="en-US"/>
        </w:rPr>
        <w:t>McGregor’s .</w:t>
      </w:r>
      <w:proofErr w:type="gramEnd"/>
      <w:r w:rsidRPr="00A16566">
        <w:rPr>
          <w:rFonts w:cs="Times New Roman"/>
          <w:lang w:val="en-US"/>
        </w:rPr>
        <w:t> . . property” (</w:t>
      </w:r>
      <w:proofErr w:type="spellStart"/>
      <w:r w:rsidRPr="00A16566">
        <w:rPr>
          <w:rFonts w:cs="Times New Roman"/>
          <w:lang w:val="en-US"/>
        </w:rPr>
        <w:t>A.R</w:t>
      </w:r>
      <w:proofErr w:type="spellEnd"/>
      <w:r w:rsidRPr="00A16566">
        <w:rPr>
          <w:rFonts w:cs="Times New Roman"/>
          <w:lang w:val="en-US"/>
        </w:rPr>
        <w:t xml:space="preserve">., vol. I, at p. 128) in the diplomatic note brings the authorization under the waiver of diplomatic immunity. Second, the law that authorized the search was reasonable in light of </w:t>
      </w:r>
      <w:r w:rsidRPr="00A16566">
        <w:rPr>
          <w:rFonts w:cs="Times New Roman"/>
          <w:i/>
          <w:lang w:val="en-US"/>
        </w:rPr>
        <w:t xml:space="preserve">Charter </w:t>
      </w:r>
      <w:r w:rsidRPr="00A16566">
        <w:rPr>
          <w:rFonts w:cs="Times New Roman"/>
          <w:lang w:val="en-US"/>
        </w:rPr>
        <w:t xml:space="preserve">standards </w:t>
      </w:r>
      <w:r w:rsidRPr="00A16566">
        <w:rPr>
          <w:rFonts w:cs="Times New Roman"/>
        </w:rPr>
        <w:t>developed</w:t>
      </w:r>
      <w:r w:rsidRPr="00A16566">
        <w:rPr>
          <w:rFonts w:cs="Times New Roman"/>
          <w:lang w:val="en-US"/>
        </w:rPr>
        <w:t xml:space="preserve"> in our jurisprudence: as noted by both courts below, the grounds relied upon to obtain the warrant would have been sufficient in Canada. </w:t>
      </w:r>
      <w:r w:rsidRPr="00A16566">
        <w:rPr>
          <w:rFonts w:cs="Times New Roman"/>
        </w:rPr>
        <w:t>Third</w:t>
      </w:r>
      <w:r w:rsidRPr="00A16566">
        <w:rPr>
          <w:rFonts w:cs="Times New Roman"/>
          <w:lang w:val="en-US"/>
        </w:rPr>
        <w:t xml:space="preserve">, the search was conducted reasonably, as the warrant expressly authorized the process of triaging the electronic devices at the scene. </w:t>
      </w:r>
    </w:p>
    <w:p w14:paraId="261A29A0" w14:textId="77777777" w:rsidR="00A16566" w:rsidRPr="00A16566" w:rsidRDefault="00A16566" w:rsidP="00A16566">
      <w:pPr>
        <w:pStyle w:val="ParaNoNdepar-AltN"/>
        <w:rPr>
          <w:rFonts w:cs="Times New Roman"/>
          <w:lang w:val="en-US"/>
        </w:rPr>
      </w:pPr>
      <w:r w:rsidRPr="00A16566">
        <w:rPr>
          <w:rFonts w:cs="Times New Roman"/>
          <w:lang w:val="en-US"/>
        </w:rPr>
        <w:t>We disagree that applying the plain view doctrine is necessary in this case. The plain view doctrine</w:t>
      </w:r>
      <w:r w:rsidRPr="00A16566">
        <w:rPr>
          <w:rFonts w:cs="Times New Roman"/>
        </w:rPr>
        <w:t xml:space="preserve"> </w:t>
      </w:r>
      <w:r w:rsidRPr="00A16566">
        <w:rPr>
          <w:rFonts w:cs="Times New Roman"/>
          <w:lang w:val="en-US"/>
        </w:rPr>
        <w:t>permits seizure without a warrant in defined circumstances.</w:t>
      </w:r>
      <w:r w:rsidRPr="00A16566">
        <w:rPr>
          <w:rFonts w:cs="Times New Roman"/>
        </w:rPr>
        <w:t xml:space="preserve"> </w:t>
      </w:r>
      <w:r w:rsidRPr="00A16566">
        <w:rPr>
          <w:rFonts w:cs="Times New Roman"/>
          <w:lang w:val="en-US"/>
        </w:rPr>
        <w:t xml:space="preserve">Cpl. McGregor does not dispute </w:t>
      </w:r>
      <w:r w:rsidRPr="00A16566">
        <w:rPr>
          <w:rFonts w:cs="Times New Roman"/>
          <w:i/>
          <w:lang w:val="en-US"/>
        </w:rPr>
        <w:t>seizure</w:t>
      </w:r>
      <w:r w:rsidRPr="00A16566">
        <w:rPr>
          <w:rFonts w:cs="Times New Roman"/>
          <w:lang w:val="en-US"/>
        </w:rPr>
        <w:t xml:space="preserve"> before this Court. Rather, he argued that the </w:t>
      </w:r>
      <w:r w:rsidRPr="00A16566">
        <w:rPr>
          <w:rFonts w:cs="Times New Roman"/>
          <w:i/>
          <w:lang w:val="en-US"/>
        </w:rPr>
        <w:t>search</w:t>
      </w:r>
      <w:r w:rsidRPr="00A16566">
        <w:rPr>
          <w:rFonts w:cs="Times New Roman"/>
          <w:lang w:val="en-US"/>
        </w:rPr>
        <w:t xml:space="preserve"> was unauthorized by law or conducted in an unreasonable manner (</w:t>
      </w:r>
      <w:proofErr w:type="spellStart"/>
      <w:r w:rsidRPr="00A16566">
        <w:rPr>
          <w:rFonts w:cs="Times New Roman"/>
          <w:lang w:val="en-US"/>
        </w:rPr>
        <w:t>A.F</w:t>
      </w:r>
      <w:proofErr w:type="spellEnd"/>
      <w:r w:rsidRPr="00A16566">
        <w:rPr>
          <w:rFonts w:cs="Times New Roman"/>
          <w:lang w:val="en-US"/>
        </w:rPr>
        <w:t>., at para. 185). He maintained that “once investigators had come across evidence of what they believed to be child pornography they ought to have ceased searching, seized the electronic devices, and obtained a subsequent warrant outlining same” (para. 200). They breached s. 8, he argued, by instead “</w:t>
      </w:r>
      <w:proofErr w:type="spellStart"/>
      <w:r w:rsidRPr="00A16566">
        <w:rPr>
          <w:rFonts w:cs="Times New Roman"/>
          <w:lang w:val="en-US"/>
        </w:rPr>
        <w:t>continu</w:t>
      </w:r>
      <w:proofErr w:type="spellEnd"/>
      <w:r w:rsidRPr="00A16566">
        <w:rPr>
          <w:rFonts w:cs="Times New Roman"/>
          <w:lang w:val="en-US"/>
        </w:rPr>
        <w:t>[</w:t>
      </w:r>
      <w:proofErr w:type="spellStart"/>
      <w:r w:rsidRPr="00A16566">
        <w:rPr>
          <w:rFonts w:cs="Times New Roman"/>
          <w:lang w:val="en-US"/>
        </w:rPr>
        <w:t>ing</w:t>
      </w:r>
      <w:proofErr w:type="spellEnd"/>
      <w:r w:rsidRPr="00A16566">
        <w:rPr>
          <w:rFonts w:cs="Times New Roman"/>
          <w:lang w:val="en-US"/>
        </w:rPr>
        <w:t>] to search through the devices on scene for additional evidence”, in the course of which they viewed the files containing sexual assault evidence (</w:t>
      </w:r>
      <w:r w:rsidRPr="00A16566">
        <w:rPr>
          <w:rFonts w:cs="Times New Roman"/>
          <w:i/>
          <w:lang w:val="en-US"/>
        </w:rPr>
        <w:t>ibid</w:t>
      </w:r>
      <w:r w:rsidRPr="00A16566">
        <w:rPr>
          <w:rFonts w:cs="Times New Roman"/>
          <w:lang w:val="en-US"/>
        </w:rPr>
        <w:t>.). In sum, his argument is that “[o]</w:t>
      </w:r>
      <w:proofErr w:type="spellStart"/>
      <w:r w:rsidRPr="00A16566">
        <w:rPr>
          <w:rFonts w:cs="Times New Roman"/>
          <w:lang w:val="en-US"/>
        </w:rPr>
        <w:t>nce</w:t>
      </w:r>
      <w:proofErr w:type="spellEnd"/>
      <w:r w:rsidRPr="00A16566">
        <w:rPr>
          <w:rFonts w:cs="Times New Roman"/>
          <w:lang w:val="en-US"/>
        </w:rPr>
        <w:t xml:space="preserve"> evidence of a new offence has been discovered in the execution of a search, in order to continue searching devices, investigators must obtain a subsequent warrant for that offence” (para. 199). </w:t>
      </w:r>
    </w:p>
    <w:p w14:paraId="54BBA70E" w14:textId="77777777" w:rsidR="00A16566" w:rsidRPr="00A16566" w:rsidRDefault="00A16566" w:rsidP="00A16566">
      <w:pPr>
        <w:pStyle w:val="ParaNoNdepar-AltN"/>
        <w:rPr>
          <w:rFonts w:cs="Times New Roman"/>
          <w:lang w:val="en-US"/>
        </w:rPr>
      </w:pPr>
      <w:r w:rsidRPr="00A16566">
        <w:rPr>
          <w:rFonts w:cs="Times New Roman"/>
        </w:rPr>
        <w:t xml:space="preserve">The </w:t>
      </w:r>
      <w:r w:rsidRPr="00A16566">
        <w:rPr>
          <w:rFonts w:cs="Times New Roman"/>
          <w:lang w:val="en-US"/>
        </w:rPr>
        <w:t xml:space="preserve">Court Martial rejected Cpl. McGregor’s submissions that the police had “continued looking for </w:t>
      </w:r>
      <w:r w:rsidRPr="00A16566">
        <w:rPr>
          <w:rFonts w:cs="Times New Roman"/>
          <w:u w:val="single"/>
          <w:lang w:val="en-US"/>
        </w:rPr>
        <w:t>child pornography and sexual assault files</w:t>
      </w:r>
      <w:r w:rsidRPr="00A16566">
        <w:rPr>
          <w:rFonts w:cs="Times New Roman"/>
          <w:lang w:val="en-US"/>
        </w:rPr>
        <w:t>”, rather than for files relating to the offences covered by the Virginia warrant (2018 CM 4023, at para. 25 (</w:t>
      </w:r>
      <w:proofErr w:type="spellStart"/>
      <w:r w:rsidRPr="00A16566">
        <w:rPr>
          <w:rFonts w:cs="Times New Roman"/>
          <w:lang w:val="en-US"/>
        </w:rPr>
        <w:t>CanLII</w:t>
      </w:r>
      <w:proofErr w:type="spellEnd"/>
      <w:r w:rsidRPr="00A16566">
        <w:rPr>
          <w:rFonts w:cs="Times New Roman"/>
          <w:lang w:val="en-US"/>
        </w:rPr>
        <w:t>) (emphasis added)). In this regard, the Court Martial noted that the instant case was a “completely different situation than what transpired in [</w:t>
      </w:r>
      <w:r w:rsidRPr="00A16566">
        <w:rPr>
          <w:rFonts w:cs="Times New Roman"/>
          <w:i/>
          <w:lang w:val="en-US"/>
        </w:rPr>
        <w:t>R. v. Jones</w:t>
      </w:r>
      <w:r w:rsidRPr="00A16566">
        <w:rPr>
          <w:rFonts w:cs="Times New Roman"/>
          <w:lang w:val="en-US"/>
        </w:rPr>
        <w:t xml:space="preserve">, 2011 </w:t>
      </w:r>
      <w:proofErr w:type="spellStart"/>
      <w:r w:rsidRPr="00A16566">
        <w:rPr>
          <w:rFonts w:cs="Times New Roman"/>
          <w:lang w:val="en-US"/>
        </w:rPr>
        <w:t>ONCA</w:t>
      </w:r>
      <w:proofErr w:type="spellEnd"/>
      <w:r w:rsidRPr="00A16566">
        <w:rPr>
          <w:rFonts w:cs="Times New Roman"/>
          <w:lang w:val="en-US"/>
        </w:rPr>
        <w:t xml:space="preserve"> 632, 107 </w:t>
      </w:r>
      <w:proofErr w:type="spellStart"/>
      <w:r w:rsidRPr="00A16566">
        <w:rPr>
          <w:rFonts w:cs="Times New Roman"/>
          <w:lang w:val="en-US"/>
        </w:rPr>
        <w:t>O.R</w:t>
      </w:r>
      <w:proofErr w:type="spellEnd"/>
      <w:r w:rsidRPr="00A16566">
        <w:rPr>
          <w:rFonts w:cs="Times New Roman"/>
          <w:lang w:val="en-US"/>
        </w:rPr>
        <w:t>. (</w:t>
      </w:r>
      <w:proofErr w:type="spellStart"/>
      <w:r w:rsidRPr="00A16566">
        <w:rPr>
          <w:rFonts w:cs="Times New Roman"/>
          <w:lang w:val="en-US"/>
        </w:rPr>
        <w:t>3d</w:t>
      </w:r>
      <w:proofErr w:type="spellEnd"/>
      <w:r w:rsidRPr="00A16566">
        <w:rPr>
          <w:rFonts w:cs="Times New Roman"/>
          <w:lang w:val="en-US"/>
        </w:rPr>
        <w:t xml:space="preserve">) 241], where investigators, while looking for files relating to an alleged fraud, inadvertently discovered child pornography and from that point </w:t>
      </w:r>
      <w:r w:rsidRPr="00A16566">
        <w:rPr>
          <w:rFonts w:cs="Times New Roman"/>
          <w:u w:val="single"/>
          <w:lang w:val="en-US"/>
        </w:rPr>
        <w:t>started looking for completely different kinds of files than what was envisaged by their initial warrant</w:t>
      </w:r>
      <w:r w:rsidRPr="00A16566">
        <w:rPr>
          <w:rFonts w:cs="Times New Roman"/>
          <w:lang w:val="en-US"/>
        </w:rPr>
        <w:t>” (</w:t>
      </w:r>
      <w:r w:rsidRPr="00A16566">
        <w:rPr>
          <w:rFonts w:cs="Times New Roman"/>
          <w:i/>
          <w:lang w:val="en-US"/>
        </w:rPr>
        <w:t>ibid</w:t>
      </w:r>
      <w:r w:rsidRPr="00A16566">
        <w:rPr>
          <w:rFonts w:cs="Times New Roman"/>
          <w:lang w:val="en-US"/>
        </w:rPr>
        <w:t xml:space="preserve">. (emphasis added)). </w:t>
      </w:r>
    </w:p>
    <w:p w14:paraId="3E04B7D0" w14:textId="77777777" w:rsidR="00A16566" w:rsidRPr="00A16566" w:rsidRDefault="00A16566" w:rsidP="00A16566">
      <w:pPr>
        <w:pStyle w:val="ParaNoNdepar-AltN"/>
        <w:rPr>
          <w:rFonts w:cs="Times New Roman"/>
          <w:lang w:val="en-US"/>
        </w:rPr>
      </w:pPr>
      <w:r w:rsidRPr="00A16566">
        <w:rPr>
          <w:rFonts w:cs="Times New Roman"/>
          <w:lang w:val="en-US"/>
        </w:rPr>
        <w:t>Because</w:t>
      </w:r>
      <w:r w:rsidRPr="00A16566">
        <w:rPr>
          <w:rFonts w:cs="Times New Roman"/>
        </w:rPr>
        <w:t xml:space="preserve"> </w:t>
      </w:r>
      <w:r w:rsidRPr="00A16566">
        <w:rPr>
          <w:rFonts w:cs="Times New Roman"/>
          <w:lang w:val="en-US"/>
        </w:rPr>
        <w:t xml:space="preserve">the police in </w:t>
      </w:r>
      <w:r w:rsidRPr="00A16566">
        <w:rPr>
          <w:rFonts w:cs="Times New Roman"/>
          <w:i/>
          <w:lang w:val="en-US"/>
        </w:rPr>
        <w:t>Jones</w:t>
      </w:r>
      <w:r w:rsidRPr="00A16566">
        <w:rPr>
          <w:rFonts w:cs="Times New Roman"/>
          <w:lang w:val="en-US"/>
        </w:rPr>
        <w:t xml:space="preserve"> — unlike in this case — intentionally searched for files beyond the scope of what the warrant authorized, they needed an alternate justification for that unwarranted search and attempted to rely on the plain view doctrine (</w:t>
      </w:r>
      <w:r w:rsidRPr="00A16566">
        <w:rPr>
          <w:rFonts w:cs="Times New Roman"/>
          <w:i/>
          <w:lang w:val="en-US"/>
        </w:rPr>
        <w:t>Jones</w:t>
      </w:r>
      <w:r w:rsidRPr="00A16566">
        <w:rPr>
          <w:rFonts w:cs="Times New Roman"/>
          <w:lang w:val="en-US"/>
        </w:rPr>
        <w:t xml:space="preserve">, at para. 26). In addition to improperly expanding the scope of the search, in </w:t>
      </w:r>
      <w:r w:rsidRPr="00A16566">
        <w:rPr>
          <w:rFonts w:cs="Times New Roman"/>
          <w:i/>
          <w:lang w:val="en-US"/>
        </w:rPr>
        <w:t>Jones</w:t>
      </w:r>
      <w:r w:rsidRPr="00A16566">
        <w:rPr>
          <w:rFonts w:cs="Times New Roman"/>
          <w:lang w:val="en-US"/>
        </w:rPr>
        <w:t xml:space="preserve"> police continued searching the individual hard drive that contained the evidence of child pornography after that evidence was discovered. Here, by contrast, police did not continue a search for evidence of crimes other than those covered by the warrant. Rather, they continued their search for evidence of </w:t>
      </w:r>
      <w:r w:rsidRPr="00A16566">
        <w:rPr>
          <w:rFonts w:cs="Times New Roman"/>
          <w:i/>
          <w:lang w:val="en-US"/>
        </w:rPr>
        <w:t>voyeurism</w:t>
      </w:r>
      <w:r w:rsidRPr="00A16566">
        <w:rPr>
          <w:rFonts w:cs="Times New Roman"/>
          <w:lang w:val="en-US"/>
        </w:rPr>
        <w:t>, as permitted by the warrant. And, they did not continue searching the devices that contained evidence of other offences. Rather than continuing to search those devices, they “set aside for seizure and further analysis”, after obtaining a Canadian warrant, “any device that was assessed to contain potential child pornography and sexual assault files” (</w:t>
      </w:r>
      <w:proofErr w:type="spellStart"/>
      <w:r w:rsidRPr="00A16566">
        <w:rPr>
          <w:rFonts w:cs="Times New Roman"/>
          <w:i/>
          <w:lang w:val="en-US"/>
        </w:rPr>
        <w:t>voir</w:t>
      </w:r>
      <w:proofErr w:type="spellEnd"/>
      <w:r w:rsidRPr="00A16566">
        <w:rPr>
          <w:rFonts w:cs="Times New Roman"/>
          <w:i/>
          <w:lang w:val="en-US"/>
        </w:rPr>
        <w:t xml:space="preserve"> dire</w:t>
      </w:r>
      <w:r w:rsidRPr="00A16566">
        <w:rPr>
          <w:rFonts w:cs="Times New Roman"/>
          <w:lang w:val="en-US"/>
        </w:rPr>
        <w:t xml:space="preserve"> decision, para. 25). Cpl. McGregor’s arguments that the search was unlawful or unreasonable must therefore fail. The search was authorized by the Virginia warrant and the police did not inappropriately expand the scope of their search. </w:t>
      </w:r>
    </w:p>
    <w:p w14:paraId="560C8220" w14:textId="77777777" w:rsidR="00A16566" w:rsidRPr="00A16566" w:rsidRDefault="00A16566" w:rsidP="00A16566">
      <w:pPr>
        <w:pStyle w:val="ParaNoNdepar-AltN"/>
        <w:rPr>
          <w:rFonts w:cs="Times New Roman"/>
          <w:lang w:val="en-US"/>
        </w:rPr>
      </w:pPr>
      <w:r w:rsidRPr="00A16566">
        <w:rPr>
          <w:rFonts w:cs="Times New Roman"/>
        </w:rPr>
        <w:t xml:space="preserve">As such, </w:t>
      </w:r>
      <w:r w:rsidRPr="00A16566">
        <w:rPr>
          <w:rFonts w:cs="Times New Roman"/>
          <w:lang w:val="en-US"/>
        </w:rPr>
        <w:t xml:space="preserve">reliance on the plain view doctrine is unnecessary. The parties have not argued any seizure issue. And, in any event, the initial seizure of the </w:t>
      </w:r>
      <w:r w:rsidRPr="00A16566">
        <w:rPr>
          <w:rFonts w:cs="Times New Roman"/>
          <w:i/>
          <w:lang w:val="en-US"/>
        </w:rPr>
        <w:t>device</w:t>
      </w:r>
      <w:r w:rsidRPr="00A16566">
        <w:rPr>
          <w:rFonts w:cs="Times New Roman"/>
          <w:lang w:val="en-US"/>
        </w:rPr>
        <w:t xml:space="preserve"> containing sexual assault evidence was judicially authorized by the Virginia warrant, which allowed seizure of devices that may contain evidence of voyeurism. Continued seizure and search of the device was judicially authorized by the subsequent Canadian warrant. Because police set aside any devices that contained evidence of unrelated offences rather than continuing to search them, it is unnecessary to decide in this case whether continuing to search a particular device even after discovering evidence of an unrelated offence on that device could violate s. 8. To the extent that Cpl. McGregor argues that discovering evidence of an unrelated offence on one device required police to not just cease searching that device, but also to refrain from searching </w:t>
      </w:r>
      <w:r w:rsidRPr="00A16566">
        <w:rPr>
          <w:rFonts w:cs="Times New Roman"/>
          <w:i/>
          <w:lang w:val="en-US"/>
        </w:rPr>
        <w:t>any other</w:t>
      </w:r>
      <w:r w:rsidRPr="00A16566">
        <w:rPr>
          <w:rFonts w:cs="Times New Roman"/>
          <w:lang w:val="en-US"/>
        </w:rPr>
        <w:t xml:space="preserve"> devices (even for evidence of offences covered by the warrant), we reject that argument. Discovering evidence of an unrelated offence neither authorizes police to begin searching for evidence pertaining to that unrelated offence nor requires them to entirely cease their search as to what the warrant authorized them to search for. That conclusion is all that is required to resolve the s. 8 issue that Cpl. McGregor actually raised: the reasonableness of continuing to triage other devices after discovering evidence of child pornography. </w:t>
      </w:r>
    </w:p>
    <w:p w14:paraId="38E8DE1E" w14:textId="77777777" w:rsidR="00A16566" w:rsidRPr="00A16566" w:rsidRDefault="00A16566" w:rsidP="00A16566">
      <w:pPr>
        <w:pStyle w:val="ParaNoNdepar-AltN"/>
        <w:rPr>
          <w:rFonts w:cs="Times New Roman"/>
          <w:lang w:val="en-US"/>
        </w:rPr>
      </w:pPr>
      <w:r w:rsidRPr="00A16566">
        <w:rPr>
          <w:rFonts w:cs="Times New Roman"/>
          <w:lang w:val="en-US"/>
        </w:rPr>
        <w:t>In</w:t>
      </w:r>
      <w:r w:rsidRPr="00A16566">
        <w:rPr>
          <w:rFonts w:cs="Times New Roman"/>
        </w:rPr>
        <w:t xml:space="preserve"> </w:t>
      </w:r>
      <w:r w:rsidRPr="00A16566">
        <w:rPr>
          <w:rFonts w:cs="Times New Roman"/>
          <w:lang w:val="en-US"/>
        </w:rPr>
        <w:t xml:space="preserve">concluding that applying the plain view doctrine is necessary, the majority assumes that the files disclosing evidence of sexual assault were seized when they were seen by police, even though they were conducting a lawful search on the computer for voyeurism under a valid warrant. Cpl. McGregor never raised such an argument, nor did any of the interveners. Our Court has never decided the issue of when a particular </w:t>
      </w:r>
      <w:r w:rsidRPr="00A16566">
        <w:rPr>
          <w:rFonts w:cs="Times New Roman"/>
          <w:i/>
          <w:lang w:val="en-US"/>
        </w:rPr>
        <w:t>file</w:t>
      </w:r>
      <w:r w:rsidRPr="00A16566">
        <w:rPr>
          <w:rFonts w:cs="Times New Roman"/>
          <w:lang w:val="en-US"/>
        </w:rPr>
        <w:t xml:space="preserve"> on a device is seized, as opposed to when the </w:t>
      </w:r>
      <w:r w:rsidRPr="00A16566">
        <w:rPr>
          <w:rFonts w:cs="Times New Roman"/>
          <w:i/>
          <w:lang w:val="en-US"/>
        </w:rPr>
        <w:t>device</w:t>
      </w:r>
      <w:r w:rsidRPr="00A16566">
        <w:rPr>
          <w:rFonts w:cs="Times New Roman"/>
          <w:lang w:val="en-US"/>
        </w:rPr>
        <w:t xml:space="preserve"> (e.g., a laptop) itself is seized. This Court should not decide it in this case. Unintended consequences may flow from deciding the issue without the benefit of any submissions. And it is unnecessary to a resolution of the case.</w:t>
      </w:r>
    </w:p>
    <w:p w14:paraId="589DEC3B" w14:textId="77777777" w:rsidR="00A16566" w:rsidRPr="00A16566" w:rsidRDefault="00A16566" w:rsidP="00A16566">
      <w:pPr>
        <w:pStyle w:val="ParaNoNdepar-AltN"/>
        <w:rPr>
          <w:rFonts w:cs="Times New Roman"/>
          <w:lang w:val="en-US"/>
        </w:rPr>
      </w:pPr>
      <w:r w:rsidRPr="00A16566">
        <w:rPr>
          <w:rFonts w:cs="Times New Roman"/>
          <w:lang w:val="en-US"/>
        </w:rPr>
        <w:t xml:space="preserve">Further, the assumption that the files were seized when they were initially seen by police is highly questionable under existing precedent. In </w:t>
      </w:r>
      <w:r w:rsidRPr="00A16566">
        <w:rPr>
          <w:rFonts w:cs="Times New Roman"/>
          <w:i/>
          <w:lang w:val="en-US"/>
        </w:rPr>
        <w:t xml:space="preserve">R. v. </w:t>
      </w:r>
      <w:proofErr w:type="spellStart"/>
      <w:r w:rsidRPr="00A16566">
        <w:rPr>
          <w:rFonts w:cs="Times New Roman"/>
          <w:i/>
          <w:lang w:val="en-US"/>
        </w:rPr>
        <w:t>Dyment</w:t>
      </w:r>
      <w:proofErr w:type="spellEnd"/>
      <w:r w:rsidRPr="00A16566">
        <w:rPr>
          <w:rFonts w:cs="Times New Roman"/>
          <w:lang w:val="en-US"/>
        </w:rPr>
        <w:t xml:space="preserve">, [1988] 2 </w:t>
      </w:r>
      <w:proofErr w:type="spellStart"/>
      <w:r w:rsidRPr="00A16566">
        <w:rPr>
          <w:rFonts w:cs="Times New Roman"/>
          <w:lang w:val="en-US"/>
        </w:rPr>
        <w:t>S.C.R</w:t>
      </w:r>
      <w:proofErr w:type="spellEnd"/>
      <w:r w:rsidRPr="00A16566">
        <w:rPr>
          <w:rFonts w:cs="Times New Roman"/>
          <w:lang w:val="en-US"/>
        </w:rPr>
        <w:t>. 417, this Court offered general guidance on the “line between a seizure and a mere finding of evidence”, which we articulated as “the point at which it can reasonably be said that the individual had ceased to have a privacy interest in the subject matter” (p. 435). In our view, simply seeing the file at Cpl. McGregor’s home did not likely constitute a seizure because he did not “</w:t>
      </w:r>
      <w:proofErr w:type="spellStart"/>
      <w:r w:rsidRPr="00A16566">
        <w:rPr>
          <w:rFonts w:cs="Times New Roman"/>
          <w:lang w:val="en-US"/>
        </w:rPr>
        <w:t>ceas</w:t>
      </w:r>
      <w:proofErr w:type="spellEnd"/>
      <w:r w:rsidRPr="00A16566">
        <w:rPr>
          <w:rFonts w:cs="Times New Roman"/>
          <w:lang w:val="en-US"/>
        </w:rPr>
        <w:t>[e] to have a privacy interest in” it in the required sense (</w:t>
      </w:r>
      <w:r w:rsidRPr="00A16566">
        <w:rPr>
          <w:rFonts w:cs="Times New Roman"/>
          <w:i/>
          <w:lang w:val="en-US"/>
        </w:rPr>
        <w:t>ibid</w:t>
      </w:r>
      <w:r w:rsidRPr="00A16566">
        <w:rPr>
          <w:rFonts w:cs="Times New Roman"/>
          <w:lang w:val="en-US"/>
        </w:rPr>
        <w:t>.), as evidenced by the need for the subsequent Canadian warrant. Additionally, finding that a file is seized when it is “viewed” conflates merely seeing a file with seizing it. To analogize to physical files, this would suggest that the police seize every piece of paper that they view during the search of a file cabinet.</w:t>
      </w:r>
    </w:p>
    <w:p w14:paraId="3D7C6A47" w14:textId="77777777" w:rsidR="00A16566" w:rsidRPr="00A16566" w:rsidRDefault="00A16566" w:rsidP="00A16566">
      <w:pPr>
        <w:pStyle w:val="ParaNoNdepar-AltN"/>
        <w:rPr>
          <w:rFonts w:cs="Times New Roman"/>
          <w:lang w:val="en-US"/>
        </w:rPr>
      </w:pPr>
      <w:r w:rsidRPr="00A16566">
        <w:rPr>
          <w:rFonts w:cs="Times New Roman"/>
          <w:lang w:val="en-US"/>
        </w:rPr>
        <w:t>Rather than deciding this complex question without the benefit of submissions, we would conclude that the initial seizure of the laptop was justified by the Virginia warrant — as Cpl. McGregor accepts (</w:t>
      </w:r>
      <w:proofErr w:type="spellStart"/>
      <w:r w:rsidRPr="00A16566">
        <w:rPr>
          <w:rFonts w:cs="Times New Roman"/>
          <w:lang w:val="en-US"/>
        </w:rPr>
        <w:t>A.F</w:t>
      </w:r>
      <w:proofErr w:type="spellEnd"/>
      <w:r w:rsidRPr="00A16566">
        <w:rPr>
          <w:rFonts w:cs="Times New Roman"/>
          <w:lang w:val="en-US"/>
        </w:rPr>
        <w:t xml:space="preserve">., at paras. 200-201) — and the subsequent search and seizure of its files was justified by the Canadian warrant. The Virginia warrant did not encompass the investigation of </w:t>
      </w:r>
      <w:r w:rsidRPr="00A16566">
        <w:rPr>
          <w:rFonts w:cs="Times New Roman"/>
        </w:rPr>
        <w:t>sexual</w:t>
      </w:r>
      <w:r w:rsidRPr="00A16566">
        <w:rPr>
          <w:rFonts w:cs="Times New Roman"/>
          <w:lang w:val="en-US"/>
        </w:rPr>
        <w:t xml:space="preserve"> assault offences and the officers discovered the file relating to the alleged sexual assault only while looking for the types of </w:t>
      </w:r>
      <w:r w:rsidRPr="00A16566">
        <w:rPr>
          <w:rFonts w:cs="Times New Roman"/>
        </w:rPr>
        <w:t>files</w:t>
      </w:r>
      <w:r w:rsidRPr="00A16566">
        <w:rPr>
          <w:rFonts w:cs="Times New Roman"/>
          <w:lang w:val="en-US"/>
        </w:rPr>
        <w:t xml:space="preserve"> specifically authorized by the warrant (</w:t>
      </w:r>
      <w:proofErr w:type="spellStart"/>
      <w:r w:rsidRPr="00A16566">
        <w:rPr>
          <w:rFonts w:cs="Times New Roman"/>
          <w:i/>
          <w:lang w:val="en-US"/>
        </w:rPr>
        <w:t>voir</w:t>
      </w:r>
      <w:proofErr w:type="spellEnd"/>
      <w:r w:rsidRPr="00A16566">
        <w:rPr>
          <w:rFonts w:cs="Times New Roman"/>
          <w:i/>
          <w:lang w:val="en-US"/>
        </w:rPr>
        <w:t xml:space="preserve"> dire</w:t>
      </w:r>
      <w:r w:rsidRPr="00A16566">
        <w:rPr>
          <w:rFonts w:cs="Times New Roman"/>
          <w:lang w:val="en-US"/>
        </w:rPr>
        <w:t xml:space="preserve"> decision, at para. 25). The Virginia warrant did, however, authorize </w:t>
      </w:r>
      <w:r w:rsidRPr="00A16566">
        <w:rPr>
          <w:rFonts w:cs="Times New Roman"/>
          <w:i/>
          <w:lang w:val="en-US"/>
        </w:rPr>
        <w:t>seizure</w:t>
      </w:r>
      <w:r w:rsidRPr="00A16566">
        <w:rPr>
          <w:rFonts w:cs="Times New Roman"/>
          <w:lang w:val="en-US"/>
        </w:rPr>
        <w:t xml:space="preserve"> of the electronic devices which may have contained evidence of voyeurism.</w:t>
      </w:r>
      <w:r w:rsidRPr="00A16566">
        <w:rPr>
          <w:rFonts w:cs="Times New Roman"/>
        </w:rPr>
        <w:t xml:space="preserve"> </w:t>
      </w:r>
      <w:r w:rsidRPr="00A16566">
        <w:rPr>
          <w:rFonts w:cs="Times New Roman"/>
          <w:lang w:val="en-US"/>
        </w:rPr>
        <w:t xml:space="preserve">The Virginia warrant also authorized the </w:t>
      </w:r>
      <w:r w:rsidRPr="00A16566">
        <w:rPr>
          <w:rFonts w:cs="Times New Roman"/>
          <w:i/>
          <w:lang w:val="en-US"/>
        </w:rPr>
        <w:t>search</w:t>
      </w:r>
      <w:r w:rsidRPr="00A16566">
        <w:rPr>
          <w:rFonts w:cs="Times New Roman"/>
          <w:lang w:val="en-US"/>
        </w:rPr>
        <w:t xml:space="preserve"> of the laptop’s files for evidence of voyeurism, which explains how the police found the sexual assault file and why they were acting lawfully when they saw it. At this point, the police chose a sound approach in the circumstances: they set aside the (already seized) laptop and subsequently obtained a Canadian warrant that authorized them to search the content of the computers and electronic devices for the purpose of obtaining evidence of sexual assault (para. 20; </w:t>
      </w:r>
      <w:proofErr w:type="spellStart"/>
      <w:r w:rsidRPr="00A16566">
        <w:rPr>
          <w:rFonts w:cs="Times New Roman"/>
          <w:lang w:val="en-US"/>
        </w:rPr>
        <w:t>A.R</w:t>
      </w:r>
      <w:proofErr w:type="spellEnd"/>
      <w:r w:rsidRPr="00A16566">
        <w:rPr>
          <w:rFonts w:cs="Times New Roman"/>
          <w:lang w:val="en-US"/>
        </w:rPr>
        <w:t xml:space="preserve">., vol. I, at p. 100). Accordingly, their conduct did not exceed the bounds of prior judicial authorization and the plain view doctrine need not be relied upon. </w:t>
      </w:r>
    </w:p>
    <w:p w14:paraId="6905ED46" w14:textId="77777777" w:rsidR="00A16566" w:rsidRPr="00A16566" w:rsidRDefault="00A16566" w:rsidP="00A16566">
      <w:pPr>
        <w:pStyle w:val="ParaNoNdepar-AltN"/>
        <w:rPr>
          <w:rFonts w:cs="Times New Roman"/>
          <w:lang w:val="en-US"/>
        </w:rPr>
      </w:pPr>
      <w:r w:rsidRPr="00A16566">
        <w:rPr>
          <w:rFonts w:cs="Times New Roman"/>
          <w:lang w:val="en-US"/>
        </w:rPr>
        <w:t>In addition to being in lawful possession of the computer under the Virginia warrant, we note that when the police discovered the sexual assault file, they may also have been authorized to take physical control of the laptop “temporarily, and for the limited purpose of safeguarding potential evidence of a crime until a search warrant” specific to sexual assault “could be obtained” (</w:t>
      </w:r>
      <w:r w:rsidRPr="00A16566">
        <w:rPr>
          <w:rFonts w:cs="Times New Roman"/>
          <w:i/>
          <w:lang w:val="en-US"/>
        </w:rPr>
        <w:t>R. v. Cole</w:t>
      </w:r>
      <w:r w:rsidRPr="00A16566">
        <w:rPr>
          <w:rFonts w:cs="Times New Roman"/>
          <w:lang w:val="en-US"/>
        </w:rPr>
        <w:t xml:space="preserve">, 2012 SCC 53, [2012] 3 </w:t>
      </w:r>
      <w:proofErr w:type="spellStart"/>
      <w:r w:rsidRPr="00A16566">
        <w:rPr>
          <w:rFonts w:cs="Times New Roman"/>
          <w:lang w:val="en-US"/>
        </w:rPr>
        <w:t>S.C.R</w:t>
      </w:r>
      <w:proofErr w:type="spellEnd"/>
      <w:r w:rsidRPr="00A16566">
        <w:rPr>
          <w:rFonts w:cs="Times New Roman"/>
          <w:lang w:val="en-US"/>
        </w:rPr>
        <w:t xml:space="preserve">. 34, at para. 65 (emphasis deleted)). </w:t>
      </w:r>
      <w:r w:rsidRPr="00A16566">
        <w:rPr>
          <w:rFonts w:cs="Times New Roman"/>
          <w:i/>
          <w:lang w:val="en-US"/>
        </w:rPr>
        <w:t>Vu</w:t>
      </w:r>
      <w:r w:rsidRPr="00A16566">
        <w:rPr>
          <w:rFonts w:cs="Times New Roman"/>
          <w:lang w:val="en-US"/>
        </w:rPr>
        <w:t xml:space="preserve"> likewise contemplated seizure of computers so as to preserve evidence of an offence, even where the warrant did not provide authorization to search the computer for evidence of that offence, “assuming it may reasonably be thought to contain the sort of things that the warrant authorizes to be seized” (paras. 3 and 49). Here, the police reasonably thought the laptop may have contained evidence of voyeurism and so were justified under the Virginia warrant to seize the laptop in order to preserve the integrity of the data. </w:t>
      </w:r>
    </w:p>
    <w:p w14:paraId="236C7B36" w14:textId="77777777" w:rsidR="00A16566" w:rsidRPr="00A16566" w:rsidRDefault="00A16566" w:rsidP="00A16566">
      <w:pPr>
        <w:pStyle w:val="ParaNoNdepar-AltN"/>
        <w:rPr>
          <w:rFonts w:cs="Times New Roman"/>
          <w:lang w:val="en-US"/>
        </w:rPr>
      </w:pPr>
      <w:r w:rsidRPr="00A16566">
        <w:rPr>
          <w:rFonts w:cs="Times New Roman"/>
          <w:lang w:val="en-US"/>
        </w:rPr>
        <w:t>Not</w:t>
      </w:r>
      <w:r w:rsidRPr="00A16566">
        <w:rPr>
          <w:rFonts w:cs="Times New Roman"/>
        </w:rPr>
        <w:t xml:space="preserve"> </w:t>
      </w:r>
      <w:r w:rsidRPr="00A16566">
        <w:rPr>
          <w:rFonts w:cs="Times New Roman"/>
          <w:lang w:val="en-US"/>
        </w:rPr>
        <w:t xml:space="preserve">only is reliance on the plain view doctrine superfluous and dependent on questionable assumptions regarding when a file is seized, whether or not to extend the plain view doctrine to the search of the content of a computer is a fraught issue that has not been addressed by this Court. We have never endorsed the application of the doctrine to electronic files as set out by the Ontario Court of Appeal in </w:t>
      </w:r>
      <w:r w:rsidRPr="00A16566">
        <w:rPr>
          <w:rFonts w:cs="Times New Roman"/>
          <w:i/>
          <w:lang w:val="en-US"/>
        </w:rPr>
        <w:t>Jones</w:t>
      </w:r>
      <w:r w:rsidRPr="00A16566">
        <w:rPr>
          <w:rFonts w:cs="Times New Roman"/>
          <w:lang w:val="en-US"/>
        </w:rPr>
        <w:t>. The search and seizure of personal computers marks an incredibly intrusive, extensive and invasive search of one’s privacy (</w:t>
      </w:r>
      <w:r w:rsidRPr="00A16566">
        <w:rPr>
          <w:rFonts w:cs="Times New Roman"/>
          <w:i/>
          <w:lang w:val="en-US"/>
        </w:rPr>
        <w:t>R. v. Morelli</w:t>
      </w:r>
      <w:r w:rsidRPr="00A16566">
        <w:rPr>
          <w:rFonts w:cs="Times New Roman"/>
          <w:lang w:val="en-US"/>
        </w:rPr>
        <w:t xml:space="preserve">, 2010 SCC 8, [2010] 1 </w:t>
      </w:r>
      <w:proofErr w:type="spellStart"/>
      <w:r w:rsidRPr="00A16566">
        <w:rPr>
          <w:rFonts w:cs="Times New Roman"/>
          <w:lang w:val="en-US"/>
        </w:rPr>
        <w:t>S.C.R</w:t>
      </w:r>
      <w:proofErr w:type="spellEnd"/>
      <w:r w:rsidRPr="00A16566">
        <w:rPr>
          <w:rFonts w:cs="Times New Roman"/>
          <w:lang w:val="en-US"/>
        </w:rPr>
        <w:t>. 253, at paras. 2-3). To that end, we have required specific authorization for the search and seizure of computers (</w:t>
      </w:r>
      <w:r w:rsidRPr="00A16566">
        <w:rPr>
          <w:rFonts w:cs="Times New Roman"/>
          <w:i/>
          <w:lang w:val="en-US"/>
        </w:rPr>
        <w:t>Vu</w:t>
      </w:r>
      <w:r w:rsidRPr="00A16566">
        <w:rPr>
          <w:rFonts w:cs="Times New Roman"/>
          <w:lang w:val="en-US"/>
        </w:rPr>
        <w:t>) and modified the common law approach to searches incident to arrest in the case of cell phones (</w:t>
      </w:r>
      <w:r w:rsidRPr="00A16566">
        <w:rPr>
          <w:rFonts w:cs="Times New Roman"/>
          <w:i/>
          <w:lang w:val="en-US"/>
        </w:rPr>
        <w:t xml:space="preserve">R. v. </w:t>
      </w:r>
      <w:proofErr w:type="spellStart"/>
      <w:r w:rsidRPr="00A16566">
        <w:rPr>
          <w:rFonts w:cs="Times New Roman"/>
          <w:i/>
          <w:lang w:val="en-US"/>
        </w:rPr>
        <w:t>Fearon</w:t>
      </w:r>
      <w:proofErr w:type="spellEnd"/>
      <w:r w:rsidRPr="00A16566">
        <w:rPr>
          <w:rFonts w:cs="Times New Roman"/>
          <w:lang w:val="en-US"/>
        </w:rPr>
        <w:t xml:space="preserve">, 2014 SCC 77, [2014] 3 </w:t>
      </w:r>
      <w:proofErr w:type="spellStart"/>
      <w:r w:rsidRPr="00A16566">
        <w:rPr>
          <w:rFonts w:cs="Times New Roman"/>
          <w:lang w:val="en-US"/>
        </w:rPr>
        <w:t>S.C.R</w:t>
      </w:r>
      <w:proofErr w:type="spellEnd"/>
      <w:r w:rsidRPr="00A16566">
        <w:rPr>
          <w:rFonts w:cs="Times New Roman"/>
          <w:lang w:val="en-US"/>
        </w:rPr>
        <w:t>. 621). There are special considerations associated with electronic data which suggest we should not assume that the plain view doctrine applies, or that it applies without modification. Additionally, we did not receive any submissions on the issue. We would leave that issue for another day.</w:t>
      </w:r>
    </w:p>
    <w:p w14:paraId="13BF85DC" w14:textId="77777777" w:rsidR="00A16566" w:rsidRPr="00A16566" w:rsidRDefault="00A16566" w:rsidP="00A16566">
      <w:pPr>
        <w:pStyle w:val="ParaNoNdepar-AltN"/>
        <w:rPr>
          <w:rFonts w:cs="Times New Roman"/>
          <w:lang w:val="en-US"/>
        </w:rPr>
      </w:pPr>
      <w:r w:rsidRPr="00A16566">
        <w:rPr>
          <w:rFonts w:cs="Times New Roman"/>
          <w:lang w:val="en-US"/>
        </w:rPr>
        <w:t xml:space="preserve">As such, </w:t>
      </w:r>
      <w:r w:rsidRPr="00A16566">
        <w:rPr>
          <w:rFonts w:cs="Times New Roman"/>
        </w:rPr>
        <w:t>the</w:t>
      </w:r>
      <w:r w:rsidRPr="00A16566">
        <w:rPr>
          <w:rFonts w:cs="Times New Roman"/>
          <w:lang w:val="en-US"/>
        </w:rPr>
        <w:t xml:space="preserve"> police did not infringe s. 8 of the </w:t>
      </w:r>
      <w:r w:rsidRPr="00A16566">
        <w:rPr>
          <w:rFonts w:cs="Times New Roman"/>
          <w:i/>
          <w:lang w:val="en-US"/>
        </w:rPr>
        <w:t xml:space="preserve">Charter </w:t>
      </w:r>
      <w:r w:rsidRPr="00A16566">
        <w:rPr>
          <w:rFonts w:cs="Times New Roman"/>
          <w:lang w:val="en-US"/>
        </w:rPr>
        <w:t xml:space="preserve">and the evidence is admissible. We would dismiss the appeal. </w:t>
      </w:r>
    </w:p>
    <w:p w14:paraId="422DDB29" w14:textId="77777777" w:rsidR="00A16566" w:rsidRPr="00A16566" w:rsidRDefault="00A16566" w:rsidP="00A16566">
      <w:pPr>
        <w:tabs>
          <w:tab w:val="left" w:pos="1134"/>
        </w:tabs>
        <w:jc w:val="both"/>
      </w:pPr>
      <w:r w:rsidRPr="00A16566">
        <w:tab/>
        <w:t>The following are the reasons delivered by</w:t>
      </w:r>
    </w:p>
    <w:p w14:paraId="743D95D3" w14:textId="77777777" w:rsidR="00A16566" w:rsidRPr="00A16566" w:rsidRDefault="00A16566" w:rsidP="00A16566">
      <w:pPr>
        <w:tabs>
          <w:tab w:val="left" w:pos="1134"/>
        </w:tabs>
        <w:jc w:val="both"/>
      </w:pPr>
    </w:p>
    <w:p w14:paraId="75007BE1" w14:textId="77777777" w:rsidR="00A16566" w:rsidRPr="00A16566" w:rsidRDefault="00A16566" w:rsidP="00A16566">
      <w:pPr>
        <w:pStyle w:val="JudgeJuge"/>
        <w:tabs>
          <w:tab w:val="clear" w:pos="1260"/>
          <w:tab w:val="left" w:pos="1134"/>
        </w:tabs>
      </w:pPr>
      <w:r w:rsidRPr="00A16566">
        <w:tab/>
        <w:t xml:space="preserve">Rowe J. — </w:t>
      </w:r>
    </w:p>
    <w:p w14:paraId="2E9D6A17" w14:textId="77777777" w:rsidR="00A16566" w:rsidRPr="00A16566" w:rsidRDefault="00A16566" w:rsidP="00A16566">
      <w:pPr>
        <w:pStyle w:val="ParaNoNdepar-AltN"/>
        <w:rPr>
          <w:rFonts w:cs="Times New Roman"/>
        </w:rPr>
      </w:pPr>
      <w:r w:rsidRPr="00A16566">
        <w:rPr>
          <w:rFonts w:cs="Times New Roman"/>
          <w:lang w:val="en-US"/>
        </w:rPr>
        <w:t xml:space="preserve">I have read the reasons of Justice Côté, and agree with the entirety of her analysis. </w:t>
      </w:r>
      <w:r w:rsidRPr="00A16566">
        <w:rPr>
          <w:rFonts w:cs="Times New Roman"/>
        </w:rPr>
        <w:t xml:space="preserve">To be clear, Justice </w:t>
      </w:r>
      <w:proofErr w:type="spellStart"/>
      <w:r w:rsidRPr="00A16566">
        <w:rPr>
          <w:rFonts w:cs="Times New Roman"/>
        </w:rPr>
        <w:t>Côté’s</w:t>
      </w:r>
      <w:proofErr w:type="spellEnd"/>
      <w:r w:rsidRPr="00A16566">
        <w:rPr>
          <w:rFonts w:cs="Times New Roman"/>
        </w:rPr>
        <w:t xml:space="preserve"> reasons state the opinion of a majority of this Court. </w:t>
      </w:r>
    </w:p>
    <w:p w14:paraId="67FBB7DD" w14:textId="77777777" w:rsidR="00A16566" w:rsidRPr="00A16566" w:rsidRDefault="00A16566" w:rsidP="00A16566">
      <w:pPr>
        <w:pStyle w:val="ParaNoNdepar-AltN"/>
        <w:tabs>
          <w:tab w:val="clear" w:pos="1152"/>
          <w:tab w:val="left" w:pos="1166"/>
        </w:tabs>
        <w:rPr>
          <w:rFonts w:cs="Times New Roman"/>
        </w:rPr>
      </w:pPr>
      <w:r w:rsidRPr="00A16566">
        <w:rPr>
          <w:rFonts w:cs="Times New Roman"/>
          <w:lang w:val="en-US"/>
        </w:rPr>
        <w:t xml:space="preserve">I have also read the reasons of Justices </w:t>
      </w:r>
      <w:proofErr w:type="spellStart"/>
      <w:r w:rsidRPr="00A16566">
        <w:rPr>
          <w:rFonts w:cs="Times New Roman"/>
          <w:lang w:val="en-US"/>
        </w:rPr>
        <w:t>Karakatsanis</w:t>
      </w:r>
      <w:proofErr w:type="spellEnd"/>
      <w:r w:rsidRPr="00A16566">
        <w:rPr>
          <w:rFonts w:cs="Times New Roman"/>
          <w:lang w:val="en-US"/>
        </w:rPr>
        <w:t xml:space="preserve"> and Martin.</w:t>
      </w:r>
      <w:r w:rsidRPr="00A16566">
        <w:rPr>
          <w:rFonts w:cs="Times New Roman"/>
        </w:rPr>
        <w:t xml:space="preserve"> My colleagues use their reasons, at length, to criticize a precedent of this Court, </w:t>
      </w:r>
      <w:r w:rsidRPr="00A16566">
        <w:rPr>
          <w:rFonts w:cs="Times New Roman"/>
          <w:i/>
        </w:rPr>
        <w:t xml:space="preserve">R. v. </w:t>
      </w:r>
      <w:proofErr w:type="spellStart"/>
      <w:r w:rsidRPr="00A16566">
        <w:rPr>
          <w:rFonts w:cs="Times New Roman"/>
          <w:i/>
        </w:rPr>
        <w:t>Hape</w:t>
      </w:r>
      <w:proofErr w:type="spellEnd"/>
      <w:r w:rsidRPr="00A16566">
        <w:rPr>
          <w:rFonts w:cs="Times New Roman"/>
        </w:rPr>
        <w:t xml:space="preserve">, 2007 SCC 26, [2007] 2 </w:t>
      </w:r>
      <w:proofErr w:type="spellStart"/>
      <w:r w:rsidRPr="00A16566">
        <w:rPr>
          <w:rFonts w:cs="Times New Roman"/>
        </w:rPr>
        <w:t>S.C.R</w:t>
      </w:r>
      <w:proofErr w:type="spellEnd"/>
      <w:r w:rsidRPr="00A16566">
        <w:rPr>
          <w:rFonts w:cs="Times New Roman"/>
        </w:rPr>
        <w:t xml:space="preserve">. 292. Their treatment of </w:t>
      </w:r>
      <w:proofErr w:type="spellStart"/>
      <w:r w:rsidRPr="00A16566">
        <w:rPr>
          <w:rFonts w:cs="Times New Roman"/>
          <w:i/>
        </w:rPr>
        <w:t>Hape</w:t>
      </w:r>
      <w:proofErr w:type="spellEnd"/>
      <w:r w:rsidRPr="00A16566">
        <w:rPr>
          <w:rFonts w:cs="Times New Roman"/>
          <w:i/>
        </w:rPr>
        <w:t xml:space="preserve"> </w:t>
      </w:r>
      <w:r w:rsidRPr="00A16566">
        <w:rPr>
          <w:rFonts w:cs="Times New Roman"/>
        </w:rPr>
        <w:t>implies that its merits as a precedent can properly be questioned on this appeal.</w:t>
      </w:r>
    </w:p>
    <w:p w14:paraId="3EC98C60" w14:textId="77777777" w:rsidR="00A16566" w:rsidRPr="00A16566" w:rsidRDefault="00A16566" w:rsidP="00A16566">
      <w:pPr>
        <w:pStyle w:val="ParaNoNdepar-AltN"/>
        <w:tabs>
          <w:tab w:val="clear" w:pos="1152"/>
          <w:tab w:val="left" w:pos="1166"/>
        </w:tabs>
        <w:rPr>
          <w:rFonts w:cs="Times New Roman"/>
        </w:rPr>
      </w:pPr>
      <w:r w:rsidRPr="00A16566">
        <w:rPr>
          <w:rFonts w:cs="Times New Roman"/>
          <w:lang w:val="en-US"/>
        </w:rPr>
        <w:t xml:space="preserve">I disagree with their approach, which goes beyond the issues raised by the parties and seeks, effectively, to overturn </w:t>
      </w:r>
      <w:proofErr w:type="spellStart"/>
      <w:r w:rsidRPr="00A16566">
        <w:rPr>
          <w:rFonts w:cs="Times New Roman"/>
          <w:i/>
          <w:lang w:val="en-US"/>
        </w:rPr>
        <w:t>Hape</w:t>
      </w:r>
      <w:proofErr w:type="spellEnd"/>
      <w:r w:rsidRPr="00A16566">
        <w:rPr>
          <w:rFonts w:cs="Times New Roman"/>
          <w:i/>
          <w:lang w:val="en-US"/>
        </w:rPr>
        <w:t xml:space="preserve"> </w:t>
      </w:r>
      <w:r w:rsidRPr="00A16566">
        <w:rPr>
          <w:rFonts w:cs="Times New Roman"/>
          <w:lang w:val="en-US"/>
        </w:rPr>
        <w:t xml:space="preserve">at the invitation of interveners. This invitation, as I explain below, exceeds the well-established limits on interveners. </w:t>
      </w:r>
      <w:r w:rsidRPr="00A16566">
        <w:rPr>
          <w:rFonts w:cs="Times New Roman"/>
        </w:rPr>
        <w:t xml:space="preserve">To be clear, I neither endorse nor refute my colleagues’ criticisms of </w:t>
      </w:r>
      <w:proofErr w:type="spellStart"/>
      <w:r w:rsidRPr="00A16566">
        <w:rPr>
          <w:rFonts w:cs="Times New Roman"/>
          <w:i/>
        </w:rPr>
        <w:t>Hape</w:t>
      </w:r>
      <w:proofErr w:type="spellEnd"/>
      <w:r w:rsidRPr="00A16566">
        <w:rPr>
          <w:rFonts w:cs="Times New Roman"/>
        </w:rPr>
        <w:t xml:space="preserve">; I take no position on the substantive merits of the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framework. Rather, I object to my colleagues’ methodology, which has led them to state an opinion on an issue that is not properly before this Court. </w:t>
      </w:r>
    </w:p>
    <w:p w14:paraId="551B18B7"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While my colleagues are correct that the applicability of the </w:t>
      </w:r>
      <w:r w:rsidRPr="00A16566">
        <w:rPr>
          <w:rFonts w:cs="Times New Roman"/>
          <w:i/>
        </w:rPr>
        <w:t xml:space="preserve">Charter </w:t>
      </w:r>
      <w:r w:rsidRPr="00A16566">
        <w:rPr>
          <w:rFonts w:cs="Times New Roman"/>
        </w:rPr>
        <w:t xml:space="preserve">was argued at length by the parties, their reasons do not explain the litigation fully: the parties disputed whether the </w:t>
      </w:r>
      <w:r w:rsidRPr="00A16566">
        <w:rPr>
          <w:rFonts w:cs="Times New Roman"/>
          <w:i/>
        </w:rPr>
        <w:t xml:space="preserve">Charter </w:t>
      </w:r>
      <w:r w:rsidRPr="00A16566">
        <w:rPr>
          <w:rFonts w:cs="Times New Roman"/>
        </w:rPr>
        <w:t xml:space="preserve">applies in this case, </w:t>
      </w:r>
      <w:r w:rsidRPr="00A16566">
        <w:rPr>
          <w:rFonts w:cs="Times New Roman"/>
          <w:i/>
        </w:rPr>
        <w:t xml:space="preserve">assuming the application of </w:t>
      </w:r>
      <w:proofErr w:type="spellStart"/>
      <w:r w:rsidRPr="00A16566">
        <w:rPr>
          <w:rFonts w:cs="Times New Roman"/>
          <w:i/>
        </w:rPr>
        <w:t>Hape</w:t>
      </w:r>
      <w:proofErr w:type="spellEnd"/>
      <w:r w:rsidRPr="00A16566">
        <w:rPr>
          <w:rFonts w:cs="Times New Roman"/>
          <w:i/>
        </w:rPr>
        <w:t xml:space="preserve"> as precedent</w:t>
      </w:r>
      <w:r w:rsidRPr="00A16566">
        <w:rPr>
          <w:rFonts w:cs="Times New Roman"/>
        </w:rPr>
        <w:t xml:space="preserve">. No party ⸺ not at trial, or before the Court Martial Appeal Court, or before this Court ⸺ challenged </w:t>
      </w:r>
      <w:proofErr w:type="spellStart"/>
      <w:r w:rsidRPr="00A16566">
        <w:rPr>
          <w:rFonts w:cs="Times New Roman"/>
          <w:i/>
        </w:rPr>
        <w:t>Hape</w:t>
      </w:r>
      <w:proofErr w:type="spellEnd"/>
      <w:r w:rsidRPr="00A16566">
        <w:rPr>
          <w:rFonts w:cs="Times New Roman"/>
        </w:rPr>
        <w:t>.</w:t>
      </w:r>
      <w:r w:rsidRPr="00A16566">
        <w:rPr>
          <w:rFonts w:cs="Times New Roman"/>
          <w:i/>
        </w:rPr>
        <w:t xml:space="preserve"> </w:t>
      </w:r>
      <w:r w:rsidRPr="00A16566">
        <w:rPr>
          <w:rFonts w:cs="Times New Roman"/>
        </w:rPr>
        <w:t>Rather, they sought to apply it,</w:t>
      </w:r>
      <w:r w:rsidRPr="00A16566">
        <w:rPr>
          <w:rFonts w:cs="Times New Roman"/>
          <w:i/>
        </w:rPr>
        <w:t xml:space="preserve"> </w:t>
      </w:r>
      <w:r w:rsidRPr="00A16566">
        <w:rPr>
          <w:rFonts w:cs="Times New Roman"/>
        </w:rPr>
        <w:t xml:space="preserve">and its exceptions, to the facts of their dispute. Counsel for the respondent argued that this case was a “straightforward application of </w:t>
      </w:r>
      <w:proofErr w:type="spellStart"/>
      <w:r w:rsidRPr="00A16566">
        <w:rPr>
          <w:rFonts w:cs="Times New Roman"/>
          <w:i/>
        </w:rPr>
        <w:t>Hape</w:t>
      </w:r>
      <w:proofErr w:type="spellEnd"/>
      <w:r w:rsidRPr="00A16566">
        <w:rPr>
          <w:rFonts w:cs="Times New Roman"/>
        </w:rPr>
        <w:t>” (</w:t>
      </w:r>
      <w:proofErr w:type="spellStart"/>
      <w:r w:rsidRPr="00A16566">
        <w:rPr>
          <w:rFonts w:cs="Times New Roman"/>
        </w:rPr>
        <w:t>R.F</w:t>
      </w:r>
      <w:proofErr w:type="spellEnd"/>
      <w:r w:rsidRPr="00A16566">
        <w:rPr>
          <w:rFonts w:cs="Times New Roman"/>
        </w:rPr>
        <w:t xml:space="preserve">., at para. 51) and, in oral submissions, urged the Court not to revisit </w:t>
      </w:r>
      <w:proofErr w:type="spellStart"/>
      <w:r w:rsidRPr="00A16566">
        <w:rPr>
          <w:rFonts w:cs="Times New Roman"/>
          <w:i/>
          <w:iCs/>
        </w:rPr>
        <w:t>Hape</w:t>
      </w:r>
      <w:proofErr w:type="spellEnd"/>
      <w:r w:rsidRPr="00A16566">
        <w:rPr>
          <w:rFonts w:cs="Times New Roman"/>
          <w:i/>
          <w:iCs/>
        </w:rPr>
        <w:t xml:space="preserve"> </w:t>
      </w:r>
      <w:r w:rsidRPr="00A16566">
        <w:rPr>
          <w:rFonts w:cs="Times New Roman"/>
          <w:iCs/>
        </w:rPr>
        <w:t>(</w:t>
      </w:r>
      <w:r w:rsidRPr="00A16566">
        <w:rPr>
          <w:rFonts w:cs="Times New Roman"/>
        </w:rPr>
        <w:t xml:space="preserve">transcript, at pp. 118-19). The appellant’s submissions focused on the applicability of the exceptions set out in </w:t>
      </w:r>
      <w:proofErr w:type="spellStart"/>
      <w:r w:rsidRPr="00A16566">
        <w:rPr>
          <w:rFonts w:cs="Times New Roman"/>
          <w:i/>
        </w:rPr>
        <w:t>Hape</w:t>
      </w:r>
      <w:proofErr w:type="spellEnd"/>
      <w:r w:rsidRPr="00A16566">
        <w:rPr>
          <w:rFonts w:cs="Times New Roman"/>
          <w:i/>
        </w:rPr>
        <w:t xml:space="preserve"> </w:t>
      </w:r>
      <w:r w:rsidRPr="00A16566">
        <w:rPr>
          <w:rFonts w:cs="Times New Roman"/>
        </w:rPr>
        <w:t>(</w:t>
      </w:r>
      <w:proofErr w:type="spellStart"/>
      <w:r w:rsidRPr="00A16566">
        <w:rPr>
          <w:rFonts w:cs="Times New Roman"/>
        </w:rPr>
        <w:t>A.F</w:t>
      </w:r>
      <w:proofErr w:type="spellEnd"/>
      <w:r w:rsidRPr="00A16566">
        <w:rPr>
          <w:rFonts w:cs="Times New Roman"/>
        </w:rPr>
        <w:t xml:space="preserve">., at paras. 86-181). The appellant did not ask this Court to overturn </w:t>
      </w:r>
      <w:proofErr w:type="spellStart"/>
      <w:r w:rsidRPr="00A16566">
        <w:rPr>
          <w:rFonts w:cs="Times New Roman"/>
          <w:i/>
        </w:rPr>
        <w:t>Hape</w:t>
      </w:r>
      <w:proofErr w:type="spellEnd"/>
      <w:r w:rsidRPr="00A16566">
        <w:rPr>
          <w:rFonts w:cs="Times New Roman"/>
        </w:rPr>
        <w:t xml:space="preserve">, nor did he lead evidence at the lower courts to support overturning a precedent. The military judge and the Court Martial Appeal Court treated this case as an unremarkable application of the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framework. </w:t>
      </w:r>
    </w:p>
    <w:p w14:paraId="0B8FF628"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My colleagues’ insistence, then, that neither they nor the interveners have strayed from the issue before the Court is untenable. The arguments on the merits of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were advanced solely by interveners at this Court, thereby introducing a new issue. This Court’s practice direction, on which my colleagues rely (para. 82), cautions against this situation: interveners are to advance their own view of a legal issue before the Court; they must </w:t>
      </w:r>
      <w:r w:rsidRPr="00A16566">
        <w:rPr>
          <w:rFonts w:cs="Times New Roman"/>
          <w:i/>
        </w:rPr>
        <w:t xml:space="preserve">not </w:t>
      </w:r>
      <w:r w:rsidRPr="00A16566">
        <w:rPr>
          <w:rFonts w:cs="Times New Roman"/>
        </w:rPr>
        <w:t>introduce new issues; and the Court always</w:t>
      </w:r>
      <w:r w:rsidRPr="00A16566">
        <w:rPr>
          <w:rFonts w:cs="Times New Roman"/>
          <w:i/>
        </w:rPr>
        <w:t xml:space="preserve"> </w:t>
      </w:r>
      <w:r w:rsidRPr="00A16566">
        <w:rPr>
          <w:rFonts w:cs="Times New Roman"/>
        </w:rPr>
        <w:t xml:space="preserve">retains a discretion to take any steps it sees fit </w:t>
      </w:r>
      <w:r w:rsidRPr="00A16566">
        <w:rPr>
          <w:rFonts w:cs="Times New Roman"/>
          <w:i/>
        </w:rPr>
        <w:t xml:space="preserve">to prevent unfairness to the parties </w:t>
      </w:r>
      <w:r w:rsidRPr="00A16566">
        <w:rPr>
          <w:rFonts w:cs="Times New Roman"/>
        </w:rPr>
        <w:t xml:space="preserve">(see </w:t>
      </w:r>
      <w:r w:rsidRPr="00A16566">
        <w:rPr>
          <w:rFonts w:cs="Times New Roman"/>
          <w:i/>
          <w:lang w:bidi="en-US"/>
        </w:rPr>
        <w:t>Notice to the Profession: November 2021 — Interventions</w:t>
      </w:r>
      <w:r w:rsidRPr="00A16566">
        <w:rPr>
          <w:rFonts w:cs="Times New Roman"/>
          <w:lang w:bidi="en-US"/>
        </w:rPr>
        <w:t>, November 15, 2021 (online) (“</w:t>
      </w:r>
      <w:r w:rsidRPr="00A16566">
        <w:rPr>
          <w:rFonts w:cs="Times New Roman"/>
          <w:i/>
          <w:lang w:bidi="en-US"/>
        </w:rPr>
        <w:t>Notice of November 2021</w:t>
      </w:r>
      <w:r w:rsidRPr="00A16566">
        <w:rPr>
          <w:rFonts w:cs="Times New Roman"/>
          <w:lang w:bidi="en-US"/>
        </w:rPr>
        <w:t>”)</w:t>
      </w:r>
      <w:r w:rsidRPr="00A16566">
        <w:rPr>
          <w:rFonts w:cs="Times New Roman"/>
        </w:rPr>
        <w:t>)</w:t>
      </w:r>
      <w:r w:rsidRPr="00A16566">
        <w:rPr>
          <w:rFonts w:cs="Times New Roman"/>
          <w:i/>
        </w:rPr>
        <w:t xml:space="preserve">. </w:t>
      </w:r>
    </w:p>
    <w:p w14:paraId="2CE30F8F"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To that end, I disagree with my colleagues’ suggestion that the interveners’ submissions are simply a different perspective on a legal issue that is before the Court. This would effectively mean that any time a governing precedent is relevant to deciding a case, interveners could insert themselves before this Court to call for it to be overturned, thereby “piggy-backing” onto the parties’ dispute what amounts to a reference on a judicial decision which the interveners wish to overturn. Such an approach does not accord with the rules of this Court. In addition, as an important policy consideration, it runs the risk that this Court will make ill-advised decisions, as they would be made without the benefit of lower court analysis, a proper evidentiary record, or submissions from those who would be affected (including vulnerable groups) but who had no notice that the issue would be placed before the Court. It is this simple: the issue of whether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should continue to govern was not before the lower courts, nor is it before this Court. In light thereof, I seek to explain </w:t>
      </w:r>
      <w:r w:rsidRPr="00A16566">
        <w:rPr>
          <w:rStyle w:val="ui-provider"/>
          <w:rFonts w:cs="Times New Roman"/>
        </w:rPr>
        <w:t xml:space="preserve">the proper place of interveners relative to the discharge of this Court’s adjudicative role. </w:t>
      </w:r>
    </w:p>
    <w:p w14:paraId="1DD8AF2D" w14:textId="77777777" w:rsidR="00A16566" w:rsidRPr="00A16566" w:rsidRDefault="00A16566" w:rsidP="00A16566">
      <w:pPr>
        <w:pStyle w:val="ParaNoNdepar-AltN"/>
        <w:rPr>
          <w:rFonts w:cs="Times New Roman"/>
        </w:rPr>
      </w:pPr>
      <w:r w:rsidRPr="00A16566">
        <w:rPr>
          <w:rFonts w:cs="Times New Roman"/>
        </w:rPr>
        <w:t>While the discussion that follows is directed to the place of interveners, I note a separate methodological point. My colleagues rely heavily on what they perceive to be academic consensus that is critical of </w:t>
      </w:r>
      <w:proofErr w:type="spellStart"/>
      <w:r w:rsidRPr="00A16566">
        <w:rPr>
          <w:rFonts w:cs="Times New Roman"/>
          <w:i/>
        </w:rPr>
        <w:t>Hape</w:t>
      </w:r>
      <w:proofErr w:type="spellEnd"/>
      <w:r w:rsidRPr="00A16566">
        <w:rPr>
          <w:rFonts w:cs="Times New Roman"/>
        </w:rPr>
        <w:t>. I will not repeat what was set out at length in the concurring reasons in </w:t>
      </w:r>
      <w:r w:rsidRPr="00A16566">
        <w:rPr>
          <w:rFonts w:cs="Times New Roman"/>
          <w:i/>
        </w:rPr>
        <w:t>R. v. Kirkpatrick</w:t>
      </w:r>
      <w:r w:rsidRPr="00A16566">
        <w:rPr>
          <w:rFonts w:cs="Times New Roman"/>
        </w:rPr>
        <w:t>, 2022 SCC 33, save to highlight that primarily relying on such an approach undermines </w:t>
      </w:r>
      <w:r w:rsidRPr="00A16566">
        <w:rPr>
          <w:rFonts w:cs="Times New Roman"/>
          <w:i/>
        </w:rPr>
        <w:t>stare decisis</w:t>
      </w:r>
      <w:r w:rsidRPr="00A16566">
        <w:rPr>
          <w:rFonts w:cs="Times New Roman"/>
        </w:rPr>
        <w:t xml:space="preserve"> and leads to doctrinal instability (paras. 246-49). Academic criticism can be persuasive where it demonstrates a recognized basis to overturn precedent, but this Court cannot depart from precedent “simply because a chorus of voices, even well-informed voices, expresses disagreement with our decisions” (para. 247, referring to </w:t>
      </w:r>
      <w:r w:rsidRPr="00A16566">
        <w:rPr>
          <w:rFonts w:cs="Times New Roman"/>
          <w:i/>
        </w:rPr>
        <w:t xml:space="preserve">Canada (Minister of Citizenship and Immigration) v. </w:t>
      </w:r>
      <w:proofErr w:type="spellStart"/>
      <w:r w:rsidRPr="00A16566">
        <w:rPr>
          <w:rFonts w:cs="Times New Roman"/>
          <w:i/>
        </w:rPr>
        <w:t>Vavilov</w:t>
      </w:r>
      <w:proofErr w:type="spellEnd"/>
      <w:r w:rsidRPr="00A16566">
        <w:rPr>
          <w:rFonts w:cs="Times New Roman"/>
        </w:rPr>
        <w:t xml:space="preserve">, 2019 SCC 65, [2019] 4 </w:t>
      </w:r>
      <w:proofErr w:type="spellStart"/>
      <w:r w:rsidRPr="00A16566">
        <w:rPr>
          <w:rFonts w:cs="Times New Roman"/>
        </w:rPr>
        <w:t>S.C.R</w:t>
      </w:r>
      <w:proofErr w:type="spellEnd"/>
      <w:r w:rsidRPr="00A16566">
        <w:rPr>
          <w:rFonts w:cs="Times New Roman"/>
        </w:rPr>
        <w:t xml:space="preserve">. 653, at para. 274, per </w:t>
      </w:r>
      <w:proofErr w:type="spellStart"/>
      <w:r w:rsidRPr="00A16566">
        <w:rPr>
          <w:rFonts w:cs="Times New Roman"/>
        </w:rPr>
        <w:t>Abella</w:t>
      </w:r>
      <w:proofErr w:type="spellEnd"/>
      <w:r w:rsidRPr="00A16566">
        <w:rPr>
          <w:rFonts w:cs="Times New Roman"/>
        </w:rPr>
        <w:t xml:space="preserve"> and </w:t>
      </w:r>
      <w:proofErr w:type="spellStart"/>
      <w:r w:rsidRPr="00A16566">
        <w:rPr>
          <w:rFonts w:cs="Times New Roman"/>
        </w:rPr>
        <w:t>Karakatsanis</w:t>
      </w:r>
      <w:proofErr w:type="spellEnd"/>
      <w:r w:rsidRPr="00A16566">
        <w:rPr>
          <w:rFonts w:cs="Times New Roman"/>
        </w:rPr>
        <w:t> </w:t>
      </w:r>
      <w:proofErr w:type="spellStart"/>
      <w:r w:rsidRPr="00A16566">
        <w:rPr>
          <w:rFonts w:cs="Times New Roman"/>
        </w:rPr>
        <w:t>JJ</w:t>
      </w:r>
      <w:proofErr w:type="spellEnd"/>
      <w:r w:rsidRPr="00A16566">
        <w:rPr>
          <w:rFonts w:cs="Times New Roman"/>
        </w:rPr>
        <w:t xml:space="preserve">., concurring). Moreover, I am concerned by my colleagues’ insistence that this Court is free to depart from precedent at will, </w:t>
      </w:r>
      <w:r w:rsidRPr="00A16566">
        <w:rPr>
          <w:rFonts w:cs="Times New Roman"/>
          <w:i/>
        </w:rPr>
        <w:t>a fortiori</w:t>
      </w:r>
      <w:r w:rsidRPr="00A16566">
        <w:rPr>
          <w:rFonts w:cs="Times New Roman"/>
        </w:rPr>
        <w:t>, to do so without submissions or an evidentiary record (para. 82). Adherence to precedent “furthers basic rule of law values such as consistency, certainty, fairness, predictability, and sound judicial administration” (</w:t>
      </w:r>
      <w:r w:rsidRPr="00A16566">
        <w:rPr>
          <w:rFonts w:cs="Times New Roman"/>
          <w:i/>
        </w:rPr>
        <w:t>R. v. Sullivan</w:t>
      </w:r>
      <w:r w:rsidRPr="00A16566">
        <w:rPr>
          <w:rFonts w:cs="Times New Roman"/>
        </w:rPr>
        <w:t>, 2022 SCC 19, at para. 64). Departing from precedent in the absence of proper methodology necessarily jeopardizes those qualities of our legal system. Indeed, applying my colleagues’ implicit criteria, it would be hard to imagine a judgment of the Court that could be considered secure. Having made this point, I now return to the place of interveners.</w:t>
      </w:r>
    </w:p>
    <w:p w14:paraId="1CC51D1A" w14:textId="77777777" w:rsidR="00A16566" w:rsidRPr="00A16566" w:rsidRDefault="00A16566" w:rsidP="00A16566">
      <w:pPr>
        <w:pStyle w:val="Title1LevelTitre1Niveau-AltL"/>
        <w:numPr>
          <w:ilvl w:val="0"/>
          <w:numId w:val="29"/>
        </w:numPr>
        <w:jc w:val="both"/>
        <w:rPr>
          <w:rFonts w:cs="Times New Roman"/>
        </w:rPr>
      </w:pPr>
      <w:r w:rsidRPr="00A16566">
        <w:rPr>
          <w:rFonts w:cs="Times New Roman"/>
        </w:rPr>
        <w:t>The Place of Interveners at the Supreme Court of Canada</w:t>
      </w:r>
    </w:p>
    <w:p w14:paraId="50FA3A6C" w14:textId="77777777" w:rsidR="00A16566" w:rsidRPr="00A16566" w:rsidRDefault="00A16566" w:rsidP="00A16566">
      <w:pPr>
        <w:pStyle w:val="ParaNoNdepar-AltN"/>
        <w:tabs>
          <w:tab w:val="clear" w:pos="1152"/>
          <w:tab w:val="left" w:pos="1166"/>
        </w:tabs>
        <w:rPr>
          <w:rFonts w:cs="Times New Roman"/>
          <w:b/>
          <w:lang w:val="en-US"/>
        </w:rPr>
      </w:pPr>
      <w:r w:rsidRPr="00A16566">
        <w:rPr>
          <w:rFonts w:cs="Times New Roman"/>
        </w:rPr>
        <w:t>The purpose of an intervention is to “present the court with submissions which are useful and different from the perspective of a non‑party who has a special interest or particular expertise in the subject matter of the appeal” (</w:t>
      </w:r>
      <w:r w:rsidRPr="00A16566">
        <w:rPr>
          <w:rFonts w:cs="Times New Roman"/>
          <w:i/>
          <w:iCs/>
        </w:rPr>
        <w:t>R. v. Morgentaler</w:t>
      </w:r>
      <w:r w:rsidRPr="00A16566">
        <w:rPr>
          <w:rFonts w:cs="Times New Roman"/>
        </w:rPr>
        <w:t xml:space="preserve">, [1993] 1 </w:t>
      </w:r>
      <w:proofErr w:type="spellStart"/>
      <w:r w:rsidRPr="00A16566">
        <w:rPr>
          <w:rFonts w:cs="Times New Roman"/>
        </w:rPr>
        <w:t>S.C.R</w:t>
      </w:r>
      <w:proofErr w:type="spellEnd"/>
      <w:r w:rsidRPr="00A16566">
        <w:rPr>
          <w:rFonts w:cs="Times New Roman"/>
        </w:rPr>
        <w:t xml:space="preserve">. 462, at p. 463; see also </w:t>
      </w:r>
      <w:r w:rsidRPr="00A16566">
        <w:rPr>
          <w:rFonts w:cs="Times New Roman"/>
          <w:i/>
        </w:rPr>
        <w:t>R. v. Barton</w:t>
      </w:r>
      <w:r w:rsidRPr="00A16566">
        <w:rPr>
          <w:rFonts w:cs="Times New Roman"/>
        </w:rPr>
        <w:t xml:space="preserve">, 2019 SCC 33, [2019] 2 </w:t>
      </w:r>
      <w:proofErr w:type="spellStart"/>
      <w:r w:rsidRPr="00A16566">
        <w:rPr>
          <w:rFonts w:cs="Times New Roman"/>
        </w:rPr>
        <w:t>S.C.R</w:t>
      </w:r>
      <w:proofErr w:type="spellEnd"/>
      <w:r w:rsidRPr="00A16566">
        <w:rPr>
          <w:rFonts w:cs="Times New Roman"/>
        </w:rPr>
        <w:t xml:space="preserve">. 579, at para. 52; </w:t>
      </w:r>
      <w:r w:rsidRPr="00A16566">
        <w:rPr>
          <w:rFonts w:cs="Times New Roman"/>
          <w:i/>
          <w:lang w:bidi="en-US"/>
        </w:rPr>
        <w:t>Rules of the Supreme Court of Canada</w:t>
      </w:r>
      <w:r w:rsidRPr="00A16566">
        <w:rPr>
          <w:rFonts w:cs="Times New Roman"/>
          <w:lang w:bidi="en-US"/>
        </w:rPr>
        <w:t xml:space="preserve">, </w:t>
      </w:r>
      <w:proofErr w:type="spellStart"/>
      <w:r w:rsidRPr="00A16566">
        <w:rPr>
          <w:rFonts w:cs="Times New Roman"/>
          <w:lang w:bidi="en-US"/>
        </w:rPr>
        <w:t>SOR</w:t>
      </w:r>
      <w:proofErr w:type="spellEnd"/>
      <w:r w:rsidRPr="00A16566">
        <w:rPr>
          <w:rFonts w:cs="Times New Roman"/>
          <w:lang w:bidi="en-US"/>
        </w:rPr>
        <w:t>/2002-156</w:t>
      </w:r>
      <w:r w:rsidRPr="00A16566">
        <w:rPr>
          <w:rFonts w:cs="Times New Roman"/>
        </w:rPr>
        <w:t xml:space="preserve">, r. 57(2)(b)). Interveners provide additional perspectives on the legal issues raised by the parties and on the broader implications of the Court’s decision. </w:t>
      </w:r>
      <w:r w:rsidRPr="00A16566">
        <w:rPr>
          <w:rFonts w:cs="Times New Roman"/>
          <w:lang w:bidi="en-US"/>
        </w:rPr>
        <w:t xml:space="preserve">Depending on the context, interveners might highlight relevant jurisprudence, present insightful arguments, or clarify the potential analytical paths to resolving the issues placed before the Court. Interveners may also enhance accuracy by representing diverse cross-sections of the Canadian public and furnishing an analysis informed by their particular experience or specialized expertise. </w:t>
      </w:r>
      <w:r w:rsidRPr="00A16566">
        <w:rPr>
          <w:rFonts w:cs="Times New Roman"/>
        </w:rPr>
        <w:t xml:space="preserve">Since the cases heard by this Court are frequently matters of public importance, such experience and expertise </w:t>
      </w:r>
      <w:r w:rsidRPr="00A16566">
        <w:rPr>
          <w:rFonts w:cs="Times New Roman"/>
          <w:lang w:val="en-US"/>
        </w:rPr>
        <w:t>can “assist the court in deciding complex issues that have effects transcending the interests of the particular parties before it” (</w:t>
      </w:r>
      <w:r w:rsidRPr="00A16566">
        <w:rPr>
          <w:rFonts w:cs="Times New Roman"/>
          <w:i/>
          <w:lang w:val="en-US"/>
        </w:rPr>
        <w:t>Barton</w:t>
      </w:r>
      <w:r w:rsidRPr="00A16566">
        <w:rPr>
          <w:rFonts w:cs="Times New Roman"/>
          <w:lang w:val="en-US"/>
        </w:rPr>
        <w:t>,</w:t>
      </w:r>
      <w:r w:rsidRPr="00A16566">
        <w:rPr>
          <w:rFonts w:cs="Times New Roman"/>
          <w:i/>
          <w:lang w:val="en-US"/>
        </w:rPr>
        <w:t xml:space="preserve"> </w:t>
      </w:r>
      <w:r w:rsidRPr="00A16566">
        <w:rPr>
          <w:rFonts w:cs="Times New Roman"/>
          <w:lang w:val="en-US"/>
        </w:rPr>
        <w:t xml:space="preserve">at para. 52). </w:t>
      </w:r>
      <w:r w:rsidRPr="00A16566">
        <w:rPr>
          <w:rFonts w:cs="Times New Roman"/>
          <w:lang w:bidi="en-US"/>
        </w:rPr>
        <w:t xml:space="preserve">Through their submissions, interveners inform the Court of the direct and indirect consequences of the dispute on various stakeholders and on other areas of law. </w:t>
      </w:r>
      <w:r w:rsidRPr="00A16566">
        <w:rPr>
          <w:rFonts w:cs="Times New Roman"/>
        </w:rPr>
        <w:t xml:space="preserve">In this way, interveners can often make important contributions. In order to do so, however, interveners must operate within recognized limits. The </w:t>
      </w:r>
      <w:r w:rsidRPr="00A16566">
        <w:rPr>
          <w:rFonts w:cs="Times New Roman"/>
          <w:i/>
          <w:lang w:bidi="en-US"/>
        </w:rPr>
        <w:t>Rules of the Supreme Court of Canada</w:t>
      </w:r>
      <w:r w:rsidRPr="00A16566">
        <w:rPr>
          <w:rFonts w:cs="Times New Roman"/>
          <w:lang w:bidi="en-US"/>
        </w:rPr>
        <w:t xml:space="preserve"> clearly state these limits, and </w:t>
      </w:r>
      <w:r w:rsidRPr="00A16566">
        <w:rPr>
          <w:rFonts w:cs="Times New Roman"/>
        </w:rPr>
        <w:t xml:space="preserve">this Court has issued practice directions, more than once, to remind potential interveners of the boundaries they must respect (see </w:t>
      </w:r>
      <w:r w:rsidRPr="00A16566">
        <w:rPr>
          <w:rFonts w:cs="Times New Roman"/>
          <w:i/>
          <w:lang w:bidi="en-US"/>
        </w:rPr>
        <w:t>Notice of November 2021</w:t>
      </w:r>
      <w:r w:rsidRPr="00A16566">
        <w:rPr>
          <w:rFonts w:cs="Times New Roman"/>
          <w:lang w:bidi="en-US"/>
        </w:rPr>
        <w:t xml:space="preserve">; </w:t>
      </w:r>
      <w:r w:rsidRPr="00A16566">
        <w:rPr>
          <w:rFonts w:cs="Times New Roman"/>
          <w:i/>
          <w:lang w:bidi="en-US"/>
        </w:rPr>
        <w:t>Notice to the Profession: March 2017 — Allotting Time for Oral Argument</w:t>
      </w:r>
      <w:r w:rsidRPr="00A16566">
        <w:rPr>
          <w:rFonts w:cs="Times New Roman"/>
          <w:lang w:bidi="en-US"/>
        </w:rPr>
        <w:t>, March 2, 2017 (online)).</w:t>
      </w:r>
    </w:p>
    <w:p w14:paraId="2AA0221E" w14:textId="77777777" w:rsidR="00A16566" w:rsidRPr="00A16566" w:rsidRDefault="00A16566" w:rsidP="00A16566">
      <w:pPr>
        <w:pStyle w:val="ParaNoNdepar-AltN"/>
        <w:tabs>
          <w:tab w:val="clear" w:pos="1152"/>
          <w:tab w:val="left" w:pos="1166"/>
        </w:tabs>
        <w:rPr>
          <w:rFonts w:cs="Times New Roman"/>
        </w:rPr>
      </w:pPr>
      <w:r w:rsidRPr="00A16566">
        <w:rPr>
          <w:rFonts w:cs="Times New Roman"/>
          <w:szCs w:val="24"/>
        </w:rPr>
        <w:t>These constraints reflect a sound understanding of interveners’ place within the litigation and of the role of this Court. While the Court is often tasked with deciding issues that have implications extending beyond the parties, it remains an adjudicative body. The polycentric nature of</w:t>
      </w:r>
      <w:r w:rsidRPr="00A16566">
        <w:rPr>
          <w:rFonts w:cs="Times New Roman"/>
        </w:rPr>
        <w:t xml:space="preserve"> a legal issue does not turn the Court into a legislative committee or a Royal Commission </w:t>
      </w:r>
      <w:r w:rsidRPr="00A16566">
        <w:rPr>
          <w:rFonts w:cs="Times New Roman"/>
          <w:lang w:bidi="en-US"/>
        </w:rPr>
        <w:t>(</w:t>
      </w:r>
      <w:proofErr w:type="spellStart"/>
      <w:r w:rsidRPr="00A16566">
        <w:rPr>
          <w:rFonts w:cs="Times New Roman"/>
          <w:i/>
          <w:lang w:bidi="en-US"/>
        </w:rPr>
        <w:t>J.H</w:t>
      </w:r>
      <w:proofErr w:type="spellEnd"/>
      <w:r w:rsidRPr="00A16566">
        <w:rPr>
          <w:rFonts w:cs="Times New Roman"/>
          <w:i/>
          <w:lang w:bidi="en-US"/>
        </w:rPr>
        <w:t>. v. Alberta (Minister of Justice and Solicitor General)</w:t>
      </w:r>
      <w:r w:rsidRPr="00A16566">
        <w:rPr>
          <w:rFonts w:cs="Times New Roman"/>
          <w:lang w:bidi="en-US"/>
        </w:rPr>
        <w:t xml:space="preserve">, 2019 </w:t>
      </w:r>
      <w:proofErr w:type="spellStart"/>
      <w:r w:rsidRPr="00A16566">
        <w:rPr>
          <w:rFonts w:cs="Times New Roman"/>
          <w:lang w:bidi="en-US"/>
        </w:rPr>
        <w:t>ABCA</w:t>
      </w:r>
      <w:proofErr w:type="spellEnd"/>
      <w:r w:rsidRPr="00A16566">
        <w:rPr>
          <w:rFonts w:cs="Times New Roman"/>
          <w:lang w:bidi="en-US"/>
        </w:rPr>
        <w:t xml:space="preserve"> 420, 54 </w:t>
      </w:r>
      <w:proofErr w:type="spellStart"/>
      <w:r w:rsidRPr="00A16566">
        <w:rPr>
          <w:rFonts w:cs="Times New Roman"/>
          <w:lang w:bidi="en-US"/>
        </w:rPr>
        <w:t>C.P.C</w:t>
      </w:r>
      <w:proofErr w:type="spellEnd"/>
      <w:r w:rsidRPr="00A16566">
        <w:rPr>
          <w:rFonts w:cs="Times New Roman"/>
          <w:lang w:bidi="en-US"/>
        </w:rPr>
        <w:t>. (8th) 346, at paras. 25-27). The Court’s process also remains firmly grounded in the adversarial system: the parties control their case and decide which issues to raise. This does not change when the parties argue before the Supreme Court. Indeed, the importance of this principle only increases: as an apex court, this Court’s role is to adjudicate disputes with the benefit of trial-level findings of fact and appellate-level reasons on the issues fully argued by the parties.</w:t>
      </w:r>
      <w:r w:rsidRPr="00A16566">
        <w:rPr>
          <w:rFonts w:cs="Times New Roman"/>
          <w:shd w:val="clear" w:color="auto" w:fill="FFFFFF"/>
        </w:rPr>
        <w:t xml:space="preserve"> </w:t>
      </w:r>
    </w:p>
    <w:p w14:paraId="5C49AD6B"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Such considerations help explain the specific limits placed on interventions. First, interveners are not parties. </w:t>
      </w:r>
      <w:r w:rsidRPr="00A16566">
        <w:rPr>
          <w:rStyle w:val="normaltextrun"/>
          <w:rFonts w:cs="Times New Roman"/>
          <w:shd w:val="clear" w:color="auto" w:fill="FFFFFF"/>
        </w:rPr>
        <w:t xml:space="preserve">The purpose of an intervention is not to support a party </w:t>
      </w:r>
      <w:r w:rsidRPr="00A16566">
        <w:rPr>
          <w:rFonts w:cs="Times New Roman"/>
          <w:lang w:bidi="en-US"/>
        </w:rPr>
        <w:t>— by which I mean the appellant(s) and respondent(s) —</w:t>
      </w:r>
      <w:r w:rsidRPr="00A16566">
        <w:rPr>
          <w:rStyle w:val="normaltextrun"/>
          <w:rFonts w:cs="Times New Roman"/>
          <w:shd w:val="clear" w:color="auto" w:fill="FFFFFF"/>
        </w:rPr>
        <w:t xml:space="preserve"> but to put forward the intervener’s own view of a legal issue already before the Court. </w:t>
      </w:r>
      <w:r w:rsidRPr="00A16566">
        <w:rPr>
          <w:rFonts w:cs="Times New Roman"/>
          <w:szCs w:val="24"/>
          <w:shd w:val="clear" w:color="auto" w:fill="FFFFFF"/>
        </w:rPr>
        <w:t xml:space="preserve">Despite the involvement of interveners, </w:t>
      </w:r>
      <w:r w:rsidRPr="00A16566">
        <w:rPr>
          <w:rStyle w:val="normaltextrun"/>
          <w:rFonts w:cs="Times New Roman"/>
          <w:szCs w:val="24"/>
          <w:shd w:val="clear" w:color="auto" w:fill="FFFFFF"/>
        </w:rPr>
        <w:t>the appeal remains a dispute between the parties (</w:t>
      </w:r>
      <w:r w:rsidRPr="00A16566">
        <w:rPr>
          <w:rFonts w:cs="Times New Roman"/>
          <w:i/>
          <w:szCs w:val="24"/>
          <w:lang w:bidi="en-US"/>
        </w:rPr>
        <w:t>Notice of November 2021</w:t>
      </w:r>
      <w:r w:rsidRPr="00A16566">
        <w:rPr>
          <w:rFonts w:cs="Times New Roman"/>
          <w:szCs w:val="24"/>
          <w:lang w:bidi="en-US"/>
        </w:rPr>
        <w:t xml:space="preserve">, at point 2). Consequently, </w:t>
      </w:r>
      <w:r w:rsidRPr="00A16566">
        <w:rPr>
          <w:rStyle w:val="normaltextrun"/>
          <w:rFonts w:cs="Times New Roman"/>
          <w:shd w:val="clear" w:color="auto" w:fill="FFFFFF"/>
        </w:rPr>
        <w:t xml:space="preserve">interveners </w:t>
      </w:r>
      <w:r w:rsidRPr="00A16566">
        <w:rPr>
          <w:rFonts w:cs="Times New Roman"/>
          <w:lang w:bidi="en-US"/>
        </w:rPr>
        <w:t>should not take a position on the outcome of the appeal (</w:t>
      </w:r>
      <w:r w:rsidRPr="00A16566">
        <w:rPr>
          <w:rFonts w:cs="Times New Roman"/>
          <w:i/>
          <w:lang w:bidi="en-US"/>
        </w:rPr>
        <w:t>Rules of the Supreme Court of Canada</w:t>
      </w:r>
      <w:r w:rsidRPr="00A16566">
        <w:rPr>
          <w:rFonts w:cs="Times New Roman"/>
          <w:lang w:bidi="en-US"/>
        </w:rPr>
        <w:t xml:space="preserve">, r. 42(3); </w:t>
      </w:r>
      <w:r w:rsidRPr="00A16566">
        <w:rPr>
          <w:rFonts w:cs="Times New Roman"/>
          <w:i/>
          <w:lang w:bidi="en-US"/>
        </w:rPr>
        <w:t>Notice of November 2021</w:t>
      </w:r>
      <w:r w:rsidRPr="00A16566">
        <w:rPr>
          <w:rFonts w:cs="Times New Roman"/>
          <w:lang w:bidi="en-US"/>
        </w:rPr>
        <w:t>, at point 3).</w:t>
      </w:r>
    </w:p>
    <w:p w14:paraId="118EB784" w14:textId="77777777" w:rsidR="00A16566" w:rsidRPr="00A16566" w:rsidRDefault="00A16566" w:rsidP="00A16566">
      <w:pPr>
        <w:pStyle w:val="ParaNoNdepar-AltN"/>
        <w:tabs>
          <w:tab w:val="clear" w:pos="1152"/>
          <w:tab w:val="left" w:pos="1166"/>
        </w:tabs>
        <w:rPr>
          <w:rFonts w:cs="Times New Roman"/>
          <w:i/>
          <w:lang w:bidi="en-US"/>
        </w:rPr>
      </w:pPr>
      <w:r w:rsidRPr="00A16566">
        <w:rPr>
          <w:rFonts w:cs="Times New Roman"/>
        </w:rPr>
        <w:t xml:space="preserve">Secondly, interveners </w:t>
      </w:r>
      <w:r w:rsidRPr="00A16566">
        <w:rPr>
          <w:rFonts w:cs="Times New Roman"/>
          <w:iCs/>
        </w:rPr>
        <w:t>must not raise new issues or “</w:t>
      </w:r>
      <w:r w:rsidRPr="00A16566">
        <w:rPr>
          <w:rFonts w:cs="Times New Roman"/>
        </w:rPr>
        <w:t>widen or add to the points in issue”</w:t>
      </w:r>
      <w:r w:rsidRPr="00A16566">
        <w:rPr>
          <w:rFonts w:cs="Times New Roman"/>
          <w:iCs/>
        </w:rPr>
        <w:t xml:space="preserve"> (</w:t>
      </w:r>
      <w:r w:rsidRPr="00A16566">
        <w:rPr>
          <w:rFonts w:cs="Times New Roman"/>
          <w:i/>
          <w:iCs/>
        </w:rPr>
        <w:t>Morgentaler</w:t>
      </w:r>
      <w:r w:rsidRPr="00A16566">
        <w:rPr>
          <w:rFonts w:cs="Times New Roman"/>
          <w:iCs/>
        </w:rPr>
        <w:t xml:space="preserve">, </w:t>
      </w:r>
      <w:r w:rsidRPr="00A16566">
        <w:rPr>
          <w:rFonts w:cs="Times New Roman"/>
        </w:rPr>
        <w:t>at p. 463</w:t>
      </w:r>
      <w:r w:rsidRPr="00A16566">
        <w:rPr>
          <w:rFonts w:cs="Times New Roman"/>
          <w:lang w:bidi="en-US"/>
        </w:rPr>
        <w:t xml:space="preserve">; </w:t>
      </w:r>
      <w:r w:rsidRPr="00A16566">
        <w:rPr>
          <w:rFonts w:cs="Times New Roman"/>
          <w:i/>
          <w:lang w:bidi="en-US"/>
        </w:rPr>
        <w:t>Reference re Goods and Services Tax</w:t>
      </w:r>
      <w:r w:rsidRPr="00A16566">
        <w:rPr>
          <w:rFonts w:cs="Times New Roman"/>
          <w:lang w:bidi="en-US"/>
        </w:rPr>
        <w:t xml:space="preserve">, [1992] 2 </w:t>
      </w:r>
      <w:proofErr w:type="spellStart"/>
      <w:r w:rsidRPr="00A16566">
        <w:rPr>
          <w:rFonts w:cs="Times New Roman"/>
          <w:lang w:bidi="en-US"/>
        </w:rPr>
        <w:t>S.C.R</w:t>
      </w:r>
      <w:proofErr w:type="spellEnd"/>
      <w:r w:rsidRPr="00A16566">
        <w:rPr>
          <w:rFonts w:cs="Times New Roman"/>
          <w:lang w:bidi="en-US"/>
        </w:rPr>
        <w:t>. 445, at p. 487;</w:t>
      </w:r>
      <w:r w:rsidRPr="00A16566">
        <w:rPr>
          <w:rFonts w:cs="Times New Roman"/>
          <w:i/>
          <w:lang w:bidi="en-US"/>
        </w:rPr>
        <w:t xml:space="preserve"> Rules of the Supreme Court of Canada</w:t>
      </w:r>
      <w:r w:rsidRPr="00A16566">
        <w:rPr>
          <w:rFonts w:cs="Times New Roman"/>
          <w:lang w:bidi="en-US"/>
        </w:rPr>
        <w:t xml:space="preserve">, r. 59(3); </w:t>
      </w:r>
      <w:r w:rsidRPr="00A16566">
        <w:rPr>
          <w:rFonts w:cs="Times New Roman"/>
          <w:i/>
          <w:lang w:bidi="en-US"/>
        </w:rPr>
        <w:t>Notice of November 2021</w:t>
      </w:r>
      <w:r w:rsidRPr="00A16566">
        <w:rPr>
          <w:rFonts w:cs="Times New Roman"/>
          <w:lang w:bidi="en-US"/>
        </w:rPr>
        <w:t xml:space="preserve">, at point 4). </w:t>
      </w:r>
      <w:r w:rsidRPr="00A16566">
        <w:rPr>
          <w:rFonts w:cs="Times New Roman"/>
        </w:rPr>
        <w:t xml:space="preserve">Interveners may, however, present their own legal arguments on the existing issues and make submissions on how those issues affect the interests of those whom they represent (see, e.g., </w:t>
      </w:r>
      <w:proofErr w:type="spellStart"/>
      <w:r w:rsidRPr="00A16566">
        <w:rPr>
          <w:rFonts w:cs="Times New Roman"/>
          <w:i/>
          <w:iCs/>
        </w:rPr>
        <w:t>Mikisew</w:t>
      </w:r>
      <w:proofErr w:type="spellEnd"/>
      <w:r w:rsidRPr="00A16566">
        <w:rPr>
          <w:rFonts w:cs="Times New Roman"/>
          <w:i/>
          <w:iCs/>
        </w:rPr>
        <w:t xml:space="preserve"> Cree First Nation v. Canada (Minister of Canadian Heritage)</w:t>
      </w:r>
      <w:r w:rsidRPr="00A16566">
        <w:rPr>
          <w:rFonts w:cs="Times New Roman"/>
          <w:iCs/>
        </w:rPr>
        <w:t>,</w:t>
      </w:r>
      <w:r w:rsidRPr="00A16566">
        <w:rPr>
          <w:rFonts w:cs="Times New Roman"/>
        </w:rPr>
        <w:t xml:space="preserve"> 2005 SCC 69, [2005] 3 </w:t>
      </w:r>
      <w:proofErr w:type="spellStart"/>
      <w:r w:rsidRPr="00A16566">
        <w:rPr>
          <w:rFonts w:cs="Times New Roman"/>
        </w:rPr>
        <w:t>S.C.R</w:t>
      </w:r>
      <w:proofErr w:type="spellEnd"/>
      <w:r w:rsidRPr="00A16566">
        <w:rPr>
          <w:rFonts w:cs="Times New Roman"/>
        </w:rPr>
        <w:t xml:space="preserve">. 388, at para. 40; </w:t>
      </w:r>
      <w:r w:rsidRPr="00A16566">
        <w:rPr>
          <w:rFonts w:cs="Times New Roman"/>
          <w:i/>
        </w:rPr>
        <w:t>Canada (Justice) v. Khadr</w:t>
      </w:r>
      <w:r w:rsidRPr="00A16566">
        <w:rPr>
          <w:rFonts w:cs="Times New Roman"/>
        </w:rPr>
        <w:t xml:space="preserve">, 2008 SCC 29, [2008] 2 </w:t>
      </w:r>
      <w:proofErr w:type="spellStart"/>
      <w:r w:rsidRPr="00A16566">
        <w:rPr>
          <w:rFonts w:cs="Times New Roman"/>
        </w:rPr>
        <w:t>S.C.R</w:t>
      </w:r>
      <w:proofErr w:type="spellEnd"/>
      <w:r w:rsidRPr="00A16566">
        <w:rPr>
          <w:rFonts w:cs="Times New Roman"/>
        </w:rPr>
        <w:t xml:space="preserve">. 143, at para. 18; </w:t>
      </w:r>
      <w:r w:rsidRPr="00A16566">
        <w:rPr>
          <w:rFonts w:cs="Times New Roman"/>
          <w:i/>
          <w:lang w:val="en-US"/>
        </w:rPr>
        <w:t>Barton</w:t>
      </w:r>
      <w:r w:rsidRPr="00A16566">
        <w:rPr>
          <w:rFonts w:cs="Times New Roman"/>
          <w:lang w:val="en-US"/>
        </w:rPr>
        <w:t>, at para. 52)</w:t>
      </w:r>
      <w:r w:rsidRPr="00A16566">
        <w:rPr>
          <w:rFonts w:cs="Times New Roman"/>
        </w:rPr>
        <w:t xml:space="preserve">. </w:t>
      </w:r>
    </w:p>
    <w:p w14:paraId="2B230E08"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Interveners must be careful to distinguish between developing a permissible legal argument and adding prohibited new issues; the two are conceptually distinct</w:t>
      </w:r>
      <w:r w:rsidRPr="00A16566">
        <w:rPr>
          <w:rFonts w:cs="Times New Roman"/>
          <w:lang w:bidi="en-US"/>
        </w:rPr>
        <w:t xml:space="preserve">. </w:t>
      </w:r>
      <w:r w:rsidRPr="00A16566">
        <w:rPr>
          <w:rFonts w:cs="Times New Roman"/>
        </w:rPr>
        <w:t xml:space="preserve">A fresh perspective or legal argument on an existing issue is not the same as the introduction of a new issue, outside the scope of the appeal or, even further, in contradiction to the parties’ submissions regarding the scope of the appeal. The former may assist the Court’s deliberation, while the latter detracts from it. While in rare cases it may be difficult to distinguish between the two, this appeal is not such a case. By asking this Court to overturn </w:t>
      </w:r>
      <w:proofErr w:type="spellStart"/>
      <w:r w:rsidRPr="00A16566">
        <w:rPr>
          <w:rFonts w:cs="Times New Roman"/>
          <w:i/>
        </w:rPr>
        <w:t>Hape</w:t>
      </w:r>
      <w:proofErr w:type="spellEnd"/>
      <w:r w:rsidRPr="00A16566">
        <w:rPr>
          <w:rFonts w:cs="Times New Roman"/>
        </w:rPr>
        <w:t xml:space="preserve">, certain interveners, upon whom Justices </w:t>
      </w:r>
      <w:proofErr w:type="spellStart"/>
      <w:r w:rsidRPr="00A16566">
        <w:rPr>
          <w:rFonts w:cs="Times New Roman"/>
        </w:rPr>
        <w:t>Karakatsanis</w:t>
      </w:r>
      <w:proofErr w:type="spellEnd"/>
      <w:r w:rsidRPr="00A16566">
        <w:rPr>
          <w:rFonts w:cs="Times New Roman"/>
        </w:rPr>
        <w:t xml:space="preserve"> and Martin rely, have introduced what is clearly a new issue.</w:t>
      </w:r>
    </w:p>
    <w:p w14:paraId="7ADE22E4" w14:textId="77777777" w:rsidR="00A16566" w:rsidRPr="00A16566" w:rsidRDefault="00A16566" w:rsidP="00A16566">
      <w:pPr>
        <w:pStyle w:val="ParaNoNdepar-AltN"/>
        <w:tabs>
          <w:tab w:val="clear" w:pos="1152"/>
          <w:tab w:val="left" w:pos="1166"/>
        </w:tabs>
        <w:rPr>
          <w:rFonts w:cs="Times New Roman"/>
        </w:rPr>
      </w:pPr>
      <w:r w:rsidRPr="00A16566">
        <w:rPr>
          <w:rFonts w:cs="Times New Roman"/>
          <w:lang w:bidi="en-US"/>
        </w:rPr>
        <w:t>Finally, interveners must not adduce further evidence or otherwise supplement the record without leave (</w:t>
      </w:r>
      <w:r w:rsidRPr="00A16566">
        <w:rPr>
          <w:rFonts w:cs="Times New Roman"/>
          <w:i/>
          <w:lang w:bidi="en-US"/>
        </w:rPr>
        <w:t>Rules of the Supreme Court of Canada</w:t>
      </w:r>
      <w:r w:rsidRPr="00A16566">
        <w:rPr>
          <w:rFonts w:cs="Times New Roman"/>
          <w:lang w:bidi="en-US"/>
        </w:rPr>
        <w:t>, r. 59(1</w:t>
      </w:r>
      <w:proofErr w:type="gramStart"/>
      <w:r w:rsidRPr="00A16566">
        <w:rPr>
          <w:rFonts w:cs="Times New Roman"/>
          <w:lang w:bidi="en-US"/>
        </w:rPr>
        <w:t>)(</w:t>
      </w:r>
      <w:proofErr w:type="gramEnd"/>
      <w:r w:rsidRPr="00A16566">
        <w:rPr>
          <w:rFonts w:cs="Times New Roman"/>
          <w:lang w:bidi="en-US"/>
        </w:rPr>
        <w:t>b)). They may, of course, use their submissions to explain the impact of the appeal on the group(s) they represent; this represents an appropriate exercise of their role. But they must take the case and the record as they find it, or seek leave to tender new material, such as supplementary legislative facts or contested studies (see, e.g., D. </w:t>
      </w:r>
      <w:r w:rsidRPr="00A16566">
        <w:rPr>
          <w:rFonts w:cs="Times New Roman"/>
        </w:rPr>
        <w:t xml:space="preserve">L. Watt et al., </w:t>
      </w:r>
      <w:r w:rsidRPr="00A16566">
        <w:rPr>
          <w:rFonts w:cs="Times New Roman"/>
          <w:i/>
        </w:rPr>
        <w:t>Supreme Court of Canada Practice 2022</w:t>
      </w:r>
      <w:r w:rsidRPr="00A16566">
        <w:rPr>
          <w:rFonts w:cs="Times New Roman"/>
        </w:rPr>
        <w:t xml:space="preserve"> (2022), at pp. 369-70, referring to </w:t>
      </w:r>
      <w:proofErr w:type="spellStart"/>
      <w:r w:rsidRPr="00A16566">
        <w:rPr>
          <w:rFonts w:cs="Times New Roman"/>
          <w:i/>
        </w:rPr>
        <w:t>R.J.R</w:t>
      </w:r>
      <w:proofErr w:type="spellEnd"/>
      <w:r w:rsidRPr="00A16566">
        <w:rPr>
          <w:rFonts w:cs="Times New Roman"/>
          <w:i/>
        </w:rPr>
        <w:t>. MacDonald Inc. v. Canada (Attorney General)</w:t>
      </w:r>
      <w:r w:rsidRPr="00A16566">
        <w:rPr>
          <w:rFonts w:cs="Times New Roman"/>
        </w:rPr>
        <w:t xml:space="preserve">, </w:t>
      </w:r>
      <w:r w:rsidRPr="00A16566">
        <w:rPr>
          <w:rFonts w:cs="Times New Roman"/>
          <w:i/>
        </w:rPr>
        <w:t>Bulletin of Proceedings</w:t>
      </w:r>
      <w:r w:rsidRPr="00A16566">
        <w:rPr>
          <w:rFonts w:cs="Times New Roman"/>
        </w:rPr>
        <w:t xml:space="preserve">, June 10, 1994, at p. 990, and </w:t>
      </w:r>
      <w:r w:rsidRPr="00A16566">
        <w:rPr>
          <w:rFonts w:cs="Times New Roman"/>
          <w:i/>
          <w:lang w:bidi="en-US"/>
        </w:rPr>
        <w:t>Anderson v. Amoco Canada Oil and Gas</w:t>
      </w:r>
      <w:r w:rsidRPr="00A16566">
        <w:rPr>
          <w:rFonts w:cs="Times New Roman"/>
          <w:lang w:bidi="en-US"/>
        </w:rPr>
        <w:t xml:space="preserve">, </w:t>
      </w:r>
      <w:r w:rsidRPr="00A16566">
        <w:rPr>
          <w:rFonts w:cs="Times New Roman"/>
          <w:i/>
          <w:lang w:bidi="en-US"/>
        </w:rPr>
        <w:t>Bulletin of Proceedings</w:t>
      </w:r>
      <w:r w:rsidRPr="00A16566">
        <w:rPr>
          <w:rFonts w:cs="Times New Roman"/>
          <w:lang w:bidi="en-US"/>
        </w:rPr>
        <w:t xml:space="preserve">, March 19, 2004, p. 453). </w:t>
      </w:r>
      <w:r w:rsidRPr="00A16566">
        <w:rPr>
          <w:rFonts w:cs="Times New Roman"/>
        </w:rPr>
        <w:t xml:space="preserve">This Court, as always, retains a discretion to take any steps it sees fit where an intervener presents new evidence without leave or otherwise makes improper submissions (see </w:t>
      </w:r>
      <w:r w:rsidRPr="00A16566">
        <w:rPr>
          <w:rFonts w:cs="Times New Roman"/>
          <w:i/>
          <w:lang w:bidi="en-US"/>
        </w:rPr>
        <w:t>Notice of November 2021</w:t>
      </w:r>
      <w:r w:rsidRPr="00A16566">
        <w:rPr>
          <w:rFonts w:cs="Times New Roman"/>
          <w:lang w:bidi="en-US"/>
        </w:rPr>
        <w:t>, at point 6).</w:t>
      </w:r>
    </w:p>
    <w:p w14:paraId="36ED8ACD"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In sum, an intervener can make useful contributions when it respects the rules, practice directions, and jurisprudence of this Court. By contrast, it exceeds its role when it seeks to alter the nature of the litigation by usurping the role of the parties, expanding the issues before the Court, or presenting new evidence. An intervention that contravenes these settled rules is improper, and has negative consequences for the parties, potential interveners, and the administration of justice.</w:t>
      </w:r>
    </w:p>
    <w:p w14:paraId="51F2AB9F" w14:textId="77777777" w:rsidR="00A16566" w:rsidRPr="00A16566" w:rsidRDefault="00A16566" w:rsidP="00A16566">
      <w:pPr>
        <w:pStyle w:val="Title1LevelTitre1Niveau-AltL"/>
        <w:jc w:val="both"/>
        <w:rPr>
          <w:rFonts w:cs="Times New Roman"/>
        </w:rPr>
      </w:pPr>
      <w:r w:rsidRPr="00A16566">
        <w:rPr>
          <w:rFonts w:cs="Times New Roman"/>
        </w:rPr>
        <w:t>The Consequences of Improper Interventions</w:t>
      </w:r>
    </w:p>
    <w:p w14:paraId="65AEC1BC"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Interveners who stray beyond their proper role, first of all, cause prejudice to the parties by usurping control of the litigation. The parties — not interveners — are meant to control their own litigation. They define the issues and the relief sought. </w:t>
      </w:r>
      <w:r w:rsidRPr="00A16566">
        <w:rPr>
          <w:rFonts w:cs="Times New Roman"/>
          <w:i/>
        </w:rPr>
        <w:t>Proper</w:t>
      </w:r>
      <w:r w:rsidRPr="00A16566">
        <w:rPr>
          <w:rFonts w:cs="Times New Roman"/>
        </w:rPr>
        <w:t xml:space="preserve"> intervention is consistent with this distribution of responsibilities because it is responsive</w:t>
      </w:r>
      <w:r w:rsidRPr="00A16566">
        <w:rPr>
          <w:rFonts w:cs="Times New Roman"/>
          <w:i/>
        </w:rPr>
        <w:t xml:space="preserve"> </w:t>
      </w:r>
      <w:r w:rsidRPr="00A16566">
        <w:rPr>
          <w:rFonts w:cs="Times New Roman"/>
        </w:rPr>
        <w:t xml:space="preserve">to the issues the parties have raised. </w:t>
      </w:r>
      <w:r w:rsidRPr="00A16566">
        <w:rPr>
          <w:rFonts w:cs="Times New Roman"/>
          <w:i/>
        </w:rPr>
        <w:t>Improper</w:t>
      </w:r>
      <w:r w:rsidRPr="00A16566">
        <w:rPr>
          <w:rFonts w:cs="Times New Roman"/>
        </w:rPr>
        <w:t xml:space="preserve"> intervention jeopardizes fairness by forcing the parties to </w:t>
      </w:r>
      <w:r w:rsidRPr="00A16566">
        <w:rPr>
          <w:rFonts w:cs="Times New Roman"/>
          <w:bCs/>
          <w:iCs/>
        </w:rPr>
        <w:t xml:space="preserve">respond to issues on which they did not adduce </w:t>
      </w:r>
      <w:r w:rsidRPr="00A16566">
        <w:rPr>
          <w:rFonts w:cs="Times New Roman"/>
        </w:rPr>
        <w:t>evidence at trial and by “</w:t>
      </w:r>
      <w:proofErr w:type="spellStart"/>
      <w:r w:rsidRPr="00A16566">
        <w:rPr>
          <w:rFonts w:cs="Times New Roman"/>
        </w:rPr>
        <w:t>tak</w:t>
      </w:r>
      <w:proofErr w:type="spellEnd"/>
      <w:r w:rsidRPr="00A16566">
        <w:rPr>
          <w:rFonts w:cs="Times New Roman"/>
        </w:rPr>
        <w:t>[</w:t>
      </w:r>
      <w:proofErr w:type="spellStart"/>
      <w:r w:rsidRPr="00A16566">
        <w:rPr>
          <w:rFonts w:cs="Times New Roman"/>
        </w:rPr>
        <w:t>ing</w:t>
      </w:r>
      <w:proofErr w:type="spellEnd"/>
      <w:r w:rsidRPr="00A16566">
        <w:rPr>
          <w:rFonts w:cs="Times New Roman"/>
        </w:rPr>
        <w:t>] the litigation away from those directly affected by it” (</w:t>
      </w:r>
      <w:r w:rsidRPr="00A16566">
        <w:rPr>
          <w:rFonts w:cs="Times New Roman"/>
          <w:i/>
        </w:rPr>
        <w:t>Attorney-General of Canada v. Aluminum Co. of Canada</w:t>
      </w:r>
      <w:r w:rsidRPr="00A16566">
        <w:rPr>
          <w:rFonts w:cs="Times New Roman"/>
        </w:rPr>
        <w:t xml:space="preserve"> (1987), 35 </w:t>
      </w:r>
      <w:proofErr w:type="spellStart"/>
      <w:r w:rsidRPr="00A16566">
        <w:rPr>
          <w:rFonts w:cs="Times New Roman"/>
        </w:rPr>
        <w:t>D.L.R</w:t>
      </w:r>
      <w:proofErr w:type="spellEnd"/>
      <w:r w:rsidRPr="00A16566">
        <w:rPr>
          <w:rFonts w:cs="Times New Roman"/>
        </w:rPr>
        <w:t>. (4th) 495 (</w:t>
      </w:r>
      <w:proofErr w:type="spellStart"/>
      <w:r w:rsidRPr="00A16566">
        <w:rPr>
          <w:rFonts w:cs="Times New Roman"/>
        </w:rPr>
        <w:t>B.C.C.A</w:t>
      </w:r>
      <w:proofErr w:type="spellEnd"/>
      <w:r w:rsidRPr="00A16566">
        <w:rPr>
          <w:rFonts w:cs="Times New Roman"/>
        </w:rPr>
        <w:t xml:space="preserve">.), at p. 507; </w:t>
      </w:r>
      <w:r w:rsidRPr="00A16566">
        <w:rPr>
          <w:rFonts w:cs="Times New Roman"/>
          <w:i/>
          <w:iCs/>
        </w:rPr>
        <w:t>M. (K.) v. M. (H.)</w:t>
      </w:r>
      <w:r w:rsidRPr="00A16566">
        <w:rPr>
          <w:rFonts w:cs="Times New Roman"/>
          <w:iCs/>
        </w:rPr>
        <w:t>,</w:t>
      </w:r>
      <w:r w:rsidRPr="00A16566">
        <w:rPr>
          <w:rFonts w:cs="Times New Roman"/>
          <w:i/>
          <w:iCs/>
        </w:rPr>
        <w:t xml:space="preserve"> </w:t>
      </w:r>
      <w:r w:rsidRPr="00A16566">
        <w:rPr>
          <w:rFonts w:cs="Times New Roman"/>
        </w:rPr>
        <w:t xml:space="preserve">[1992] 3 </w:t>
      </w:r>
      <w:proofErr w:type="spellStart"/>
      <w:r w:rsidRPr="00A16566">
        <w:rPr>
          <w:rFonts w:cs="Times New Roman"/>
        </w:rPr>
        <w:t>S.C.R</w:t>
      </w:r>
      <w:proofErr w:type="spellEnd"/>
      <w:r w:rsidRPr="00A16566">
        <w:rPr>
          <w:rFonts w:cs="Times New Roman"/>
        </w:rPr>
        <w:t xml:space="preserve">. 3, at pp. 4-5; see also </w:t>
      </w:r>
      <w:r w:rsidRPr="00A16566">
        <w:rPr>
          <w:rFonts w:cs="Times New Roman"/>
          <w:i/>
        </w:rPr>
        <w:t xml:space="preserve">R. v. </w:t>
      </w:r>
      <w:proofErr w:type="spellStart"/>
      <w:r w:rsidRPr="00A16566">
        <w:rPr>
          <w:rFonts w:cs="Times New Roman"/>
          <w:i/>
        </w:rPr>
        <w:t>N.S</w:t>
      </w:r>
      <w:proofErr w:type="spellEnd"/>
      <w:r w:rsidRPr="00A16566">
        <w:rPr>
          <w:rFonts w:cs="Times New Roman"/>
          <w:i/>
        </w:rPr>
        <w:t>.</w:t>
      </w:r>
      <w:r w:rsidRPr="00A16566">
        <w:rPr>
          <w:rFonts w:cs="Times New Roman"/>
        </w:rPr>
        <w:t xml:space="preserve">, 2021 </w:t>
      </w:r>
      <w:proofErr w:type="spellStart"/>
      <w:r w:rsidRPr="00A16566">
        <w:rPr>
          <w:rFonts w:cs="Times New Roman"/>
        </w:rPr>
        <w:t>ONCA</w:t>
      </w:r>
      <w:proofErr w:type="spellEnd"/>
      <w:r w:rsidRPr="00A16566">
        <w:rPr>
          <w:rFonts w:cs="Times New Roman"/>
        </w:rPr>
        <w:t xml:space="preserve"> 605, 497 </w:t>
      </w:r>
      <w:proofErr w:type="spellStart"/>
      <w:r w:rsidRPr="00A16566">
        <w:rPr>
          <w:rFonts w:cs="Times New Roman"/>
        </w:rPr>
        <w:t>C.R.R</w:t>
      </w:r>
      <w:proofErr w:type="spellEnd"/>
      <w:r w:rsidRPr="00A16566">
        <w:rPr>
          <w:rFonts w:cs="Times New Roman"/>
        </w:rPr>
        <w:t>. (</w:t>
      </w:r>
      <w:proofErr w:type="spellStart"/>
      <w:r w:rsidRPr="00A16566">
        <w:rPr>
          <w:rFonts w:cs="Times New Roman"/>
        </w:rPr>
        <w:t>2d</w:t>
      </w:r>
      <w:proofErr w:type="spellEnd"/>
      <w:r w:rsidRPr="00A16566">
        <w:rPr>
          <w:rFonts w:cs="Times New Roman"/>
        </w:rPr>
        <w:t>) 75, at para. 49). Practical forms of unfairness may also befall the parties as a result of improper intervention, including increased legal costs, delays in responding to intervener submissions, or being forced to bring motions to strike parts of an intervener’s submissions.</w:t>
      </w:r>
    </w:p>
    <w:p w14:paraId="7C4B345E"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Secondly, and most fundamentally, interveners who improperly add to or expand the issues on appeal may cause deleterious effects to the proper administration of justice. The potential for inaccuracy increases where interveners invite the Court to reason in the abstract without the benefit of lower court decisions or a full evidentiary record.</w:t>
      </w:r>
    </w:p>
    <w:p w14:paraId="6C24E9A4" w14:textId="77777777" w:rsidR="00A16566" w:rsidRPr="00A16566" w:rsidRDefault="00A16566" w:rsidP="00A16566">
      <w:pPr>
        <w:pStyle w:val="ParaNoNdepar-AltN"/>
        <w:tabs>
          <w:tab w:val="clear" w:pos="1152"/>
          <w:tab w:val="left" w:pos="1166"/>
        </w:tabs>
        <w:rPr>
          <w:rFonts w:eastAsiaTheme="minorHAnsi" w:cs="Times New Roman"/>
        </w:rPr>
      </w:pPr>
      <w:r w:rsidRPr="00A16566">
        <w:rPr>
          <w:rFonts w:cs="Times New Roman"/>
        </w:rPr>
        <w:t xml:space="preserve">Thirdly, improper interventions undermine the </w:t>
      </w:r>
      <w:r w:rsidRPr="00A16566">
        <w:rPr>
          <w:rFonts w:cs="Times New Roman"/>
          <w:bCs/>
          <w:iCs/>
        </w:rPr>
        <w:t xml:space="preserve">leave to appeal </w:t>
      </w:r>
      <w:r w:rsidRPr="00A16566">
        <w:rPr>
          <w:rFonts w:cs="Times New Roman"/>
        </w:rPr>
        <w:t>process. The Court decides whether to grant or deny leave upon careful consideration of the existing record and the issues specifically raised by the parties. Where an intervener’s arguments fall outside of the set of issues for which leave has been granted, the Court’s careful consideration at the leave stage is frustrated.</w:t>
      </w:r>
    </w:p>
    <w:p w14:paraId="5F241D35"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Finally, potential interveners, whether organizations or Attorneys General, decide </w:t>
      </w:r>
      <w:r w:rsidRPr="00A16566">
        <w:rPr>
          <w:rFonts w:cs="Times New Roman"/>
          <w:bCs/>
          <w:iCs/>
        </w:rPr>
        <w:t>whether to intervene</w:t>
      </w:r>
      <w:r w:rsidRPr="00A16566">
        <w:rPr>
          <w:rFonts w:cs="Times New Roman"/>
        </w:rPr>
        <w:t xml:space="preserve"> based on the issues placed before the Court by the parties. Where interveners expand that set of issues, would-be interveners who have decided not to intervene are prejudiced. They might have decided differently had they been made aware that new issues would be raised (see </w:t>
      </w:r>
      <w:r w:rsidRPr="00A16566">
        <w:rPr>
          <w:rFonts w:cs="Times New Roman"/>
          <w:i/>
          <w:iCs/>
        </w:rPr>
        <w:t>Morgentaler</w:t>
      </w:r>
      <w:r w:rsidRPr="00A16566">
        <w:rPr>
          <w:rFonts w:cs="Times New Roman"/>
          <w:iCs/>
        </w:rPr>
        <w:t xml:space="preserve">, </w:t>
      </w:r>
      <w:r w:rsidRPr="00A16566">
        <w:rPr>
          <w:rFonts w:cs="Times New Roman"/>
        </w:rPr>
        <w:t>at pp. 463-64). By the time interveners have introduced the new issues, however, it is too late: the would-be interveners have already been deprived of the opportunity to present, and the Court has been deprived of the opportunity to receive, valuable perspectives on these new issues.</w:t>
      </w:r>
    </w:p>
    <w:p w14:paraId="07815200" w14:textId="77777777" w:rsidR="00A16566" w:rsidRPr="00A16566" w:rsidRDefault="00A16566" w:rsidP="00A16566">
      <w:pPr>
        <w:pStyle w:val="ParaNoNdepar-AltN"/>
        <w:tabs>
          <w:tab w:val="clear" w:pos="1152"/>
          <w:tab w:val="left" w:pos="1166"/>
        </w:tabs>
        <w:rPr>
          <w:rFonts w:cs="Times New Roman"/>
        </w:rPr>
      </w:pPr>
      <w:r w:rsidRPr="00A16566">
        <w:rPr>
          <w:rFonts w:cs="Times New Roman"/>
        </w:rPr>
        <w:t xml:space="preserve">The present appeal illustrates these serious consequences. Raising the new issue of whether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should continue to govern is an improper intervention. It undercuts the parties’ control of their litigation and, in fact, runs contrary to their submissions that this Court should apply </w:t>
      </w:r>
      <w:proofErr w:type="spellStart"/>
      <w:r w:rsidRPr="00A16566">
        <w:rPr>
          <w:rFonts w:cs="Times New Roman"/>
          <w:i/>
        </w:rPr>
        <w:t>Hape</w:t>
      </w:r>
      <w:proofErr w:type="spellEnd"/>
      <w:r w:rsidRPr="00A16566">
        <w:rPr>
          <w:rFonts w:cs="Times New Roman"/>
        </w:rPr>
        <w:t xml:space="preserve">. It undermines the leave to appeal process and excludes would-be interveners who could make useful submissions on the extraterritorial application of the </w:t>
      </w:r>
      <w:r w:rsidRPr="00A16566">
        <w:rPr>
          <w:rFonts w:cs="Times New Roman"/>
          <w:i/>
        </w:rPr>
        <w:t>Charter</w:t>
      </w:r>
      <w:r w:rsidRPr="00A16566">
        <w:rPr>
          <w:rFonts w:cs="Times New Roman"/>
        </w:rPr>
        <w:t>.</w:t>
      </w:r>
      <w:r w:rsidRPr="00A16566">
        <w:rPr>
          <w:rFonts w:cs="Times New Roman"/>
          <w:i/>
        </w:rPr>
        <w:t xml:space="preserve"> </w:t>
      </w:r>
      <w:r w:rsidRPr="00A16566">
        <w:rPr>
          <w:rFonts w:cs="Times New Roman"/>
        </w:rPr>
        <w:t xml:space="preserve">And, rather than further the accuracy of decision making, it invites the Court to reason in the abstract without the benefit of lower court decisions, a full evidentiary record, or submissions from the parties. </w:t>
      </w:r>
    </w:p>
    <w:p w14:paraId="07337204" w14:textId="77777777" w:rsidR="00A16566" w:rsidRPr="00A16566" w:rsidRDefault="00A16566" w:rsidP="00A16566">
      <w:pPr>
        <w:pStyle w:val="ParaNoNdepar-AltN"/>
        <w:rPr>
          <w:rFonts w:cs="Times New Roman"/>
          <w:strike/>
        </w:rPr>
      </w:pPr>
      <w:r w:rsidRPr="00A16566">
        <w:rPr>
          <w:rFonts w:cs="Times New Roman"/>
        </w:rPr>
        <w:t xml:space="preserve">This Court’s rules, practice directions, and jurisprudence are carefully designed to avoid these consequences, while ensuring that interveners properly assist the Court. It is therefore critical for interveners to adhere to these limits. When they do so, they can make useful contributions grounded in their expertise and experience. However, that is not what occurred in the present case, as certain interveners overstepped the well-established limits on their role. The issue of whether </w:t>
      </w:r>
      <w:proofErr w:type="spellStart"/>
      <w:r w:rsidRPr="00A16566">
        <w:rPr>
          <w:rFonts w:cs="Times New Roman"/>
          <w:i/>
        </w:rPr>
        <w:t>Hape</w:t>
      </w:r>
      <w:proofErr w:type="spellEnd"/>
      <w:r w:rsidRPr="00A16566">
        <w:rPr>
          <w:rFonts w:cs="Times New Roman"/>
          <w:i/>
        </w:rPr>
        <w:t xml:space="preserve"> </w:t>
      </w:r>
      <w:r w:rsidRPr="00A16566">
        <w:rPr>
          <w:rFonts w:cs="Times New Roman"/>
        </w:rPr>
        <w:t xml:space="preserve">should continue to govern is not before the Court. Neither party has called this framework into question; indeed, both the appellant and respondent have relied on it. I therefore reject my colleagues’ decision to accept the invitation from certain interveners and revisit </w:t>
      </w:r>
      <w:proofErr w:type="spellStart"/>
      <w:r w:rsidRPr="00A16566">
        <w:rPr>
          <w:rFonts w:cs="Times New Roman"/>
          <w:i/>
        </w:rPr>
        <w:t>Hape</w:t>
      </w:r>
      <w:proofErr w:type="spellEnd"/>
      <w:r w:rsidRPr="00A16566">
        <w:rPr>
          <w:rFonts w:cs="Times New Roman"/>
        </w:rPr>
        <w:t xml:space="preserve"> as precedent. Their reasons exacerbate the harms created by improper interventions and undermine the limits that preclude the introduction of new issues. In light of the foregoing, I endorse the reasons of Justice </w:t>
      </w:r>
      <w:r w:rsidRPr="00A16566">
        <w:rPr>
          <w:rFonts w:cs="Times New Roman"/>
          <w:lang w:val="en-US"/>
        </w:rPr>
        <w:t>Côté</w:t>
      </w:r>
      <w:r w:rsidRPr="00A16566">
        <w:rPr>
          <w:rFonts w:cs="Times New Roman"/>
        </w:rPr>
        <w:t>.</w:t>
      </w:r>
    </w:p>
    <w:p w14:paraId="2F976A00" w14:textId="77777777" w:rsidR="00A16566" w:rsidRPr="00A16566" w:rsidRDefault="00A16566" w:rsidP="00A16566">
      <w:pPr>
        <w:rPr>
          <w:rFonts w:eastAsiaTheme="minorEastAsia"/>
        </w:rPr>
      </w:pPr>
      <w:r w:rsidRPr="00A16566">
        <w:br w:type="page"/>
      </w:r>
    </w:p>
    <w:p w14:paraId="5ECA54CB" w14:textId="77777777" w:rsidR="00A16566" w:rsidRPr="00A16566" w:rsidRDefault="00A16566" w:rsidP="00A16566">
      <w:pPr>
        <w:pStyle w:val="Title1LevelTitre1Niveau-AltL"/>
        <w:numPr>
          <w:ilvl w:val="0"/>
          <w:numId w:val="0"/>
        </w:numPr>
        <w:ind w:left="578" w:hanging="578"/>
        <w:jc w:val="center"/>
        <w:rPr>
          <w:rFonts w:cs="Times New Roman"/>
          <w:b/>
        </w:rPr>
      </w:pPr>
      <w:r w:rsidRPr="00A16566">
        <w:rPr>
          <w:rFonts w:cs="Times New Roman"/>
          <w:b/>
        </w:rPr>
        <w:t>APPENDIX</w:t>
      </w:r>
    </w:p>
    <w:p w14:paraId="1323E4F0" w14:textId="77777777" w:rsidR="00A16566" w:rsidRPr="00A16566" w:rsidRDefault="00A16566" w:rsidP="00A16566">
      <w:pPr>
        <w:pStyle w:val="Title1LevelTitre1Niveau-AltL"/>
        <w:numPr>
          <w:ilvl w:val="0"/>
          <w:numId w:val="0"/>
        </w:numPr>
        <w:ind w:left="578" w:hanging="578"/>
        <w:jc w:val="both"/>
        <w:rPr>
          <w:rFonts w:cs="Times New Roman"/>
        </w:rPr>
      </w:pPr>
      <w:r w:rsidRPr="00A16566">
        <w:rPr>
          <w:rFonts w:cs="Times New Roman"/>
        </w:rPr>
        <w:t>Relevant Legislation and Treaties</w:t>
      </w:r>
    </w:p>
    <w:p w14:paraId="631281F5" w14:textId="77777777" w:rsidR="00A16566" w:rsidRPr="00A16566" w:rsidRDefault="00A16566" w:rsidP="00A16566">
      <w:pPr>
        <w:pStyle w:val="ParaNoNdepar-AltN"/>
        <w:numPr>
          <w:ilvl w:val="0"/>
          <w:numId w:val="0"/>
        </w:numPr>
        <w:spacing w:before="0" w:after="0" w:line="240" w:lineRule="auto"/>
        <w:rPr>
          <w:rFonts w:cs="Times New Roman"/>
          <w:lang w:val="en"/>
        </w:rPr>
      </w:pPr>
      <w:r w:rsidRPr="00A16566">
        <w:rPr>
          <w:rFonts w:cs="Times New Roman"/>
          <w:i/>
        </w:rPr>
        <w:t>Agreement between the Parties to the North Atlantic Treaty regarding the Status of their Forces</w:t>
      </w:r>
      <w:r w:rsidRPr="00A16566">
        <w:rPr>
          <w:rFonts w:cs="Times New Roman"/>
        </w:rPr>
        <w:t xml:space="preserve">, </w:t>
      </w:r>
      <w:r w:rsidRPr="00A16566">
        <w:rPr>
          <w:rFonts w:cs="Times New Roman"/>
          <w:lang w:val="en"/>
        </w:rPr>
        <w:t xml:space="preserve">Can. </w:t>
      </w:r>
      <w:proofErr w:type="spellStart"/>
      <w:r w:rsidRPr="00A16566">
        <w:rPr>
          <w:rFonts w:cs="Times New Roman"/>
          <w:lang w:val="en"/>
        </w:rPr>
        <w:t>T.S</w:t>
      </w:r>
      <w:proofErr w:type="spellEnd"/>
      <w:r w:rsidRPr="00A16566">
        <w:rPr>
          <w:rFonts w:cs="Times New Roman"/>
          <w:lang w:val="en"/>
        </w:rPr>
        <w:t>. 1953 No. 13</w:t>
      </w:r>
    </w:p>
    <w:p w14:paraId="58108BBD" w14:textId="77777777" w:rsidR="00A16566" w:rsidRPr="00A16566" w:rsidRDefault="00A16566" w:rsidP="00A16566">
      <w:pPr>
        <w:pStyle w:val="ParaNoNdepar-AltN"/>
        <w:numPr>
          <w:ilvl w:val="0"/>
          <w:numId w:val="0"/>
        </w:numPr>
        <w:spacing w:before="0" w:after="0" w:line="240" w:lineRule="auto"/>
        <w:rPr>
          <w:rFonts w:cs="Times New Roman"/>
        </w:rPr>
      </w:pPr>
    </w:p>
    <w:p w14:paraId="0DCDB58B" w14:textId="77777777" w:rsidR="00A16566" w:rsidRPr="00A16566" w:rsidRDefault="00A16566" w:rsidP="00A16566">
      <w:pPr>
        <w:widowControl w:val="0"/>
        <w:ind w:left="357" w:hanging="357"/>
        <w:jc w:val="center"/>
        <w:outlineLvl w:val="3"/>
        <w:rPr>
          <w:bCs/>
          <w:lang w:val="en"/>
        </w:rPr>
      </w:pPr>
      <w:r w:rsidRPr="00A16566">
        <w:rPr>
          <w:bCs/>
          <w:lang w:val="en"/>
        </w:rPr>
        <w:t>Article VII</w:t>
      </w:r>
    </w:p>
    <w:p w14:paraId="27BA4DD8" w14:textId="77777777" w:rsidR="00A16566" w:rsidRPr="00A16566" w:rsidRDefault="00A16566" w:rsidP="00A16566">
      <w:pPr>
        <w:pStyle w:val="ParaNoNdepar-AltN"/>
        <w:numPr>
          <w:ilvl w:val="0"/>
          <w:numId w:val="0"/>
        </w:numPr>
        <w:spacing w:before="0" w:after="0" w:line="240" w:lineRule="auto"/>
        <w:rPr>
          <w:rFonts w:cs="Times New Roman"/>
        </w:rPr>
      </w:pPr>
    </w:p>
    <w:p w14:paraId="314921B9" w14:textId="77777777" w:rsidR="00A16566" w:rsidRPr="00A16566" w:rsidRDefault="00A16566" w:rsidP="00A16566">
      <w:pPr>
        <w:widowControl w:val="0"/>
        <w:jc w:val="both"/>
        <w:rPr>
          <w:lang w:val="en"/>
        </w:rPr>
      </w:pPr>
      <w:r w:rsidRPr="00A16566">
        <w:rPr>
          <w:lang w:val="en"/>
        </w:rPr>
        <w:t xml:space="preserve">1. Subject to the provisions of this Article, </w:t>
      </w:r>
    </w:p>
    <w:p w14:paraId="5D9F9045" w14:textId="77777777" w:rsidR="00A16566" w:rsidRPr="00A16566" w:rsidRDefault="00A16566" w:rsidP="00A16566">
      <w:pPr>
        <w:pStyle w:val="ParaNoNdepar-AltN"/>
        <w:numPr>
          <w:ilvl w:val="0"/>
          <w:numId w:val="0"/>
        </w:numPr>
        <w:spacing w:before="0" w:after="0" w:line="240" w:lineRule="auto"/>
        <w:ind w:left="357"/>
        <w:rPr>
          <w:rFonts w:cs="Times New Roman"/>
          <w:lang w:val="en"/>
        </w:rPr>
      </w:pPr>
      <w:r w:rsidRPr="00A16566">
        <w:rPr>
          <w:rFonts w:cs="Times New Roman"/>
          <w:lang w:val="en"/>
        </w:rPr>
        <w:t>(</w:t>
      </w:r>
      <w:r w:rsidRPr="00A16566">
        <w:rPr>
          <w:rFonts w:cs="Times New Roman"/>
          <w:i/>
          <w:lang w:val="en"/>
        </w:rPr>
        <w:t>a</w:t>
      </w:r>
      <w:r w:rsidRPr="00A16566">
        <w:rPr>
          <w:rFonts w:cs="Times New Roman"/>
          <w:lang w:val="en"/>
        </w:rPr>
        <w:t>) the military authorities of the sending State shall have the right to exercise within the receiving State all criminal and disciplinary jurisdiction conferred on them by the law of the sending State over all persons subject to the military law of that State;</w:t>
      </w:r>
    </w:p>
    <w:p w14:paraId="4D6E8DA5" w14:textId="77777777" w:rsidR="00A16566" w:rsidRPr="00A16566" w:rsidRDefault="00A16566" w:rsidP="00A16566">
      <w:pPr>
        <w:pStyle w:val="ParaNoNdepar-AltN"/>
        <w:numPr>
          <w:ilvl w:val="0"/>
          <w:numId w:val="0"/>
        </w:numPr>
        <w:spacing w:before="0" w:after="0" w:line="240" w:lineRule="auto"/>
        <w:ind w:left="357"/>
        <w:rPr>
          <w:rFonts w:cs="Times New Roman"/>
          <w:lang w:val="en"/>
        </w:rPr>
      </w:pPr>
    </w:p>
    <w:p w14:paraId="253CBFF8" w14:textId="77777777" w:rsidR="00A16566" w:rsidRPr="00A16566" w:rsidRDefault="00A16566" w:rsidP="00A16566">
      <w:pPr>
        <w:widowControl w:val="0"/>
        <w:jc w:val="both"/>
        <w:rPr>
          <w:lang w:val="en"/>
        </w:rPr>
      </w:pPr>
      <w:r w:rsidRPr="00A16566">
        <w:rPr>
          <w:lang w:val="en"/>
        </w:rPr>
        <w:t>3. In cases where the right to exercise jurisdiction is concurrent the following rules shall apply:</w:t>
      </w:r>
    </w:p>
    <w:p w14:paraId="269D5C72" w14:textId="77777777" w:rsidR="00A16566" w:rsidRPr="00A16566" w:rsidRDefault="00A16566" w:rsidP="00A16566">
      <w:pPr>
        <w:widowControl w:val="0"/>
        <w:ind w:left="360"/>
        <w:jc w:val="both"/>
        <w:rPr>
          <w:lang w:val="en"/>
        </w:rPr>
      </w:pPr>
      <w:r w:rsidRPr="00A16566">
        <w:rPr>
          <w:lang w:val="en"/>
        </w:rPr>
        <w:t>(</w:t>
      </w:r>
      <w:r w:rsidRPr="00A16566">
        <w:rPr>
          <w:i/>
          <w:lang w:val="en"/>
        </w:rPr>
        <w:t>a</w:t>
      </w:r>
      <w:r w:rsidRPr="00A16566">
        <w:rPr>
          <w:lang w:val="en"/>
        </w:rPr>
        <w:t>) The military authorities of the sending State shall have the primary right to exercise jurisdiction over a member of a force or of a civilian component in relation to</w:t>
      </w:r>
    </w:p>
    <w:p w14:paraId="7DF04299" w14:textId="77777777" w:rsidR="00A16566" w:rsidRPr="00A16566" w:rsidRDefault="00A16566" w:rsidP="00A16566">
      <w:pPr>
        <w:ind w:left="720"/>
        <w:jc w:val="both"/>
        <w:rPr>
          <w:szCs w:val="24"/>
          <w:lang w:val="en"/>
        </w:rPr>
      </w:pPr>
      <w:r w:rsidRPr="00A16566">
        <w:rPr>
          <w:szCs w:val="24"/>
          <w:lang w:val="en"/>
        </w:rPr>
        <w:t>(</w:t>
      </w:r>
      <w:proofErr w:type="spellStart"/>
      <w:r w:rsidRPr="00A16566">
        <w:rPr>
          <w:szCs w:val="24"/>
          <w:lang w:val="en"/>
        </w:rPr>
        <w:t>i</w:t>
      </w:r>
      <w:proofErr w:type="spellEnd"/>
      <w:r w:rsidRPr="00A16566">
        <w:rPr>
          <w:szCs w:val="24"/>
          <w:lang w:val="en"/>
        </w:rPr>
        <w:t xml:space="preserve">) </w:t>
      </w:r>
      <w:proofErr w:type="gramStart"/>
      <w:r w:rsidRPr="00A16566">
        <w:rPr>
          <w:szCs w:val="24"/>
          <w:lang w:val="en"/>
        </w:rPr>
        <w:t>offences</w:t>
      </w:r>
      <w:proofErr w:type="gramEnd"/>
      <w:r w:rsidRPr="00A16566">
        <w:rPr>
          <w:szCs w:val="24"/>
          <w:lang w:val="en"/>
        </w:rPr>
        <w:t xml:space="preserve"> solely against the property or security of that State, or offences solely against the person or property of another member of the force or civilian component of that State or of a dependent;</w:t>
      </w:r>
    </w:p>
    <w:p w14:paraId="0537E8D6" w14:textId="77777777" w:rsidR="00A16566" w:rsidRPr="00A16566" w:rsidRDefault="00A16566" w:rsidP="00A16566">
      <w:pPr>
        <w:ind w:left="720"/>
        <w:jc w:val="both"/>
        <w:rPr>
          <w:szCs w:val="24"/>
          <w:lang w:val="en"/>
        </w:rPr>
      </w:pPr>
    </w:p>
    <w:p w14:paraId="4CEC19F5" w14:textId="77777777" w:rsidR="00A16566" w:rsidRPr="00A16566" w:rsidRDefault="00A16566" w:rsidP="00A16566">
      <w:pPr>
        <w:jc w:val="both"/>
        <w:rPr>
          <w:szCs w:val="24"/>
          <w:lang w:val="en"/>
        </w:rPr>
      </w:pPr>
      <w:r w:rsidRPr="00A16566">
        <w:t>6. — (</w:t>
      </w:r>
      <w:r w:rsidRPr="00A16566">
        <w:rPr>
          <w:i/>
        </w:rPr>
        <w:t>a</w:t>
      </w:r>
      <w:r w:rsidRPr="00A16566">
        <w:t>) The authorities of the receiving and sending States shall assist each other in the carrying out of all necessary investigations into offences, and in the collection and production of evidence, including the seizure and, in proper cases, the handing over of objects connected with an offence. The handing over of such objects may, however, be made subject to their return within the time specified by the authority delivering them.</w:t>
      </w:r>
    </w:p>
    <w:p w14:paraId="18AC9908" w14:textId="77777777" w:rsidR="00A16566" w:rsidRPr="00A16566" w:rsidRDefault="00A16566" w:rsidP="00A16566">
      <w:pPr>
        <w:jc w:val="both"/>
        <w:rPr>
          <w:szCs w:val="24"/>
          <w:lang w:val="en"/>
        </w:rPr>
      </w:pPr>
    </w:p>
    <w:p w14:paraId="30779742" w14:textId="77777777" w:rsidR="00A16566" w:rsidRPr="00A16566" w:rsidRDefault="00A16566" w:rsidP="00A16566">
      <w:pPr>
        <w:jc w:val="both"/>
      </w:pPr>
      <w:r w:rsidRPr="00A16566">
        <w:rPr>
          <w:i/>
        </w:rPr>
        <w:t>National Defence Act</w:t>
      </w:r>
      <w:r w:rsidRPr="00A16566">
        <w:t>,</w:t>
      </w:r>
      <w:r w:rsidRPr="00A16566">
        <w:rPr>
          <w:i/>
        </w:rPr>
        <w:t xml:space="preserve"> </w:t>
      </w:r>
      <w:proofErr w:type="spellStart"/>
      <w:r w:rsidRPr="00A16566">
        <w:t>R.S.C</w:t>
      </w:r>
      <w:proofErr w:type="spellEnd"/>
      <w:r w:rsidRPr="00A16566">
        <w:t>. 1985, c. N</w:t>
      </w:r>
      <w:r w:rsidRPr="00A16566">
        <w:noBreakHyphen/>
        <w:t>5</w:t>
      </w:r>
    </w:p>
    <w:p w14:paraId="76F28029" w14:textId="77777777" w:rsidR="00A16566" w:rsidRPr="00A16566" w:rsidRDefault="00A16566" w:rsidP="00A16566">
      <w:pPr>
        <w:jc w:val="both"/>
        <w:rPr>
          <w:szCs w:val="24"/>
          <w:lang w:val="en"/>
        </w:rPr>
      </w:pPr>
    </w:p>
    <w:p w14:paraId="502BA625" w14:textId="77777777" w:rsidR="00A16566" w:rsidRPr="00A16566" w:rsidRDefault="00A16566" w:rsidP="00A16566">
      <w:pPr>
        <w:pStyle w:val="subsection"/>
        <w:spacing w:before="0" w:after="0"/>
        <w:rPr>
          <w:rFonts w:cs="Times New Roman"/>
          <w:lang w:val="en"/>
        </w:rPr>
      </w:pPr>
      <w:r w:rsidRPr="00A16566">
        <w:rPr>
          <w:rStyle w:val="sectionlabel"/>
          <w:rFonts w:cs="Times New Roman"/>
          <w:lang w:val="en"/>
        </w:rPr>
        <w:t>60</w:t>
      </w:r>
      <w:r w:rsidRPr="00A16566">
        <w:rPr>
          <w:rFonts w:cs="Times New Roman"/>
          <w:lang w:val="en"/>
        </w:rPr>
        <w:t> </w:t>
      </w:r>
      <w:r w:rsidRPr="00A16566">
        <w:rPr>
          <w:rStyle w:val="lawlabel"/>
          <w:rFonts w:cs="Times New Roman"/>
          <w:b/>
          <w:lang w:val="en"/>
        </w:rPr>
        <w:t>(1)</w:t>
      </w:r>
      <w:r w:rsidRPr="00A16566">
        <w:rPr>
          <w:rFonts w:cs="Times New Roman"/>
          <w:lang w:val="en"/>
        </w:rPr>
        <w:t> </w:t>
      </w:r>
      <w:proofErr w:type="gramStart"/>
      <w:r w:rsidRPr="00A16566">
        <w:rPr>
          <w:rFonts w:cs="Times New Roman"/>
          <w:lang w:val="en"/>
        </w:rPr>
        <w:t>The</w:t>
      </w:r>
      <w:proofErr w:type="gramEnd"/>
      <w:r w:rsidRPr="00A16566">
        <w:rPr>
          <w:rFonts w:cs="Times New Roman"/>
          <w:lang w:val="en"/>
        </w:rPr>
        <w:t xml:space="preserve"> following persons are subject to the Code of Service Discipline:</w:t>
      </w:r>
    </w:p>
    <w:p w14:paraId="3591C005" w14:textId="77777777" w:rsidR="00A16566" w:rsidRPr="00A16566" w:rsidRDefault="00A16566" w:rsidP="00A16566">
      <w:pPr>
        <w:jc w:val="both"/>
        <w:rPr>
          <w:szCs w:val="24"/>
          <w:lang w:val="en"/>
        </w:rPr>
      </w:pPr>
    </w:p>
    <w:p w14:paraId="33804CD8" w14:textId="77777777" w:rsidR="00A16566" w:rsidRPr="00A16566" w:rsidRDefault="00A16566" w:rsidP="00A16566">
      <w:pPr>
        <w:ind w:left="357"/>
        <w:jc w:val="both"/>
        <w:rPr>
          <w:lang w:val="en"/>
        </w:rPr>
      </w:pPr>
      <w:r w:rsidRPr="00A16566">
        <w:rPr>
          <w:b/>
          <w:lang w:val="en"/>
        </w:rPr>
        <w:t>(a)</w:t>
      </w:r>
      <w:r w:rsidRPr="00A16566">
        <w:rPr>
          <w:lang w:val="en"/>
        </w:rPr>
        <w:t xml:space="preserve"> </w:t>
      </w:r>
      <w:proofErr w:type="gramStart"/>
      <w:r w:rsidRPr="00A16566">
        <w:rPr>
          <w:lang w:val="en"/>
        </w:rPr>
        <w:t>an</w:t>
      </w:r>
      <w:proofErr w:type="gramEnd"/>
      <w:r w:rsidRPr="00A16566">
        <w:rPr>
          <w:lang w:val="en"/>
        </w:rPr>
        <w:t xml:space="preserve"> officer or non</w:t>
      </w:r>
      <w:r w:rsidRPr="00A16566">
        <w:rPr>
          <w:lang w:val="en"/>
        </w:rPr>
        <w:noBreakHyphen/>
        <w:t>commissioned member of the regular force;</w:t>
      </w:r>
    </w:p>
    <w:p w14:paraId="5C10C9D1" w14:textId="77777777" w:rsidR="00A16566" w:rsidRPr="00A16566" w:rsidRDefault="00A16566" w:rsidP="00A16566">
      <w:pPr>
        <w:jc w:val="both"/>
        <w:rPr>
          <w:szCs w:val="24"/>
          <w:lang w:val="en"/>
        </w:rPr>
      </w:pPr>
    </w:p>
    <w:p w14:paraId="0B1B3E7B" w14:textId="77777777" w:rsidR="00A16566" w:rsidRPr="00A16566" w:rsidRDefault="00A16566" w:rsidP="00A16566">
      <w:pPr>
        <w:pStyle w:val="Citation-AltC"/>
        <w:spacing w:after="0"/>
        <w:ind w:left="0"/>
        <w:rPr>
          <w:lang w:val="en"/>
        </w:rPr>
      </w:pPr>
      <w:r w:rsidRPr="00A16566">
        <w:rPr>
          <w:rStyle w:val="sectionlabel"/>
          <w:lang w:val="en"/>
        </w:rPr>
        <w:t>67</w:t>
      </w:r>
      <w:r w:rsidRPr="00A16566">
        <w:rPr>
          <w:lang w:val="en"/>
        </w:rPr>
        <w:t> Subject to section 70, every person alleged to have committed a service offence may be charged, dealt with and tried under the Code of Service Discipline, whether the alleged offence was committed in Canada or outside Canada.</w:t>
      </w:r>
    </w:p>
    <w:p w14:paraId="2F38A936" w14:textId="77777777" w:rsidR="00A16566" w:rsidRPr="00A16566" w:rsidRDefault="00A16566" w:rsidP="00A16566">
      <w:pPr>
        <w:pStyle w:val="Citation-AltC"/>
        <w:spacing w:after="0"/>
        <w:ind w:left="0"/>
        <w:rPr>
          <w:lang w:val="en"/>
        </w:rPr>
      </w:pPr>
    </w:p>
    <w:p w14:paraId="2BC03CC2" w14:textId="77777777" w:rsidR="00A16566" w:rsidRPr="00A16566" w:rsidRDefault="00A16566" w:rsidP="00A16566">
      <w:pPr>
        <w:pStyle w:val="subsection"/>
        <w:widowControl w:val="0"/>
        <w:spacing w:before="0" w:after="0"/>
        <w:jc w:val="both"/>
        <w:rPr>
          <w:rFonts w:cs="Times New Roman"/>
          <w:lang w:val="en"/>
        </w:rPr>
      </w:pPr>
      <w:r w:rsidRPr="00A16566">
        <w:rPr>
          <w:rStyle w:val="sectionlabel"/>
          <w:rFonts w:cs="Times New Roman"/>
          <w:lang w:val="en"/>
        </w:rPr>
        <w:t>68</w:t>
      </w:r>
      <w:r w:rsidRPr="00A16566">
        <w:rPr>
          <w:rFonts w:cs="Times New Roman"/>
          <w:lang w:val="en"/>
        </w:rPr>
        <w:t> Every person alleged to have committed a service offence may be charged, dealt with and tried under the Code of Service Discipline, either in Canada or outside Canada.</w:t>
      </w:r>
    </w:p>
    <w:p w14:paraId="08E7A48A" w14:textId="77777777" w:rsidR="00A16566" w:rsidRPr="00A16566" w:rsidRDefault="00A16566" w:rsidP="00A16566">
      <w:pPr>
        <w:pStyle w:val="subsection"/>
        <w:widowControl w:val="0"/>
        <w:spacing w:before="0" w:after="0"/>
        <w:jc w:val="both"/>
        <w:rPr>
          <w:rFonts w:cs="Times New Roman"/>
          <w:lang w:val="en"/>
        </w:rPr>
      </w:pPr>
    </w:p>
    <w:p w14:paraId="399FEF3E" w14:textId="77777777" w:rsidR="00A16566" w:rsidRPr="00A16566" w:rsidRDefault="00A16566" w:rsidP="00A16566">
      <w:pPr>
        <w:pStyle w:val="subsection"/>
        <w:widowControl w:val="0"/>
        <w:spacing w:before="0" w:after="0"/>
        <w:jc w:val="both"/>
        <w:rPr>
          <w:rFonts w:cs="Times New Roman"/>
          <w:lang w:val="en"/>
        </w:rPr>
      </w:pPr>
      <w:r w:rsidRPr="00A16566">
        <w:rPr>
          <w:rFonts w:cs="Times New Roman"/>
          <w:b/>
          <w:bCs/>
          <w:lang w:val="en"/>
        </w:rPr>
        <w:t>93</w:t>
      </w:r>
      <w:r w:rsidRPr="00A16566">
        <w:rPr>
          <w:rFonts w:cs="Times New Roman"/>
          <w:lang w:val="en"/>
        </w:rPr>
        <w:t> Every person who behaves in a cruel or disgraceful manner is guilty of an offence and on conviction is liable to imprisonment for a term not exceeding five years or to less punishment.</w:t>
      </w:r>
    </w:p>
    <w:p w14:paraId="47A9DE56" w14:textId="77777777" w:rsidR="00A16566" w:rsidRPr="00A16566" w:rsidRDefault="00A16566" w:rsidP="00A16566">
      <w:pPr>
        <w:pStyle w:val="subsection"/>
        <w:widowControl w:val="0"/>
        <w:spacing w:before="0" w:after="0"/>
        <w:jc w:val="both"/>
        <w:rPr>
          <w:rFonts w:cs="Times New Roman"/>
          <w:lang w:val="en"/>
        </w:rPr>
      </w:pPr>
    </w:p>
    <w:p w14:paraId="5AC367A7" w14:textId="77777777" w:rsidR="00A16566" w:rsidRPr="00A16566" w:rsidRDefault="00A16566" w:rsidP="00A16566">
      <w:pPr>
        <w:pStyle w:val="subsection"/>
        <w:widowControl w:val="0"/>
        <w:spacing w:before="0" w:after="0"/>
        <w:jc w:val="both"/>
        <w:rPr>
          <w:rFonts w:cs="Times New Roman"/>
          <w:lang w:val="en"/>
        </w:rPr>
      </w:pPr>
      <w:r w:rsidRPr="00A16566">
        <w:rPr>
          <w:rStyle w:val="lawlabel"/>
          <w:rFonts w:cs="Times New Roman"/>
          <w:b/>
          <w:lang w:val="en"/>
        </w:rPr>
        <w:t>130 (1)</w:t>
      </w:r>
      <w:r w:rsidRPr="00A16566">
        <w:rPr>
          <w:rFonts w:cs="Times New Roman"/>
          <w:lang w:val="en"/>
        </w:rPr>
        <w:t> </w:t>
      </w:r>
      <w:proofErr w:type="gramStart"/>
      <w:r w:rsidRPr="00A16566">
        <w:rPr>
          <w:rFonts w:cs="Times New Roman"/>
          <w:lang w:val="en"/>
        </w:rPr>
        <w:t>An</w:t>
      </w:r>
      <w:proofErr w:type="gramEnd"/>
      <w:r w:rsidRPr="00A16566">
        <w:rPr>
          <w:rFonts w:cs="Times New Roman"/>
          <w:lang w:val="en"/>
        </w:rPr>
        <w:t xml:space="preserve"> act or omission</w:t>
      </w:r>
    </w:p>
    <w:p w14:paraId="156C466A" w14:textId="77777777" w:rsidR="00A16566" w:rsidRPr="00A16566" w:rsidRDefault="00A16566" w:rsidP="00A16566">
      <w:pPr>
        <w:pStyle w:val="subsection"/>
        <w:widowControl w:val="0"/>
        <w:spacing w:before="0" w:after="0"/>
        <w:jc w:val="both"/>
        <w:rPr>
          <w:rFonts w:cs="Times New Roman"/>
          <w:lang w:val="en"/>
        </w:rPr>
      </w:pPr>
    </w:p>
    <w:p w14:paraId="75D614B1" w14:textId="77777777" w:rsidR="00A16566" w:rsidRPr="00A16566" w:rsidRDefault="00A16566" w:rsidP="00A16566">
      <w:pPr>
        <w:pStyle w:val="subsection"/>
        <w:widowControl w:val="0"/>
        <w:spacing w:before="0" w:after="0"/>
        <w:ind w:left="448"/>
        <w:jc w:val="both"/>
        <w:rPr>
          <w:rFonts w:cs="Times New Roman"/>
          <w:lang w:val="en"/>
        </w:rPr>
      </w:pPr>
      <w:r w:rsidRPr="00A16566">
        <w:rPr>
          <w:rFonts w:cs="Times New Roman"/>
          <w:b/>
          <w:lang w:val="en"/>
        </w:rPr>
        <w:t>(b)</w:t>
      </w:r>
      <w:r w:rsidRPr="00A16566">
        <w:rPr>
          <w:rFonts w:cs="Times New Roman"/>
          <w:lang w:val="en"/>
        </w:rPr>
        <w:t> </w:t>
      </w:r>
      <w:proofErr w:type="gramStart"/>
      <w:r w:rsidRPr="00A16566">
        <w:rPr>
          <w:rFonts w:cs="Times New Roman"/>
          <w:lang w:val="en"/>
        </w:rPr>
        <w:t>that</w:t>
      </w:r>
      <w:proofErr w:type="gramEnd"/>
      <w:r w:rsidRPr="00A16566">
        <w:rPr>
          <w:rFonts w:cs="Times New Roman"/>
          <w:lang w:val="en"/>
        </w:rPr>
        <w:t xml:space="preserve"> takes place outside Canada and would, if it had taken place in Canada, be punishable under Part VII, the </w:t>
      </w:r>
      <w:r w:rsidRPr="00A16566">
        <w:rPr>
          <w:rStyle w:val="HTMLCite"/>
          <w:rFonts w:cs="Times New Roman"/>
          <w:lang w:val="en"/>
        </w:rPr>
        <w:t>Criminal Code</w:t>
      </w:r>
      <w:r w:rsidRPr="00A16566">
        <w:rPr>
          <w:rFonts w:cs="Times New Roman"/>
          <w:lang w:val="en"/>
        </w:rPr>
        <w:t xml:space="preserve"> or any other Act of Parliament,</w:t>
      </w:r>
    </w:p>
    <w:p w14:paraId="30E4AF61" w14:textId="77777777" w:rsidR="00A16566" w:rsidRPr="00A16566" w:rsidRDefault="00A16566" w:rsidP="00A16566">
      <w:pPr>
        <w:pStyle w:val="subsection"/>
        <w:widowControl w:val="0"/>
        <w:spacing w:before="0" w:after="0"/>
        <w:jc w:val="both"/>
        <w:rPr>
          <w:rFonts w:cs="Times New Roman"/>
          <w:lang w:val="en"/>
        </w:rPr>
      </w:pPr>
    </w:p>
    <w:p w14:paraId="5028F76D" w14:textId="77777777" w:rsidR="00A16566" w:rsidRPr="00A16566" w:rsidRDefault="00A16566" w:rsidP="00A16566">
      <w:pPr>
        <w:pStyle w:val="continuedsectionsubsection"/>
        <w:widowControl w:val="0"/>
        <w:spacing w:before="0" w:after="0"/>
        <w:jc w:val="both"/>
        <w:rPr>
          <w:rFonts w:cs="Times New Roman"/>
          <w:lang w:val="en"/>
        </w:rPr>
      </w:pPr>
      <w:proofErr w:type="gramStart"/>
      <w:r w:rsidRPr="00A16566">
        <w:rPr>
          <w:rFonts w:cs="Times New Roman"/>
          <w:lang w:val="en"/>
        </w:rPr>
        <w:t>is</w:t>
      </w:r>
      <w:proofErr w:type="gramEnd"/>
      <w:r w:rsidRPr="00A16566">
        <w:rPr>
          <w:rFonts w:cs="Times New Roman"/>
          <w:lang w:val="en"/>
        </w:rPr>
        <w:t xml:space="preserve"> an offence under this Division . . .</w:t>
      </w:r>
    </w:p>
    <w:p w14:paraId="4EA8EC9C" w14:textId="77777777" w:rsidR="00A16566" w:rsidRPr="00A16566" w:rsidRDefault="00A16566" w:rsidP="00A16566">
      <w:pPr>
        <w:pStyle w:val="Citation-AltC"/>
        <w:spacing w:after="0"/>
        <w:ind w:left="0"/>
        <w:rPr>
          <w:lang w:val="en"/>
        </w:rPr>
      </w:pPr>
    </w:p>
    <w:p w14:paraId="4189F89C" w14:textId="77777777" w:rsidR="00A16566" w:rsidRPr="00A16566" w:rsidRDefault="00A16566" w:rsidP="00A16566">
      <w:pPr>
        <w:widowControl w:val="0"/>
        <w:jc w:val="both"/>
        <w:rPr>
          <w:lang w:val="en"/>
        </w:rPr>
      </w:pPr>
      <w:r w:rsidRPr="00A16566">
        <w:rPr>
          <w:b/>
          <w:bCs/>
          <w:lang w:val="en"/>
        </w:rPr>
        <w:t>273.3</w:t>
      </w:r>
      <w:r w:rsidRPr="00A16566">
        <w:rPr>
          <w:lang w:val="en"/>
        </w:rPr>
        <w:t> Subject to sections 273.4 and 273.5, a commanding officer who is satisfied by information on oath that there is in any quarters, locker, storage space or personal or movable property referred to in section 273.2</w:t>
      </w:r>
    </w:p>
    <w:p w14:paraId="65134DA3" w14:textId="77777777" w:rsidR="00A16566" w:rsidRPr="00A16566" w:rsidRDefault="00A16566" w:rsidP="00A16566">
      <w:pPr>
        <w:pStyle w:val="Citation-AltC"/>
        <w:spacing w:after="0"/>
        <w:ind w:left="0"/>
        <w:rPr>
          <w:lang w:val="en"/>
        </w:rPr>
      </w:pPr>
    </w:p>
    <w:p w14:paraId="309665AB" w14:textId="77777777" w:rsidR="00A16566" w:rsidRPr="00A16566" w:rsidRDefault="00A16566" w:rsidP="00A16566">
      <w:pPr>
        <w:pStyle w:val="ListParagraph"/>
        <w:widowControl w:val="0"/>
        <w:ind w:left="357"/>
        <w:jc w:val="both"/>
        <w:rPr>
          <w:rFonts w:cs="Times New Roman"/>
          <w:szCs w:val="24"/>
          <w:lang w:val="en"/>
        </w:rPr>
      </w:pPr>
      <w:r w:rsidRPr="00A16566">
        <w:rPr>
          <w:rFonts w:cs="Times New Roman"/>
          <w:b/>
          <w:szCs w:val="24"/>
          <w:lang w:val="en"/>
        </w:rPr>
        <w:t>(a)</w:t>
      </w:r>
      <w:r w:rsidRPr="00A16566">
        <w:rPr>
          <w:rFonts w:cs="Times New Roman"/>
          <w:szCs w:val="24"/>
          <w:lang w:val="en"/>
        </w:rPr>
        <w:t> </w:t>
      </w:r>
      <w:proofErr w:type="gramStart"/>
      <w:r w:rsidRPr="00A16566">
        <w:rPr>
          <w:rFonts w:cs="Times New Roman"/>
          <w:szCs w:val="24"/>
          <w:lang w:val="en"/>
        </w:rPr>
        <w:t>anything</w:t>
      </w:r>
      <w:proofErr w:type="gramEnd"/>
      <w:r w:rsidRPr="00A16566">
        <w:rPr>
          <w:rFonts w:cs="Times New Roman"/>
          <w:szCs w:val="24"/>
          <w:lang w:val="en"/>
        </w:rPr>
        <w:t xml:space="preserve"> on or in respect of which any offence against this Act has been or is believed on reasonable grounds to have been committed,</w:t>
      </w:r>
    </w:p>
    <w:p w14:paraId="14C729D7" w14:textId="77777777" w:rsidR="00A16566" w:rsidRPr="00A16566" w:rsidRDefault="00A16566" w:rsidP="00A16566">
      <w:pPr>
        <w:pStyle w:val="ListParagraph"/>
        <w:widowControl w:val="0"/>
        <w:jc w:val="both"/>
        <w:rPr>
          <w:rFonts w:cs="Times New Roman"/>
          <w:szCs w:val="24"/>
          <w:lang w:val="en"/>
        </w:rPr>
      </w:pPr>
    </w:p>
    <w:p w14:paraId="379CD2FB" w14:textId="77777777" w:rsidR="00A16566" w:rsidRPr="00A16566" w:rsidRDefault="00A16566" w:rsidP="00A16566">
      <w:pPr>
        <w:widowControl w:val="0"/>
        <w:ind w:left="357"/>
        <w:jc w:val="both"/>
        <w:rPr>
          <w:szCs w:val="24"/>
          <w:lang w:val="en"/>
        </w:rPr>
      </w:pPr>
      <w:r w:rsidRPr="00A16566">
        <w:rPr>
          <w:b/>
          <w:szCs w:val="24"/>
          <w:lang w:val="en"/>
        </w:rPr>
        <w:t>(b)</w:t>
      </w:r>
      <w:r w:rsidRPr="00A16566">
        <w:rPr>
          <w:szCs w:val="24"/>
          <w:lang w:val="en"/>
        </w:rPr>
        <w:t> </w:t>
      </w:r>
      <w:proofErr w:type="gramStart"/>
      <w:r w:rsidRPr="00A16566">
        <w:rPr>
          <w:szCs w:val="24"/>
          <w:lang w:val="en"/>
        </w:rPr>
        <w:t>anything</w:t>
      </w:r>
      <w:proofErr w:type="gramEnd"/>
      <w:r w:rsidRPr="00A16566">
        <w:rPr>
          <w:szCs w:val="24"/>
          <w:lang w:val="en"/>
        </w:rPr>
        <w:t xml:space="preserve"> that there are reasonable grounds to believe will afford evidence with respect to the commission of an offence against this Act, or</w:t>
      </w:r>
    </w:p>
    <w:p w14:paraId="1656B1AA" w14:textId="77777777" w:rsidR="00A16566" w:rsidRPr="00A16566" w:rsidRDefault="00A16566" w:rsidP="00A16566">
      <w:pPr>
        <w:widowControl w:val="0"/>
        <w:jc w:val="both"/>
        <w:rPr>
          <w:lang w:val="en"/>
        </w:rPr>
      </w:pPr>
    </w:p>
    <w:p w14:paraId="16EA8F5E" w14:textId="77777777" w:rsidR="00A16566" w:rsidRPr="00A16566" w:rsidRDefault="00A16566" w:rsidP="00A16566">
      <w:pPr>
        <w:widowControl w:val="0"/>
        <w:ind w:left="357"/>
        <w:jc w:val="both"/>
        <w:rPr>
          <w:szCs w:val="24"/>
          <w:lang w:val="en"/>
        </w:rPr>
      </w:pPr>
      <w:r w:rsidRPr="00A16566">
        <w:rPr>
          <w:b/>
          <w:szCs w:val="24"/>
          <w:lang w:val="en"/>
        </w:rPr>
        <w:t>(c)</w:t>
      </w:r>
      <w:r w:rsidRPr="00A16566">
        <w:rPr>
          <w:szCs w:val="24"/>
          <w:lang w:val="en"/>
        </w:rPr>
        <w:t> anything that there are reasonable grounds to believe is intended to be used for the purpose of committing any offence against the person for which a person may be arrested without warrant,</w:t>
      </w:r>
    </w:p>
    <w:p w14:paraId="3F8ABD00" w14:textId="77777777" w:rsidR="00A16566" w:rsidRPr="00A16566" w:rsidRDefault="00A16566" w:rsidP="00A16566">
      <w:pPr>
        <w:widowControl w:val="0"/>
        <w:jc w:val="both"/>
        <w:rPr>
          <w:lang w:val="en"/>
        </w:rPr>
      </w:pPr>
    </w:p>
    <w:p w14:paraId="48817726" w14:textId="77777777" w:rsidR="00A16566" w:rsidRPr="00A16566" w:rsidRDefault="00A16566" w:rsidP="00A16566">
      <w:pPr>
        <w:widowControl w:val="0"/>
        <w:jc w:val="both"/>
      </w:pPr>
      <w:r w:rsidRPr="00A16566">
        <w:rPr>
          <w:lang w:val="en"/>
        </w:rPr>
        <w:t>may issue a warrant authorizing any officer or non</w:t>
      </w:r>
      <w:r w:rsidRPr="00A16566">
        <w:rPr>
          <w:lang w:val="en"/>
        </w:rPr>
        <w:noBreakHyphen/>
        <w:t>commissioned member named in the warrant, assisted by such other officers and non</w:t>
      </w:r>
      <w:r w:rsidRPr="00A16566">
        <w:rPr>
          <w:lang w:val="en"/>
        </w:rPr>
        <w:noBreakHyphen/>
        <w:t>commissioned members as are necessary, or a peace officer, to search the quarters, locker, storage space or personal or movable property for any such thing, and to seize and carry it before that commanding officer.</w:t>
      </w:r>
    </w:p>
    <w:p w14:paraId="29C4D7F4" w14:textId="77777777" w:rsidR="00A16566" w:rsidRPr="00A16566" w:rsidRDefault="00A16566" w:rsidP="00A16566">
      <w:pPr>
        <w:pStyle w:val="Citation-AltC"/>
        <w:spacing w:after="0"/>
        <w:ind w:left="0"/>
        <w:rPr>
          <w:lang w:val="en-US"/>
        </w:rPr>
      </w:pPr>
    </w:p>
    <w:p w14:paraId="7F9D7BBC" w14:textId="77777777" w:rsidR="00A16566" w:rsidRPr="00A16566" w:rsidRDefault="00A16566" w:rsidP="00A16566">
      <w:pPr>
        <w:pStyle w:val="Citation-AltC"/>
        <w:spacing w:after="0"/>
        <w:ind w:left="0"/>
        <w:rPr>
          <w:lang w:val="en-US"/>
        </w:rPr>
      </w:pPr>
      <w:r w:rsidRPr="00A16566">
        <w:rPr>
          <w:i/>
          <w:lang w:val="en-US"/>
        </w:rPr>
        <w:t>Vienna Convention on Diplomatic Relations</w:t>
      </w:r>
      <w:r w:rsidRPr="00A16566">
        <w:rPr>
          <w:lang w:val="en-US"/>
        </w:rPr>
        <w:t xml:space="preserve">, Can. </w:t>
      </w:r>
      <w:proofErr w:type="spellStart"/>
      <w:r w:rsidRPr="00A16566">
        <w:rPr>
          <w:lang w:val="en-US"/>
        </w:rPr>
        <w:t>T.S</w:t>
      </w:r>
      <w:proofErr w:type="spellEnd"/>
      <w:r w:rsidRPr="00A16566">
        <w:rPr>
          <w:lang w:val="en-US"/>
        </w:rPr>
        <w:t>. 1966 No. 29</w:t>
      </w:r>
    </w:p>
    <w:p w14:paraId="57A0E22B" w14:textId="77777777" w:rsidR="00A16566" w:rsidRPr="00A16566" w:rsidRDefault="00A16566" w:rsidP="00A16566">
      <w:pPr>
        <w:pStyle w:val="Citation-AltC"/>
        <w:spacing w:after="0"/>
        <w:ind w:left="0"/>
        <w:rPr>
          <w:lang w:val="en-US"/>
        </w:rPr>
      </w:pPr>
    </w:p>
    <w:p w14:paraId="521163A9" w14:textId="77777777" w:rsidR="00A16566" w:rsidRPr="00A16566" w:rsidRDefault="00A16566" w:rsidP="00A16566">
      <w:pPr>
        <w:pStyle w:val="Citation-AltC"/>
        <w:spacing w:after="0"/>
        <w:ind w:left="0"/>
        <w:jc w:val="center"/>
        <w:rPr>
          <w:lang w:val="en-US"/>
        </w:rPr>
      </w:pPr>
      <w:r w:rsidRPr="00A16566">
        <w:rPr>
          <w:rFonts w:eastAsia="Calibri"/>
          <w:lang w:val="en"/>
        </w:rPr>
        <w:t>Article 30</w:t>
      </w:r>
    </w:p>
    <w:p w14:paraId="002934A6" w14:textId="77777777" w:rsidR="00A16566" w:rsidRPr="00A16566" w:rsidRDefault="00A16566" w:rsidP="00A16566">
      <w:pPr>
        <w:pStyle w:val="Citation-AltC"/>
        <w:spacing w:after="0"/>
        <w:ind w:left="0"/>
        <w:rPr>
          <w:lang w:val="en-US"/>
        </w:rPr>
      </w:pPr>
    </w:p>
    <w:p w14:paraId="47D56725" w14:textId="77777777" w:rsidR="00A16566" w:rsidRPr="00A16566" w:rsidRDefault="00A16566" w:rsidP="00A16566">
      <w:pPr>
        <w:pStyle w:val="Citation-AltC"/>
        <w:spacing w:after="0"/>
        <w:ind w:left="0" w:firstLine="272"/>
        <w:rPr>
          <w:lang w:val="en-US"/>
        </w:rPr>
      </w:pPr>
      <w:r w:rsidRPr="00A16566">
        <w:rPr>
          <w:rFonts w:eastAsia="Calibri"/>
          <w:lang w:val="en"/>
        </w:rPr>
        <w:t>1. The private residence of a diplomatic agent shall enjoy the same inviolability and protection as the premises of the mission.</w:t>
      </w:r>
    </w:p>
    <w:p w14:paraId="60E2E20A" w14:textId="77777777" w:rsidR="00A16566" w:rsidRPr="00A16566" w:rsidRDefault="00A16566" w:rsidP="00A16566">
      <w:pPr>
        <w:pStyle w:val="Citation-AltC"/>
        <w:spacing w:after="0"/>
        <w:ind w:left="0"/>
        <w:rPr>
          <w:lang w:val="en-US"/>
        </w:rPr>
      </w:pPr>
    </w:p>
    <w:p w14:paraId="7B067B90" w14:textId="77777777" w:rsidR="00A16566" w:rsidRPr="00A16566" w:rsidRDefault="00A16566" w:rsidP="00A16566">
      <w:pPr>
        <w:pStyle w:val="Citation-AltC"/>
        <w:spacing w:after="0"/>
        <w:ind w:left="0"/>
        <w:jc w:val="center"/>
        <w:rPr>
          <w:lang w:val="en-US"/>
        </w:rPr>
      </w:pPr>
      <w:r w:rsidRPr="00A16566">
        <w:t>Article 31</w:t>
      </w:r>
    </w:p>
    <w:p w14:paraId="42BF2CA9" w14:textId="77777777" w:rsidR="00A16566" w:rsidRPr="00A16566" w:rsidRDefault="00A16566" w:rsidP="00A16566">
      <w:pPr>
        <w:pStyle w:val="Citation-AltC"/>
        <w:spacing w:after="0"/>
        <w:ind w:left="0"/>
        <w:rPr>
          <w:lang w:val="en-US"/>
        </w:rPr>
      </w:pPr>
    </w:p>
    <w:p w14:paraId="3B213838" w14:textId="77777777" w:rsidR="00A16566" w:rsidRPr="00A16566" w:rsidRDefault="00A16566" w:rsidP="00A16566">
      <w:pPr>
        <w:pStyle w:val="Citation-AltC"/>
        <w:spacing w:after="0"/>
        <w:ind w:left="0" w:firstLine="272"/>
        <w:rPr>
          <w:lang w:val="en-US"/>
        </w:rPr>
      </w:pPr>
      <w:r w:rsidRPr="00A16566">
        <w:rPr>
          <w:rFonts w:eastAsia="Calibri"/>
          <w:lang w:val="en"/>
        </w:rPr>
        <w:t xml:space="preserve">1. A diplomatic agent shall enjoy immunity from the criminal jurisdiction of the receiving State. He shall also enjoy immunity from its civil and administrative </w:t>
      </w:r>
      <w:proofErr w:type="gramStart"/>
      <w:r w:rsidRPr="00A16566">
        <w:rPr>
          <w:rFonts w:eastAsia="Calibri"/>
          <w:lang w:val="en"/>
        </w:rPr>
        <w:t>jurisdiction .</w:t>
      </w:r>
      <w:proofErr w:type="gramEnd"/>
      <w:r w:rsidRPr="00A16566">
        <w:rPr>
          <w:rFonts w:eastAsia="Calibri"/>
          <w:lang w:val="en"/>
        </w:rPr>
        <w:t> . . .</w:t>
      </w:r>
    </w:p>
    <w:p w14:paraId="04769A9C" w14:textId="77777777" w:rsidR="00A16566" w:rsidRPr="00A16566" w:rsidRDefault="00A16566" w:rsidP="00A16566">
      <w:pPr>
        <w:pStyle w:val="Citation-AltC"/>
        <w:spacing w:after="0"/>
        <w:ind w:left="0"/>
        <w:rPr>
          <w:lang w:val="en-US"/>
        </w:rPr>
      </w:pPr>
    </w:p>
    <w:p w14:paraId="5515F31D" w14:textId="77777777" w:rsidR="00A16566" w:rsidRPr="00342E50" w:rsidRDefault="00A16566" w:rsidP="00A16566">
      <w:pPr>
        <w:pStyle w:val="Quote"/>
        <w:widowControl w:val="0"/>
        <w:jc w:val="center"/>
        <w:rPr>
          <w:rStyle w:val="Strong"/>
          <w:rFonts w:eastAsia="Calibri"/>
          <w:b w:val="0"/>
          <w:bCs w:val="0"/>
          <w:i w:val="0"/>
          <w:color w:val="auto"/>
          <w:lang w:val="en"/>
        </w:rPr>
      </w:pPr>
      <w:r w:rsidRPr="00342E50">
        <w:rPr>
          <w:rStyle w:val="Strong"/>
          <w:rFonts w:eastAsia="Calibri"/>
          <w:b w:val="0"/>
          <w:i w:val="0"/>
          <w:color w:val="auto"/>
          <w:lang w:val="en"/>
        </w:rPr>
        <w:t>Article 32</w:t>
      </w:r>
    </w:p>
    <w:p w14:paraId="461C9253" w14:textId="77777777" w:rsidR="00A16566" w:rsidRPr="00A16566" w:rsidRDefault="00A16566" w:rsidP="00A16566">
      <w:pPr>
        <w:pStyle w:val="Citation-AltC"/>
        <w:spacing w:after="0"/>
        <w:ind w:left="0"/>
        <w:rPr>
          <w:lang w:val="en-US"/>
        </w:rPr>
      </w:pPr>
    </w:p>
    <w:p w14:paraId="51265E7B" w14:textId="77777777" w:rsidR="00A16566" w:rsidRPr="00A16566" w:rsidRDefault="00A16566" w:rsidP="00A16566">
      <w:pPr>
        <w:pStyle w:val="Citation-AltC"/>
        <w:spacing w:after="0"/>
        <w:ind w:left="0" w:firstLine="272"/>
        <w:rPr>
          <w:lang w:val="en-US"/>
        </w:rPr>
      </w:pPr>
      <w:r w:rsidRPr="00A16566">
        <w:rPr>
          <w:rFonts w:eastAsia="Calibri"/>
          <w:lang w:val="en"/>
        </w:rPr>
        <w:t>1. The immunity from jurisdiction of diplomatic agents and of persons enjoying immunity under Article 37 may be waived by the sending State.</w:t>
      </w:r>
    </w:p>
    <w:p w14:paraId="480376D7" w14:textId="77777777" w:rsidR="00A16566" w:rsidRPr="00A16566" w:rsidRDefault="00A16566" w:rsidP="00A16566">
      <w:pPr>
        <w:pStyle w:val="Citation-AltC"/>
        <w:spacing w:after="0"/>
        <w:ind w:left="0"/>
        <w:rPr>
          <w:lang w:val="en-US"/>
        </w:rPr>
      </w:pPr>
    </w:p>
    <w:p w14:paraId="47F2EDFF" w14:textId="77777777" w:rsidR="00A16566" w:rsidRPr="00A16566" w:rsidRDefault="00A16566" w:rsidP="00A16566">
      <w:pPr>
        <w:pStyle w:val="Citation-AltC"/>
        <w:spacing w:after="0"/>
        <w:ind w:left="0" w:firstLine="272"/>
        <w:rPr>
          <w:lang w:val="en-US"/>
        </w:rPr>
      </w:pPr>
      <w:r w:rsidRPr="00A16566">
        <w:rPr>
          <w:rFonts w:eastAsia="Calibri"/>
          <w:lang w:val="en"/>
        </w:rPr>
        <w:t>2. Waiver must always be express.</w:t>
      </w:r>
    </w:p>
    <w:p w14:paraId="4DA12BF3" w14:textId="77777777" w:rsidR="00A16566" w:rsidRPr="00A16566" w:rsidRDefault="00A16566" w:rsidP="00A16566">
      <w:pPr>
        <w:pStyle w:val="Citation-AltC"/>
        <w:spacing w:after="0"/>
        <w:ind w:left="0"/>
        <w:rPr>
          <w:lang w:val="en-US"/>
        </w:rPr>
      </w:pPr>
    </w:p>
    <w:p w14:paraId="3B1FDABA" w14:textId="77777777" w:rsidR="00A16566" w:rsidRPr="00A16566" w:rsidRDefault="00A16566" w:rsidP="00A16566">
      <w:pPr>
        <w:pStyle w:val="Citation-AltC"/>
        <w:spacing w:after="0"/>
        <w:ind w:left="0"/>
        <w:rPr>
          <w:lang w:val="en-US"/>
        </w:rPr>
      </w:pPr>
      <w:r w:rsidRPr="00A16566">
        <w:rPr>
          <w:i/>
        </w:rPr>
        <w:t>Code of Virginia </w:t>
      </w:r>
      <w:r w:rsidRPr="00A16566">
        <w:t>— Title 19.2. Criminal Procedure</w:t>
      </w:r>
    </w:p>
    <w:p w14:paraId="5016D60E" w14:textId="77777777" w:rsidR="00A16566" w:rsidRPr="00A16566" w:rsidRDefault="00A16566" w:rsidP="00A16566">
      <w:pPr>
        <w:pStyle w:val="Citation-AltC"/>
        <w:spacing w:after="0"/>
        <w:ind w:left="0"/>
        <w:rPr>
          <w:lang w:val="en-US"/>
        </w:rPr>
      </w:pPr>
    </w:p>
    <w:p w14:paraId="171EB1AD" w14:textId="77777777" w:rsidR="00A16566" w:rsidRPr="00A16566" w:rsidRDefault="00A16566" w:rsidP="00A16566">
      <w:pPr>
        <w:pStyle w:val="Citation-AltC"/>
        <w:spacing w:after="0"/>
        <w:ind w:left="0"/>
        <w:rPr>
          <w:b/>
          <w:lang w:val="en-US"/>
        </w:rPr>
      </w:pPr>
      <w:r w:rsidRPr="00A16566">
        <w:rPr>
          <w:b/>
        </w:rPr>
        <w:t>§ 19.2-56. To whom search warrant directed; what it shall command; warrant to show date and time of issuance; copy of affidavit to be part of warrant and served therewith; warrants not executed within 15 days.</w:t>
      </w:r>
    </w:p>
    <w:p w14:paraId="0F93047B" w14:textId="77777777" w:rsidR="00A16566" w:rsidRPr="00A16566" w:rsidRDefault="00A16566" w:rsidP="00A16566">
      <w:pPr>
        <w:pStyle w:val="Citation-AltC"/>
        <w:spacing w:after="0"/>
        <w:ind w:left="0"/>
        <w:rPr>
          <w:lang w:val="en-US"/>
        </w:rPr>
      </w:pPr>
    </w:p>
    <w:p w14:paraId="161F92DE" w14:textId="77777777" w:rsidR="00A16566" w:rsidRPr="00A16566" w:rsidRDefault="00A16566" w:rsidP="00A16566">
      <w:pPr>
        <w:widowControl w:val="0"/>
        <w:jc w:val="both"/>
      </w:pPr>
      <w:r w:rsidRPr="00A16566">
        <w:t>A. The judge, magistrate, or other official authorized to issue criminal warrants shall issue a search warrant only if he finds from the facts or circumstances recited in the affidavit that there is probable cause for the issuance thereof.</w:t>
      </w:r>
    </w:p>
    <w:p w14:paraId="5451FA41" w14:textId="77777777" w:rsidR="00A16566" w:rsidRPr="00A16566" w:rsidRDefault="00A16566" w:rsidP="00A16566">
      <w:pPr>
        <w:pStyle w:val="Citation-AltC"/>
        <w:spacing w:after="0"/>
        <w:ind w:left="0"/>
        <w:rPr>
          <w:lang w:val="en-US"/>
        </w:rPr>
      </w:pPr>
    </w:p>
    <w:p w14:paraId="67FA84E0" w14:textId="77777777" w:rsidR="00A16566" w:rsidRPr="00A16566" w:rsidRDefault="00A16566" w:rsidP="00A16566">
      <w:pPr>
        <w:widowControl w:val="0"/>
        <w:jc w:val="both"/>
      </w:pPr>
      <w:r w:rsidRPr="00A16566">
        <w:t>Every search warrant shall be directed (</w:t>
      </w:r>
      <w:proofErr w:type="spellStart"/>
      <w:r w:rsidRPr="00A16566">
        <w:t>i</w:t>
      </w:r>
      <w:proofErr w:type="spellEnd"/>
      <w:r w:rsidRPr="00A16566">
        <w:t>) to the sheriff, sergeant, or any policeman of the county, city, or town in which the place to be searched is located; (ii) to any law</w:t>
      </w:r>
      <w:r w:rsidRPr="00A16566">
        <w:noBreakHyphen/>
        <w:t>enforcement officer or agent employed by the Commonwealth and vested with the powers of sheriffs and police; or (iii) jointly to any such sheriff, sergeant, policeman, or law</w:t>
      </w:r>
      <w:r w:rsidRPr="00A16566">
        <w:noBreakHyphen/>
        <w:t>enforcement officer or agent and an agent, special agent, or officer of the Federal Bureau of Investigation, the Bureau of Alcohol, Tobacco and Firearms of the United States Treasury, the United States Naval Criminal Investigative Service, the United States Department of Homeland Security, any inspector, law</w:t>
      </w:r>
      <w:r w:rsidRPr="00A16566">
        <w:noBreakHyphen/>
        <w:t>enforcement official, or police personnel of the United States Postal Service, or the Drug Enforcement Administration. The warrant shall (a) name the affiant, (b) recite the offense or the identity of the person to be arrested for whom a warrant or process for arrest has been issued in relation to which the search is to be made, (c) name or describe the place to be searched, (d) describe the property or person to be searched for, and (e) recite that the magistrate has found probable cause to believe that the property or person constitutes evidence of a crime (identified in the warrant) or tends to show that a person (named or described therein) has committed or is committing a crime or that the person to be arrested for whom a warrant or process for arrest has been issued is located at the place to be searched.</w:t>
      </w:r>
    </w:p>
    <w:p w14:paraId="10C8697B" w14:textId="77777777" w:rsidR="00A16566" w:rsidRPr="00A16566" w:rsidRDefault="00A16566" w:rsidP="00A16566">
      <w:pPr>
        <w:pStyle w:val="Citation-AltC"/>
        <w:spacing w:after="0"/>
        <w:ind w:left="0"/>
        <w:rPr>
          <w:lang w:val="en-US"/>
        </w:rPr>
      </w:pPr>
    </w:p>
    <w:p w14:paraId="738360EF" w14:textId="77777777" w:rsidR="00A16566" w:rsidRPr="00A16566" w:rsidRDefault="00A16566" w:rsidP="00A16566">
      <w:pPr>
        <w:widowControl w:val="0"/>
        <w:jc w:val="both"/>
      </w:pPr>
      <w:r w:rsidRPr="00A16566">
        <w:t>The warrant shall command that the place be forthwith searched and that the objects or persons described in the warrant, if found there, be seized. An inventory shall be produced before a court having jurisdiction of the offense or over the person to be arrested for whom a warrant or process for arrest has been issued in relation to which the warrant was issued as provided in § 19.2</w:t>
      </w:r>
      <w:r w:rsidRPr="00A16566">
        <w:noBreakHyphen/>
        <w:t>57.</w:t>
      </w:r>
    </w:p>
    <w:p w14:paraId="122A9515" w14:textId="77777777" w:rsidR="00A16566" w:rsidRPr="00A16566" w:rsidRDefault="00A16566" w:rsidP="00A16566">
      <w:pPr>
        <w:pStyle w:val="Citation-AltC"/>
        <w:spacing w:after="0"/>
        <w:ind w:left="0"/>
        <w:rPr>
          <w:lang w:val="en-US"/>
        </w:rPr>
      </w:pPr>
    </w:p>
    <w:p w14:paraId="06A5FB9B" w14:textId="77777777" w:rsidR="00A16566" w:rsidRPr="00A16566" w:rsidRDefault="00A16566" w:rsidP="00A16566">
      <w:pPr>
        <w:widowControl w:val="0"/>
        <w:jc w:val="both"/>
      </w:pPr>
      <w:r w:rsidRPr="00A16566">
        <w:t>Any such warrant as provided in this section shall be executed by the policeman or other law</w:t>
      </w:r>
      <w:r w:rsidRPr="00A16566">
        <w:noBreakHyphen/>
        <w:t>enforcement officer or agent into whose hands it shall come or be delivered. If the warrant is directed jointly to a sheriff, sergeant, policeman, or law</w:t>
      </w:r>
      <w:r w:rsidRPr="00A16566">
        <w:noBreakHyphen/>
        <w:t>enforcement officer or agent of the Commonwealth and a federal agent or officer as otherwise provided in this section, the warrant may be executed jointly or by the policeman, law</w:t>
      </w:r>
      <w:r w:rsidRPr="00A16566">
        <w:noBreakHyphen/>
        <w:t>enforcement officer, or agent into whose hands it is delivered. No other person may be permitted to be present during or participate in the execution of a warrant to search a place except (1) the owners and occupants of the place to be searched when permitted to be present by the officer in charge of the conduct of the search and (2) persons designated by the officer in charge of the conduct of the search to assist or provide expertise in the conduct of the search.</w:t>
      </w:r>
    </w:p>
    <w:p w14:paraId="28B22CE5" w14:textId="77777777" w:rsidR="00A16566" w:rsidRPr="00A16566" w:rsidRDefault="00A16566" w:rsidP="00A16566">
      <w:pPr>
        <w:pStyle w:val="Citation-AltC"/>
        <w:spacing w:after="0"/>
        <w:ind w:left="0"/>
        <w:rPr>
          <w:lang w:val="en-US"/>
        </w:rPr>
      </w:pPr>
    </w:p>
    <w:p w14:paraId="567120E3" w14:textId="77777777" w:rsidR="00A16566" w:rsidRPr="00A16566" w:rsidRDefault="00A16566" w:rsidP="00A16566">
      <w:pPr>
        <w:widowControl w:val="0"/>
        <w:jc w:val="center"/>
      </w:pPr>
      <w:r w:rsidRPr="00A16566">
        <w:t>. . .</w:t>
      </w:r>
    </w:p>
    <w:p w14:paraId="4D077A2F" w14:textId="77777777" w:rsidR="00A16566" w:rsidRPr="00A16566" w:rsidRDefault="00A16566" w:rsidP="00A16566">
      <w:pPr>
        <w:widowControl w:val="0"/>
        <w:jc w:val="both"/>
      </w:pPr>
    </w:p>
    <w:p w14:paraId="32E72F1F" w14:textId="77777777" w:rsidR="00A16566" w:rsidRPr="00A16566" w:rsidRDefault="00A16566" w:rsidP="00A16566">
      <w:pPr>
        <w:widowControl w:val="0"/>
        <w:jc w:val="both"/>
      </w:pPr>
      <w:r w:rsidRPr="00A16566">
        <w:t>B. . . .</w:t>
      </w:r>
    </w:p>
    <w:p w14:paraId="6A078E21" w14:textId="77777777" w:rsidR="00A16566" w:rsidRPr="00A16566" w:rsidRDefault="00A16566" w:rsidP="00A16566">
      <w:pPr>
        <w:pStyle w:val="Citation-AltC"/>
        <w:spacing w:after="0"/>
        <w:ind w:left="0"/>
        <w:rPr>
          <w:lang w:val="en-US"/>
        </w:rPr>
      </w:pPr>
    </w:p>
    <w:p w14:paraId="3EE467F9" w14:textId="77777777" w:rsidR="00A16566" w:rsidRPr="00A16566" w:rsidRDefault="00A16566" w:rsidP="00A16566">
      <w:pPr>
        <w:widowControl w:val="0"/>
        <w:jc w:val="both"/>
      </w:pPr>
      <w:r w:rsidRPr="00A16566">
        <w:t>Search warrants authorized under this section for the search of any place of abode shall be executed by initial entry of the abode only in the daytime hours between 8:00 a.m. and 5:00 p.m. unless (</w:t>
      </w:r>
      <w:proofErr w:type="spellStart"/>
      <w:r w:rsidRPr="00A16566">
        <w:t>i</w:t>
      </w:r>
      <w:proofErr w:type="spellEnd"/>
      <w:r w:rsidRPr="00A16566">
        <w:t>) a judge or a magistrate, if a judge is not available, authorizes the execution of such search warrant at another time for good cause shown by particularized facts in an affidavit or (ii) prior to the issuance of the search warrant, law</w:t>
      </w:r>
      <w:r w:rsidRPr="00A16566">
        <w:noBreakHyphen/>
        <w:t>enforcement officers lawfully entered and secured the place to be searched and remained at such place continuously.</w:t>
      </w:r>
    </w:p>
    <w:p w14:paraId="2FE18B40" w14:textId="77777777" w:rsidR="00A16566" w:rsidRPr="00A16566" w:rsidRDefault="00A16566" w:rsidP="00A84C5D">
      <w:pPr>
        <w:pStyle w:val="SCCNormalDoubleSpacing"/>
        <w:spacing w:after="480"/>
        <w:rPr>
          <w:rStyle w:val="SCCCounselPartyRoleChar"/>
        </w:rPr>
      </w:pPr>
    </w:p>
    <w:p w14:paraId="08CEAB39" w14:textId="29067B10" w:rsidR="009B57B3" w:rsidRPr="00A16566" w:rsidRDefault="009B57B3" w:rsidP="00A84C5D">
      <w:pPr>
        <w:pStyle w:val="SCCNormalDoubleSpacing"/>
        <w:spacing w:after="480"/>
      </w:pPr>
      <w:r w:rsidRPr="00A16566">
        <w:tab/>
      </w:r>
      <w:r w:rsidR="00656313" w:rsidRPr="00A16566">
        <w:rPr>
          <w:i/>
        </w:rPr>
        <w:t>Appeal</w:t>
      </w:r>
      <w:r w:rsidR="00C92B36" w:rsidRPr="00A16566">
        <w:t xml:space="preserve"> </w:t>
      </w:r>
      <w:r w:rsidR="00C92B36" w:rsidRPr="00A16566">
        <w:rPr>
          <w:i/>
        </w:rPr>
        <w:t>dismissed</w:t>
      </w:r>
      <w:r w:rsidR="00B735A7" w:rsidRPr="00A16566">
        <w:t>.</w:t>
      </w:r>
    </w:p>
    <w:p w14:paraId="2BCAAE06" w14:textId="77777777" w:rsidR="00376F9F" w:rsidRPr="00A16566" w:rsidRDefault="000907CC" w:rsidP="00A84C5D">
      <w:pPr>
        <w:pStyle w:val="SCCLawFirm"/>
        <w:spacing w:after="480"/>
      </w:pPr>
      <w:r w:rsidRPr="00A16566">
        <w:tab/>
        <w:t>Solicitor</w:t>
      </w:r>
      <w:r w:rsidR="003D10FA" w:rsidRPr="00A16566">
        <w:t xml:space="preserve"> for the appellant: Defence Counsel Services, Ottawa.</w:t>
      </w:r>
    </w:p>
    <w:p w14:paraId="4F617848" w14:textId="77777777" w:rsidR="00376F9F" w:rsidRPr="00A16566" w:rsidRDefault="003D10FA" w:rsidP="00A84C5D">
      <w:pPr>
        <w:pStyle w:val="SCCLawFirm"/>
        <w:spacing w:after="480"/>
      </w:pPr>
      <w:r w:rsidRPr="00A16566">
        <w:tab/>
        <w:t>Solicitor for the respondent: Canadian Military Prosecution Service, Ottawa.</w:t>
      </w:r>
    </w:p>
    <w:p w14:paraId="47C9A3E9" w14:textId="77777777" w:rsidR="000907CC" w:rsidRPr="00A16566" w:rsidRDefault="000907CC" w:rsidP="00A84C5D">
      <w:pPr>
        <w:pStyle w:val="SCCLawFirm"/>
        <w:spacing w:after="480"/>
      </w:pPr>
      <w:r w:rsidRPr="00A16566">
        <w:tab/>
        <w:t xml:space="preserve">Solicitor for the intervener the Attorney General of Ontario: </w:t>
      </w:r>
      <w:r w:rsidR="005441DC" w:rsidRPr="00A16566">
        <w:t>Ministry of the Attorney General, Crown Law Office — Criminal</w:t>
      </w:r>
      <w:r w:rsidRPr="00A16566">
        <w:t>, Toronto.</w:t>
      </w:r>
    </w:p>
    <w:p w14:paraId="69819DFE" w14:textId="77777777" w:rsidR="00376F9F" w:rsidRPr="00A16566" w:rsidRDefault="000907CC" w:rsidP="00A84C5D">
      <w:pPr>
        <w:pStyle w:val="SCCLawFirm"/>
        <w:spacing w:after="480"/>
      </w:pPr>
      <w:r w:rsidRPr="00A16566">
        <w:tab/>
        <w:t>Solicitors</w:t>
      </w:r>
      <w:r w:rsidR="003D10FA" w:rsidRPr="00A16566">
        <w:t xml:space="preserve"> for the intervener </w:t>
      </w:r>
      <w:r w:rsidRPr="00A16566">
        <w:t xml:space="preserve">the </w:t>
      </w:r>
      <w:r w:rsidR="003D10FA" w:rsidRPr="00A16566">
        <w:t xml:space="preserve">Canadian Constitution Foundation: McCarthy </w:t>
      </w:r>
      <w:proofErr w:type="spellStart"/>
      <w:r w:rsidR="003D10FA" w:rsidRPr="00A16566">
        <w:t>Tétrault</w:t>
      </w:r>
      <w:proofErr w:type="spellEnd"/>
      <w:r w:rsidR="003D10FA" w:rsidRPr="00A16566">
        <w:t>, Toronto.</w:t>
      </w:r>
    </w:p>
    <w:p w14:paraId="3AEFF80C" w14:textId="77777777" w:rsidR="00376F9F" w:rsidRPr="00A16566" w:rsidRDefault="003D10FA" w:rsidP="00A84C5D">
      <w:pPr>
        <w:pStyle w:val="SCCLawFirm"/>
        <w:spacing w:after="480"/>
      </w:pPr>
      <w:r w:rsidRPr="00A16566">
        <w:tab/>
        <w:t>Solic</w:t>
      </w:r>
      <w:r w:rsidR="000907CC" w:rsidRPr="00A16566">
        <w:t>itor</w:t>
      </w:r>
      <w:r w:rsidRPr="00A16566">
        <w:t xml:space="preserve">s for the intervener </w:t>
      </w:r>
      <w:r w:rsidR="000907CC" w:rsidRPr="00A16566">
        <w:t xml:space="preserve">the </w:t>
      </w:r>
      <w:r w:rsidRPr="00A16566">
        <w:t xml:space="preserve">British Columbia Civil </w:t>
      </w:r>
      <w:r w:rsidR="00B26908" w:rsidRPr="00A16566">
        <w:t xml:space="preserve">Liberties Association: </w:t>
      </w:r>
      <w:proofErr w:type="spellStart"/>
      <w:r w:rsidR="00B26908" w:rsidRPr="00A16566">
        <w:t>Olthuis</w:t>
      </w:r>
      <w:proofErr w:type="spellEnd"/>
      <w:r w:rsidR="00B26908" w:rsidRPr="00A16566">
        <w:t xml:space="preserve"> v</w:t>
      </w:r>
      <w:r w:rsidRPr="00A16566">
        <w:t xml:space="preserve">an </w:t>
      </w:r>
      <w:proofErr w:type="spellStart"/>
      <w:r w:rsidRPr="00A16566">
        <w:t>Ert</w:t>
      </w:r>
      <w:proofErr w:type="spellEnd"/>
      <w:r w:rsidRPr="00A16566">
        <w:t>, Ottawa.</w:t>
      </w:r>
    </w:p>
    <w:p w14:paraId="11B81CCB" w14:textId="77777777" w:rsidR="00376F9F" w:rsidRPr="00A16566" w:rsidRDefault="000907CC" w:rsidP="00A84C5D">
      <w:pPr>
        <w:pStyle w:val="SCCLawFirm"/>
        <w:spacing w:after="480"/>
      </w:pPr>
      <w:r w:rsidRPr="00A16566">
        <w:tab/>
        <w:t>Solicitor</w:t>
      </w:r>
      <w:r w:rsidR="003D10FA" w:rsidRPr="00A16566">
        <w:t xml:space="preserve">s for the intervener </w:t>
      </w:r>
      <w:r w:rsidRPr="00A16566">
        <w:t xml:space="preserve">the </w:t>
      </w:r>
      <w:r w:rsidR="003D10FA" w:rsidRPr="00A16566">
        <w:t>Canadian Civil Liberties Association: Friedman Mansour, Ottawa.</w:t>
      </w:r>
    </w:p>
    <w:p w14:paraId="1AE9D780" w14:textId="77777777" w:rsidR="00376F9F" w:rsidRDefault="000907CC" w:rsidP="00A84C5D">
      <w:pPr>
        <w:pStyle w:val="SCCLawFirm"/>
        <w:spacing w:after="480"/>
      </w:pPr>
      <w:r w:rsidRPr="00A16566">
        <w:tab/>
        <w:t>Solicitor</w:t>
      </w:r>
      <w:r w:rsidR="003D10FA" w:rsidRPr="00A16566">
        <w:t xml:space="preserve">s for the intervener </w:t>
      </w:r>
      <w:r w:rsidRPr="00A16566">
        <w:t xml:space="preserve">the </w:t>
      </w:r>
      <w:r w:rsidR="003D10FA" w:rsidRPr="00A16566">
        <w:t xml:space="preserve">David Asper Centre for Constitutional Rights: </w:t>
      </w:r>
      <w:proofErr w:type="spellStart"/>
      <w:r w:rsidR="003D10FA" w:rsidRPr="00A16566">
        <w:t>Stockwoods</w:t>
      </w:r>
      <w:proofErr w:type="spellEnd"/>
      <w:r w:rsidR="003D10FA" w:rsidRPr="00A16566">
        <w:t>, Toronto.</w:t>
      </w:r>
    </w:p>
    <w:sectPr w:rsidR="00376F9F" w:rsidSect="00A84C5D">
      <w:headerReference w:type="even" r:id="rId15"/>
      <w:headerReference w:type="default" r:id="rId16"/>
      <w:footerReference w:type="even" r:id="rId17"/>
      <w:footerReference w:type="default" r:id="rId18"/>
      <w:headerReference w:type="first" r:id="rId19"/>
      <w:footerReference w:type="first" r:id="rId20"/>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65A8B" w14:textId="77777777" w:rsidR="00045352" w:rsidRDefault="00045352">
      <w:r>
        <w:separator/>
      </w:r>
    </w:p>
  </w:endnote>
  <w:endnote w:type="continuationSeparator" w:id="0">
    <w:p w14:paraId="0F8370EA" w14:textId="77777777" w:rsidR="00045352" w:rsidRDefault="0004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25366" w14:textId="77777777" w:rsidR="00045352" w:rsidRDefault="00045352">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12B50" w14:textId="77777777" w:rsidR="00045352" w:rsidRDefault="000453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D7683" w14:textId="77777777" w:rsidR="00045352" w:rsidRDefault="00045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43940" w14:textId="77777777" w:rsidR="00045352" w:rsidRDefault="00045352">
      <w:r>
        <w:separator/>
      </w:r>
    </w:p>
  </w:footnote>
  <w:footnote w:type="continuationSeparator" w:id="0">
    <w:p w14:paraId="5CB8B6D0" w14:textId="77777777" w:rsidR="00045352" w:rsidRDefault="00045352">
      <w:r>
        <w:continuationSeparator/>
      </w:r>
    </w:p>
  </w:footnote>
  <w:footnote w:id="1">
    <w:p w14:paraId="1014AF1E" w14:textId="16248723" w:rsidR="00045352" w:rsidRPr="00A64AC7" w:rsidRDefault="00045352">
      <w:pPr>
        <w:pStyle w:val="FootnoteText"/>
        <w:rPr>
          <w:lang w:val="en-US"/>
        </w:rPr>
      </w:pPr>
      <w:r w:rsidRPr="00A64AC7">
        <w:rPr>
          <w:rStyle w:val="FootnoteReference"/>
        </w:rPr>
        <w:sym w:font="Symbol" w:char="F02A"/>
      </w:r>
      <w:r>
        <w:t>  Brown </w:t>
      </w:r>
      <w:r w:rsidRPr="00AE5006">
        <w:t>J. did not participate in the final disposition of the judgment.</w:t>
      </w:r>
    </w:p>
  </w:footnote>
  <w:footnote w:id="2">
    <w:p w14:paraId="4718CB5C" w14:textId="77777777" w:rsidR="00045352" w:rsidRPr="000D634E" w:rsidRDefault="00045352" w:rsidP="00FC38F5">
      <w:pPr>
        <w:pStyle w:val="FootnoteText"/>
        <w:jc w:val="both"/>
      </w:pPr>
      <w:r>
        <w:rPr>
          <w:rStyle w:val="FootnoteReference"/>
        </w:rPr>
        <w:footnoteRef/>
      </w:r>
      <w:r>
        <w:t>  The child pornography charges, however, were ultimately dropped.</w:t>
      </w:r>
    </w:p>
  </w:footnote>
  <w:footnote w:id="3">
    <w:p w14:paraId="1D3E755F" w14:textId="77777777" w:rsidR="00045352" w:rsidRPr="00876CC4" w:rsidRDefault="00045352" w:rsidP="00FC38F5">
      <w:pPr>
        <w:pStyle w:val="FootnoteText"/>
        <w:ind w:left="180" w:hanging="180"/>
        <w:jc w:val="both"/>
        <w:rPr>
          <w:lang w:val="en-US"/>
        </w:rPr>
      </w:pPr>
      <w:r>
        <w:rPr>
          <w:rStyle w:val="FootnoteReference"/>
        </w:rPr>
        <w:footnoteRef/>
      </w:r>
      <w:r>
        <w:t xml:space="preserve">  See, e.g., </w:t>
      </w:r>
      <w:r w:rsidRPr="00C46F02">
        <w:t xml:space="preserve">J. H. Currie, “Weaving a Tangled Web: </w:t>
      </w:r>
      <w:proofErr w:type="spellStart"/>
      <w:r w:rsidRPr="009C0719">
        <w:rPr>
          <w:i/>
        </w:rPr>
        <w:t>Hape</w:t>
      </w:r>
      <w:proofErr w:type="spellEnd"/>
      <w:r w:rsidRPr="00C46F02">
        <w:t xml:space="preserve"> and the Obfusca</w:t>
      </w:r>
      <w:r>
        <w:t>tion of Canadian Reception Law”</w:t>
      </w:r>
      <w:r w:rsidRPr="00C46F02">
        <w:t xml:space="preserve"> (2007)</w:t>
      </w:r>
      <w:r>
        <w:t>,</w:t>
      </w:r>
      <w:r w:rsidRPr="00C46F02">
        <w:t xml:space="preserve"> 45 </w:t>
      </w:r>
      <w:r w:rsidRPr="00C46F02">
        <w:rPr>
          <w:i/>
        </w:rPr>
        <w:t xml:space="preserve">Can. </w:t>
      </w:r>
      <w:proofErr w:type="spellStart"/>
      <w:r w:rsidRPr="00C46F02">
        <w:rPr>
          <w:i/>
        </w:rPr>
        <w:t>Y.B</w:t>
      </w:r>
      <w:proofErr w:type="spellEnd"/>
      <w:r w:rsidRPr="00C46F02">
        <w:rPr>
          <w:i/>
        </w:rPr>
        <w:t>. Int’l L.</w:t>
      </w:r>
      <w:r w:rsidRPr="00C46F02">
        <w:t xml:space="preserve"> 55; K. Roach, “</w:t>
      </w:r>
      <w:r w:rsidRPr="009C0719">
        <w:rPr>
          <w:i/>
        </w:rPr>
        <w:t xml:space="preserve">R. v. </w:t>
      </w:r>
      <w:proofErr w:type="spellStart"/>
      <w:r w:rsidRPr="009C0719">
        <w:rPr>
          <w:i/>
        </w:rPr>
        <w:t>Hape</w:t>
      </w:r>
      <w:proofErr w:type="spellEnd"/>
      <w:r>
        <w:t xml:space="preserve"> Creates Charter</w:t>
      </w:r>
      <w:r>
        <w:noBreakHyphen/>
      </w:r>
      <w:r w:rsidRPr="00C46F02">
        <w:t>Free Zones for Canadian Officials Abroad” (2007)</w:t>
      </w:r>
      <w:r>
        <w:t>,</w:t>
      </w:r>
      <w:r w:rsidRPr="00C46F02">
        <w:t xml:space="preserve"> 53 </w:t>
      </w:r>
      <w:r w:rsidRPr="00C46F02">
        <w:rPr>
          <w:i/>
        </w:rPr>
        <w:t>Crim</w:t>
      </w:r>
      <w:r>
        <w:rPr>
          <w:i/>
        </w:rPr>
        <w:t>.</w:t>
      </w:r>
      <w:r w:rsidRPr="00C46F02">
        <w:rPr>
          <w:i/>
        </w:rPr>
        <w:t xml:space="preserve"> </w:t>
      </w:r>
      <w:proofErr w:type="spellStart"/>
      <w:r w:rsidRPr="00C46F02">
        <w:rPr>
          <w:i/>
        </w:rPr>
        <w:t>L.Q</w:t>
      </w:r>
      <w:proofErr w:type="spellEnd"/>
      <w:r w:rsidRPr="00C46F02">
        <w:rPr>
          <w:i/>
        </w:rPr>
        <w:t>.</w:t>
      </w:r>
      <w:r w:rsidRPr="00C46F02">
        <w:t xml:space="preserve"> 1; A. </w:t>
      </w:r>
      <w:proofErr w:type="spellStart"/>
      <w:r w:rsidRPr="00C46F02">
        <w:t>Attaran</w:t>
      </w:r>
      <w:proofErr w:type="spellEnd"/>
      <w:r w:rsidRPr="00C46F02">
        <w:t xml:space="preserve">, “Have Charter, Will Travel? </w:t>
      </w:r>
      <w:proofErr w:type="spellStart"/>
      <w:r w:rsidRPr="00F5596A">
        <w:rPr>
          <w:lang w:val="fr-CA"/>
        </w:rPr>
        <w:t>Extraterritoriality</w:t>
      </w:r>
      <w:proofErr w:type="spellEnd"/>
      <w:r w:rsidRPr="00F5596A">
        <w:rPr>
          <w:lang w:val="fr-CA"/>
        </w:rPr>
        <w:t xml:space="preserve"> in </w:t>
      </w:r>
      <w:proofErr w:type="spellStart"/>
      <w:r w:rsidRPr="00F5596A">
        <w:rPr>
          <w:lang w:val="fr-CA"/>
        </w:rPr>
        <w:t>Constitutional</w:t>
      </w:r>
      <w:proofErr w:type="spellEnd"/>
      <w:r w:rsidRPr="00F5596A">
        <w:rPr>
          <w:lang w:val="fr-CA"/>
        </w:rPr>
        <w:t xml:space="preserve"> Law and Canadian </w:t>
      </w:r>
      <w:proofErr w:type="spellStart"/>
      <w:r w:rsidRPr="00F5596A">
        <w:rPr>
          <w:lang w:val="fr-CA"/>
        </w:rPr>
        <w:t>Exceptionalism</w:t>
      </w:r>
      <w:proofErr w:type="spellEnd"/>
      <w:r w:rsidRPr="00F5596A">
        <w:rPr>
          <w:lang w:val="fr-CA"/>
        </w:rPr>
        <w:t xml:space="preserve">” (2008), 87 </w:t>
      </w:r>
      <w:r w:rsidRPr="00F5596A">
        <w:rPr>
          <w:i/>
          <w:lang w:val="fr-CA"/>
        </w:rPr>
        <w:t xml:space="preserve">Can. </w:t>
      </w:r>
      <w:r w:rsidRPr="00E650CE">
        <w:rPr>
          <w:i/>
          <w:lang w:val="fr-CA"/>
        </w:rPr>
        <w:t xml:space="preserve">Bar </w:t>
      </w:r>
      <w:proofErr w:type="spellStart"/>
      <w:r w:rsidRPr="00E650CE">
        <w:rPr>
          <w:i/>
          <w:lang w:val="fr-CA"/>
        </w:rPr>
        <w:t>Rev</w:t>
      </w:r>
      <w:proofErr w:type="spellEnd"/>
      <w:r w:rsidRPr="00E650CE">
        <w:rPr>
          <w:i/>
          <w:lang w:val="fr-CA"/>
        </w:rPr>
        <w:t>.</w:t>
      </w:r>
      <w:r w:rsidRPr="00E650CE">
        <w:rPr>
          <w:lang w:val="fr-CA"/>
        </w:rPr>
        <w:t xml:space="preserve"> 515; O. Delas and M. Robichaud, “Les difficultés liées à la prise en compte du droit international des droits de la personne en droit canadien: préoccupations légitimes ou alibis?” </w:t>
      </w:r>
      <w:r w:rsidRPr="00E650CE">
        <w:rPr>
          <w:lang w:val="en-US"/>
        </w:rPr>
        <w:t xml:space="preserve">(2008), </w:t>
      </w:r>
      <w:r w:rsidRPr="003F0298">
        <w:rPr>
          <w:lang w:val="en-US"/>
        </w:rPr>
        <w:t xml:space="preserve">21 </w:t>
      </w:r>
      <w:proofErr w:type="spellStart"/>
      <w:r w:rsidRPr="00E650CE">
        <w:rPr>
          <w:i/>
          <w:lang w:val="en-US"/>
        </w:rPr>
        <w:t>R.Q.D.I</w:t>
      </w:r>
      <w:proofErr w:type="spellEnd"/>
      <w:r w:rsidRPr="00E650CE">
        <w:rPr>
          <w:i/>
          <w:lang w:val="en-US"/>
        </w:rPr>
        <w:t>.</w:t>
      </w:r>
      <w:r>
        <w:rPr>
          <w:i/>
          <w:lang w:val="en-US"/>
        </w:rPr>
        <w:t xml:space="preserve"> </w:t>
      </w:r>
      <w:r>
        <w:rPr>
          <w:lang w:val="en-US"/>
        </w:rPr>
        <w:t>1</w:t>
      </w:r>
      <w:r w:rsidRPr="003F0298">
        <w:rPr>
          <w:lang w:val="en-US"/>
        </w:rPr>
        <w:t xml:space="preserve">; </w:t>
      </w:r>
      <w:r>
        <w:t>P.</w:t>
      </w:r>
      <w:r>
        <w:noBreakHyphen/>
      </w:r>
      <w:r w:rsidRPr="00C46F02">
        <w:t>H. </w:t>
      </w:r>
      <w:proofErr w:type="spellStart"/>
      <w:r w:rsidRPr="00C46F02">
        <w:t>Verdier</w:t>
      </w:r>
      <w:proofErr w:type="spellEnd"/>
      <w:r w:rsidRPr="00C46F02">
        <w:t xml:space="preserve">, </w:t>
      </w:r>
      <w:r>
        <w:t xml:space="preserve">“International Decisions: </w:t>
      </w:r>
      <w:r w:rsidRPr="00E650CE">
        <w:rPr>
          <w:i/>
        </w:rPr>
        <w:t xml:space="preserve">R. v. </w:t>
      </w:r>
      <w:proofErr w:type="spellStart"/>
      <w:r w:rsidRPr="00E650CE">
        <w:rPr>
          <w:i/>
        </w:rPr>
        <w:t>Hape</w:t>
      </w:r>
      <w:proofErr w:type="spellEnd"/>
      <w:r>
        <w:t>”</w:t>
      </w:r>
      <w:r w:rsidRPr="00C46F02">
        <w:t xml:space="preserve"> (2008)</w:t>
      </w:r>
      <w:r>
        <w:t>,</w:t>
      </w:r>
      <w:r w:rsidRPr="00C46F02">
        <w:t xml:space="preserve"> 102 </w:t>
      </w:r>
      <w:r w:rsidRPr="00C46F02">
        <w:rPr>
          <w:i/>
        </w:rPr>
        <w:t>A</w:t>
      </w:r>
      <w:r>
        <w:rPr>
          <w:i/>
        </w:rPr>
        <w:t>m</w:t>
      </w:r>
      <w:r w:rsidRPr="00C46F02">
        <w:rPr>
          <w:i/>
        </w:rPr>
        <w:t>.</w:t>
      </w:r>
      <w:r>
        <w:rPr>
          <w:i/>
        </w:rPr>
        <w:t xml:space="preserve"> </w:t>
      </w:r>
      <w:r w:rsidRPr="00C46F02">
        <w:rPr>
          <w:i/>
        </w:rPr>
        <w:t>J.</w:t>
      </w:r>
      <w:r>
        <w:rPr>
          <w:i/>
        </w:rPr>
        <w:t xml:space="preserve"> </w:t>
      </w:r>
      <w:r w:rsidRPr="00C46F02">
        <w:rPr>
          <w:i/>
        </w:rPr>
        <w:t>I</w:t>
      </w:r>
      <w:r>
        <w:rPr>
          <w:i/>
        </w:rPr>
        <w:t xml:space="preserve">nt’l </w:t>
      </w:r>
      <w:r w:rsidRPr="00C46F02">
        <w:rPr>
          <w:i/>
        </w:rPr>
        <w:t>L.</w:t>
      </w:r>
      <w:r w:rsidRPr="00C46F02">
        <w:t xml:space="preserve"> 143; J. H. Currie, “</w:t>
      </w:r>
      <w:r w:rsidRPr="00C13AC8">
        <w:rPr>
          <w:i/>
        </w:rPr>
        <w:t>Khadr</w:t>
      </w:r>
      <w:r w:rsidRPr="00C46F02">
        <w:t xml:space="preserve">’s Twist on </w:t>
      </w:r>
      <w:proofErr w:type="spellStart"/>
      <w:r w:rsidRPr="001129D4">
        <w:rPr>
          <w:i/>
        </w:rPr>
        <w:t>Hape</w:t>
      </w:r>
      <w:proofErr w:type="spellEnd"/>
      <w:r w:rsidRPr="00C46F02">
        <w:t xml:space="preserve">: Tortured Determinations of the Extraterritorial Reach of the Canadian </w:t>
      </w:r>
      <w:r w:rsidRPr="00502805">
        <w:rPr>
          <w:i/>
        </w:rPr>
        <w:t>Charter</w:t>
      </w:r>
      <w:r w:rsidRPr="00C46F02">
        <w:t>” (2008)</w:t>
      </w:r>
      <w:r>
        <w:t>,</w:t>
      </w:r>
      <w:r w:rsidRPr="00C46F02">
        <w:t xml:space="preserve"> 46 </w:t>
      </w:r>
      <w:r w:rsidRPr="00C46F02">
        <w:rPr>
          <w:i/>
        </w:rPr>
        <w:t xml:space="preserve">Can. </w:t>
      </w:r>
      <w:proofErr w:type="spellStart"/>
      <w:r w:rsidRPr="00C46F02">
        <w:rPr>
          <w:i/>
        </w:rPr>
        <w:t>Y.B</w:t>
      </w:r>
      <w:proofErr w:type="spellEnd"/>
      <w:r w:rsidRPr="00C46F02">
        <w:rPr>
          <w:i/>
        </w:rPr>
        <w:t>. Int’l L.</w:t>
      </w:r>
      <w:r w:rsidRPr="00C46F02">
        <w:t xml:space="preserve"> 307; M.</w:t>
      </w:r>
      <w:r>
        <w:t> L. Banda, “On the Water’</w:t>
      </w:r>
      <w:r w:rsidRPr="00C46F02">
        <w:t>s Edge</w:t>
      </w:r>
      <w:r>
        <w:t>?</w:t>
      </w:r>
      <w:r w:rsidRPr="00C46F02">
        <w:t xml:space="preserve"> A Comparative Study of the Influence of International Law and the Extraterritorial Reach of Domestic Laws in the War on Terror Jurisprudence” (2010)</w:t>
      </w:r>
      <w:r>
        <w:t>,</w:t>
      </w:r>
      <w:r w:rsidRPr="00C46F02">
        <w:t xml:space="preserve"> 41 </w:t>
      </w:r>
      <w:r w:rsidRPr="00C46F02">
        <w:rPr>
          <w:i/>
        </w:rPr>
        <w:t>Geo. J. Int’l L.</w:t>
      </w:r>
      <w:r>
        <w:t xml:space="preserve"> 525; C. </w:t>
      </w:r>
      <w:proofErr w:type="spellStart"/>
      <w:r w:rsidRPr="00C46F02">
        <w:t>Sethi</w:t>
      </w:r>
      <w:proofErr w:type="spellEnd"/>
      <w:r w:rsidRPr="00C46F02">
        <w:t>, “Does the Charter Follow the Flag? Revisiting Cons</w:t>
      </w:r>
      <w:r>
        <w:t>titutional Extraterritoriality a</w:t>
      </w:r>
      <w:r w:rsidRPr="00C46F02">
        <w:t xml:space="preserve">fter </w:t>
      </w:r>
      <w:r w:rsidRPr="00502805">
        <w:rPr>
          <w:i/>
        </w:rPr>
        <w:t xml:space="preserve">R v </w:t>
      </w:r>
      <w:proofErr w:type="spellStart"/>
      <w:r w:rsidRPr="00502805">
        <w:rPr>
          <w:i/>
        </w:rPr>
        <w:t>Hape</w:t>
      </w:r>
      <w:proofErr w:type="spellEnd"/>
      <w:r w:rsidRPr="00C46F02">
        <w:t>” (2011)</w:t>
      </w:r>
      <w:r>
        <w:t>,</w:t>
      </w:r>
      <w:r w:rsidRPr="00C46F02">
        <w:t xml:space="preserve"> 20 </w:t>
      </w:r>
      <w:r w:rsidRPr="00C46F02">
        <w:rPr>
          <w:i/>
        </w:rPr>
        <w:t>Dal. J. Leg. Stud.</w:t>
      </w:r>
      <w:r w:rsidRPr="00C46F02">
        <w:t xml:space="preserve"> 102; C.</w:t>
      </w:r>
      <w:r>
        <w:t> </w:t>
      </w:r>
      <w:r w:rsidRPr="00C46F02">
        <w:t>I.</w:t>
      </w:r>
      <w:r>
        <w:t> </w:t>
      </w:r>
      <w:proofErr w:type="spellStart"/>
      <w:r w:rsidRPr="00C46F02">
        <w:t>K</w:t>
      </w:r>
      <w:r>
        <w:t>eitner</w:t>
      </w:r>
      <w:proofErr w:type="spellEnd"/>
      <w:r>
        <w:t>, “Rights Beyond Borders”</w:t>
      </w:r>
      <w:r w:rsidRPr="00C46F02">
        <w:t xml:space="preserve"> (2011)</w:t>
      </w:r>
      <w:r>
        <w:t>,</w:t>
      </w:r>
      <w:r w:rsidRPr="00C46F02">
        <w:t xml:space="preserve"> 36 </w:t>
      </w:r>
      <w:r w:rsidRPr="00C46F02">
        <w:rPr>
          <w:i/>
        </w:rPr>
        <w:t>Yale J. Int’l L.</w:t>
      </w:r>
      <w:r>
        <w:t xml:space="preserve"> 55, at pp. 86</w:t>
      </w:r>
      <w:r>
        <w:noBreakHyphen/>
        <w:t>87; M. </w:t>
      </w:r>
      <w:proofErr w:type="spellStart"/>
      <w:r w:rsidRPr="00C46F02">
        <w:t>Milanovic</w:t>
      </w:r>
      <w:proofErr w:type="spellEnd"/>
      <w:r w:rsidRPr="00C46F02">
        <w:t xml:space="preserve">, </w:t>
      </w:r>
      <w:r w:rsidRPr="00C46F02">
        <w:rPr>
          <w:i/>
        </w:rPr>
        <w:t>Extraterritorial Application of Human Rights Treaties</w:t>
      </w:r>
      <w:r>
        <w:rPr>
          <w:i/>
        </w:rPr>
        <w:t>: Law, Principles, and Policy</w:t>
      </w:r>
      <w:r w:rsidRPr="00C46F02">
        <w:t xml:space="preserve"> (2011), at pp. 62</w:t>
      </w:r>
      <w:r>
        <w:noBreakHyphen/>
        <w:t>65; D. Ireland</w:t>
      </w:r>
      <w:r>
        <w:noBreakHyphen/>
        <w:t>Piper, “</w:t>
      </w:r>
      <w:r w:rsidRPr="00C46F02">
        <w:t xml:space="preserve">Extraterritorial Criminal Jurisdiction: Does the Long Arm of the Law Undermine the Rule of Law?” </w:t>
      </w:r>
      <w:r w:rsidRPr="001129D4">
        <w:t xml:space="preserve">(2012), 13 </w:t>
      </w:r>
      <w:proofErr w:type="spellStart"/>
      <w:r w:rsidRPr="001129D4">
        <w:rPr>
          <w:i/>
        </w:rPr>
        <w:t>Melb</w:t>
      </w:r>
      <w:proofErr w:type="spellEnd"/>
      <w:r w:rsidRPr="001129D4">
        <w:rPr>
          <w:i/>
        </w:rPr>
        <w:t xml:space="preserve">. J. Int’l L. </w:t>
      </w:r>
      <w:r w:rsidRPr="001129D4">
        <w:t>122, at pp. 141</w:t>
      </w:r>
      <w:r w:rsidRPr="001129D4">
        <w:noBreakHyphen/>
        <w:t>43; N. </w:t>
      </w:r>
      <w:proofErr w:type="spellStart"/>
      <w:r w:rsidRPr="001129D4">
        <w:t>Karazivan</w:t>
      </w:r>
      <w:proofErr w:type="spellEnd"/>
      <w:r w:rsidRPr="001129D4">
        <w:t>, “</w:t>
      </w:r>
      <w:proofErr w:type="spellStart"/>
      <w:r w:rsidRPr="001129D4">
        <w:t>L’application</w:t>
      </w:r>
      <w:proofErr w:type="spellEnd"/>
      <w:r w:rsidRPr="001129D4">
        <w:t xml:space="preserve"> de la </w:t>
      </w:r>
      <w:proofErr w:type="spellStart"/>
      <w:r w:rsidRPr="001129D4">
        <w:rPr>
          <w:i/>
        </w:rPr>
        <w:t>Charte</w:t>
      </w:r>
      <w:proofErr w:type="spellEnd"/>
      <w:r w:rsidRPr="001129D4">
        <w:rPr>
          <w:i/>
        </w:rPr>
        <w:t xml:space="preserve"> </w:t>
      </w:r>
      <w:proofErr w:type="spellStart"/>
      <w:r w:rsidRPr="001129D4">
        <w:rPr>
          <w:i/>
        </w:rPr>
        <w:t>canadienne</w:t>
      </w:r>
      <w:proofErr w:type="spellEnd"/>
      <w:r w:rsidRPr="001129D4">
        <w:rPr>
          <w:i/>
        </w:rPr>
        <w:t xml:space="preserve"> des droits </w:t>
      </w:r>
      <w:proofErr w:type="gramStart"/>
      <w:r w:rsidRPr="001129D4">
        <w:rPr>
          <w:i/>
        </w:rPr>
        <w:t>et</w:t>
      </w:r>
      <w:proofErr w:type="gramEnd"/>
      <w:r w:rsidRPr="001129D4">
        <w:rPr>
          <w:i/>
        </w:rPr>
        <w:t xml:space="preserve"> </w:t>
      </w:r>
      <w:proofErr w:type="spellStart"/>
      <w:r w:rsidRPr="001129D4">
        <w:rPr>
          <w:i/>
        </w:rPr>
        <w:t>libertés</w:t>
      </w:r>
      <w:proofErr w:type="spellEnd"/>
      <w:r w:rsidRPr="001129D4">
        <w:t xml:space="preserve"> par les </w:t>
      </w:r>
      <w:proofErr w:type="spellStart"/>
      <w:r w:rsidRPr="001129D4">
        <w:t>valeurs</w:t>
      </w:r>
      <w:proofErr w:type="spellEnd"/>
      <w:r w:rsidRPr="001129D4">
        <w:t xml:space="preserve">: </w:t>
      </w:r>
      <w:proofErr w:type="spellStart"/>
      <w:r w:rsidRPr="001129D4">
        <w:t>l’article</w:t>
      </w:r>
      <w:proofErr w:type="spellEnd"/>
      <w:r w:rsidRPr="001129D4">
        <w:t xml:space="preserve"> 32”, in E. Mendes and S. </w:t>
      </w:r>
      <w:proofErr w:type="spellStart"/>
      <w:r w:rsidRPr="003F0298">
        <w:rPr>
          <w:lang w:val="en-US"/>
        </w:rPr>
        <w:t>Beaulac</w:t>
      </w:r>
      <w:proofErr w:type="spellEnd"/>
      <w:r>
        <w:rPr>
          <w:lang w:val="en-US"/>
        </w:rPr>
        <w:t>, e</w:t>
      </w:r>
      <w:r w:rsidRPr="003F0298">
        <w:rPr>
          <w:lang w:val="en-US"/>
        </w:rPr>
        <w:t>d</w:t>
      </w:r>
      <w:r>
        <w:rPr>
          <w:lang w:val="en-US"/>
        </w:rPr>
        <w:t>s.</w:t>
      </w:r>
      <w:r w:rsidRPr="003F0298">
        <w:rPr>
          <w:lang w:val="en-US"/>
        </w:rPr>
        <w:t xml:space="preserve">, </w:t>
      </w:r>
      <w:r w:rsidRPr="003F0298">
        <w:rPr>
          <w:i/>
          <w:iCs/>
          <w:lang w:val="en-US"/>
        </w:rPr>
        <w:t>Canadian Charter of Rights and Freedoms</w:t>
      </w:r>
      <w:r w:rsidRPr="003F0298">
        <w:rPr>
          <w:lang w:val="en-US"/>
        </w:rPr>
        <w:t xml:space="preserve"> </w:t>
      </w:r>
      <w:r>
        <w:rPr>
          <w:lang w:val="en-US"/>
        </w:rPr>
        <w:t>(</w:t>
      </w:r>
      <w:r w:rsidRPr="009D15CD">
        <w:rPr>
          <w:lang w:val="en-US"/>
        </w:rPr>
        <w:t>5th ed.</w:t>
      </w:r>
      <w:r>
        <w:rPr>
          <w:lang w:val="en-US"/>
        </w:rPr>
        <w:t xml:space="preserve"> </w:t>
      </w:r>
      <w:r w:rsidRPr="003F0298">
        <w:rPr>
          <w:lang w:val="en-US"/>
        </w:rPr>
        <w:t>2013</w:t>
      </w:r>
      <w:r>
        <w:rPr>
          <w:lang w:val="en-US"/>
        </w:rPr>
        <w:t>), 241;</w:t>
      </w:r>
      <w:r w:rsidRPr="00C46F02">
        <w:t xml:space="preserve"> C. McLachlan, </w:t>
      </w:r>
      <w:r w:rsidRPr="00C46F02">
        <w:rPr>
          <w:i/>
        </w:rPr>
        <w:t>Foreign Relations Law</w:t>
      </w:r>
      <w:r w:rsidRPr="00C46F02">
        <w:t xml:space="preserve"> (</w:t>
      </w:r>
      <w:r>
        <w:t>2014), at para</w:t>
      </w:r>
      <w:r w:rsidRPr="00C46F02">
        <w:t xml:space="preserve">. 8.55; </w:t>
      </w:r>
      <w:r>
        <w:t>P. M. Saunders and R. J. Currie,</w:t>
      </w:r>
      <w:r w:rsidRPr="00C46F02">
        <w:t xml:space="preserve"> </w:t>
      </w:r>
      <w:r>
        <w:rPr>
          <w:i/>
        </w:rPr>
        <w:t>Kindred’s I</w:t>
      </w:r>
      <w:r w:rsidRPr="00C46F02">
        <w:rPr>
          <w:i/>
        </w:rPr>
        <w:t>nternational Law: Chiefly as Interpreted and Applied in Canada</w:t>
      </w:r>
      <w:r>
        <w:t xml:space="preserve"> (9</w:t>
      </w:r>
      <w:r w:rsidRPr="008A785C">
        <w:t>th</w:t>
      </w:r>
      <w:r>
        <w:t> </w:t>
      </w:r>
      <w:r w:rsidRPr="00C46F02">
        <w:t xml:space="preserve">ed. </w:t>
      </w:r>
      <w:r>
        <w:t>2019), at pp. 365</w:t>
      </w:r>
      <w:r>
        <w:noBreakHyphen/>
        <w:t>66; K. </w:t>
      </w:r>
      <w:r w:rsidRPr="00C46F02">
        <w:t xml:space="preserve">Sun, “International Comity and the Construction of the </w:t>
      </w:r>
      <w:r w:rsidRPr="009D15CD">
        <w:rPr>
          <w:i/>
        </w:rPr>
        <w:t>Charter</w:t>
      </w:r>
      <w:r w:rsidRPr="00C46F02">
        <w:t xml:space="preserve">’s Limits: </w:t>
      </w:r>
      <w:proofErr w:type="spellStart"/>
      <w:r w:rsidRPr="009D15CD">
        <w:rPr>
          <w:i/>
        </w:rPr>
        <w:t>Hape</w:t>
      </w:r>
      <w:proofErr w:type="spellEnd"/>
      <w:r w:rsidRPr="00C46F02">
        <w:t xml:space="preserve"> Revisited” (2019), </w:t>
      </w:r>
      <w:r>
        <w:t xml:space="preserve">45 </w:t>
      </w:r>
      <w:r w:rsidRPr="009D15CD">
        <w:rPr>
          <w:i/>
        </w:rPr>
        <w:t xml:space="preserve">Queen’s </w:t>
      </w:r>
      <w:proofErr w:type="spellStart"/>
      <w:r w:rsidRPr="009D15CD">
        <w:rPr>
          <w:i/>
        </w:rPr>
        <w:t>L.J</w:t>
      </w:r>
      <w:proofErr w:type="spellEnd"/>
      <w:r w:rsidRPr="009D15CD">
        <w:rPr>
          <w:i/>
        </w:rPr>
        <w:t xml:space="preserve">. </w:t>
      </w:r>
      <w:r>
        <w:t>115, at pp. 144</w:t>
      </w:r>
      <w:r>
        <w:noBreakHyphen/>
      </w:r>
      <w:r w:rsidRPr="00C46F02">
        <w:t>47; K. W. Gray, “That Most Canadian of Virtues: Comity in Section 7 Jurisprudence” (2020)</w:t>
      </w:r>
      <w:r>
        <w:t>,</w:t>
      </w:r>
      <w:r w:rsidRPr="00C46F02">
        <w:t xml:space="preserve"> 10:1 </w:t>
      </w:r>
      <w:proofErr w:type="spellStart"/>
      <w:r w:rsidRPr="009D15CD">
        <w:rPr>
          <w:i/>
        </w:rPr>
        <w:t>U.</w:t>
      </w:r>
      <w:r w:rsidRPr="00C46F02">
        <w:rPr>
          <w:i/>
        </w:rPr>
        <w:t>W</w:t>
      </w:r>
      <w:r>
        <w:rPr>
          <w:i/>
        </w:rPr>
        <w:t>.O</w:t>
      </w:r>
      <w:proofErr w:type="spellEnd"/>
      <w:r w:rsidRPr="00C46F02">
        <w:rPr>
          <w:i/>
        </w:rPr>
        <w:t>. J. Leg. Stud.</w:t>
      </w:r>
      <w:r>
        <w:t xml:space="preserve"> 1, at p. 23; R. J. </w:t>
      </w:r>
      <w:r w:rsidRPr="00C46F02">
        <w:t xml:space="preserve">Currie </w:t>
      </w:r>
      <w:r>
        <w:t>and J. </w:t>
      </w:r>
      <w:proofErr w:type="spellStart"/>
      <w:r w:rsidRPr="00C46F02">
        <w:t>Rikhof</w:t>
      </w:r>
      <w:proofErr w:type="spellEnd"/>
      <w:r w:rsidRPr="00C46F02">
        <w:t xml:space="preserve">, </w:t>
      </w:r>
      <w:r w:rsidRPr="009D15CD">
        <w:rPr>
          <w:i/>
        </w:rPr>
        <w:t>International &amp; Transnational Criminal Law</w:t>
      </w:r>
      <w:r w:rsidRPr="00C46F02">
        <w:t xml:space="preserve"> </w:t>
      </w:r>
      <w:r>
        <w:t>(</w:t>
      </w:r>
      <w:r w:rsidRPr="00C46F02">
        <w:t>3</w:t>
      </w:r>
      <w:r w:rsidRPr="008A785C">
        <w:t>rd</w:t>
      </w:r>
      <w:r>
        <w:t> </w:t>
      </w:r>
      <w:r w:rsidRPr="00C46F02">
        <w:t xml:space="preserve">ed. </w:t>
      </w:r>
      <w:r>
        <w:t>2020), at pp. 623 and 632</w:t>
      </w:r>
      <w:r>
        <w:noBreakHyphen/>
      </w:r>
      <w:r w:rsidRPr="00C46F02">
        <w:t>39.</w:t>
      </w:r>
    </w:p>
  </w:footnote>
  <w:footnote w:id="4">
    <w:p w14:paraId="0029750A" w14:textId="77777777" w:rsidR="00045352" w:rsidRPr="009C43E2" w:rsidRDefault="00045352" w:rsidP="00FC38F5">
      <w:pPr>
        <w:pStyle w:val="FootnoteText"/>
        <w:jc w:val="both"/>
        <w:rPr>
          <w:lang w:val="en-US"/>
        </w:rPr>
      </w:pPr>
      <w:r w:rsidRPr="003F0298">
        <w:rPr>
          <w:rStyle w:val="FootnoteReference"/>
        </w:rPr>
        <w:footnoteRef/>
      </w:r>
      <w:r>
        <w:t>  </w:t>
      </w:r>
      <w:r w:rsidRPr="003F0298">
        <w:rPr>
          <w:rStyle w:val="sccrespondentforrunningheadchar0"/>
        </w:rPr>
        <w:t xml:space="preserve">Though we were </w:t>
      </w:r>
      <w:r w:rsidRPr="003E5D2A">
        <w:rPr>
          <w:rStyle w:val="sccrespondentforrunningheadchar0"/>
        </w:rPr>
        <w:t>concurring</w:t>
      </w:r>
      <w:r>
        <w:rPr>
          <w:rStyle w:val="sccrespondentforrunningheadchar0"/>
        </w:rPr>
        <w:t xml:space="preserve"> in </w:t>
      </w:r>
      <w:r w:rsidRPr="00FE2B67">
        <w:rPr>
          <w:rStyle w:val="sccrespondentforrunningheadchar0"/>
          <w:i/>
        </w:rPr>
        <w:t>Kirkpatrick</w:t>
      </w:r>
      <w:r w:rsidRPr="003F0298">
        <w:rPr>
          <w:rStyle w:val="sccrespondentforrunningheadchar0"/>
        </w:rPr>
        <w:t xml:space="preserve">, the majority </w:t>
      </w:r>
      <w:r>
        <w:rPr>
          <w:rStyle w:val="sccrespondentforrunningheadchar0"/>
        </w:rPr>
        <w:t>did not consider itself</w:t>
      </w:r>
      <w:r w:rsidRPr="003F0298">
        <w:rPr>
          <w:rStyle w:val="sccrespondentforrunningheadchar0"/>
        </w:rPr>
        <w:t xml:space="preserve"> to be departing from precedent </w:t>
      </w:r>
      <w:r>
        <w:rPr>
          <w:rStyle w:val="sccrespondentforrunningheadchar0"/>
        </w:rPr>
        <w:t>(</w:t>
      </w:r>
      <w:r w:rsidRPr="003F0298">
        <w:rPr>
          <w:rStyle w:val="sccrespondentforrunningheadchar0"/>
        </w:rPr>
        <w:t>para. 97</w:t>
      </w:r>
      <w:r>
        <w:rPr>
          <w:rStyle w:val="sccrespondentforrunningheadchar0"/>
        </w:rPr>
        <w:t>)</w:t>
      </w:r>
      <w:r w:rsidRPr="003F0298">
        <w:rPr>
          <w:rStyle w:val="sccrespondentforrunningheadchar0"/>
        </w:rPr>
        <w:t xml:space="preserve">. </w:t>
      </w:r>
      <w:r>
        <w:rPr>
          <w:rStyle w:val="sccrespondentforrunningheadchar0"/>
        </w:rPr>
        <w:t>It</w:t>
      </w:r>
      <w:r w:rsidRPr="003F0298">
        <w:rPr>
          <w:rStyle w:val="sccrespondentforrunningheadchar0"/>
        </w:rPr>
        <w:t xml:space="preserve"> therefore did not refer to our discussion on </w:t>
      </w:r>
      <w:r w:rsidRPr="003F0298">
        <w:rPr>
          <w:rStyle w:val="sccrespondentforrunningheadchar0"/>
          <w:i/>
        </w:rPr>
        <w:t>stare decisis</w:t>
      </w:r>
      <w:r w:rsidRPr="003F0298">
        <w:rPr>
          <w:rStyle w:val="sccrespondentforrunningheadchar0"/>
        </w:rPr>
        <w:t>.</w:t>
      </w:r>
    </w:p>
  </w:footnote>
  <w:footnote w:id="5">
    <w:p w14:paraId="6566128D" w14:textId="77777777" w:rsidR="00045352" w:rsidRPr="003965A3" w:rsidRDefault="00045352" w:rsidP="00FC38F5">
      <w:pPr>
        <w:pStyle w:val="FootnoteText"/>
        <w:jc w:val="both"/>
        <w:rPr>
          <w:lang w:val="en-US"/>
        </w:rPr>
      </w:pPr>
      <w:r>
        <w:rPr>
          <w:rStyle w:val="FootnoteReference"/>
        </w:rPr>
        <w:t>4</w:t>
      </w:r>
      <w:r>
        <w:t xml:space="preserve">  </w:t>
      </w:r>
      <w:r w:rsidRPr="00C41FF6">
        <w:rPr>
          <w:lang w:val="en-US"/>
        </w:rPr>
        <w:t>See K. Roach, “</w:t>
      </w:r>
      <w:r w:rsidRPr="00A5423C">
        <w:rPr>
          <w:i/>
          <w:lang w:val="en-US"/>
        </w:rPr>
        <w:t xml:space="preserve">R. v. </w:t>
      </w:r>
      <w:proofErr w:type="spellStart"/>
      <w:r w:rsidRPr="00A5423C">
        <w:rPr>
          <w:i/>
          <w:lang w:val="en-US"/>
        </w:rPr>
        <w:t>Hape</w:t>
      </w:r>
      <w:proofErr w:type="spellEnd"/>
      <w:r w:rsidRPr="00C41FF6">
        <w:rPr>
          <w:lang w:val="en-US"/>
        </w:rPr>
        <w:t xml:space="preserve"> Creates Charter-Free Zones for Canadian Officials Abroad” (2007)</w:t>
      </w:r>
      <w:r>
        <w:rPr>
          <w:lang w:val="en-US"/>
        </w:rPr>
        <w:t>,</w:t>
      </w:r>
      <w:r w:rsidRPr="00C41FF6">
        <w:rPr>
          <w:lang w:val="en-US"/>
        </w:rPr>
        <w:t xml:space="preserve"> </w:t>
      </w:r>
      <w:r>
        <w:rPr>
          <w:lang w:val="en-US"/>
        </w:rPr>
        <w:t xml:space="preserve">53 </w:t>
      </w:r>
      <w:r w:rsidRPr="00A5423C">
        <w:rPr>
          <w:i/>
          <w:lang w:val="en-US"/>
        </w:rPr>
        <w:t xml:space="preserve">Crim. </w:t>
      </w:r>
      <w:proofErr w:type="spellStart"/>
      <w:r w:rsidRPr="00A5423C">
        <w:rPr>
          <w:i/>
          <w:lang w:val="en-US"/>
        </w:rPr>
        <w:t>L.Q</w:t>
      </w:r>
      <w:proofErr w:type="spellEnd"/>
      <w:r w:rsidRPr="00A5423C">
        <w:rPr>
          <w:i/>
          <w:lang w:val="en-US"/>
        </w:rPr>
        <w:t>.</w:t>
      </w:r>
      <w:r w:rsidRPr="00C41FF6">
        <w:rPr>
          <w:lang w:val="en-US"/>
        </w:rPr>
        <w:t xml:space="preserve"> 1</w:t>
      </w:r>
      <w:r>
        <w:rPr>
          <w:lang w:val="en-US"/>
        </w:rPr>
        <w:t>,</w:t>
      </w:r>
      <w:r w:rsidRPr="00C41FF6">
        <w:rPr>
          <w:lang w:val="en-US"/>
        </w:rPr>
        <w:t xml:space="preserve"> at p. 1; J. H. Currie, “Weaving a Tangled Web: </w:t>
      </w:r>
      <w:proofErr w:type="spellStart"/>
      <w:r w:rsidRPr="00A5423C">
        <w:rPr>
          <w:i/>
          <w:lang w:val="en-US"/>
        </w:rPr>
        <w:t>Hape</w:t>
      </w:r>
      <w:proofErr w:type="spellEnd"/>
      <w:r w:rsidRPr="00C41FF6">
        <w:rPr>
          <w:lang w:val="en-US"/>
        </w:rPr>
        <w:t xml:space="preserve"> and the Obfuscation of Canadian Reception Law” (2007)</w:t>
      </w:r>
      <w:r>
        <w:rPr>
          <w:lang w:val="en-US"/>
        </w:rPr>
        <w:t>,</w:t>
      </w:r>
      <w:r w:rsidRPr="00C41FF6">
        <w:rPr>
          <w:lang w:val="en-US"/>
        </w:rPr>
        <w:t xml:space="preserve"> 45 </w:t>
      </w:r>
      <w:r w:rsidRPr="00A5423C">
        <w:rPr>
          <w:i/>
          <w:lang w:val="en-US"/>
        </w:rPr>
        <w:t xml:space="preserve">Can. </w:t>
      </w:r>
      <w:proofErr w:type="spellStart"/>
      <w:r w:rsidRPr="00A5423C">
        <w:rPr>
          <w:i/>
          <w:lang w:val="en-US"/>
        </w:rPr>
        <w:t>Y.B</w:t>
      </w:r>
      <w:proofErr w:type="spellEnd"/>
      <w:r w:rsidRPr="00A5423C">
        <w:rPr>
          <w:i/>
          <w:lang w:val="en-US"/>
        </w:rPr>
        <w:t>. Int’l L.</w:t>
      </w:r>
      <w:r w:rsidRPr="00C41FF6">
        <w:rPr>
          <w:lang w:val="en-US"/>
        </w:rPr>
        <w:t xml:space="preserve"> 55; G. van </w:t>
      </w:r>
      <w:proofErr w:type="spellStart"/>
      <w:r w:rsidRPr="00C41FF6">
        <w:rPr>
          <w:lang w:val="en-US"/>
        </w:rPr>
        <w:t>Ert</w:t>
      </w:r>
      <w:proofErr w:type="spellEnd"/>
      <w:r w:rsidRPr="00C41FF6">
        <w:rPr>
          <w:lang w:val="en-US"/>
        </w:rPr>
        <w:t>, “Canadian Cases in Public International Law in 2006-7” (2007)</w:t>
      </w:r>
      <w:r>
        <w:rPr>
          <w:lang w:val="en-US"/>
        </w:rPr>
        <w:t>,</w:t>
      </w:r>
      <w:r w:rsidRPr="00C41FF6">
        <w:rPr>
          <w:lang w:val="en-US"/>
        </w:rPr>
        <w:t xml:space="preserve"> 45 </w:t>
      </w:r>
      <w:r w:rsidRPr="00A5423C">
        <w:rPr>
          <w:i/>
          <w:lang w:val="en-US"/>
        </w:rPr>
        <w:t xml:space="preserve">Can. </w:t>
      </w:r>
      <w:proofErr w:type="spellStart"/>
      <w:r w:rsidRPr="00A5423C">
        <w:rPr>
          <w:i/>
          <w:lang w:val="en-US"/>
        </w:rPr>
        <w:t>Y.B</w:t>
      </w:r>
      <w:proofErr w:type="spellEnd"/>
      <w:r w:rsidRPr="00A5423C">
        <w:rPr>
          <w:i/>
          <w:lang w:val="en-US"/>
        </w:rPr>
        <w:t>. Int’l L.</w:t>
      </w:r>
      <w:r>
        <w:rPr>
          <w:lang w:val="en-US"/>
        </w:rPr>
        <w:t xml:space="preserve"> 527,</w:t>
      </w:r>
      <w:r w:rsidRPr="00C41FF6">
        <w:rPr>
          <w:lang w:val="en-US"/>
        </w:rPr>
        <w:t xml:space="preserve"> at pp. 544-55; J. H. Currie, “</w:t>
      </w:r>
      <w:r w:rsidRPr="00A5423C">
        <w:rPr>
          <w:i/>
          <w:lang w:val="en-US"/>
        </w:rPr>
        <w:t>Khadr</w:t>
      </w:r>
      <w:r w:rsidRPr="00C41FF6">
        <w:rPr>
          <w:lang w:val="en-US"/>
        </w:rPr>
        <w:t xml:space="preserve">’s Twist on </w:t>
      </w:r>
      <w:proofErr w:type="spellStart"/>
      <w:r w:rsidRPr="00A5423C">
        <w:rPr>
          <w:i/>
          <w:lang w:val="en-US"/>
        </w:rPr>
        <w:t>Hape</w:t>
      </w:r>
      <w:proofErr w:type="spellEnd"/>
      <w:r w:rsidRPr="00C41FF6">
        <w:rPr>
          <w:lang w:val="en-US"/>
        </w:rPr>
        <w:t xml:space="preserve">: Tortured Determinations of the Extraterritorial Reach of the Canadian </w:t>
      </w:r>
      <w:r w:rsidRPr="00A5423C">
        <w:rPr>
          <w:i/>
          <w:lang w:val="en-US"/>
        </w:rPr>
        <w:t>Charter</w:t>
      </w:r>
      <w:r w:rsidRPr="00C41FF6">
        <w:rPr>
          <w:lang w:val="en-US"/>
        </w:rPr>
        <w:t>” (2008)</w:t>
      </w:r>
      <w:r>
        <w:rPr>
          <w:lang w:val="en-US"/>
        </w:rPr>
        <w:t>,</w:t>
      </w:r>
      <w:r w:rsidRPr="00C41FF6">
        <w:rPr>
          <w:lang w:val="en-US"/>
        </w:rPr>
        <w:t xml:space="preserve"> 46 </w:t>
      </w:r>
      <w:r w:rsidRPr="00A5423C">
        <w:rPr>
          <w:i/>
          <w:lang w:val="en-US"/>
        </w:rPr>
        <w:t xml:space="preserve">Can. </w:t>
      </w:r>
      <w:proofErr w:type="spellStart"/>
      <w:r w:rsidRPr="00A5423C">
        <w:rPr>
          <w:i/>
          <w:lang w:val="en-US"/>
        </w:rPr>
        <w:t>Y.B</w:t>
      </w:r>
      <w:proofErr w:type="spellEnd"/>
      <w:r w:rsidRPr="00A5423C">
        <w:rPr>
          <w:i/>
          <w:lang w:val="en-US"/>
        </w:rPr>
        <w:t>. Int’l L.</w:t>
      </w:r>
      <w:r w:rsidRPr="00C41FF6">
        <w:rPr>
          <w:lang w:val="en-US"/>
        </w:rPr>
        <w:t xml:space="preserve"> 307; A. </w:t>
      </w:r>
      <w:proofErr w:type="spellStart"/>
      <w:r w:rsidRPr="00C41FF6">
        <w:rPr>
          <w:lang w:val="en-US"/>
        </w:rPr>
        <w:t>Attaran</w:t>
      </w:r>
      <w:proofErr w:type="spellEnd"/>
      <w:r w:rsidRPr="00C41FF6">
        <w:rPr>
          <w:lang w:val="en-US"/>
        </w:rPr>
        <w:t>, “Have Charter, Will Travel? Extraterritoriality in Constitutional Law and Canadian Exceptionalism” (2008)</w:t>
      </w:r>
      <w:r>
        <w:rPr>
          <w:lang w:val="en-US"/>
        </w:rPr>
        <w:t>,</w:t>
      </w:r>
      <w:r w:rsidRPr="00C41FF6">
        <w:rPr>
          <w:lang w:val="en-US"/>
        </w:rPr>
        <w:t xml:space="preserve"> 87 </w:t>
      </w:r>
      <w:r w:rsidRPr="00A5423C">
        <w:rPr>
          <w:i/>
          <w:lang w:val="en-US"/>
        </w:rPr>
        <w:t>Can. Bar Rev.</w:t>
      </w:r>
      <w:r w:rsidRPr="00C41FF6">
        <w:rPr>
          <w:lang w:val="en-US"/>
        </w:rPr>
        <w:t xml:space="preserve"> 515; </w:t>
      </w:r>
      <w:r>
        <w:rPr>
          <w:lang w:val="en-US"/>
        </w:rPr>
        <w:t xml:space="preserve">P.-H. </w:t>
      </w:r>
      <w:proofErr w:type="spellStart"/>
      <w:r>
        <w:rPr>
          <w:lang w:val="en-US"/>
        </w:rPr>
        <w:t>Verdier</w:t>
      </w:r>
      <w:proofErr w:type="spellEnd"/>
      <w:r>
        <w:rPr>
          <w:lang w:val="en-US"/>
        </w:rPr>
        <w:t xml:space="preserve">, “International Decisions: </w:t>
      </w:r>
      <w:r w:rsidRPr="00A5423C">
        <w:rPr>
          <w:i/>
          <w:lang w:val="en-US"/>
        </w:rPr>
        <w:t xml:space="preserve">R. v. </w:t>
      </w:r>
      <w:proofErr w:type="spellStart"/>
      <w:r w:rsidRPr="00A5423C">
        <w:rPr>
          <w:i/>
          <w:lang w:val="en-US"/>
        </w:rPr>
        <w:t>Hape</w:t>
      </w:r>
      <w:proofErr w:type="spellEnd"/>
      <w:r>
        <w:rPr>
          <w:lang w:val="en-US"/>
        </w:rPr>
        <w:t xml:space="preserve">” (2008), 102 </w:t>
      </w:r>
      <w:r>
        <w:rPr>
          <w:i/>
          <w:lang w:val="en-US"/>
        </w:rPr>
        <w:t xml:space="preserve">Am. J. Int’l L. </w:t>
      </w:r>
      <w:r>
        <w:rPr>
          <w:lang w:val="en-US"/>
        </w:rPr>
        <w:t xml:space="preserve">143; </w:t>
      </w:r>
      <w:r w:rsidRPr="00C41FF6">
        <w:rPr>
          <w:lang w:val="en-US"/>
        </w:rPr>
        <w:t>J</w:t>
      </w:r>
      <w:r>
        <w:rPr>
          <w:lang w:val="en-US"/>
        </w:rPr>
        <w:t>.</w:t>
      </w:r>
      <w:r w:rsidRPr="00C41FF6">
        <w:rPr>
          <w:lang w:val="en-US"/>
        </w:rPr>
        <w:t xml:space="preserve"> H. Currie, “International Human Rights Law in the Supreme Court’s Charter Jurisprudence: Commitment, Retrenchment </w:t>
      </w:r>
      <w:r w:rsidRPr="00A5423C">
        <w:rPr>
          <w:i/>
          <w:lang w:val="en-US"/>
        </w:rPr>
        <w:t>and</w:t>
      </w:r>
      <w:r w:rsidRPr="00C41FF6">
        <w:rPr>
          <w:lang w:val="en-US"/>
        </w:rPr>
        <w:t xml:space="preserve"> Retreat </w:t>
      </w:r>
      <w:r>
        <w:rPr>
          <w:lang w:val="en-US"/>
        </w:rPr>
        <w:t>—</w:t>
      </w:r>
      <w:r w:rsidRPr="00C41FF6">
        <w:rPr>
          <w:lang w:val="en-US"/>
        </w:rPr>
        <w:t xml:space="preserve"> In No Particular Order” (2010)</w:t>
      </w:r>
      <w:r>
        <w:rPr>
          <w:lang w:val="en-US"/>
        </w:rPr>
        <w:t>,</w:t>
      </w:r>
      <w:r w:rsidRPr="00C41FF6">
        <w:rPr>
          <w:lang w:val="en-US"/>
        </w:rPr>
        <w:t xml:space="preserve"> 50 </w:t>
      </w:r>
      <w:proofErr w:type="spellStart"/>
      <w:r w:rsidRPr="00A5423C">
        <w:rPr>
          <w:i/>
          <w:lang w:val="en-US"/>
        </w:rPr>
        <w:t>S.C.L.R</w:t>
      </w:r>
      <w:proofErr w:type="spellEnd"/>
      <w:r w:rsidRPr="00A5423C">
        <w:rPr>
          <w:i/>
          <w:lang w:val="en-US"/>
        </w:rPr>
        <w:t>.</w:t>
      </w:r>
      <w:r w:rsidRPr="00C41FF6">
        <w:rPr>
          <w:lang w:val="en-US"/>
        </w:rPr>
        <w:t xml:space="preserve"> (</w:t>
      </w:r>
      <w:proofErr w:type="spellStart"/>
      <w:r w:rsidRPr="00C41FF6">
        <w:rPr>
          <w:lang w:val="en-US"/>
        </w:rPr>
        <w:t>2d</w:t>
      </w:r>
      <w:proofErr w:type="spellEnd"/>
      <w:r w:rsidRPr="00C41FF6">
        <w:rPr>
          <w:lang w:val="en-US"/>
        </w:rPr>
        <w:t>) 423;</w:t>
      </w:r>
      <w:r w:rsidRPr="003D35A3">
        <w:rPr>
          <w:lang w:val="en-US"/>
        </w:rPr>
        <w:t xml:space="preserve"> </w:t>
      </w:r>
      <w:r>
        <w:rPr>
          <w:lang w:val="en-US"/>
        </w:rPr>
        <w:t xml:space="preserve">M. L. Banda, “On the Water’s Edge? A Comparative Study of the Influence of International Law and the Extraterritorial Reach of Domestic Laws in the War on Terror Jurisprudence” (2010), 41 </w:t>
      </w:r>
      <w:r>
        <w:rPr>
          <w:i/>
          <w:lang w:val="en-US"/>
        </w:rPr>
        <w:t>Geo. J. Int’l L.</w:t>
      </w:r>
      <w:r>
        <w:rPr>
          <w:lang w:val="en-US"/>
        </w:rPr>
        <w:t xml:space="preserve"> 525;</w:t>
      </w:r>
      <w:r w:rsidRPr="00C41FF6">
        <w:rPr>
          <w:lang w:val="en-US"/>
        </w:rPr>
        <w:t xml:space="preserve"> C. </w:t>
      </w:r>
      <w:proofErr w:type="spellStart"/>
      <w:r w:rsidRPr="00C41FF6">
        <w:rPr>
          <w:lang w:val="en-US"/>
        </w:rPr>
        <w:t>Sethi</w:t>
      </w:r>
      <w:proofErr w:type="spellEnd"/>
      <w:r w:rsidRPr="00C41FF6">
        <w:rPr>
          <w:lang w:val="en-US"/>
        </w:rPr>
        <w:t xml:space="preserve">, “Does the Charter Follow the Flag? Revisiting Constitutional Extraterritoriality after </w:t>
      </w:r>
      <w:r w:rsidRPr="00A5423C">
        <w:rPr>
          <w:i/>
          <w:lang w:val="en-US"/>
        </w:rPr>
        <w:t xml:space="preserve">R v </w:t>
      </w:r>
      <w:proofErr w:type="spellStart"/>
      <w:r w:rsidRPr="00A5423C">
        <w:rPr>
          <w:i/>
          <w:lang w:val="en-US"/>
        </w:rPr>
        <w:t>Hape</w:t>
      </w:r>
      <w:proofErr w:type="spellEnd"/>
      <w:r w:rsidRPr="00C41FF6">
        <w:rPr>
          <w:lang w:val="en-US"/>
        </w:rPr>
        <w:t>” (2011)</w:t>
      </w:r>
      <w:r>
        <w:rPr>
          <w:lang w:val="en-US"/>
        </w:rPr>
        <w:t>,</w:t>
      </w:r>
      <w:r w:rsidRPr="00C41FF6">
        <w:rPr>
          <w:lang w:val="en-US"/>
        </w:rPr>
        <w:t xml:space="preserve"> 20 </w:t>
      </w:r>
      <w:r w:rsidRPr="00A5423C">
        <w:rPr>
          <w:i/>
          <w:lang w:val="en-US"/>
        </w:rPr>
        <w:t>Dal. J. Leg. Stud.</w:t>
      </w:r>
      <w:r w:rsidRPr="00C41FF6">
        <w:rPr>
          <w:lang w:val="en-US"/>
        </w:rPr>
        <w:t xml:space="preserve"> 102; M</w:t>
      </w:r>
      <w:r>
        <w:rPr>
          <w:lang w:val="en-US"/>
        </w:rPr>
        <w:t>. </w:t>
      </w:r>
      <w:r w:rsidRPr="00C41FF6">
        <w:rPr>
          <w:lang w:val="en-US"/>
        </w:rPr>
        <w:t>Webb, “The Constitutional Question of Our Time: Extraterritorial Application of the Charter and the Afghan Detainees Case” (2011)</w:t>
      </w:r>
      <w:r>
        <w:rPr>
          <w:lang w:val="en-US"/>
        </w:rPr>
        <w:t>,</w:t>
      </w:r>
      <w:r w:rsidRPr="00C41FF6">
        <w:rPr>
          <w:lang w:val="en-US"/>
        </w:rPr>
        <w:t xml:space="preserve"> 28 </w:t>
      </w:r>
      <w:proofErr w:type="spellStart"/>
      <w:r w:rsidRPr="00A5423C">
        <w:rPr>
          <w:i/>
          <w:lang w:val="en-US"/>
        </w:rPr>
        <w:t>N.J.C.L</w:t>
      </w:r>
      <w:proofErr w:type="spellEnd"/>
      <w:r w:rsidRPr="00A5423C">
        <w:rPr>
          <w:i/>
          <w:lang w:val="en-US"/>
        </w:rPr>
        <w:t>.</w:t>
      </w:r>
      <w:r w:rsidRPr="00C41FF6">
        <w:rPr>
          <w:lang w:val="en-US"/>
        </w:rPr>
        <w:t xml:space="preserve"> 23</w:t>
      </w:r>
      <w:r>
        <w:rPr>
          <w:lang w:val="en-US"/>
        </w:rPr>
        <w:t>5</w:t>
      </w:r>
      <w:r w:rsidRPr="00C41FF6">
        <w:rPr>
          <w:lang w:val="en-US"/>
        </w:rPr>
        <w:t xml:space="preserve">; </w:t>
      </w:r>
      <w:r w:rsidRPr="0028317D">
        <w:rPr>
          <w:lang w:val="en-US"/>
        </w:rPr>
        <w:t>D</w:t>
      </w:r>
      <w:r>
        <w:rPr>
          <w:lang w:val="en-US"/>
        </w:rPr>
        <w:t xml:space="preserve">. </w:t>
      </w:r>
      <w:r w:rsidRPr="0028317D">
        <w:rPr>
          <w:lang w:val="en-US"/>
        </w:rPr>
        <w:t xml:space="preserve">Ireland-Piper, </w:t>
      </w:r>
      <w:r>
        <w:rPr>
          <w:lang w:val="en-US"/>
        </w:rPr>
        <w:t>“</w:t>
      </w:r>
      <w:r w:rsidRPr="0028317D">
        <w:rPr>
          <w:lang w:val="en-US"/>
        </w:rPr>
        <w:t>Extraterritorial Criminal Jur</w:t>
      </w:r>
      <w:r>
        <w:rPr>
          <w:lang w:val="en-US"/>
        </w:rPr>
        <w:t xml:space="preserve">isdiction: Does the Long Arm of </w:t>
      </w:r>
      <w:r w:rsidRPr="0028317D">
        <w:rPr>
          <w:lang w:val="en-US"/>
        </w:rPr>
        <w:t>the Law Undermine the Rule of Law</w:t>
      </w:r>
      <w:r>
        <w:rPr>
          <w:lang w:val="en-US"/>
        </w:rPr>
        <w:t>?”</w:t>
      </w:r>
      <w:r w:rsidRPr="0028317D">
        <w:rPr>
          <w:lang w:val="en-US"/>
        </w:rPr>
        <w:t xml:space="preserve"> (2012)</w:t>
      </w:r>
      <w:r>
        <w:rPr>
          <w:lang w:val="en-US"/>
        </w:rPr>
        <w:t>,</w:t>
      </w:r>
      <w:r w:rsidRPr="0028317D">
        <w:rPr>
          <w:lang w:val="en-US"/>
        </w:rPr>
        <w:t xml:space="preserve"> 13 </w:t>
      </w:r>
      <w:proofErr w:type="spellStart"/>
      <w:r w:rsidRPr="002C55D9">
        <w:rPr>
          <w:i/>
          <w:lang w:val="en-US"/>
        </w:rPr>
        <w:t>Melb</w:t>
      </w:r>
      <w:proofErr w:type="spellEnd"/>
      <w:r>
        <w:rPr>
          <w:i/>
          <w:lang w:val="en-US"/>
        </w:rPr>
        <w:t>.</w:t>
      </w:r>
      <w:r w:rsidRPr="002C55D9">
        <w:rPr>
          <w:i/>
          <w:lang w:val="en-US"/>
        </w:rPr>
        <w:t xml:space="preserve"> J</w:t>
      </w:r>
      <w:r>
        <w:rPr>
          <w:i/>
          <w:lang w:val="en-US"/>
        </w:rPr>
        <w:t>.</w:t>
      </w:r>
      <w:r w:rsidRPr="002C55D9">
        <w:rPr>
          <w:i/>
          <w:lang w:val="en-US"/>
        </w:rPr>
        <w:t xml:space="preserve"> Int</w:t>
      </w:r>
      <w:r>
        <w:rPr>
          <w:i/>
          <w:lang w:val="en-US"/>
        </w:rPr>
        <w:t>’</w:t>
      </w:r>
      <w:r w:rsidRPr="002C55D9">
        <w:rPr>
          <w:i/>
          <w:lang w:val="en-US"/>
        </w:rPr>
        <w:t>l L</w:t>
      </w:r>
      <w:r>
        <w:rPr>
          <w:i/>
          <w:lang w:val="en-US"/>
        </w:rPr>
        <w:t>.</w:t>
      </w:r>
      <w:r w:rsidRPr="0028317D">
        <w:rPr>
          <w:lang w:val="en-US"/>
        </w:rPr>
        <w:t xml:space="preserve"> 122</w:t>
      </w:r>
      <w:r>
        <w:rPr>
          <w:lang w:val="en-US"/>
        </w:rPr>
        <w:t xml:space="preserve">; </w:t>
      </w:r>
      <w:r w:rsidRPr="00C41FF6">
        <w:rPr>
          <w:lang w:val="en-US"/>
        </w:rPr>
        <w:t xml:space="preserve">C. McLachlan, </w:t>
      </w:r>
      <w:r w:rsidRPr="00A5423C">
        <w:rPr>
          <w:i/>
          <w:lang w:val="en-US"/>
        </w:rPr>
        <w:t>Foreign Relations Law</w:t>
      </w:r>
      <w:r w:rsidRPr="00C41FF6">
        <w:rPr>
          <w:lang w:val="en-US"/>
        </w:rPr>
        <w:t xml:space="preserve"> (2014)</w:t>
      </w:r>
      <w:r>
        <w:rPr>
          <w:lang w:val="en-US"/>
        </w:rPr>
        <w:t>,</w:t>
      </w:r>
      <w:r w:rsidRPr="00C41FF6">
        <w:rPr>
          <w:lang w:val="en-US"/>
        </w:rPr>
        <w:t xml:space="preserve"> at p</w:t>
      </w:r>
      <w:r>
        <w:rPr>
          <w:lang w:val="en-US"/>
        </w:rPr>
        <w:t>aras</w:t>
      </w:r>
      <w:r w:rsidRPr="00C41FF6">
        <w:rPr>
          <w:lang w:val="en-US"/>
        </w:rPr>
        <w:t>.</w:t>
      </w:r>
      <w:r>
        <w:rPr>
          <w:lang w:val="en-US"/>
        </w:rPr>
        <w:t> </w:t>
      </w:r>
      <w:r>
        <w:t>8.36-8.38</w:t>
      </w:r>
      <w:r>
        <w:rPr>
          <w:lang w:val="en-US"/>
        </w:rPr>
        <w:t xml:space="preserve"> and</w:t>
      </w:r>
      <w:r w:rsidRPr="00C41FF6">
        <w:rPr>
          <w:lang w:val="en-US"/>
        </w:rPr>
        <w:t xml:space="preserve"> </w:t>
      </w:r>
      <w:r>
        <w:t>8.52-8.94</w:t>
      </w:r>
      <w:r w:rsidRPr="00C41FF6">
        <w:rPr>
          <w:lang w:val="en-US"/>
        </w:rPr>
        <w:t>; R.</w:t>
      </w:r>
      <w:r>
        <w:rPr>
          <w:lang w:val="en-US"/>
        </w:rPr>
        <w:t> J.</w:t>
      </w:r>
      <w:r w:rsidRPr="00C41FF6">
        <w:rPr>
          <w:lang w:val="en-US"/>
        </w:rPr>
        <w:t xml:space="preserve"> Currie </w:t>
      </w:r>
      <w:r>
        <w:rPr>
          <w:lang w:val="en-US"/>
        </w:rPr>
        <w:t>and</w:t>
      </w:r>
      <w:r w:rsidRPr="00C41FF6">
        <w:rPr>
          <w:lang w:val="en-US"/>
        </w:rPr>
        <w:t xml:space="preserve"> J. </w:t>
      </w:r>
      <w:proofErr w:type="spellStart"/>
      <w:r w:rsidRPr="00C41FF6">
        <w:rPr>
          <w:lang w:val="en-US"/>
        </w:rPr>
        <w:t>Rikhof</w:t>
      </w:r>
      <w:proofErr w:type="spellEnd"/>
      <w:r w:rsidRPr="00C41FF6">
        <w:rPr>
          <w:lang w:val="en-US"/>
        </w:rPr>
        <w:t xml:space="preserve">, </w:t>
      </w:r>
      <w:r w:rsidRPr="00A5423C">
        <w:rPr>
          <w:i/>
          <w:lang w:val="en-US"/>
        </w:rPr>
        <w:t xml:space="preserve">International </w:t>
      </w:r>
      <w:r>
        <w:rPr>
          <w:i/>
          <w:lang w:val="en-US"/>
        </w:rPr>
        <w:t>&amp;</w:t>
      </w:r>
      <w:r w:rsidRPr="00A5423C">
        <w:rPr>
          <w:i/>
          <w:lang w:val="en-US"/>
        </w:rPr>
        <w:t xml:space="preserve"> Transnational Criminal Law</w:t>
      </w:r>
      <w:r w:rsidRPr="00C41FF6">
        <w:rPr>
          <w:lang w:val="en-US"/>
        </w:rPr>
        <w:t xml:space="preserve"> </w:t>
      </w:r>
      <w:r>
        <w:rPr>
          <w:lang w:val="en-US"/>
        </w:rPr>
        <w:t>(</w:t>
      </w:r>
      <w:r w:rsidRPr="00C41FF6">
        <w:rPr>
          <w:lang w:val="en-US"/>
        </w:rPr>
        <w:t>3rd ed. 2020)</w:t>
      </w:r>
      <w:r>
        <w:rPr>
          <w:lang w:val="en-US"/>
        </w:rPr>
        <w:t>,</w:t>
      </w:r>
      <w:r w:rsidRPr="00C41FF6">
        <w:rPr>
          <w:lang w:val="en-US"/>
        </w:rPr>
        <w:t xml:space="preserve"> at pp. 631-39;</w:t>
      </w:r>
      <w:r>
        <w:rPr>
          <w:lang w:val="en-US"/>
        </w:rPr>
        <w:t xml:space="preserve"> </w:t>
      </w:r>
      <w:r w:rsidRPr="00C41FF6">
        <w:rPr>
          <w:lang w:val="en-US"/>
        </w:rPr>
        <w:t xml:space="preserve">L. West, “‘Within or Outside Canada’: </w:t>
      </w:r>
      <w:r w:rsidRPr="00F5109F">
        <w:rPr>
          <w:lang w:val="en-US"/>
        </w:rPr>
        <w:t>The Charter’s</w:t>
      </w:r>
      <w:r w:rsidRPr="00C41FF6">
        <w:rPr>
          <w:lang w:val="en-US"/>
        </w:rPr>
        <w:t xml:space="preserve"> Application to the Extraterritorial Activities of the Canadian Security Intelligence Service” (202</w:t>
      </w:r>
      <w:r>
        <w:rPr>
          <w:lang w:val="en-US"/>
        </w:rPr>
        <w:t>3</w:t>
      </w:r>
      <w:r w:rsidRPr="00C41FF6">
        <w:rPr>
          <w:lang w:val="en-US"/>
        </w:rPr>
        <w:t>)</w:t>
      </w:r>
      <w:r>
        <w:rPr>
          <w:lang w:val="en-US"/>
        </w:rPr>
        <w:t>,</w:t>
      </w:r>
      <w:r w:rsidRPr="00C41FF6">
        <w:rPr>
          <w:lang w:val="en-US"/>
        </w:rPr>
        <w:t xml:space="preserve"> </w:t>
      </w:r>
      <w:r w:rsidRPr="00E63423">
        <w:rPr>
          <w:lang w:val="en-US"/>
        </w:rPr>
        <w:t xml:space="preserve">73 </w:t>
      </w:r>
      <w:proofErr w:type="spellStart"/>
      <w:r w:rsidRPr="00A5423C">
        <w:rPr>
          <w:i/>
          <w:lang w:val="en-US"/>
        </w:rPr>
        <w:t>U.T.L.J</w:t>
      </w:r>
      <w:proofErr w:type="spellEnd"/>
      <w:r w:rsidRPr="00A5423C">
        <w:rPr>
          <w:i/>
          <w:lang w:val="en-US"/>
        </w:rPr>
        <w:t>.</w:t>
      </w:r>
      <w:r w:rsidRPr="00C41FF6">
        <w:rPr>
          <w:lang w:val="en-US"/>
        </w:rPr>
        <w:t xml:space="preserve"> </w:t>
      </w:r>
      <w:r>
        <w:rPr>
          <w:lang w:val="en-US"/>
        </w:rPr>
        <w:t>1</w:t>
      </w:r>
      <w:r w:rsidRPr="00C41FF6">
        <w:rPr>
          <w:lang w:val="en-US"/>
        </w:rPr>
        <w:t>; L</w:t>
      </w:r>
      <w:r>
        <w:rPr>
          <w:lang w:val="en-US"/>
        </w:rPr>
        <w:t>.</w:t>
      </w:r>
      <w:r w:rsidRPr="00C41FF6">
        <w:rPr>
          <w:lang w:val="en-US"/>
        </w:rPr>
        <w:t xml:space="preserve"> West, “Canada Stands Alone: A Comparative Analysis of the Extraterritorial Reach of </w:t>
      </w:r>
      <w:r>
        <w:rPr>
          <w:lang w:val="en-US"/>
        </w:rPr>
        <w:t xml:space="preserve">State </w:t>
      </w:r>
      <w:r w:rsidRPr="00C41FF6">
        <w:rPr>
          <w:lang w:val="en-US"/>
        </w:rPr>
        <w:t>Human Rights Obligations”</w:t>
      </w:r>
      <w:r>
        <w:rPr>
          <w:lang w:val="en-US"/>
        </w:rPr>
        <w:t xml:space="preserve"> (</w:t>
      </w:r>
      <w:proofErr w:type="spellStart"/>
      <w:r w:rsidRPr="00A5423C">
        <w:rPr>
          <w:i/>
          <w:lang w:val="en-US"/>
        </w:rPr>
        <w:t>U.B.C</w:t>
      </w:r>
      <w:proofErr w:type="spellEnd"/>
      <w:r w:rsidRPr="00A5423C">
        <w:rPr>
          <w:i/>
          <w:lang w:val="en-US"/>
        </w:rPr>
        <w:t>. L. Rev.</w:t>
      </w:r>
      <w:r>
        <w:rPr>
          <w:lang w:val="en-US"/>
        </w:rPr>
        <w:t>,</w:t>
      </w:r>
      <w:r w:rsidRPr="00C41FF6">
        <w:rPr>
          <w:lang w:val="en-US"/>
        </w:rPr>
        <w:t xml:space="preserve"> forthcoming).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A693E" w14:textId="77777777" w:rsidR="00045352" w:rsidRDefault="00045352">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7277A" w14:textId="79EF4F2A" w:rsidR="00045352" w:rsidRPr="003D79DF" w:rsidRDefault="00045352" w:rsidP="003D79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435F8" w14:textId="77777777" w:rsidR="00045352" w:rsidRDefault="00045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64880"/>
    <w:multiLevelType w:val="hybridMultilevel"/>
    <w:tmpl w:val="0798B13E"/>
    <w:lvl w:ilvl="0" w:tplc="EF64805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8330420"/>
    <w:multiLevelType w:val="hybridMultilevel"/>
    <w:tmpl w:val="DFF20796"/>
    <w:lvl w:ilvl="0" w:tplc="5D9C93F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9904563"/>
    <w:multiLevelType w:val="hybridMultilevel"/>
    <w:tmpl w:val="F35E0468"/>
    <w:lvl w:ilvl="0" w:tplc="25AEE27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7"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D370C2F"/>
    <w:multiLevelType w:val="hybridMultilevel"/>
    <w:tmpl w:val="6DB2CDEA"/>
    <w:lvl w:ilvl="0" w:tplc="66DC8486">
      <w:start w:val="3"/>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26093C"/>
    <w:multiLevelType w:val="hybridMultilevel"/>
    <w:tmpl w:val="7930C180"/>
    <w:lvl w:ilvl="0" w:tplc="2946CA54">
      <w:start w:val="13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83EE8"/>
    <w:multiLevelType w:val="multilevel"/>
    <w:tmpl w:val="5C800C82"/>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906343"/>
    <w:multiLevelType w:val="hybridMultilevel"/>
    <w:tmpl w:val="BA3C2EEA"/>
    <w:lvl w:ilvl="0" w:tplc="ED1851CE">
      <w:start w:val="13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D1B3A"/>
    <w:multiLevelType w:val="hybridMultilevel"/>
    <w:tmpl w:val="F58A445A"/>
    <w:lvl w:ilvl="0" w:tplc="81A4DB7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2"/>
  </w:num>
  <w:num w:numId="2">
    <w:abstractNumId w:val="25"/>
  </w:num>
  <w:num w:numId="3">
    <w:abstractNumId w:val="13"/>
  </w:num>
  <w:num w:numId="4">
    <w:abstractNumId w:val="11"/>
  </w:num>
  <w:num w:numId="5">
    <w:abstractNumId w:val="18"/>
  </w:num>
  <w:num w:numId="6">
    <w:abstractNumId w:val="19"/>
  </w:num>
  <w:num w:numId="7">
    <w:abstractNumId w:val="16"/>
  </w:num>
  <w:num w:numId="8">
    <w:abstractNumId w:val="1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0"/>
  </w:num>
  <w:num w:numId="10">
    <w:abstractNumId w:val="12"/>
  </w:num>
  <w:num w:numId="11">
    <w:abstractNumId w:val="14"/>
  </w:num>
  <w:num w:numId="12">
    <w:abstractNumId w:val="24"/>
  </w:num>
  <w:num w:numId="13">
    <w:abstractNumId w:val="10"/>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5"/>
  </w:num>
  <w:num w:numId="26">
    <w:abstractNumId w:val="21"/>
  </w:num>
  <w:num w:numId="27">
    <w:abstractNumId w:val="23"/>
  </w:num>
  <w:num w:numId="28">
    <w:abstractNumId w:val="1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0683"/>
    <w:rsid w:val="00025198"/>
    <w:rsid w:val="00026CA8"/>
    <w:rsid w:val="00045352"/>
    <w:rsid w:val="0005172F"/>
    <w:rsid w:val="000578A3"/>
    <w:rsid w:val="000648CC"/>
    <w:rsid w:val="00064B33"/>
    <w:rsid w:val="000907CC"/>
    <w:rsid w:val="000918A7"/>
    <w:rsid w:val="000A5AE8"/>
    <w:rsid w:val="000C01D3"/>
    <w:rsid w:val="000C59B8"/>
    <w:rsid w:val="000C6AF0"/>
    <w:rsid w:val="000D0F18"/>
    <w:rsid w:val="000D615E"/>
    <w:rsid w:val="000F47F6"/>
    <w:rsid w:val="001015CB"/>
    <w:rsid w:val="00104653"/>
    <w:rsid w:val="00104F33"/>
    <w:rsid w:val="00107582"/>
    <w:rsid w:val="00111DE2"/>
    <w:rsid w:val="001124D2"/>
    <w:rsid w:val="00116B38"/>
    <w:rsid w:val="001213B1"/>
    <w:rsid w:val="0012448C"/>
    <w:rsid w:val="00131BEA"/>
    <w:rsid w:val="00135406"/>
    <w:rsid w:val="00135972"/>
    <w:rsid w:val="001426A9"/>
    <w:rsid w:val="00154D7C"/>
    <w:rsid w:val="001566DB"/>
    <w:rsid w:val="001570B0"/>
    <w:rsid w:val="0015752C"/>
    <w:rsid w:val="00157737"/>
    <w:rsid w:val="00165277"/>
    <w:rsid w:val="001677C9"/>
    <w:rsid w:val="00170592"/>
    <w:rsid w:val="00176AA0"/>
    <w:rsid w:val="00186351"/>
    <w:rsid w:val="00190E03"/>
    <w:rsid w:val="00195D83"/>
    <w:rsid w:val="001A00C1"/>
    <w:rsid w:val="001B33E0"/>
    <w:rsid w:val="001B4573"/>
    <w:rsid w:val="001C5154"/>
    <w:rsid w:val="001C779F"/>
    <w:rsid w:val="001D1A89"/>
    <w:rsid w:val="001D2AC1"/>
    <w:rsid w:val="001D2DB0"/>
    <w:rsid w:val="001D4E88"/>
    <w:rsid w:val="001E0E89"/>
    <w:rsid w:val="001F41C9"/>
    <w:rsid w:val="0020771A"/>
    <w:rsid w:val="00215C13"/>
    <w:rsid w:val="002175C5"/>
    <w:rsid w:val="00220FC2"/>
    <w:rsid w:val="002222F4"/>
    <w:rsid w:val="00224FC0"/>
    <w:rsid w:val="00225EA4"/>
    <w:rsid w:val="00226EAF"/>
    <w:rsid w:val="00231F3A"/>
    <w:rsid w:val="00234199"/>
    <w:rsid w:val="002406A4"/>
    <w:rsid w:val="002406EE"/>
    <w:rsid w:val="00243EC8"/>
    <w:rsid w:val="00252E57"/>
    <w:rsid w:val="00255EE0"/>
    <w:rsid w:val="00261298"/>
    <w:rsid w:val="00264D04"/>
    <w:rsid w:val="00270192"/>
    <w:rsid w:val="00270A5E"/>
    <w:rsid w:val="00270D93"/>
    <w:rsid w:val="002745CC"/>
    <w:rsid w:val="00277838"/>
    <w:rsid w:val="002804C3"/>
    <w:rsid w:val="002858A3"/>
    <w:rsid w:val="00292542"/>
    <w:rsid w:val="00294297"/>
    <w:rsid w:val="002954C0"/>
    <w:rsid w:val="002B5F09"/>
    <w:rsid w:val="002B755C"/>
    <w:rsid w:val="002B7924"/>
    <w:rsid w:val="002C72B3"/>
    <w:rsid w:val="002D28C3"/>
    <w:rsid w:val="002D39A4"/>
    <w:rsid w:val="002D58DF"/>
    <w:rsid w:val="002E10E4"/>
    <w:rsid w:val="002E2DA2"/>
    <w:rsid w:val="002E55C9"/>
    <w:rsid w:val="002E6705"/>
    <w:rsid w:val="00301D08"/>
    <w:rsid w:val="0030329A"/>
    <w:rsid w:val="0031086F"/>
    <w:rsid w:val="0031414C"/>
    <w:rsid w:val="00314E01"/>
    <w:rsid w:val="0032089D"/>
    <w:rsid w:val="003310DE"/>
    <w:rsid w:val="0033166A"/>
    <w:rsid w:val="003323B0"/>
    <w:rsid w:val="00333AB0"/>
    <w:rsid w:val="0033779F"/>
    <w:rsid w:val="00337A0C"/>
    <w:rsid w:val="00341F88"/>
    <w:rsid w:val="00342E50"/>
    <w:rsid w:val="003444B2"/>
    <w:rsid w:val="0035169A"/>
    <w:rsid w:val="0035259D"/>
    <w:rsid w:val="00364B18"/>
    <w:rsid w:val="00376F9F"/>
    <w:rsid w:val="00384BD7"/>
    <w:rsid w:val="00390007"/>
    <w:rsid w:val="00394421"/>
    <w:rsid w:val="00397FE4"/>
    <w:rsid w:val="003A03EB"/>
    <w:rsid w:val="003A125D"/>
    <w:rsid w:val="003A4C70"/>
    <w:rsid w:val="003A532E"/>
    <w:rsid w:val="003A5A72"/>
    <w:rsid w:val="003B215F"/>
    <w:rsid w:val="003B71E3"/>
    <w:rsid w:val="003C4076"/>
    <w:rsid w:val="003C799C"/>
    <w:rsid w:val="003D0399"/>
    <w:rsid w:val="003D0C95"/>
    <w:rsid w:val="003D10FA"/>
    <w:rsid w:val="003D24F2"/>
    <w:rsid w:val="003D39B1"/>
    <w:rsid w:val="003D79DF"/>
    <w:rsid w:val="003E0C3E"/>
    <w:rsid w:val="003E1C71"/>
    <w:rsid w:val="003E1EDF"/>
    <w:rsid w:val="003E65A6"/>
    <w:rsid w:val="003F327B"/>
    <w:rsid w:val="003F7236"/>
    <w:rsid w:val="003F7AEF"/>
    <w:rsid w:val="00406166"/>
    <w:rsid w:val="0040704B"/>
    <w:rsid w:val="00410A55"/>
    <w:rsid w:val="00411300"/>
    <w:rsid w:val="00415417"/>
    <w:rsid w:val="00426659"/>
    <w:rsid w:val="00431BBC"/>
    <w:rsid w:val="0044363E"/>
    <w:rsid w:val="00450352"/>
    <w:rsid w:val="004515B0"/>
    <w:rsid w:val="00454BDB"/>
    <w:rsid w:val="00457881"/>
    <w:rsid w:val="00462D44"/>
    <w:rsid w:val="00464800"/>
    <w:rsid w:val="00465132"/>
    <w:rsid w:val="00480C90"/>
    <w:rsid w:val="0048396F"/>
    <w:rsid w:val="00493C18"/>
    <w:rsid w:val="004A41F7"/>
    <w:rsid w:val="004A600C"/>
    <w:rsid w:val="004A6118"/>
    <w:rsid w:val="004B2E52"/>
    <w:rsid w:val="004C478D"/>
    <w:rsid w:val="004E2C26"/>
    <w:rsid w:val="004E5816"/>
    <w:rsid w:val="004F36FF"/>
    <w:rsid w:val="004F6F4A"/>
    <w:rsid w:val="00501DB5"/>
    <w:rsid w:val="005125A8"/>
    <w:rsid w:val="00514928"/>
    <w:rsid w:val="00521AE8"/>
    <w:rsid w:val="00527180"/>
    <w:rsid w:val="005301D2"/>
    <w:rsid w:val="0053048D"/>
    <w:rsid w:val="00536B84"/>
    <w:rsid w:val="00541F0E"/>
    <w:rsid w:val="0054201E"/>
    <w:rsid w:val="005441DC"/>
    <w:rsid w:val="0055284C"/>
    <w:rsid w:val="00555291"/>
    <w:rsid w:val="00560F0E"/>
    <w:rsid w:val="00565729"/>
    <w:rsid w:val="00566AD1"/>
    <w:rsid w:val="00576F9D"/>
    <w:rsid w:val="005801B9"/>
    <w:rsid w:val="00583EDE"/>
    <w:rsid w:val="005A6079"/>
    <w:rsid w:val="005B3C03"/>
    <w:rsid w:val="005B6873"/>
    <w:rsid w:val="005E0E07"/>
    <w:rsid w:val="005E4698"/>
    <w:rsid w:val="005E5FD8"/>
    <w:rsid w:val="006055C5"/>
    <w:rsid w:val="006079F9"/>
    <w:rsid w:val="00610539"/>
    <w:rsid w:val="00613085"/>
    <w:rsid w:val="00613969"/>
    <w:rsid w:val="00625C35"/>
    <w:rsid w:val="00632C27"/>
    <w:rsid w:val="0064735C"/>
    <w:rsid w:val="00656313"/>
    <w:rsid w:val="006565F4"/>
    <w:rsid w:val="00672A07"/>
    <w:rsid w:val="00684EEA"/>
    <w:rsid w:val="00695560"/>
    <w:rsid w:val="0069689B"/>
    <w:rsid w:val="006A1551"/>
    <w:rsid w:val="006B14F7"/>
    <w:rsid w:val="006B5FF5"/>
    <w:rsid w:val="006C6319"/>
    <w:rsid w:val="006E2B6E"/>
    <w:rsid w:val="006E2FBB"/>
    <w:rsid w:val="006E47C5"/>
    <w:rsid w:val="006E7DBE"/>
    <w:rsid w:val="006F08A4"/>
    <w:rsid w:val="006F2E32"/>
    <w:rsid w:val="006F30AF"/>
    <w:rsid w:val="00701759"/>
    <w:rsid w:val="00705C15"/>
    <w:rsid w:val="0071600E"/>
    <w:rsid w:val="007208D1"/>
    <w:rsid w:val="00741DAD"/>
    <w:rsid w:val="00747288"/>
    <w:rsid w:val="00747DD3"/>
    <w:rsid w:val="007549C8"/>
    <w:rsid w:val="00754A0B"/>
    <w:rsid w:val="00766D14"/>
    <w:rsid w:val="00767A0F"/>
    <w:rsid w:val="00774A97"/>
    <w:rsid w:val="007852F0"/>
    <w:rsid w:val="00787DEC"/>
    <w:rsid w:val="007A05F6"/>
    <w:rsid w:val="007A375B"/>
    <w:rsid w:val="007B5556"/>
    <w:rsid w:val="007B6F4A"/>
    <w:rsid w:val="007C57CD"/>
    <w:rsid w:val="007D5233"/>
    <w:rsid w:val="007E1882"/>
    <w:rsid w:val="007E1C47"/>
    <w:rsid w:val="007E337A"/>
    <w:rsid w:val="007E5C70"/>
    <w:rsid w:val="007F1EA4"/>
    <w:rsid w:val="007F2FF5"/>
    <w:rsid w:val="007F36B9"/>
    <w:rsid w:val="007F3F08"/>
    <w:rsid w:val="008018D6"/>
    <w:rsid w:val="00804CC6"/>
    <w:rsid w:val="00810DCA"/>
    <w:rsid w:val="00817190"/>
    <w:rsid w:val="008176F7"/>
    <w:rsid w:val="00820EE5"/>
    <w:rsid w:val="008260E2"/>
    <w:rsid w:val="008322BD"/>
    <w:rsid w:val="00832AC2"/>
    <w:rsid w:val="00833E0A"/>
    <w:rsid w:val="00834510"/>
    <w:rsid w:val="00834F73"/>
    <w:rsid w:val="0085669F"/>
    <w:rsid w:val="00864CF8"/>
    <w:rsid w:val="00866126"/>
    <w:rsid w:val="00872819"/>
    <w:rsid w:val="008742AE"/>
    <w:rsid w:val="00874914"/>
    <w:rsid w:val="00876EAA"/>
    <w:rsid w:val="00882042"/>
    <w:rsid w:val="00884A80"/>
    <w:rsid w:val="00887E1B"/>
    <w:rsid w:val="00891422"/>
    <w:rsid w:val="00892E1A"/>
    <w:rsid w:val="008A3F29"/>
    <w:rsid w:val="008A4004"/>
    <w:rsid w:val="008B4DE1"/>
    <w:rsid w:val="008B660A"/>
    <w:rsid w:val="008C01DA"/>
    <w:rsid w:val="008D1BE0"/>
    <w:rsid w:val="008E5E58"/>
    <w:rsid w:val="008F78E9"/>
    <w:rsid w:val="00911989"/>
    <w:rsid w:val="00912212"/>
    <w:rsid w:val="009179F9"/>
    <w:rsid w:val="00931E69"/>
    <w:rsid w:val="009322F0"/>
    <w:rsid w:val="00932F07"/>
    <w:rsid w:val="00933E5E"/>
    <w:rsid w:val="00935218"/>
    <w:rsid w:val="009403F3"/>
    <w:rsid w:val="00941F0F"/>
    <w:rsid w:val="00943CB9"/>
    <w:rsid w:val="00946503"/>
    <w:rsid w:val="009465C5"/>
    <w:rsid w:val="00953798"/>
    <w:rsid w:val="009555B7"/>
    <w:rsid w:val="009567AA"/>
    <w:rsid w:val="00966EF5"/>
    <w:rsid w:val="00967374"/>
    <w:rsid w:val="00993617"/>
    <w:rsid w:val="009A343A"/>
    <w:rsid w:val="009A4881"/>
    <w:rsid w:val="009B2F23"/>
    <w:rsid w:val="009B57B3"/>
    <w:rsid w:val="009B66CA"/>
    <w:rsid w:val="009C5B92"/>
    <w:rsid w:val="009D2920"/>
    <w:rsid w:val="009D5AEB"/>
    <w:rsid w:val="009E1A26"/>
    <w:rsid w:val="009F0E33"/>
    <w:rsid w:val="009F7B70"/>
    <w:rsid w:val="00A030CE"/>
    <w:rsid w:val="00A149DF"/>
    <w:rsid w:val="00A16566"/>
    <w:rsid w:val="00A16F8E"/>
    <w:rsid w:val="00A1755C"/>
    <w:rsid w:val="00A209E3"/>
    <w:rsid w:val="00A21B90"/>
    <w:rsid w:val="00A33F89"/>
    <w:rsid w:val="00A41805"/>
    <w:rsid w:val="00A42DCD"/>
    <w:rsid w:val="00A46863"/>
    <w:rsid w:val="00A52AFB"/>
    <w:rsid w:val="00A548CB"/>
    <w:rsid w:val="00A5521C"/>
    <w:rsid w:val="00A643E7"/>
    <w:rsid w:val="00A64AC7"/>
    <w:rsid w:val="00A73C38"/>
    <w:rsid w:val="00A84C5D"/>
    <w:rsid w:val="00A97CCB"/>
    <w:rsid w:val="00AA2D49"/>
    <w:rsid w:val="00AA33CB"/>
    <w:rsid w:val="00AB3AA1"/>
    <w:rsid w:val="00AB631B"/>
    <w:rsid w:val="00AB670D"/>
    <w:rsid w:val="00AC6471"/>
    <w:rsid w:val="00AE4535"/>
    <w:rsid w:val="00AE5006"/>
    <w:rsid w:val="00AE74AB"/>
    <w:rsid w:val="00AF03C5"/>
    <w:rsid w:val="00AF1A9B"/>
    <w:rsid w:val="00AF28AF"/>
    <w:rsid w:val="00AF47C1"/>
    <w:rsid w:val="00B000D8"/>
    <w:rsid w:val="00B00F75"/>
    <w:rsid w:val="00B01488"/>
    <w:rsid w:val="00B10887"/>
    <w:rsid w:val="00B145B6"/>
    <w:rsid w:val="00B23B7F"/>
    <w:rsid w:val="00B261E9"/>
    <w:rsid w:val="00B26908"/>
    <w:rsid w:val="00B279EB"/>
    <w:rsid w:val="00B325EF"/>
    <w:rsid w:val="00B342A1"/>
    <w:rsid w:val="00B4188D"/>
    <w:rsid w:val="00B50C81"/>
    <w:rsid w:val="00B557F8"/>
    <w:rsid w:val="00B66116"/>
    <w:rsid w:val="00B735A7"/>
    <w:rsid w:val="00B74F86"/>
    <w:rsid w:val="00B815FC"/>
    <w:rsid w:val="00B85EF3"/>
    <w:rsid w:val="00B93FBC"/>
    <w:rsid w:val="00BA0064"/>
    <w:rsid w:val="00BA7DA0"/>
    <w:rsid w:val="00BB2EE4"/>
    <w:rsid w:val="00BC17EE"/>
    <w:rsid w:val="00BC2108"/>
    <w:rsid w:val="00BD0E9E"/>
    <w:rsid w:val="00BD1BEC"/>
    <w:rsid w:val="00BD32FF"/>
    <w:rsid w:val="00BF44A5"/>
    <w:rsid w:val="00BF5A9C"/>
    <w:rsid w:val="00C02092"/>
    <w:rsid w:val="00C03EFB"/>
    <w:rsid w:val="00C12C06"/>
    <w:rsid w:val="00C24D91"/>
    <w:rsid w:val="00C27DB2"/>
    <w:rsid w:val="00C3217A"/>
    <w:rsid w:val="00C32337"/>
    <w:rsid w:val="00C51A7D"/>
    <w:rsid w:val="00C52195"/>
    <w:rsid w:val="00C53F14"/>
    <w:rsid w:val="00C600CF"/>
    <w:rsid w:val="00C60108"/>
    <w:rsid w:val="00C6084F"/>
    <w:rsid w:val="00C62A66"/>
    <w:rsid w:val="00C71458"/>
    <w:rsid w:val="00C71A84"/>
    <w:rsid w:val="00C77613"/>
    <w:rsid w:val="00C828E7"/>
    <w:rsid w:val="00C86719"/>
    <w:rsid w:val="00C86ADB"/>
    <w:rsid w:val="00C921DD"/>
    <w:rsid w:val="00C92B36"/>
    <w:rsid w:val="00C9325A"/>
    <w:rsid w:val="00CA6391"/>
    <w:rsid w:val="00CB3E05"/>
    <w:rsid w:val="00CC34BD"/>
    <w:rsid w:val="00CD1730"/>
    <w:rsid w:val="00CD6C90"/>
    <w:rsid w:val="00CE161A"/>
    <w:rsid w:val="00CE3171"/>
    <w:rsid w:val="00CE400F"/>
    <w:rsid w:val="00CF1601"/>
    <w:rsid w:val="00CF29E2"/>
    <w:rsid w:val="00CF4F09"/>
    <w:rsid w:val="00D0172F"/>
    <w:rsid w:val="00D068A7"/>
    <w:rsid w:val="00D14E43"/>
    <w:rsid w:val="00D15FE3"/>
    <w:rsid w:val="00D17476"/>
    <w:rsid w:val="00D32086"/>
    <w:rsid w:val="00D33242"/>
    <w:rsid w:val="00D35DAE"/>
    <w:rsid w:val="00D37A3F"/>
    <w:rsid w:val="00D4431D"/>
    <w:rsid w:val="00D45AF0"/>
    <w:rsid w:val="00D4667A"/>
    <w:rsid w:val="00D51D76"/>
    <w:rsid w:val="00D63A1C"/>
    <w:rsid w:val="00D6744C"/>
    <w:rsid w:val="00D6786F"/>
    <w:rsid w:val="00D73970"/>
    <w:rsid w:val="00D7516F"/>
    <w:rsid w:val="00D7655B"/>
    <w:rsid w:val="00D76BEA"/>
    <w:rsid w:val="00D80E58"/>
    <w:rsid w:val="00D8579F"/>
    <w:rsid w:val="00D87F1E"/>
    <w:rsid w:val="00D934EA"/>
    <w:rsid w:val="00D95F8E"/>
    <w:rsid w:val="00D97077"/>
    <w:rsid w:val="00DA0590"/>
    <w:rsid w:val="00DB7BEA"/>
    <w:rsid w:val="00DC1739"/>
    <w:rsid w:val="00DC1788"/>
    <w:rsid w:val="00DC4420"/>
    <w:rsid w:val="00DE319C"/>
    <w:rsid w:val="00DF0CA8"/>
    <w:rsid w:val="00DF2B48"/>
    <w:rsid w:val="00DF3C64"/>
    <w:rsid w:val="00DF49A7"/>
    <w:rsid w:val="00DF5A9A"/>
    <w:rsid w:val="00E04266"/>
    <w:rsid w:val="00E04DAA"/>
    <w:rsid w:val="00E07165"/>
    <w:rsid w:val="00E07EE2"/>
    <w:rsid w:val="00E07FD1"/>
    <w:rsid w:val="00E176D8"/>
    <w:rsid w:val="00E24573"/>
    <w:rsid w:val="00E25E1E"/>
    <w:rsid w:val="00E27EE7"/>
    <w:rsid w:val="00E35404"/>
    <w:rsid w:val="00E42301"/>
    <w:rsid w:val="00E45109"/>
    <w:rsid w:val="00E47B7A"/>
    <w:rsid w:val="00E54034"/>
    <w:rsid w:val="00E56A44"/>
    <w:rsid w:val="00E60269"/>
    <w:rsid w:val="00E61F9A"/>
    <w:rsid w:val="00E6244B"/>
    <w:rsid w:val="00E6542F"/>
    <w:rsid w:val="00E70AE9"/>
    <w:rsid w:val="00E77932"/>
    <w:rsid w:val="00E87BD0"/>
    <w:rsid w:val="00E94094"/>
    <w:rsid w:val="00E96FE9"/>
    <w:rsid w:val="00E97830"/>
    <w:rsid w:val="00EA6A00"/>
    <w:rsid w:val="00EA719E"/>
    <w:rsid w:val="00EC4FDF"/>
    <w:rsid w:val="00ED61E2"/>
    <w:rsid w:val="00ED6BF4"/>
    <w:rsid w:val="00ED7406"/>
    <w:rsid w:val="00EE4449"/>
    <w:rsid w:val="00EE643C"/>
    <w:rsid w:val="00EF0683"/>
    <w:rsid w:val="00EF69D2"/>
    <w:rsid w:val="00EF766E"/>
    <w:rsid w:val="00F0070C"/>
    <w:rsid w:val="00F00EB7"/>
    <w:rsid w:val="00F109C2"/>
    <w:rsid w:val="00F16078"/>
    <w:rsid w:val="00F36AB6"/>
    <w:rsid w:val="00F37A09"/>
    <w:rsid w:val="00F409CE"/>
    <w:rsid w:val="00F4379D"/>
    <w:rsid w:val="00F50D2D"/>
    <w:rsid w:val="00F52CDC"/>
    <w:rsid w:val="00F533B5"/>
    <w:rsid w:val="00F56C8B"/>
    <w:rsid w:val="00F60241"/>
    <w:rsid w:val="00F66810"/>
    <w:rsid w:val="00F71650"/>
    <w:rsid w:val="00F80C8B"/>
    <w:rsid w:val="00F8257B"/>
    <w:rsid w:val="00F846D9"/>
    <w:rsid w:val="00F84DF4"/>
    <w:rsid w:val="00F85C97"/>
    <w:rsid w:val="00F9032E"/>
    <w:rsid w:val="00F937A6"/>
    <w:rsid w:val="00F945B9"/>
    <w:rsid w:val="00FA7CEF"/>
    <w:rsid w:val="00FB2E65"/>
    <w:rsid w:val="00FB37D2"/>
    <w:rsid w:val="00FC0AE2"/>
    <w:rsid w:val="00FC38F5"/>
    <w:rsid w:val="00FC4EFB"/>
    <w:rsid w:val="00FC71E7"/>
    <w:rsid w:val="00FD068D"/>
    <w:rsid w:val="00FD4F28"/>
    <w:rsid w:val="00FE3D98"/>
    <w:rsid w:val="00FE4695"/>
    <w:rsid w:val="00FE6784"/>
    <w:rsid w:val="00FF0E4F"/>
    <w:rsid w:val="00F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531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352"/>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465C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A16566"/>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A16566"/>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A16566"/>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A16566"/>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A16566"/>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A16566"/>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Heading3Char">
    <w:name w:val="Heading 3 Char"/>
    <w:basedOn w:val="DefaultParagraphFont"/>
    <w:link w:val="Heading3"/>
    <w:uiPriority w:val="9"/>
    <w:semiHidden/>
    <w:rsid w:val="009465C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E65A6"/>
    <w:rPr>
      <w:color w:val="660000"/>
      <w:u w:val="none"/>
    </w:rPr>
  </w:style>
  <w:style w:type="character" w:styleId="CommentReference">
    <w:name w:val="annotation reference"/>
    <w:basedOn w:val="DefaultParagraphFont"/>
    <w:uiPriority w:val="99"/>
    <w:semiHidden/>
    <w:unhideWhenUsed/>
    <w:rsid w:val="00FF6DA2"/>
    <w:rPr>
      <w:sz w:val="16"/>
      <w:szCs w:val="16"/>
    </w:rPr>
  </w:style>
  <w:style w:type="paragraph" w:styleId="CommentText">
    <w:name w:val="annotation text"/>
    <w:basedOn w:val="Normal"/>
    <w:link w:val="CommentTextChar"/>
    <w:uiPriority w:val="99"/>
    <w:unhideWhenUsed/>
    <w:rsid w:val="00FF6DA2"/>
    <w:rPr>
      <w:sz w:val="20"/>
    </w:rPr>
  </w:style>
  <w:style w:type="character" w:customStyle="1" w:styleId="CommentTextChar">
    <w:name w:val="Comment Text Char"/>
    <w:basedOn w:val="DefaultParagraphFont"/>
    <w:link w:val="CommentText"/>
    <w:uiPriority w:val="99"/>
    <w:rsid w:val="00FF6DA2"/>
  </w:style>
  <w:style w:type="paragraph" w:styleId="CommentSubject">
    <w:name w:val="annotation subject"/>
    <w:basedOn w:val="CommentText"/>
    <w:next w:val="CommentText"/>
    <w:link w:val="CommentSubjectChar"/>
    <w:uiPriority w:val="99"/>
    <w:semiHidden/>
    <w:unhideWhenUsed/>
    <w:rsid w:val="00BF44A5"/>
    <w:rPr>
      <w:b/>
      <w:bCs/>
    </w:rPr>
  </w:style>
  <w:style w:type="character" w:customStyle="1" w:styleId="CommentSubjectChar">
    <w:name w:val="Comment Subject Char"/>
    <w:basedOn w:val="CommentTextChar"/>
    <w:link w:val="CommentSubject"/>
    <w:uiPriority w:val="99"/>
    <w:semiHidden/>
    <w:rsid w:val="00BF44A5"/>
    <w:rPr>
      <w:b/>
      <w:bCs/>
    </w:rPr>
  </w:style>
  <w:style w:type="character" w:customStyle="1" w:styleId="solexhl">
    <w:name w:val="solexhl"/>
    <w:basedOn w:val="DefaultParagraphFont"/>
    <w:rsid w:val="00264D04"/>
  </w:style>
  <w:style w:type="character" w:customStyle="1" w:styleId="sccrespondentforrunningheadchar0">
    <w:name w:val="sccrespondentforrunningheadchar"/>
    <w:basedOn w:val="DefaultParagraphFont"/>
    <w:rsid w:val="00F71650"/>
  </w:style>
  <w:style w:type="character" w:customStyle="1" w:styleId="reflex3-block">
    <w:name w:val="reflex3-block"/>
    <w:basedOn w:val="DefaultParagraphFont"/>
    <w:rsid w:val="005801B9"/>
  </w:style>
  <w:style w:type="character" w:customStyle="1" w:styleId="sccappellantforrunningheadchar0">
    <w:name w:val="sccappellantforrunningheadchar"/>
    <w:basedOn w:val="DefaultParagraphFont"/>
    <w:rsid w:val="007E1882"/>
  </w:style>
  <w:style w:type="paragraph" w:customStyle="1" w:styleId="ParaNoNdepar-AltN">
    <w:name w:val="Para. No. / Nº de par. - Alt N"/>
    <w:link w:val="ParaNoNdepar-AltNChar"/>
    <w:qFormat/>
    <w:rsid w:val="00C92B36"/>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C92B36"/>
    <w:rPr>
      <w:rFonts w:eastAsiaTheme="minorEastAsia" w:cstheme="minorBidi"/>
      <w:sz w:val="24"/>
      <w:szCs w:val="22"/>
      <w:lang w:eastAsia="en-US"/>
    </w:rPr>
  </w:style>
  <w:style w:type="paragraph" w:customStyle="1" w:styleId="SCCCoram">
    <w:name w:val="SCC.Coram"/>
    <w:basedOn w:val="Normal"/>
    <w:next w:val="Normal"/>
    <w:link w:val="SCCCoramChar"/>
    <w:rsid w:val="00832AC2"/>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832AC2"/>
    <w:rPr>
      <w:rFonts w:eastAsiaTheme="minorHAnsi" w:cstheme="minorBidi"/>
      <w:sz w:val="24"/>
      <w:szCs w:val="22"/>
      <w:lang w:val="en-US" w:eastAsia="en-US" w:bidi="en-US"/>
    </w:rPr>
  </w:style>
  <w:style w:type="paragraph" w:styleId="FootnoteText">
    <w:name w:val="footnote text"/>
    <w:basedOn w:val="Normal"/>
    <w:link w:val="FootnoteTextChar"/>
    <w:uiPriority w:val="99"/>
    <w:unhideWhenUsed/>
    <w:rsid w:val="00AE5006"/>
    <w:rPr>
      <w:sz w:val="20"/>
    </w:rPr>
  </w:style>
  <w:style w:type="character" w:customStyle="1" w:styleId="FootnoteTextChar">
    <w:name w:val="Footnote Text Char"/>
    <w:basedOn w:val="DefaultParagraphFont"/>
    <w:link w:val="FootnoteText"/>
    <w:uiPriority w:val="99"/>
    <w:rsid w:val="00AE5006"/>
  </w:style>
  <w:style w:type="character" w:styleId="FootnoteReference">
    <w:name w:val="footnote reference"/>
    <w:basedOn w:val="DefaultParagraphFont"/>
    <w:uiPriority w:val="99"/>
    <w:semiHidden/>
    <w:unhideWhenUsed/>
    <w:rsid w:val="00AE5006"/>
    <w:rPr>
      <w:vertAlign w:val="superscript"/>
    </w:rPr>
  </w:style>
  <w:style w:type="character" w:styleId="FollowedHyperlink">
    <w:name w:val="FollowedHyperlink"/>
    <w:basedOn w:val="DefaultParagraphFont"/>
    <w:uiPriority w:val="99"/>
    <w:semiHidden/>
    <w:unhideWhenUsed/>
    <w:rsid w:val="00B66116"/>
    <w:rPr>
      <w:color w:val="800080" w:themeColor="followedHyperlink"/>
      <w:u w:val="single"/>
    </w:rPr>
  </w:style>
  <w:style w:type="character" w:customStyle="1" w:styleId="Heading4Char">
    <w:name w:val="Heading 4 Char"/>
    <w:basedOn w:val="DefaultParagraphFont"/>
    <w:link w:val="Heading4"/>
    <w:uiPriority w:val="9"/>
    <w:semiHidden/>
    <w:rsid w:val="00A16566"/>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A16566"/>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A16566"/>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A16566"/>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A16566"/>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16566"/>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A16566"/>
    <w:pPr>
      <w:spacing w:after="480"/>
    </w:pPr>
    <w:rPr>
      <w:rFonts w:eastAsiaTheme="minorHAnsi" w:cstheme="minorBidi"/>
      <w:szCs w:val="22"/>
      <w:lang w:val="en-US" w:eastAsia="en-US" w:bidi="en-US"/>
    </w:rPr>
  </w:style>
  <w:style w:type="character" w:customStyle="1" w:styleId="SCCLsocOtherPartyRoleSeparatorChar">
    <w:name w:val="SCC.Lsoc.OtherPartyRoleSeparator Char"/>
    <w:basedOn w:val="DefaultParagraphFont"/>
    <w:link w:val="SCCLsocOtherPartyRoleSeparator"/>
    <w:rsid w:val="00A16566"/>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A16566"/>
    <w:rPr>
      <w:b/>
      <w:sz w:val="24"/>
    </w:rPr>
  </w:style>
  <w:style w:type="table" w:styleId="TableGrid">
    <w:name w:val="Table Grid"/>
    <w:basedOn w:val="TableNormal"/>
    <w:uiPriority w:val="59"/>
    <w:rsid w:val="00A16566"/>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16566"/>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A16566"/>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A16566"/>
    <w:pPr>
      <w:tabs>
        <w:tab w:val="left" w:pos="1260"/>
      </w:tabs>
      <w:spacing w:after="480" w:line="480" w:lineRule="auto"/>
    </w:pPr>
    <w:rPr>
      <w:smallCaps/>
      <w:sz w:val="24"/>
    </w:rPr>
  </w:style>
  <w:style w:type="paragraph" w:customStyle="1" w:styleId="Title1LevelTitre1Niveau-AltL">
    <w:name w:val="Title 1 Level / Titre 1 Niveau - Alt L"/>
    <w:next w:val="ParaNoNdepar-AltN"/>
    <w:uiPriority w:val="4"/>
    <w:qFormat/>
    <w:rsid w:val="00A16566"/>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16566"/>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16566"/>
    <w:pPr>
      <w:numPr>
        <w:ilvl w:val="2"/>
      </w:numPr>
      <w:outlineLvl w:val="2"/>
    </w:pPr>
  </w:style>
  <w:style w:type="paragraph" w:customStyle="1" w:styleId="Title4LevelTitre4Niveau">
    <w:name w:val="Title 4 Level / Titre 4 Niveau"/>
    <w:basedOn w:val="Title3LevelTitre3Niveau"/>
    <w:next w:val="ParaNoNdepar-AltN"/>
    <w:uiPriority w:val="4"/>
    <w:qFormat/>
    <w:rsid w:val="00A16566"/>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A16566"/>
    <w:pPr>
      <w:numPr>
        <w:ilvl w:val="4"/>
      </w:numPr>
      <w:tabs>
        <w:tab w:val="clear" w:pos="1728"/>
        <w:tab w:val="num" w:pos="1440"/>
      </w:tabs>
      <w:outlineLvl w:val="4"/>
    </w:pPr>
  </w:style>
  <w:style w:type="paragraph" w:styleId="TOC1">
    <w:name w:val="toc 1"/>
    <w:basedOn w:val="Normal"/>
    <w:next w:val="Normal"/>
    <w:autoRedefine/>
    <w:uiPriority w:val="39"/>
    <w:unhideWhenUsed/>
    <w:rsid w:val="00A16566"/>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A16566"/>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A16566"/>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A16566"/>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A16566"/>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A16566"/>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A16566"/>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A16566"/>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16566"/>
    <w:pPr>
      <w:numPr>
        <w:ilvl w:val="5"/>
      </w:numPr>
      <w:jc w:val="both"/>
      <w:outlineLvl w:val="5"/>
    </w:pPr>
    <w:rPr>
      <w:i/>
      <w:u w:val="none"/>
    </w:rPr>
  </w:style>
  <w:style w:type="paragraph" w:styleId="ListParagraph">
    <w:name w:val="List Paragraph"/>
    <w:basedOn w:val="Normal"/>
    <w:uiPriority w:val="34"/>
    <w:rsid w:val="00A16566"/>
    <w:pPr>
      <w:ind w:left="720"/>
      <w:contextualSpacing/>
    </w:pPr>
    <w:rPr>
      <w:rFonts w:eastAsiaTheme="minorHAnsi" w:cstheme="minorBidi"/>
      <w:szCs w:val="22"/>
      <w:lang w:val="en-US" w:eastAsia="en-US" w:bidi="en-US"/>
    </w:rPr>
  </w:style>
  <w:style w:type="character" w:customStyle="1" w:styleId="sectionlabel">
    <w:name w:val="sectionlabel"/>
    <w:basedOn w:val="DefaultParagraphFont"/>
    <w:rsid w:val="00A16566"/>
    <w:rPr>
      <w:b/>
      <w:bCs/>
      <w:color w:val="000000"/>
    </w:rPr>
  </w:style>
  <w:style w:type="paragraph" w:customStyle="1" w:styleId="subsection">
    <w:name w:val="subsection"/>
    <w:basedOn w:val="Normal"/>
    <w:rsid w:val="00A16566"/>
    <w:pPr>
      <w:spacing w:before="168" w:after="120"/>
    </w:pPr>
    <w:rPr>
      <w:rFonts w:eastAsiaTheme="minorHAnsi" w:cstheme="minorBidi"/>
      <w:szCs w:val="22"/>
      <w:lang w:val="en-US" w:eastAsia="en-US" w:bidi="en-US"/>
    </w:rPr>
  </w:style>
  <w:style w:type="character" w:customStyle="1" w:styleId="lawlabel">
    <w:name w:val="lawlabel"/>
    <w:basedOn w:val="DefaultParagraphFont"/>
    <w:rsid w:val="00A16566"/>
  </w:style>
  <w:style w:type="character" w:customStyle="1" w:styleId="lawlabel2">
    <w:name w:val="lawlabel2"/>
    <w:basedOn w:val="DefaultParagraphFont"/>
    <w:rsid w:val="00A16566"/>
    <w:rPr>
      <w:b/>
      <w:bCs/>
      <w:color w:val="000000"/>
    </w:rPr>
  </w:style>
  <w:style w:type="character" w:styleId="HTMLCite">
    <w:name w:val="HTML Cite"/>
    <w:basedOn w:val="DefaultParagraphFont"/>
    <w:uiPriority w:val="99"/>
    <w:semiHidden/>
    <w:unhideWhenUsed/>
    <w:rsid w:val="00A16566"/>
    <w:rPr>
      <w:i/>
      <w:iCs/>
    </w:rPr>
  </w:style>
  <w:style w:type="paragraph" w:customStyle="1" w:styleId="continuedsectionsubsection">
    <w:name w:val="continuedsectionsubsection"/>
    <w:basedOn w:val="Normal"/>
    <w:rsid w:val="00A16566"/>
    <w:pPr>
      <w:spacing w:before="168" w:after="120"/>
    </w:pPr>
    <w:rPr>
      <w:rFonts w:eastAsiaTheme="minorHAnsi" w:cstheme="minorBidi"/>
      <w:szCs w:val="22"/>
      <w:lang w:val="en-US" w:eastAsia="en-US" w:bidi="en-US"/>
    </w:rPr>
  </w:style>
  <w:style w:type="character" w:customStyle="1" w:styleId="citationcar">
    <w:name w:val="citationcar"/>
    <w:basedOn w:val="DefaultParagraphFont"/>
    <w:rsid w:val="00A16566"/>
  </w:style>
  <w:style w:type="paragraph" w:customStyle="1" w:styleId="para">
    <w:name w:val="para"/>
    <w:basedOn w:val="Normal"/>
    <w:rsid w:val="00A16566"/>
    <w:pPr>
      <w:spacing w:before="100" w:beforeAutospacing="1" w:after="100" w:afterAutospacing="1"/>
    </w:pPr>
    <w:rPr>
      <w:rFonts w:eastAsiaTheme="minorHAnsi" w:cstheme="minorBidi"/>
      <w:szCs w:val="22"/>
      <w:lang w:val="en-US" w:eastAsia="en-US" w:bidi="en-US"/>
    </w:rPr>
  </w:style>
  <w:style w:type="character" w:customStyle="1" w:styleId="JudgeJugeChar">
    <w:name w:val="Judge / Juge Char"/>
    <w:basedOn w:val="DefaultParagraphFont"/>
    <w:link w:val="JudgeJuge"/>
    <w:uiPriority w:val="3"/>
    <w:rsid w:val="00A16566"/>
    <w:rPr>
      <w:smallCaps/>
      <w:sz w:val="24"/>
    </w:rPr>
  </w:style>
  <w:style w:type="paragraph" w:styleId="NoSpacing">
    <w:name w:val="No Spacing"/>
    <w:uiPriority w:val="1"/>
    <w:rsid w:val="00A16566"/>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A16566"/>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A16566"/>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A16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A16566"/>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A16566"/>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A16566"/>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A16566"/>
    <w:rPr>
      <w:i/>
      <w:iCs/>
    </w:rPr>
  </w:style>
  <w:style w:type="paragraph" w:styleId="IntenseQuote">
    <w:name w:val="Intense Quote"/>
    <w:basedOn w:val="Normal"/>
    <w:next w:val="Normal"/>
    <w:link w:val="IntenseQuoteChar"/>
    <w:uiPriority w:val="30"/>
    <w:rsid w:val="00A16566"/>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A16566"/>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A16566"/>
    <w:rPr>
      <w:i/>
      <w:iCs/>
      <w:color w:val="808080" w:themeColor="text1" w:themeTint="7F"/>
    </w:rPr>
  </w:style>
  <w:style w:type="character" w:styleId="IntenseEmphasis">
    <w:name w:val="Intense Emphasis"/>
    <w:basedOn w:val="DefaultParagraphFont"/>
    <w:uiPriority w:val="21"/>
    <w:rsid w:val="00A16566"/>
    <w:rPr>
      <w:b/>
      <w:bCs/>
      <w:i/>
      <w:iCs/>
      <w:color w:val="4F81BD" w:themeColor="accent1"/>
    </w:rPr>
  </w:style>
  <w:style w:type="character" w:styleId="SubtleReference">
    <w:name w:val="Subtle Reference"/>
    <w:basedOn w:val="DefaultParagraphFont"/>
    <w:uiPriority w:val="31"/>
    <w:rsid w:val="00A16566"/>
    <w:rPr>
      <w:smallCaps/>
      <w:color w:val="C0504D" w:themeColor="accent2"/>
      <w:u w:val="single"/>
    </w:rPr>
  </w:style>
  <w:style w:type="character" w:styleId="IntenseReference">
    <w:name w:val="Intense Reference"/>
    <w:basedOn w:val="DefaultParagraphFont"/>
    <w:uiPriority w:val="32"/>
    <w:rsid w:val="00A16566"/>
    <w:rPr>
      <w:b/>
      <w:bCs/>
      <w:smallCaps/>
      <w:color w:val="C0504D" w:themeColor="accent2"/>
      <w:spacing w:val="5"/>
      <w:u w:val="single"/>
    </w:rPr>
  </w:style>
  <w:style w:type="character" w:styleId="BookTitle">
    <w:name w:val="Book Title"/>
    <w:basedOn w:val="DefaultParagraphFont"/>
    <w:uiPriority w:val="33"/>
    <w:rsid w:val="00A16566"/>
    <w:rPr>
      <w:b/>
      <w:bCs/>
      <w:smallCaps/>
      <w:spacing w:val="5"/>
    </w:rPr>
  </w:style>
  <w:style w:type="paragraph" w:styleId="Revision">
    <w:name w:val="Revision"/>
    <w:hidden/>
    <w:uiPriority w:val="99"/>
    <w:semiHidden/>
    <w:rsid w:val="00A16566"/>
    <w:rPr>
      <w:rFonts w:eastAsiaTheme="minorHAnsi" w:cstheme="minorBidi"/>
      <w:sz w:val="24"/>
      <w:szCs w:val="22"/>
      <w:lang w:val="en-US" w:eastAsia="en-US" w:bidi="en-US"/>
    </w:rPr>
  </w:style>
  <w:style w:type="character" w:customStyle="1" w:styleId="normaltextrun">
    <w:name w:val="normaltextrun"/>
    <w:basedOn w:val="DefaultParagraphFont"/>
    <w:rsid w:val="00A16566"/>
  </w:style>
  <w:style w:type="character" w:customStyle="1" w:styleId="ui-provider">
    <w:name w:val="ui-provider"/>
    <w:basedOn w:val="DefaultParagraphFont"/>
    <w:rsid w:val="00A16566"/>
  </w:style>
  <w:style w:type="table" w:customStyle="1" w:styleId="TableGrid2">
    <w:name w:val="Table Grid2"/>
    <w:basedOn w:val="TableNormal"/>
    <w:next w:val="TableGrid"/>
    <w:uiPriority w:val="59"/>
    <w:rsid w:val="00A1656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5807">
      <w:bodyDiv w:val="1"/>
      <w:marLeft w:val="0"/>
      <w:marRight w:val="0"/>
      <w:marTop w:val="0"/>
      <w:marBottom w:val="0"/>
      <w:divBdr>
        <w:top w:val="none" w:sz="0" w:space="0" w:color="auto"/>
        <w:left w:val="none" w:sz="0" w:space="0" w:color="auto"/>
        <w:bottom w:val="none" w:sz="0" w:space="0" w:color="auto"/>
        <w:right w:val="none" w:sz="0" w:space="0" w:color="auto"/>
      </w:divBdr>
    </w:div>
    <w:div w:id="303776066">
      <w:bodyDiv w:val="1"/>
      <w:marLeft w:val="0"/>
      <w:marRight w:val="0"/>
      <w:marTop w:val="0"/>
      <w:marBottom w:val="0"/>
      <w:divBdr>
        <w:top w:val="none" w:sz="0" w:space="0" w:color="auto"/>
        <w:left w:val="none" w:sz="0" w:space="0" w:color="auto"/>
        <w:bottom w:val="none" w:sz="0" w:space="0" w:color="auto"/>
        <w:right w:val="none" w:sz="0" w:space="0" w:color="auto"/>
      </w:divBdr>
    </w:div>
    <w:div w:id="101993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c-csc.ca/cso-dce/2023SCC-CSC4_2_eng.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c-csc.ca/ar-lr/notices-avis/21-11-eng.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c-csc.ca/cso-dce/2023SCC-CSC4_1_eng.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c-csc.ca/ar-lr/notices-avis/17-03-eng.asp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yperlink" Target="https://www.cmac-cacm.ca/Content/assets/pdf/Reports-2016-2020/CMAR-CACM_8_481_2020CMAC-CACM8_McGregor.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A8EB-6677-45A0-A3D1-9F48181A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21847</Words>
  <Characters>114685</Characters>
  <Application>Microsoft Office Word</Application>
  <DocSecurity>0</DocSecurity>
  <Lines>955</Lines>
  <Paragraphs>272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136260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2023-02-17T11:32:00Z</dcterms:created>
  <dcterms:modified xsi:type="dcterms:W3CDTF">2023-03-10T13:55:00Z</dcterms:modified>
</cp:coreProperties>
</file>