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269"/>
        <w:gridCol w:w="1561"/>
        <w:gridCol w:w="1439"/>
        <w:gridCol w:w="3945"/>
      </w:tblGrid>
      <w:tr w:rsidR="00EF72F1" w:rsidRPr="0070740B" w:rsidTr="009B58B8">
        <w:trPr>
          <w:trHeight w:val="2103"/>
        </w:trPr>
        <w:tc>
          <w:tcPr>
            <w:tcW w:w="5000" w:type="pct"/>
            <w:gridSpan w:val="4"/>
          </w:tcPr>
          <w:p w:rsidR="00EF72F1" w:rsidRPr="0070740B" w:rsidRDefault="00EF72F1" w:rsidP="001F3E0C">
            <w:pPr>
              <w:pStyle w:val="SCCBold"/>
              <w:jc w:val="center"/>
            </w:pPr>
            <w:bookmarkStart w:id="0" w:name="_GoBack"/>
            <w:bookmarkEnd w:id="0"/>
            <w:r w:rsidRPr="0070740B">
              <w:rPr>
                <w:noProof/>
                <w:lang w:val="fr-CA" w:eastAsia="fr-CA"/>
              </w:rPr>
              <w:drawing>
                <wp:inline distT="0" distB="0" distL="0" distR="0" wp14:anchorId="1B25E650" wp14:editId="180151F3">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EF72F1" w:rsidRPr="0070740B" w:rsidRDefault="00EF72F1" w:rsidP="009764CA">
            <w:pPr>
              <w:spacing w:before="120" w:after="100" w:afterAutospacing="1"/>
              <w:jc w:val="center"/>
              <w:rPr>
                <w:rFonts w:eastAsia="Calibri"/>
              </w:rPr>
            </w:pPr>
            <w:r w:rsidRPr="0070740B">
              <w:rPr>
                <w:rFonts w:eastAsia="Calibri"/>
                <w:b/>
              </w:rPr>
              <w:t>SUPREME COURT OF CANADA</w:t>
            </w:r>
          </w:p>
        </w:tc>
      </w:tr>
      <w:tr w:rsidR="00EF72F1" w:rsidRPr="0070740B" w:rsidTr="009B58B8">
        <w:tblPrEx>
          <w:tblCellMar>
            <w:top w:w="58" w:type="dxa"/>
            <w:left w:w="58" w:type="dxa"/>
            <w:bottom w:w="58" w:type="dxa"/>
            <w:right w:w="58" w:type="dxa"/>
          </w:tblCellMar>
        </w:tblPrEx>
        <w:trPr>
          <w:cantSplit/>
        </w:trPr>
        <w:tc>
          <w:tcPr>
            <w:tcW w:w="2078" w:type="pct"/>
            <w:gridSpan w:val="2"/>
          </w:tcPr>
          <w:p w:rsidR="00EF72F1" w:rsidRPr="0070740B" w:rsidRDefault="00EF72F1" w:rsidP="00FC2782">
            <w:pPr>
              <w:rPr>
                <w:b/>
                <w:smallCaps/>
                <w:lang w:val="fr-CA"/>
              </w:rPr>
            </w:pPr>
          </w:p>
          <w:p w:rsidR="00E50991" w:rsidRPr="0070740B" w:rsidRDefault="00EF72F1" w:rsidP="00E50991">
            <w:pPr>
              <w:rPr>
                <w:lang w:val="fr-CA"/>
              </w:rPr>
            </w:pPr>
            <w:r w:rsidRPr="0070740B">
              <w:rPr>
                <w:b/>
                <w:smallCaps/>
                <w:lang w:val="fr-CA"/>
              </w:rPr>
              <w:t>Citation:</w:t>
            </w:r>
            <w:r w:rsidRPr="0070740B">
              <w:rPr>
                <w:lang w:val="fr-CA"/>
              </w:rPr>
              <w:t xml:space="preserve"> </w:t>
            </w:r>
            <w:bookmarkStart w:id="1" w:name="_MailEndCompose"/>
            <w:r w:rsidR="00E50991" w:rsidRPr="0070740B">
              <w:rPr>
                <w:lang w:val="fr-CA"/>
              </w:rPr>
              <w:t xml:space="preserve">R. </w:t>
            </w:r>
            <w:r w:rsidR="00E50991" w:rsidRPr="0070740B">
              <w:rPr>
                <w:i/>
                <w:lang w:val="fr-CA"/>
              </w:rPr>
              <w:t>v.</w:t>
            </w:r>
            <w:r w:rsidR="00E50991" w:rsidRPr="0070740B">
              <w:rPr>
                <w:lang w:val="fr-CA"/>
              </w:rPr>
              <w:t xml:space="preserve"> Vu, 2024 SCC 1</w:t>
            </w:r>
            <w:bookmarkEnd w:id="1"/>
          </w:p>
          <w:p w:rsidR="00EF72F1" w:rsidRPr="0070740B" w:rsidRDefault="00EF72F1" w:rsidP="00FC2782">
            <w:pPr>
              <w:rPr>
                <w:b/>
                <w:smallCaps/>
                <w:lang w:val="fr-CA"/>
              </w:rPr>
            </w:pPr>
          </w:p>
        </w:tc>
        <w:tc>
          <w:tcPr>
            <w:tcW w:w="781" w:type="pct"/>
          </w:tcPr>
          <w:p w:rsidR="00EF72F1" w:rsidRPr="0070740B" w:rsidRDefault="00EF72F1" w:rsidP="00FC2782">
            <w:pPr>
              <w:rPr>
                <w:lang w:val="fr-CA"/>
              </w:rPr>
            </w:pPr>
          </w:p>
        </w:tc>
        <w:tc>
          <w:tcPr>
            <w:tcW w:w="2141" w:type="pct"/>
          </w:tcPr>
          <w:p w:rsidR="00EF72F1" w:rsidRPr="0070740B" w:rsidRDefault="00EF72F1" w:rsidP="00451668">
            <w:pPr>
              <w:rPr>
                <w:b/>
                <w:smallCaps/>
                <w:lang w:val="fr-CA"/>
              </w:rPr>
            </w:pPr>
          </w:p>
          <w:p w:rsidR="00EF72F1" w:rsidRPr="0070740B" w:rsidRDefault="00EF72F1" w:rsidP="00EA6DB9">
            <w:pPr>
              <w:jc w:val="both"/>
            </w:pPr>
            <w:r w:rsidRPr="0070740B">
              <w:rPr>
                <w:b/>
                <w:smallCaps/>
              </w:rPr>
              <w:t>Appeal Heard:</w:t>
            </w:r>
            <w:r w:rsidRPr="0070740B">
              <w:t xml:space="preserve"> </w:t>
            </w:r>
            <w:r w:rsidR="00E50991" w:rsidRPr="0070740B">
              <w:t xml:space="preserve">January 16, </w:t>
            </w:r>
            <w:r w:rsidRPr="0070740B">
              <w:t>2024</w:t>
            </w:r>
          </w:p>
          <w:p w:rsidR="00EF72F1" w:rsidRPr="0070740B" w:rsidRDefault="00EF72F1">
            <w:r w:rsidRPr="0070740B">
              <w:rPr>
                <w:b/>
                <w:smallCaps/>
              </w:rPr>
              <w:t>Judgment Rendered:</w:t>
            </w:r>
            <w:r w:rsidRPr="0070740B">
              <w:t xml:space="preserve"> </w:t>
            </w:r>
            <w:r w:rsidR="00E50991" w:rsidRPr="0070740B">
              <w:t>January 16, 2024</w:t>
            </w:r>
          </w:p>
          <w:p w:rsidR="00EF72F1" w:rsidRPr="0070740B" w:rsidRDefault="00EF72F1" w:rsidP="00540106">
            <w:r w:rsidRPr="0070740B">
              <w:rPr>
                <w:b/>
                <w:smallCaps/>
              </w:rPr>
              <w:t>Docket:</w:t>
            </w:r>
            <w:r w:rsidRPr="0070740B">
              <w:t xml:space="preserve"> 40655</w:t>
            </w:r>
          </w:p>
        </w:tc>
      </w:tr>
      <w:tr w:rsidR="00EF72F1" w:rsidRPr="0070740B" w:rsidTr="009B58B8">
        <w:tblPrEx>
          <w:tblCellMar>
            <w:top w:w="58" w:type="dxa"/>
            <w:left w:w="58" w:type="dxa"/>
            <w:bottom w:w="58" w:type="dxa"/>
            <w:right w:w="58" w:type="dxa"/>
          </w:tblCellMar>
        </w:tblPrEx>
        <w:trPr>
          <w:cantSplit/>
        </w:trPr>
        <w:tc>
          <w:tcPr>
            <w:tcW w:w="5000" w:type="pct"/>
            <w:gridSpan w:val="4"/>
          </w:tcPr>
          <w:p w:rsidR="00EF72F1" w:rsidRPr="0070740B" w:rsidRDefault="00EF72F1" w:rsidP="00EF72F1"/>
          <w:p w:rsidR="00382BC9" w:rsidRPr="0070740B" w:rsidRDefault="008710E3">
            <w:pPr>
              <w:pStyle w:val="SCCLsocPrefix"/>
            </w:pPr>
            <w:r w:rsidRPr="0070740B">
              <w:t>Between:</w:t>
            </w:r>
          </w:p>
          <w:p w:rsidR="00E50991" w:rsidRPr="0070740B" w:rsidRDefault="00E50991" w:rsidP="00E50991"/>
          <w:p w:rsidR="00382BC9" w:rsidRPr="0070740B" w:rsidRDefault="00E50991">
            <w:pPr>
              <w:pStyle w:val="SCCLsocParty"/>
            </w:pPr>
            <w:r w:rsidRPr="0070740B">
              <w:t>His Majesty T</w:t>
            </w:r>
            <w:r w:rsidR="008710E3" w:rsidRPr="0070740B">
              <w:t>he King</w:t>
            </w:r>
          </w:p>
          <w:p w:rsidR="00382BC9" w:rsidRPr="0070740B" w:rsidRDefault="008710E3">
            <w:pPr>
              <w:pStyle w:val="SCCLsocPartyRole"/>
            </w:pPr>
            <w:r w:rsidRPr="0070740B">
              <w:t>Appellant</w:t>
            </w:r>
          </w:p>
          <w:p w:rsidR="00382BC9" w:rsidRPr="0070740B" w:rsidRDefault="00382BC9"/>
          <w:p w:rsidR="00382BC9" w:rsidRPr="0070740B" w:rsidRDefault="00E50991">
            <w:pPr>
              <w:pStyle w:val="SCCLsocVersus"/>
              <w:rPr>
                <w:lang w:val="en-US"/>
              </w:rPr>
            </w:pPr>
            <w:r w:rsidRPr="0070740B">
              <w:rPr>
                <w:lang w:val="en-US"/>
              </w:rPr>
              <w:t>and</w:t>
            </w:r>
          </w:p>
          <w:p w:rsidR="00382BC9" w:rsidRPr="0070740B" w:rsidRDefault="00382BC9">
            <w:pPr>
              <w:rPr>
                <w:lang w:val="en-US"/>
              </w:rPr>
            </w:pPr>
          </w:p>
          <w:p w:rsidR="00382BC9" w:rsidRPr="0070740B" w:rsidRDefault="008710E3">
            <w:pPr>
              <w:pStyle w:val="SCCLsocParty"/>
              <w:rPr>
                <w:lang w:val="en-US"/>
              </w:rPr>
            </w:pPr>
            <w:r w:rsidRPr="0070740B">
              <w:rPr>
                <w:lang w:val="en-US"/>
              </w:rPr>
              <w:t>Private D.T. Vu</w:t>
            </w:r>
          </w:p>
          <w:p w:rsidR="00382BC9" w:rsidRPr="0070740B" w:rsidRDefault="008710E3">
            <w:pPr>
              <w:pStyle w:val="SCCLsocPartyRole"/>
              <w:rPr>
                <w:lang w:val="en-US"/>
              </w:rPr>
            </w:pPr>
            <w:r w:rsidRPr="0070740B">
              <w:rPr>
                <w:lang w:val="en-US"/>
              </w:rPr>
              <w:t>Respondent</w:t>
            </w:r>
          </w:p>
          <w:p w:rsidR="00843369" w:rsidRPr="0070740B" w:rsidRDefault="00843369" w:rsidP="00EF72F1">
            <w:pPr>
              <w:rPr>
                <w:lang w:val="en-US"/>
              </w:rPr>
            </w:pPr>
          </w:p>
          <w:p w:rsidR="00EF72F1" w:rsidRPr="0070740B" w:rsidRDefault="00EF72F1" w:rsidP="00EF72F1">
            <w:pPr>
              <w:jc w:val="center"/>
              <w:rPr>
                <w:b/>
                <w:smallCaps/>
              </w:rPr>
            </w:pPr>
          </w:p>
          <w:p w:rsidR="00EF72F1" w:rsidRPr="0070740B" w:rsidRDefault="00EF72F1" w:rsidP="00EF72F1"/>
          <w:p w:rsidR="00EF72F1" w:rsidRPr="0070740B" w:rsidRDefault="00EF72F1" w:rsidP="00EF72F1">
            <w:r w:rsidRPr="0070740B">
              <w:rPr>
                <w:b/>
                <w:smallCaps/>
              </w:rPr>
              <w:t>Coram:</w:t>
            </w:r>
            <w:r w:rsidRPr="0070740B">
              <w:t xml:space="preserve"> </w:t>
            </w:r>
            <w:r w:rsidR="00E50991" w:rsidRPr="0070740B">
              <w:t>Wagner C.J. and Karakatsanis, Rowe, Martin, Jamal, O’Bonsawin and Moreau JJ.</w:t>
            </w:r>
          </w:p>
          <w:p w:rsidR="00EF72F1" w:rsidRPr="0070740B" w:rsidRDefault="00EF72F1" w:rsidP="00451668">
            <w:pPr>
              <w:rPr>
                <w:b/>
                <w:smallCaps/>
              </w:rPr>
            </w:pPr>
          </w:p>
        </w:tc>
      </w:tr>
      <w:tr w:rsidR="004E69EC" w:rsidRPr="0070740B" w:rsidTr="002C1DA9">
        <w:tblPrEx>
          <w:tblCellMar>
            <w:top w:w="58" w:type="dxa"/>
            <w:left w:w="58" w:type="dxa"/>
            <w:bottom w:w="58" w:type="dxa"/>
            <w:right w:w="58" w:type="dxa"/>
          </w:tblCellMar>
        </w:tblPrEx>
        <w:trPr>
          <w:cantSplit/>
        </w:trPr>
        <w:tc>
          <w:tcPr>
            <w:tcW w:w="1231" w:type="pct"/>
          </w:tcPr>
          <w:p w:rsidR="00E50991" w:rsidRPr="0070740B" w:rsidRDefault="00E50991" w:rsidP="00E50991">
            <w:r w:rsidRPr="0070740B">
              <w:rPr>
                <w:b/>
                <w:smallCaps/>
              </w:rPr>
              <w:t>Judgment Read By</w:t>
            </w:r>
            <w:r w:rsidRPr="0070740B">
              <w:rPr>
                <w:b/>
              </w:rPr>
              <w:t>:</w:t>
            </w:r>
          </w:p>
          <w:p w:rsidR="00E50991" w:rsidRPr="0070740B" w:rsidRDefault="00E50991" w:rsidP="00E50991">
            <w:r w:rsidRPr="0070740B">
              <w:t>(paras. </w:t>
            </w:r>
            <w:r w:rsidR="008710E3" w:rsidRPr="0070740B">
              <w:t>1</w:t>
            </w:r>
            <w:r w:rsidRPr="0070740B">
              <w:t xml:space="preserve"> to </w:t>
            </w:r>
            <w:r w:rsidR="008710E3" w:rsidRPr="0070740B">
              <w:t>4</w:t>
            </w:r>
            <w:r w:rsidRPr="0070740B">
              <w:t>)</w:t>
            </w:r>
          </w:p>
          <w:p w:rsidR="004E69EC" w:rsidRPr="0070740B" w:rsidRDefault="004E69EC" w:rsidP="00540106"/>
        </w:tc>
        <w:tc>
          <w:tcPr>
            <w:tcW w:w="3769" w:type="pct"/>
            <w:gridSpan w:val="3"/>
          </w:tcPr>
          <w:p w:rsidR="004E69EC" w:rsidRPr="0070740B" w:rsidRDefault="00E50991">
            <w:r w:rsidRPr="0070740B">
              <w:t>Wagner C.J.</w:t>
            </w:r>
          </w:p>
        </w:tc>
      </w:tr>
      <w:tr w:rsidR="00E50991" w:rsidRPr="0070740B" w:rsidTr="002C1DA9">
        <w:tblPrEx>
          <w:tblCellMar>
            <w:top w:w="58" w:type="dxa"/>
            <w:left w:w="58" w:type="dxa"/>
            <w:bottom w:w="58" w:type="dxa"/>
            <w:right w:w="58" w:type="dxa"/>
          </w:tblCellMar>
        </w:tblPrEx>
        <w:trPr>
          <w:cantSplit/>
        </w:trPr>
        <w:tc>
          <w:tcPr>
            <w:tcW w:w="1231" w:type="pct"/>
          </w:tcPr>
          <w:p w:rsidR="00E50991" w:rsidRPr="0070740B" w:rsidRDefault="00E50991" w:rsidP="00E50991">
            <w:pPr>
              <w:rPr>
                <w:b/>
                <w:smallCaps/>
              </w:rPr>
            </w:pPr>
            <w:r w:rsidRPr="0070740B">
              <w:rPr>
                <w:b/>
                <w:smallCaps/>
              </w:rPr>
              <w:t>Majority:</w:t>
            </w:r>
          </w:p>
          <w:p w:rsidR="00E50991" w:rsidRPr="0070740B" w:rsidRDefault="00E50991" w:rsidP="00E50991">
            <w:pPr>
              <w:rPr>
                <w:b/>
                <w:smallCaps/>
              </w:rPr>
            </w:pPr>
          </w:p>
        </w:tc>
        <w:tc>
          <w:tcPr>
            <w:tcW w:w="3769" w:type="pct"/>
            <w:gridSpan w:val="3"/>
          </w:tcPr>
          <w:p w:rsidR="00E50991" w:rsidRPr="0070740B" w:rsidRDefault="00E50991">
            <w:r w:rsidRPr="0070740B">
              <w:t>Wagner C.J. and Karakatsanis, Rowe, Martin, Jamal and Moreau JJ.</w:t>
            </w:r>
          </w:p>
        </w:tc>
      </w:tr>
      <w:tr w:rsidR="00E50991" w:rsidRPr="0070740B" w:rsidTr="002C1DA9">
        <w:tblPrEx>
          <w:tblCellMar>
            <w:top w:w="58" w:type="dxa"/>
            <w:left w:w="58" w:type="dxa"/>
            <w:bottom w:w="58" w:type="dxa"/>
            <w:right w:w="58" w:type="dxa"/>
          </w:tblCellMar>
        </w:tblPrEx>
        <w:trPr>
          <w:cantSplit/>
        </w:trPr>
        <w:tc>
          <w:tcPr>
            <w:tcW w:w="1231" w:type="pct"/>
          </w:tcPr>
          <w:p w:rsidR="00E50991" w:rsidRPr="0070740B" w:rsidRDefault="00E50991" w:rsidP="00E50991">
            <w:pPr>
              <w:rPr>
                <w:b/>
                <w:smallCaps/>
              </w:rPr>
            </w:pPr>
            <w:r w:rsidRPr="0070740B">
              <w:rPr>
                <w:b/>
                <w:smallCaps/>
              </w:rPr>
              <w:t>Dissent:</w:t>
            </w:r>
          </w:p>
          <w:p w:rsidR="00E50991" w:rsidRPr="0070740B" w:rsidRDefault="00E50991" w:rsidP="00E50991">
            <w:pPr>
              <w:rPr>
                <w:b/>
                <w:smallCaps/>
              </w:rPr>
            </w:pPr>
          </w:p>
        </w:tc>
        <w:tc>
          <w:tcPr>
            <w:tcW w:w="3769" w:type="pct"/>
            <w:gridSpan w:val="3"/>
          </w:tcPr>
          <w:p w:rsidR="00E50991" w:rsidRPr="0070740B" w:rsidRDefault="00E50991">
            <w:r w:rsidRPr="0070740B">
              <w:t>O’Bonsawin J.</w:t>
            </w:r>
          </w:p>
        </w:tc>
      </w:tr>
      <w:tr w:rsidR="00E50991" w:rsidRPr="0070740B" w:rsidTr="007E70DA">
        <w:tblPrEx>
          <w:tblCellMar>
            <w:top w:w="58" w:type="dxa"/>
            <w:left w:w="58" w:type="dxa"/>
            <w:bottom w:w="58" w:type="dxa"/>
            <w:right w:w="58" w:type="dxa"/>
          </w:tblCellMar>
        </w:tblPrEx>
        <w:trPr>
          <w:cantSplit/>
        </w:trPr>
        <w:tc>
          <w:tcPr>
            <w:tcW w:w="1" w:type="pct"/>
            <w:gridSpan w:val="4"/>
          </w:tcPr>
          <w:p w:rsidR="00E50991" w:rsidRPr="0070740B" w:rsidRDefault="00E50991">
            <w:pPr>
              <w:rPr>
                <w:b/>
                <w:smallCaps/>
              </w:rPr>
            </w:pPr>
            <w:r w:rsidRPr="0070740B">
              <w:rPr>
                <w:b/>
                <w:smallCaps/>
              </w:rPr>
              <w:t>Counsel:</w:t>
            </w:r>
          </w:p>
          <w:p w:rsidR="00E50991" w:rsidRPr="0070740B" w:rsidRDefault="00E50991"/>
          <w:p w:rsidR="00E50991" w:rsidRPr="0070740B" w:rsidRDefault="00E50991">
            <w:r w:rsidRPr="0070740B">
              <w:rPr>
                <w:i/>
              </w:rPr>
              <w:t>Karl Lacharité</w:t>
            </w:r>
            <w:r w:rsidRPr="0070740B">
              <w:t xml:space="preserve"> and </w:t>
            </w:r>
            <w:r w:rsidRPr="0070740B">
              <w:rPr>
                <w:i/>
              </w:rPr>
              <w:t>Dominic Martin</w:t>
            </w:r>
            <w:r w:rsidRPr="0070740B">
              <w:t>, for the appellant.</w:t>
            </w:r>
          </w:p>
          <w:p w:rsidR="00E50991" w:rsidRPr="0070740B" w:rsidRDefault="00E50991">
            <w:r w:rsidRPr="0070740B">
              <w:rPr>
                <w:i/>
              </w:rPr>
              <w:t>Francesca Ferguson</w:t>
            </w:r>
            <w:r w:rsidRPr="0070740B">
              <w:t xml:space="preserve"> and </w:t>
            </w:r>
            <w:r w:rsidRPr="0070740B">
              <w:rPr>
                <w:i/>
              </w:rPr>
              <w:t>Nooral Ahmed</w:t>
            </w:r>
            <w:r w:rsidRPr="0070740B">
              <w:t>, for the respondent.</w:t>
            </w:r>
          </w:p>
          <w:p w:rsidR="00E50991" w:rsidRPr="0070740B" w:rsidRDefault="00E50991"/>
        </w:tc>
      </w:tr>
    </w:tbl>
    <w:p w:rsidR="00382BC9" w:rsidRPr="0070740B" w:rsidRDefault="00382BC9"/>
    <w:p w:rsidR="00382BC9" w:rsidRPr="0070740B" w:rsidRDefault="00382BC9"/>
    <w:p w:rsidR="001B299D" w:rsidRPr="0070740B" w:rsidRDefault="001B299D" w:rsidP="001B299D"/>
    <w:p w:rsidR="00904937" w:rsidRPr="0070740B" w:rsidRDefault="00904937" w:rsidP="00076773">
      <w:pPr>
        <w:pStyle w:val="SCCBold"/>
        <w:rPr>
          <w:b w:val="0"/>
        </w:rPr>
      </w:pPr>
      <w:r w:rsidRPr="0070740B">
        <w:rPr>
          <w:smallCaps/>
        </w:rPr>
        <w:t>Note:</w:t>
      </w:r>
      <w:r w:rsidRPr="0070740B">
        <w:t xml:space="preserve"> </w:t>
      </w:r>
      <w:r w:rsidRPr="0070740B">
        <w:rPr>
          <w:b w:val="0"/>
        </w:rPr>
        <w:t>This do</w:t>
      </w:r>
      <w:r w:rsidR="009E7065" w:rsidRPr="0070740B">
        <w:rPr>
          <w:b w:val="0"/>
        </w:rPr>
        <w:t>c</w:t>
      </w:r>
      <w:r w:rsidRPr="0070740B">
        <w:rPr>
          <w:b w:val="0"/>
        </w:rPr>
        <w:t xml:space="preserve">ument is subject to editorial revision before its reproduction in final form in the </w:t>
      </w:r>
      <w:r w:rsidRPr="0070740B">
        <w:rPr>
          <w:b w:val="0"/>
          <w:i/>
        </w:rPr>
        <w:t>Canada Supreme Court Reports</w:t>
      </w:r>
      <w:r w:rsidRPr="0070740B">
        <w:rPr>
          <w:b w:val="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744"/>
        <w:gridCol w:w="2808"/>
      </w:tblGrid>
      <w:tr w:rsidR="00087E50" w:rsidRPr="0070740B" w:rsidTr="003375C9">
        <w:tc>
          <w:tcPr>
            <w:tcW w:w="1500" w:type="pct"/>
            <w:tcMar>
              <w:top w:w="284" w:type="dxa"/>
            </w:tcMar>
          </w:tcPr>
          <w:p w:rsidR="00087E50" w:rsidRPr="0070740B" w:rsidRDefault="00087E50" w:rsidP="003375C9">
            <w:pPr>
              <w:rPr>
                <w:rFonts w:eastAsia="Calibri"/>
              </w:rPr>
            </w:pPr>
          </w:p>
        </w:tc>
        <w:tc>
          <w:tcPr>
            <w:tcW w:w="2000" w:type="pct"/>
            <w:tcBorders>
              <w:bottom w:val="single" w:sz="4" w:space="0" w:color="auto"/>
            </w:tcBorders>
            <w:tcMar>
              <w:top w:w="284" w:type="dxa"/>
            </w:tcMar>
          </w:tcPr>
          <w:p w:rsidR="00087E50" w:rsidRPr="0070740B" w:rsidRDefault="00087E50" w:rsidP="003375C9">
            <w:pPr>
              <w:rPr>
                <w:rFonts w:eastAsia="Calibri"/>
              </w:rPr>
            </w:pPr>
          </w:p>
        </w:tc>
        <w:tc>
          <w:tcPr>
            <w:tcW w:w="1500" w:type="pct"/>
            <w:tcMar>
              <w:top w:w="284" w:type="dxa"/>
            </w:tcMar>
          </w:tcPr>
          <w:p w:rsidR="00087E50" w:rsidRPr="0070740B" w:rsidRDefault="00087E50" w:rsidP="003375C9">
            <w:pPr>
              <w:rPr>
                <w:rFonts w:eastAsia="Calibri"/>
              </w:rPr>
            </w:pPr>
          </w:p>
        </w:tc>
      </w:tr>
    </w:tbl>
    <w:p w:rsidR="0070740B" w:rsidRPr="0070740B" w:rsidRDefault="0070740B"/>
    <w:p w:rsidR="0070740B" w:rsidRPr="0070740B" w:rsidRDefault="0070740B" w:rsidP="0070740B">
      <w:r w:rsidRPr="0070740B">
        <w:br w:type="page"/>
      </w:r>
    </w:p>
    <w:p w:rsidR="0070740B" w:rsidRPr="0070740B" w:rsidRDefault="0070740B" w:rsidP="0070740B">
      <w:pPr>
        <w:jc w:val="right"/>
      </w:pPr>
      <w:r w:rsidRPr="0070740B">
        <w:t>No. 40655     </w:t>
      </w:r>
    </w:p>
    <w:p w:rsidR="0070740B" w:rsidRPr="0070740B" w:rsidRDefault="0070740B" w:rsidP="0070740B"/>
    <w:tbl>
      <w:tblPr>
        <w:tblW w:w="5000" w:type="pct"/>
        <w:tblLayout w:type="fixed"/>
        <w:tblCellMar>
          <w:top w:w="58" w:type="dxa"/>
          <w:left w:w="58" w:type="dxa"/>
          <w:bottom w:w="58" w:type="dxa"/>
          <w:right w:w="58" w:type="dxa"/>
        </w:tblCellMar>
        <w:tblLook w:val="0000" w:firstRow="0" w:lastRow="0" w:firstColumn="0" w:lastColumn="0" w:noHBand="0" w:noVBand="0"/>
      </w:tblPr>
      <w:tblGrid>
        <w:gridCol w:w="4248"/>
        <w:gridCol w:w="713"/>
        <w:gridCol w:w="4399"/>
      </w:tblGrid>
      <w:tr w:rsidR="0070740B" w:rsidRPr="0070740B" w:rsidTr="007E2E13">
        <w:tc>
          <w:tcPr>
            <w:tcW w:w="2269" w:type="pct"/>
          </w:tcPr>
          <w:p w:rsidR="0070740B" w:rsidRPr="0070740B" w:rsidRDefault="0070740B" w:rsidP="007E2E13">
            <w:r w:rsidRPr="0070740B">
              <w:t>January 18, 2024</w:t>
            </w:r>
          </w:p>
        </w:tc>
        <w:tc>
          <w:tcPr>
            <w:tcW w:w="381" w:type="pct"/>
          </w:tcPr>
          <w:p w:rsidR="0070740B" w:rsidRPr="0070740B" w:rsidRDefault="0070740B" w:rsidP="007E2E13"/>
        </w:tc>
        <w:tc>
          <w:tcPr>
            <w:tcW w:w="2350" w:type="pct"/>
          </w:tcPr>
          <w:p w:rsidR="0070740B" w:rsidRPr="0070740B" w:rsidRDefault="0070740B" w:rsidP="007E2E13">
            <w:pPr>
              <w:rPr>
                <w:lang w:val="en-US"/>
              </w:rPr>
            </w:pPr>
            <w:r w:rsidRPr="0070740B">
              <w:t>Le 18 janvier 2024</w:t>
            </w:r>
          </w:p>
        </w:tc>
      </w:tr>
      <w:tr w:rsidR="0070740B" w:rsidRPr="0070740B" w:rsidTr="007E2E13">
        <w:tc>
          <w:tcPr>
            <w:tcW w:w="2269" w:type="pct"/>
            <w:tcMar>
              <w:top w:w="0" w:type="dxa"/>
              <w:bottom w:w="0" w:type="dxa"/>
            </w:tcMar>
          </w:tcPr>
          <w:p w:rsidR="0070740B" w:rsidRPr="0070740B" w:rsidRDefault="0070740B" w:rsidP="007E2E13"/>
        </w:tc>
        <w:tc>
          <w:tcPr>
            <w:tcW w:w="381" w:type="pct"/>
            <w:tcMar>
              <w:top w:w="0" w:type="dxa"/>
              <w:bottom w:w="0" w:type="dxa"/>
            </w:tcMar>
          </w:tcPr>
          <w:p w:rsidR="0070740B" w:rsidRPr="0070740B" w:rsidRDefault="0070740B" w:rsidP="007E2E13"/>
        </w:tc>
        <w:tc>
          <w:tcPr>
            <w:tcW w:w="2350" w:type="pct"/>
            <w:tcMar>
              <w:top w:w="0" w:type="dxa"/>
              <w:bottom w:w="0" w:type="dxa"/>
            </w:tcMar>
          </w:tcPr>
          <w:p w:rsidR="0070740B" w:rsidRPr="0070740B" w:rsidRDefault="0070740B" w:rsidP="007E2E13">
            <w:pPr>
              <w:rPr>
                <w:lang w:val="en-US"/>
              </w:rPr>
            </w:pPr>
          </w:p>
        </w:tc>
      </w:tr>
      <w:tr w:rsidR="0070740B" w:rsidRPr="0070740B" w:rsidTr="007E2E13">
        <w:tc>
          <w:tcPr>
            <w:tcW w:w="2269" w:type="pct"/>
          </w:tcPr>
          <w:p w:rsidR="0070740B" w:rsidRPr="0070740B" w:rsidRDefault="0070740B" w:rsidP="007E2E13">
            <w:pPr>
              <w:rPr>
                <w:lang w:val="en-US"/>
              </w:rPr>
            </w:pPr>
            <w:r w:rsidRPr="0070740B">
              <w:rPr>
                <w:lang w:val="en-US"/>
              </w:rPr>
              <w:t>Coram: Wagner C.J. and Karakatsanis, Rowe, Martin, Jamal, O’Bonsawin and Moreau JJ.</w:t>
            </w:r>
          </w:p>
        </w:tc>
        <w:tc>
          <w:tcPr>
            <w:tcW w:w="381" w:type="pct"/>
          </w:tcPr>
          <w:p w:rsidR="0070740B" w:rsidRPr="0070740B" w:rsidRDefault="0070740B" w:rsidP="007E2E13">
            <w:pPr>
              <w:rPr>
                <w:lang w:val="en-US"/>
              </w:rPr>
            </w:pPr>
          </w:p>
        </w:tc>
        <w:tc>
          <w:tcPr>
            <w:tcW w:w="2350" w:type="pct"/>
          </w:tcPr>
          <w:p w:rsidR="0070740B" w:rsidRPr="0070740B" w:rsidRDefault="0070740B" w:rsidP="007E2E13">
            <w:pPr>
              <w:rPr>
                <w:lang w:val="fr-CA"/>
              </w:rPr>
            </w:pPr>
            <w:r w:rsidRPr="0070740B">
              <w:rPr>
                <w:lang w:val="fr-CA"/>
              </w:rPr>
              <w:t>Coram : Le juge en chef Wagner et les juges Karakatsanis, Rowe, Martin, Jamal, O’Bonsawin et Moreau</w:t>
            </w:r>
          </w:p>
        </w:tc>
      </w:tr>
      <w:tr w:rsidR="0070740B" w:rsidRPr="0070740B" w:rsidTr="007E2E13">
        <w:tc>
          <w:tcPr>
            <w:tcW w:w="2269" w:type="pct"/>
            <w:tcMar>
              <w:top w:w="0" w:type="dxa"/>
              <w:bottom w:w="0" w:type="dxa"/>
            </w:tcMar>
          </w:tcPr>
          <w:p w:rsidR="0070740B" w:rsidRPr="0070740B" w:rsidRDefault="0070740B" w:rsidP="007E2E13">
            <w:pPr>
              <w:rPr>
                <w:lang w:val="fr-CA"/>
              </w:rPr>
            </w:pPr>
          </w:p>
        </w:tc>
        <w:tc>
          <w:tcPr>
            <w:tcW w:w="381" w:type="pct"/>
            <w:tcMar>
              <w:top w:w="0" w:type="dxa"/>
              <w:bottom w:w="0" w:type="dxa"/>
            </w:tcMar>
          </w:tcPr>
          <w:p w:rsidR="0070740B" w:rsidRPr="0070740B" w:rsidRDefault="0070740B" w:rsidP="007E2E13">
            <w:pPr>
              <w:rPr>
                <w:lang w:val="fr-CA"/>
              </w:rPr>
            </w:pPr>
          </w:p>
        </w:tc>
        <w:tc>
          <w:tcPr>
            <w:tcW w:w="2350" w:type="pct"/>
            <w:tcMar>
              <w:top w:w="0" w:type="dxa"/>
              <w:bottom w:w="0" w:type="dxa"/>
            </w:tcMar>
          </w:tcPr>
          <w:p w:rsidR="0070740B" w:rsidRPr="0070740B" w:rsidRDefault="0070740B" w:rsidP="007E2E13">
            <w:pPr>
              <w:rPr>
                <w:lang w:val="fr-CA"/>
              </w:rPr>
            </w:pPr>
          </w:p>
        </w:tc>
      </w:tr>
      <w:tr w:rsidR="0070740B" w:rsidRPr="0070740B" w:rsidTr="007E2E13">
        <w:tc>
          <w:tcPr>
            <w:tcW w:w="2269" w:type="pct"/>
          </w:tcPr>
          <w:p w:rsidR="0070740B" w:rsidRPr="0070740B" w:rsidRDefault="0070740B" w:rsidP="007E2E13">
            <w:pPr>
              <w:pStyle w:val="SCCLsocPrefix"/>
            </w:pPr>
            <w:r w:rsidRPr="0070740B">
              <w:t>BETWEEN:</w:t>
            </w:r>
          </w:p>
          <w:p w:rsidR="0070740B" w:rsidRPr="0070740B" w:rsidRDefault="0070740B" w:rsidP="0070740B"/>
          <w:p w:rsidR="0070740B" w:rsidRPr="0070740B" w:rsidRDefault="0070740B" w:rsidP="007E2E13">
            <w:pPr>
              <w:pStyle w:val="SCCLsocParty"/>
              <w:rPr>
                <w:b w:val="0"/>
              </w:rPr>
            </w:pPr>
            <w:r w:rsidRPr="0070740B">
              <w:rPr>
                <w:b w:val="0"/>
              </w:rPr>
              <w:t>His Majesty The King</w:t>
            </w:r>
            <w:r w:rsidRPr="0070740B">
              <w:rPr>
                <w:b w:val="0"/>
              </w:rPr>
              <w:br/>
            </w:r>
          </w:p>
          <w:p w:rsidR="0070740B" w:rsidRPr="0070740B" w:rsidRDefault="0070740B" w:rsidP="007E2E13">
            <w:pPr>
              <w:pStyle w:val="SCCLsocPartyRole"/>
              <w:rPr>
                <w:lang w:val="fr-CA"/>
              </w:rPr>
            </w:pPr>
            <w:r w:rsidRPr="0070740B">
              <w:rPr>
                <w:lang w:val="fr-CA"/>
              </w:rPr>
              <w:t>Appellant</w:t>
            </w:r>
            <w:r w:rsidRPr="0070740B">
              <w:rPr>
                <w:lang w:val="fr-CA"/>
              </w:rPr>
              <w:br/>
            </w:r>
          </w:p>
          <w:p w:rsidR="0070740B" w:rsidRPr="0070740B" w:rsidRDefault="0070740B" w:rsidP="007E2E13">
            <w:pPr>
              <w:pStyle w:val="SCCLsocVersus"/>
              <w:rPr>
                <w:lang w:val="fr-CA"/>
              </w:rPr>
            </w:pPr>
            <w:r w:rsidRPr="0070740B">
              <w:rPr>
                <w:lang w:val="fr-CA"/>
              </w:rPr>
              <w:t>- and -</w:t>
            </w:r>
          </w:p>
          <w:p w:rsidR="0070740B" w:rsidRPr="0070740B" w:rsidRDefault="0070740B" w:rsidP="007E2E13">
            <w:pPr>
              <w:rPr>
                <w:lang w:val="fr-CA"/>
              </w:rPr>
            </w:pPr>
          </w:p>
          <w:p w:rsidR="0070740B" w:rsidRPr="0070740B" w:rsidRDefault="0070740B" w:rsidP="007E2E13">
            <w:pPr>
              <w:pStyle w:val="SCCLsocParty"/>
              <w:rPr>
                <w:b w:val="0"/>
                <w:lang w:val="fr-CA"/>
              </w:rPr>
            </w:pPr>
            <w:r w:rsidRPr="0070740B">
              <w:rPr>
                <w:b w:val="0"/>
                <w:lang w:val="fr-CA"/>
              </w:rPr>
              <w:t>Private D.T. Vu</w:t>
            </w:r>
            <w:r w:rsidRPr="0070740B">
              <w:rPr>
                <w:b w:val="0"/>
                <w:lang w:val="fr-CA"/>
              </w:rPr>
              <w:br/>
            </w:r>
          </w:p>
          <w:p w:rsidR="0070740B" w:rsidRPr="0070740B" w:rsidRDefault="0070740B" w:rsidP="007E2E13">
            <w:pPr>
              <w:pStyle w:val="SCCLsocPartyRole"/>
            </w:pPr>
            <w:r w:rsidRPr="0070740B">
              <w:t>Respondent</w:t>
            </w:r>
          </w:p>
        </w:tc>
        <w:tc>
          <w:tcPr>
            <w:tcW w:w="381" w:type="pct"/>
          </w:tcPr>
          <w:p w:rsidR="0070740B" w:rsidRPr="0070740B" w:rsidRDefault="0070740B" w:rsidP="007E2E13"/>
        </w:tc>
        <w:tc>
          <w:tcPr>
            <w:tcW w:w="2350" w:type="pct"/>
          </w:tcPr>
          <w:p w:rsidR="0070740B" w:rsidRPr="0070740B" w:rsidRDefault="0070740B" w:rsidP="007E2E13">
            <w:pPr>
              <w:pStyle w:val="SCCLsocPrefix"/>
              <w:rPr>
                <w:lang w:val="fr-CA"/>
              </w:rPr>
            </w:pPr>
            <w:r w:rsidRPr="0070740B">
              <w:rPr>
                <w:lang w:val="fr-CA"/>
              </w:rPr>
              <w:t>ENTRE :</w:t>
            </w:r>
          </w:p>
          <w:p w:rsidR="0070740B" w:rsidRPr="0070740B" w:rsidRDefault="0070740B" w:rsidP="0070740B">
            <w:pPr>
              <w:rPr>
                <w:lang w:val="fr-CA"/>
              </w:rPr>
            </w:pPr>
          </w:p>
          <w:p w:rsidR="0070740B" w:rsidRPr="0070740B" w:rsidRDefault="0070740B" w:rsidP="007E2E13">
            <w:pPr>
              <w:pStyle w:val="SCCLsocParty"/>
              <w:rPr>
                <w:b w:val="0"/>
                <w:lang w:val="fr-CA"/>
              </w:rPr>
            </w:pPr>
            <w:r w:rsidRPr="0070740B">
              <w:rPr>
                <w:b w:val="0"/>
                <w:lang w:val="fr-CA"/>
              </w:rPr>
              <w:t>Sa Majesté le Roi</w:t>
            </w:r>
            <w:r w:rsidRPr="0070740B">
              <w:rPr>
                <w:b w:val="0"/>
                <w:lang w:val="fr-CA"/>
              </w:rPr>
              <w:br/>
            </w:r>
          </w:p>
          <w:p w:rsidR="0070740B" w:rsidRPr="0070740B" w:rsidRDefault="0070740B" w:rsidP="007E2E13">
            <w:pPr>
              <w:pStyle w:val="SCCLsocPartyRole"/>
              <w:rPr>
                <w:lang w:val="fr-CA"/>
              </w:rPr>
            </w:pPr>
            <w:r w:rsidRPr="0070740B">
              <w:rPr>
                <w:lang w:val="fr-CA"/>
              </w:rPr>
              <w:t>Appelant</w:t>
            </w:r>
            <w:r w:rsidRPr="0070740B">
              <w:rPr>
                <w:lang w:val="fr-CA"/>
              </w:rPr>
              <w:br/>
            </w:r>
          </w:p>
          <w:p w:rsidR="0070740B" w:rsidRPr="0070740B" w:rsidRDefault="0070740B" w:rsidP="007E2E13">
            <w:pPr>
              <w:pStyle w:val="SCCLsocVersus"/>
              <w:rPr>
                <w:lang w:val="fr-CA"/>
              </w:rPr>
            </w:pPr>
            <w:r w:rsidRPr="0070740B">
              <w:rPr>
                <w:lang w:val="fr-CA"/>
              </w:rPr>
              <w:t>- et -</w:t>
            </w:r>
          </w:p>
          <w:p w:rsidR="0070740B" w:rsidRPr="0070740B" w:rsidRDefault="0070740B" w:rsidP="007E2E13">
            <w:pPr>
              <w:rPr>
                <w:lang w:val="fr-CA"/>
              </w:rPr>
            </w:pPr>
          </w:p>
          <w:p w:rsidR="0070740B" w:rsidRPr="0070740B" w:rsidRDefault="0070740B" w:rsidP="007E2E13">
            <w:pPr>
              <w:pStyle w:val="SCCLsocParty"/>
              <w:rPr>
                <w:b w:val="0"/>
                <w:lang w:val="fr-CA"/>
              </w:rPr>
            </w:pPr>
            <w:r w:rsidRPr="0070740B">
              <w:rPr>
                <w:b w:val="0"/>
                <w:lang w:val="fr-CA"/>
              </w:rPr>
              <w:t>Soldat D.T. Vu</w:t>
            </w:r>
            <w:r w:rsidRPr="0070740B">
              <w:rPr>
                <w:b w:val="0"/>
                <w:lang w:val="fr-CA"/>
              </w:rPr>
              <w:br/>
            </w:r>
          </w:p>
          <w:p w:rsidR="0070740B" w:rsidRPr="0070740B" w:rsidRDefault="0070740B" w:rsidP="007E2E13">
            <w:pPr>
              <w:pStyle w:val="SCCLsocPartyRole"/>
            </w:pPr>
            <w:r w:rsidRPr="0070740B">
              <w:t>Intimé</w:t>
            </w:r>
          </w:p>
        </w:tc>
      </w:tr>
      <w:tr w:rsidR="0070740B" w:rsidRPr="0070740B" w:rsidTr="007E2E13">
        <w:tc>
          <w:tcPr>
            <w:tcW w:w="2269" w:type="pct"/>
            <w:tcMar>
              <w:top w:w="0" w:type="dxa"/>
              <w:bottom w:w="0" w:type="dxa"/>
            </w:tcMar>
          </w:tcPr>
          <w:p w:rsidR="0070740B" w:rsidRPr="0070740B" w:rsidRDefault="0070740B" w:rsidP="007E2E13"/>
        </w:tc>
        <w:tc>
          <w:tcPr>
            <w:tcW w:w="381" w:type="pct"/>
            <w:tcMar>
              <w:top w:w="0" w:type="dxa"/>
              <w:bottom w:w="0" w:type="dxa"/>
            </w:tcMar>
          </w:tcPr>
          <w:p w:rsidR="0070740B" w:rsidRPr="0070740B" w:rsidRDefault="0070740B" w:rsidP="007E2E13"/>
        </w:tc>
        <w:tc>
          <w:tcPr>
            <w:tcW w:w="2350" w:type="pct"/>
            <w:tcMar>
              <w:top w:w="0" w:type="dxa"/>
              <w:bottom w:w="0" w:type="dxa"/>
            </w:tcMar>
          </w:tcPr>
          <w:p w:rsidR="0070740B" w:rsidRPr="0070740B" w:rsidRDefault="0070740B" w:rsidP="007E2E13">
            <w:pPr>
              <w:rPr>
                <w:lang w:val="en-US"/>
              </w:rPr>
            </w:pPr>
          </w:p>
        </w:tc>
      </w:tr>
      <w:tr w:rsidR="0070740B" w:rsidRPr="0070740B" w:rsidTr="007E2E13">
        <w:tc>
          <w:tcPr>
            <w:tcW w:w="2269" w:type="pct"/>
          </w:tcPr>
          <w:p w:rsidR="0070740B" w:rsidRPr="0070740B" w:rsidRDefault="0070740B" w:rsidP="007E2E13">
            <w:pPr>
              <w:jc w:val="center"/>
            </w:pPr>
            <w:r w:rsidRPr="0070740B">
              <w:t>JUDGMENT</w:t>
            </w:r>
          </w:p>
          <w:p w:rsidR="0070740B" w:rsidRPr="0070740B" w:rsidRDefault="0070740B" w:rsidP="007E2E13">
            <w:pPr>
              <w:jc w:val="center"/>
            </w:pPr>
          </w:p>
          <w:p w:rsidR="0070740B" w:rsidRPr="0070740B" w:rsidRDefault="0070740B" w:rsidP="007E2E13">
            <w:pPr>
              <w:jc w:val="both"/>
            </w:pPr>
            <w:r w:rsidRPr="0070740B">
              <w:t xml:space="preserve">The appeal from the judgment of the Court Martial Appeal Court of Canada, Number CMAC-621, </w:t>
            </w:r>
            <w:hyperlink r:id="rId9" w:history="1">
              <w:r w:rsidRPr="0070740B">
                <w:rPr>
                  <w:rStyle w:val="Hyperlink"/>
                  <w:color w:val="auto"/>
                </w:rPr>
                <w:t>2023 CMAC 2</w:t>
              </w:r>
            </w:hyperlink>
            <w:r w:rsidRPr="0070740B">
              <w:t xml:space="preserve">, dated February 27, 2023, was heard on January 16, 2024, and the Court on that day delivered the following judgment orally: </w:t>
            </w:r>
          </w:p>
          <w:p w:rsidR="0070740B" w:rsidRPr="0070740B" w:rsidRDefault="0070740B" w:rsidP="007E2E13">
            <w:pPr>
              <w:jc w:val="both"/>
            </w:pPr>
          </w:p>
          <w:p w:rsidR="0070740B" w:rsidRPr="0070740B" w:rsidRDefault="0070740B" w:rsidP="007E2E13">
            <w:pPr>
              <w:jc w:val="both"/>
            </w:pPr>
            <w:r w:rsidRPr="0070740B">
              <w:rPr>
                <w:smallCaps/>
              </w:rPr>
              <w:t>The Chief Justice</w:t>
            </w:r>
            <w:r w:rsidRPr="0070740B">
              <w:t xml:space="preserve"> </w:t>
            </w:r>
            <w:r w:rsidRPr="0070740B">
              <w:rPr>
                <w:rFonts w:cs="Times New Roman"/>
              </w:rPr>
              <w:t>—</w:t>
            </w:r>
            <w:r w:rsidRPr="0070740B">
              <w:t xml:space="preserve"> The respondent was acquitted of sexual assault before the Court Martial. The Crown appealed, arguing that the military judge failed to consider all of the evidence cumulatively and assessed the evidence on the wrong legal principles. A majority of the Court Martial Appeal Court dismissed the Crown’s appeal. Justice McVeigh, in dissent, would have allowed the appeal and ordered a new trial.</w:t>
            </w:r>
          </w:p>
          <w:p w:rsidR="0070740B" w:rsidRPr="0070740B" w:rsidRDefault="0070740B" w:rsidP="007E2E13">
            <w:pPr>
              <w:jc w:val="both"/>
            </w:pPr>
          </w:p>
          <w:p w:rsidR="0070740B" w:rsidRPr="0070740B" w:rsidRDefault="0070740B" w:rsidP="007E2E13">
            <w:pPr>
              <w:jc w:val="both"/>
            </w:pPr>
            <w:r w:rsidRPr="0070740B">
              <w:t>The Crown appeals to this Court as of right.</w:t>
            </w:r>
          </w:p>
          <w:p w:rsidR="0070740B" w:rsidRPr="0070740B" w:rsidRDefault="0070740B" w:rsidP="007E2E13">
            <w:pPr>
              <w:jc w:val="both"/>
            </w:pPr>
          </w:p>
          <w:p w:rsidR="0070740B" w:rsidRPr="0070740B" w:rsidRDefault="0070740B" w:rsidP="007E2E13">
            <w:pPr>
              <w:jc w:val="both"/>
            </w:pPr>
            <w:r w:rsidRPr="0070740B">
              <w:t>A majority of the Court is of the view that the appeal should be dismissed, substantially for the reasons of the majority of the Court Martial Appeal Court. The military judge’s assessment of the evidence was thorough and cumulative. Reading the judgment as a whole, the military judge did not adopt a piecemeal or narrow approach to the evidence. In addition, we are not persuaded that the military judge applied the wrong legal principles. While we agree with all of the justices of the Court Martial Appeal Court that the military judge engaged in some improper speculation, we share the majority’s view that these comments did not undermine the military judge’s fundamental findings.</w:t>
            </w:r>
          </w:p>
          <w:p w:rsidR="0070740B" w:rsidRDefault="0070740B" w:rsidP="007E2E13">
            <w:pPr>
              <w:jc w:val="both"/>
            </w:pPr>
          </w:p>
          <w:p w:rsidR="00E62D6C" w:rsidRPr="0070740B" w:rsidRDefault="00E62D6C" w:rsidP="007E2E13">
            <w:pPr>
              <w:jc w:val="both"/>
            </w:pPr>
          </w:p>
          <w:p w:rsidR="0070740B" w:rsidRPr="0070740B" w:rsidRDefault="0070740B" w:rsidP="007E2E13">
            <w:pPr>
              <w:jc w:val="both"/>
            </w:pPr>
            <w:r w:rsidRPr="0070740B">
              <w:t>For her part, Justice O’Bonsawin would allow the appeal for the reasons of Justice McVeigh, at paras. 39-90 and 119-26 (CanLII). Therefore, the appeal is dismissed.</w:t>
            </w:r>
          </w:p>
        </w:tc>
        <w:tc>
          <w:tcPr>
            <w:tcW w:w="381" w:type="pct"/>
            <w:tcBorders>
              <w:left w:val="nil"/>
            </w:tcBorders>
          </w:tcPr>
          <w:p w:rsidR="0070740B" w:rsidRPr="0070740B" w:rsidRDefault="0070740B" w:rsidP="007E2E13">
            <w:pPr>
              <w:jc w:val="center"/>
            </w:pPr>
          </w:p>
        </w:tc>
        <w:tc>
          <w:tcPr>
            <w:tcW w:w="2350" w:type="pct"/>
          </w:tcPr>
          <w:p w:rsidR="0070740B" w:rsidRPr="0070740B" w:rsidRDefault="0070740B" w:rsidP="007E2E13">
            <w:pPr>
              <w:jc w:val="center"/>
              <w:rPr>
                <w:lang w:val="fr-CA"/>
              </w:rPr>
            </w:pPr>
            <w:r w:rsidRPr="0070740B">
              <w:rPr>
                <w:lang w:val="fr-CA"/>
              </w:rPr>
              <w:t>JUGEMENT</w:t>
            </w:r>
          </w:p>
          <w:p w:rsidR="0070740B" w:rsidRPr="0070740B" w:rsidRDefault="0070740B" w:rsidP="007E2E13">
            <w:pPr>
              <w:jc w:val="center"/>
              <w:rPr>
                <w:lang w:val="fr-CA"/>
              </w:rPr>
            </w:pPr>
          </w:p>
          <w:p w:rsidR="0070740B" w:rsidRPr="0070740B" w:rsidRDefault="0070740B" w:rsidP="007E2E13">
            <w:pPr>
              <w:jc w:val="both"/>
              <w:rPr>
                <w:lang w:val="fr-CA"/>
              </w:rPr>
            </w:pPr>
            <w:r w:rsidRPr="0070740B">
              <w:rPr>
                <w:lang w:val="fr-CA"/>
              </w:rPr>
              <w:t xml:space="preserve">L’appel interjeté contre l’arrêt de la Cour d’appel de la cour martiale du Canada, numéro CMAC-621, </w:t>
            </w:r>
            <w:hyperlink r:id="rId10" w:history="1">
              <w:r w:rsidRPr="0070740B">
                <w:rPr>
                  <w:rStyle w:val="Hyperlink"/>
                  <w:color w:val="auto"/>
                  <w:lang w:val="fr-CA"/>
                </w:rPr>
                <w:t>2023 CACM 2</w:t>
              </w:r>
            </w:hyperlink>
            <w:r w:rsidRPr="0070740B">
              <w:rPr>
                <w:lang w:val="fr-CA"/>
              </w:rPr>
              <w:t>, daté du 27 février 2023, a été entendu le 16 janvier 2024 et la Cour a prononcé oralement le même jour le jugement suivant :</w:t>
            </w:r>
          </w:p>
          <w:p w:rsidR="0070740B" w:rsidRPr="0070740B" w:rsidRDefault="0070740B" w:rsidP="007E2E13">
            <w:pPr>
              <w:jc w:val="both"/>
              <w:rPr>
                <w:lang w:val="fr-CA"/>
              </w:rPr>
            </w:pPr>
          </w:p>
          <w:p w:rsidR="0070740B" w:rsidRPr="0070740B" w:rsidRDefault="0070740B" w:rsidP="007E2E13">
            <w:pPr>
              <w:jc w:val="both"/>
              <w:rPr>
                <w:lang w:val="fr-CA"/>
              </w:rPr>
            </w:pPr>
            <w:r w:rsidRPr="0070740B">
              <w:rPr>
                <w:lang w:val="fr-CA"/>
              </w:rPr>
              <w:t>[</w:t>
            </w:r>
            <w:r w:rsidRPr="0070740B">
              <w:rPr>
                <w:smallCaps/>
                <w:lang w:val="fr-CA"/>
              </w:rPr>
              <w:t>traduction</w:t>
            </w:r>
            <w:r w:rsidRPr="0070740B">
              <w:rPr>
                <w:lang w:val="fr-CA"/>
              </w:rPr>
              <w:t>]</w:t>
            </w:r>
          </w:p>
          <w:p w:rsidR="0070740B" w:rsidRPr="0070740B" w:rsidRDefault="0070740B" w:rsidP="007E2E13">
            <w:pPr>
              <w:jc w:val="both"/>
              <w:rPr>
                <w:lang w:val="fr-CA"/>
              </w:rPr>
            </w:pPr>
            <w:r w:rsidRPr="0070740B">
              <w:rPr>
                <w:smallCaps/>
                <w:lang w:val="fr-CA"/>
              </w:rPr>
              <w:t>Le juge en chef</w:t>
            </w:r>
            <w:r w:rsidRPr="0070740B">
              <w:rPr>
                <w:lang w:val="fr-CA"/>
              </w:rPr>
              <w:t xml:space="preserve"> </w:t>
            </w:r>
            <w:r w:rsidRPr="0070740B">
              <w:rPr>
                <w:rFonts w:cs="Times New Roman"/>
                <w:lang w:val="fr-CA"/>
              </w:rPr>
              <w:t xml:space="preserve">— L’intimé a été acquitté d’agression sexuelle devant la Cour martiale.  La Couronne a fait appel, plaidant que le juge militaire avait omis d’effectuer une évaluation cumulative de l’ensemble de la preuve et avait apprécié celle-ci au regard des mauvais principes juridiques. La Cour d’appel de la cour martiale a rejeté à la majorité l’appel de la Couronne. La juge McVeigh, dissidente, aurait accueilli l’appel et ordonné un nouveau procès. </w:t>
            </w:r>
          </w:p>
          <w:p w:rsidR="0070740B" w:rsidRPr="0070740B" w:rsidRDefault="0070740B" w:rsidP="007E2E13">
            <w:pPr>
              <w:jc w:val="both"/>
              <w:rPr>
                <w:lang w:val="fr-CA"/>
              </w:rPr>
            </w:pPr>
          </w:p>
          <w:p w:rsidR="0070740B" w:rsidRPr="0070740B" w:rsidRDefault="0070740B" w:rsidP="007E2E13">
            <w:pPr>
              <w:jc w:val="both"/>
              <w:rPr>
                <w:lang w:val="fr-CA"/>
              </w:rPr>
            </w:pPr>
            <w:r w:rsidRPr="0070740B">
              <w:rPr>
                <w:lang w:val="fr-CA"/>
              </w:rPr>
              <w:t xml:space="preserve">La Couronne se pourvoit de plein droit devant notre Cour. </w:t>
            </w:r>
          </w:p>
          <w:p w:rsidR="0070740B" w:rsidRPr="0070740B" w:rsidRDefault="0070740B" w:rsidP="007E2E13">
            <w:pPr>
              <w:jc w:val="both"/>
              <w:rPr>
                <w:lang w:val="fr-CA"/>
              </w:rPr>
            </w:pPr>
          </w:p>
          <w:p w:rsidR="0070740B" w:rsidRPr="0070740B" w:rsidRDefault="0070740B" w:rsidP="007E2E13">
            <w:pPr>
              <w:jc w:val="both"/>
              <w:rPr>
                <w:lang w:val="fr-CA"/>
              </w:rPr>
            </w:pPr>
            <w:r w:rsidRPr="0070740B">
              <w:rPr>
                <w:lang w:val="fr-CA"/>
              </w:rPr>
              <w:t xml:space="preserve">La Cour est majoritairement d’avis que l’appel doit être rejeté, essentiellement pour les motifs exposés par les juges majoritaires de la Cour d’appel de la cour martiale. Le juge militaire a évalué la preuve de manière approfondie et cumulative. Il ressort du jugement dans son ensemble que ce dernier n’a pas adopté une approche fragmentaire ou étroite à l’égard de la preuve. De plus, nous ne sommes pas convaincus qu’il a appliqué les mauvais principes juridiques. Bien que nous soyons d’accord avec tous les juges de la Cour d’appel de la cour martiale pour dire que le juge militaire s’est livré à des conjectures inappropriées, nous partageons l’opinion des juges majoritaires portant que les commentaires en question n’ont pas miné les conclusions fondamentales de ce dernier. </w:t>
            </w:r>
          </w:p>
          <w:p w:rsidR="0070740B" w:rsidRPr="0070740B" w:rsidRDefault="0070740B" w:rsidP="007E2E13">
            <w:pPr>
              <w:jc w:val="both"/>
              <w:rPr>
                <w:lang w:val="fr-CA"/>
              </w:rPr>
            </w:pPr>
          </w:p>
          <w:p w:rsidR="0070740B" w:rsidRPr="0070740B" w:rsidRDefault="0070740B" w:rsidP="007E2E13">
            <w:pPr>
              <w:jc w:val="both"/>
              <w:rPr>
                <w:lang w:val="fr-CA"/>
              </w:rPr>
            </w:pPr>
            <w:r w:rsidRPr="0070740B">
              <w:rPr>
                <w:lang w:val="fr-CA"/>
              </w:rPr>
              <w:t>Pour sa part, la juge O’Bonsawin accueillerait l’appel pour les motifs exposés  par la juge McVeigh, aux par. 39</w:t>
            </w:r>
            <w:r w:rsidRPr="0070740B">
              <w:rPr>
                <w:lang w:val="fr-CA"/>
              </w:rPr>
              <w:noBreakHyphen/>
              <w:t>90 et 119</w:t>
            </w:r>
            <w:r w:rsidRPr="0070740B">
              <w:rPr>
                <w:lang w:val="fr-CA"/>
              </w:rPr>
              <w:noBreakHyphen/>
              <w:t xml:space="preserve">126 (CanLII). En conséquence, l’appel est rejeté. </w:t>
            </w:r>
          </w:p>
          <w:p w:rsidR="0070740B" w:rsidRPr="0070740B" w:rsidRDefault="0070740B" w:rsidP="007E2E13">
            <w:pPr>
              <w:jc w:val="both"/>
              <w:rPr>
                <w:lang w:val="fr-CA"/>
              </w:rPr>
            </w:pPr>
          </w:p>
        </w:tc>
      </w:tr>
    </w:tbl>
    <w:p w:rsidR="0070740B" w:rsidRPr="0070740B" w:rsidRDefault="0070740B" w:rsidP="0070740B">
      <w:pPr>
        <w:rPr>
          <w:lang w:val="fr-CA"/>
        </w:rPr>
      </w:pPr>
    </w:p>
    <w:p w:rsidR="0070740B" w:rsidRPr="0070740B" w:rsidRDefault="0070740B" w:rsidP="0070740B">
      <w:pPr>
        <w:jc w:val="center"/>
        <w:rPr>
          <w:lang w:val="fr-CA"/>
        </w:rPr>
      </w:pPr>
    </w:p>
    <w:p w:rsidR="0070740B" w:rsidRPr="0070740B" w:rsidRDefault="0070740B" w:rsidP="0070740B">
      <w:pPr>
        <w:jc w:val="center"/>
        <w:rPr>
          <w:lang w:val="fr-CA"/>
        </w:rPr>
      </w:pPr>
    </w:p>
    <w:p w:rsidR="0070740B" w:rsidRPr="0070740B" w:rsidRDefault="0070740B" w:rsidP="0070740B">
      <w:pPr>
        <w:jc w:val="center"/>
        <w:rPr>
          <w:lang w:val="fr-CA"/>
        </w:rPr>
      </w:pPr>
    </w:p>
    <w:p w:rsidR="0070740B" w:rsidRPr="0070740B" w:rsidRDefault="0070740B" w:rsidP="0070740B">
      <w:pPr>
        <w:jc w:val="center"/>
        <w:rPr>
          <w:lang w:val="fr-CA"/>
        </w:rPr>
      </w:pPr>
      <w:r w:rsidRPr="0070740B">
        <w:rPr>
          <w:lang w:val="fr-CA"/>
        </w:rPr>
        <w:t>C.J.C.</w:t>
      </w:r>
    </w:p>
    <w:p w:rsidR="00904937" w:rsidRDefault="0070740B" w:rsidP="0070740B">
      <w:pPr>
        <w:jc w:val="center"/>
        <w:rPr>
          <w:lang w:val="fr-CA"/>
        </w:rPr>
      </w:pPr>
      <w:r w:rsidRPr="0070740B">
        <w:rPr>
          <w:lang w:val="fr-CA"/>
        </w:rPr>
        <w:t>J.C.C.</w:t>
      </w:r>
    </w:p>
    <w:p w:rsidR="0070740B" w:rsidRPr="006B210C" w:rsidRDefault="0070740B" w:rsidP="0070740B">
      <w:pPr>
        <w:jc w:val="center"/>
      </w:pPr>
    </w:p>
    <w:sectPr w:rsidR="0070740B" w:rsidRPr="006B210C" w:rsidSect="00F72014">
      <w:pgSz w:w="12240" w:h="15840"/>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E44" w:rsidRDefault="00EF0E44" w:rsidP="00F72014">
      <w:r>
        <w:separator/>
      </w:r>
    </w:p>
  </w:endnote>
  <w:endnote w:type="continuationSeparator" w:id="0">
    <w:p w:rsidR="00EF0E44" w:rsidRDefault="00EF0E44" w:rsidP="00F7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E44" w:rsidRDefault="00EF0E44" w:rsidP="00F72014">
      <w:r>
        <w:separator/>
      </w:r>
    </w:p>
  </w:footnote>
  <w:footnote w:type="continuationSeparator" w:id="0">
    <w:p w:rsidR="00EF0E44" w:rsidRDefault="00EF0E44" w:rsidP="00F720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20"/>
  <w:displayHorizontalDrawingGridEvery w:val="2"/>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DA"/>
    <w:rsid w:val="00001315"/>
    <w:rsid w:val="0003087F"/>
    <w:rsid w:val="00076773"/>
    <w:rsid w:val="00087E50"/>
    <w:rsid w:val="001311DA"/>
    <w:rsid w:val="001412E4"/>
    <w:rsid w:val="001648D4"/>
    <w:rsid w:val="00192779"/>
    <w:rsid w:val="001B0985"/>
    <w:rsid w:val="001B27ED"/>
    <w:rsid w:val="001B299D"/>
    <w:rsid w:val="001D6B8C"/>
    <w:rsid w:val="001F1F83"/>
    <w:rsid w:val="001F3E0C"/>
    <w:rsid w:val="00205C5C"/>
    <w:rsid w:val="00205C5D"/>
    <w:rsid w:val="00252460"/>
    <w:rsid w:val="00273A18"/>
    <w:rsid w:val="00273D07"/>
    <w:rsid w:val="0028675F"/>
    <w:rsid w:val="002C1DA9"/>
    <w:rsid w:val="002C5A33"/>
    <w:rsid w:val="002D4FC9"/>
    <w:rsid w:val="00307011"/>
    <w:rsid w:val="00355967"/>
    <w:rsid w:val="00382BC9"/>
    <w:rsid w:val="00384384"/>
    <w:rsid w:val="003B2BE1"/>
    <w:rsid w:val="003B3C63"/>
    <w:rsid w:val="00451668"/>
    <w:rsid w:val="00460AFC"/>
    <w:rsid w:val="004E69EC"/>
    <w:rsid w:val="004F090E"/>
    <w:rsid w:val="00524C08"/>
    <w:rsid w:val="00540106"/>
    <w:rsid w:val="00564C88"/>
    <w:rsid w:val="00582136"/>
    <w:rsid w:val="005D2CFA"/>
    <w:rsid w:val="005D4801"/>
    <w:rsid w:val="0061259C"/>
    <w:rsid w:val="006B210C"/>
    <w:rsid w:val="00701ABD"/>
    <w:rsid w:val="0070740B"/>
    <w:rsid w:val="00713039"/>
    <w:rsid w:val="007740CA"/>
    <w:rsid w:val="00815561"/>
    <w:rsid w:val="00842677"/>
    <w:rsid w:val="00843369"/>
    <w:rsid w:val="00852D4E"/>
    <w:rsid w:val="008710E3"/>
    <w:rsid w:val="00880B14"/>
    <w:rsid w:val="00904937"/>
    <w:rsid w:val="0093524C"/>
    <w:rsid w:val="00962C82"/>
    <w:rsid w:val="00996510"/>
    <w:rsid w:val="0099776C"/>
    <w:rsid w:val="009B58B8"/>
    <w:rsid w:val="009D070E"/>
    <w:rsid w:val="009E1B85"/>
    <w:rsid w:val="009E7065"/>
    <w:rsid w:val="00A15427"/>
    <w:rsid w:val="00A22F5B"/>
    <w:rsid w:val="00A51D10"/>
    <w:rsid w:val="00A57778"/>
    <w:rsid w:val="00AB2201"/>
    <w:rsid w:val="00BC2DFD"/>
    <w:rsid w:val="00BD4217"/>
    <w:rsid w:val="00BD7D76"/>
    <w:rsid w:val="00C003E6"/>
    <w:rsid w:val="00CE17A0"/>
    <w:rsid w:val="00D030DA"/>
    <w:rsid w:val="00D76BDF"/>
    <w:rsid w:val="00DA7B22"/>
    <w:rsid w:val="00DF15D7"/>
    <w:rsid w:val="00E22DBA"/>
    <w:rsid w:val="00E356C7"/>
    <w:rsid w:val="00E50991"/>
    <w:rsid w:val="00E5364D"/>
    <w:rsid w:val="00E54E6E"/>
    <w:rsid w:val="00E62D6C"/>
    <w:rsid w:val="00E64FA7"/>
    <w:rsid w:val="00E770CB"/>
    <w:rsid w:val="00EA6DB9"/>
    <w:rsid w:val="00EF0E44"/>
    <w:rsid w:val="00EF72F1"/>
    <w:rsid w:val="00F36AF0"/>
    <w:rsid w:val="00F72014"/>
    <w:rsid w:val="00F8523E"/>
    <w:rsid w:val="00F9518C"/>
    <w:rsid w:val="00FA59EF"/>
    <w:rsid w:val="00FC2782"/>
    <w:rsid w:val="00FC70CB"/>
    <w:rsid w:val="00FE57D3"/>
    <w:rsid w:val="00FE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7E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30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030DA"/>
    <w:rPr>
      <w:color w:val="808080"/>
    </w:rPr>
  </w:style>
  <w:style w:type="paragraph" w:styleId="BalloonText">
    <w:name w:val="Balloon Text"/>
    <w:basedOn w:val="Normal"/>
    <w:link w:val="BalloonTextChar"/>
    <w:uiPriority w:val="99"/>
    <w:semiHidden/>
    <w:unhideWhenUsed/>
    <w:rsid w:val="00D030DA"/>
    <w:rPr>
      <w:rFonts w:ascii="Tahoma" w:hAnsi="Tahoma" w:cs="Tahoma"/>
      <w:sz w:val="16"/>
      <w:szCs w:val="16"/>
    </w:rPr>
  </w:style>
  <w:style w:type="character" w:customStyle="1" w:styleId="BalloonTextChar">
    <w:name w:val="Balloon Text Char"/>
    <w:basedOn w:val="DefaultParagraphFont"/>
    <w:link w:val="BalloonText"/>
    <w:uiPriority w:val="99"/>
    <w:semiHidden/>
    <w:rsid w:val="00D030DA"/>
    <w:rPr>
      <w:rFonts w:ascii="Tahoma" w:hAnsi="Tahoma" w:cs="Tahoma"/>
      <w:sz w:val="16"/>
      <w:szCs w:val="16"/>
    </w:rPr>
  </w:style>
  <w:style w:type="paragraph" w:styleId="Header">
    <w:name w:val="header"/>
    <w:basedOn w:val="Normal"/>
    <w:link w:val="HeaderChar"/>
    <w:uiPriority w:val="99"/>
    <w:unhideWhenUsed/>
    <w:rsid w:val="00F72014"/>
    <w:pPr>
      <w:tabs>
        <w:tab w:val="center" w:pos="4680"/>
        <w:tab w:val="right" w:pos="9360"/>
      </w:tabs>
    </w:pPr>
  </w:style>
  <w:style w:type="character" w:customStyle="1" w:styleId="HeaderChar">
    <w:name w:val="Header Char"/>
    <w:basedOn w:val="DefaultParagraphFont"/>
    <w:link w:val="Header"/>
    <w:uiPriority w:val="99"/>
    <w:rsid w:val="00F72014"/>
  </w:style>
  <w:style w:type="paragraph" w:styleId="Footer">
    <w:name w:val="footer"/>
    <w:basedOn w:val="Normal"/>
    <w:link w:val="FooterChar"/>
    <w:uiPriority w:val="99"/>
    <w:semiHidden/>
    <w:unhideWhenUsed/>
    <w:rsid w:val="00F72014"/>
    <w:pPr>
      <w:tabs>
        <w:tab w:val="center" w:pos="4680"/>
        <w:tab w:val="right" w:pos="9360"/>
      </w:tabs>
    </w:pPr>
  </w:style>
  <w:style w:type="character" w:customStyle="1" w:styleId="FooterChar">
    <w:name w:val="Footer Char"/>
    <w:basedOn w:val="DefaultParagraphFont"/>
    <w:link w:val="Footer"/>
    <w:uiPriority w:val="99"/>
    <w:semiHidden/>
    <w:rsid w:val="00F72014"/>
  </w:style>
  <w:style w:type="paragraph" w:customStyle="1" w:styleId="SCCRestrictionOnPublicationTitle">
    <w:name w:val="SCC.RestrictionOnPublicationTitle"/>
    <w:basedOn w:val="Normal"/>
    <w:next w:val="Normal"/>
    <w:link w:val="SCCRestrictionOnPublicationTitleChar"/>
    <w:rsid w:val="00252460"/>
    <w:rPr>
      <w:b/>
      <w:smallCaps/>
    </w:rPr>
  </w:style>
  <w:style w:type="character" w:customStyle="1" w:styleId="SCCRestrictionOnPublicationTitleChar">
    <w:name w:val="SCC.RestrictionOnPublicationTitle Char"/>
    <w:basedOn w:val="DefaultParagraphFont"/>
    <w:link w:val="SCCRestrictionOnPublicationTitle"/>
    <w:rsid w:val="00252460"/>
    <w:rPr>
      <w:b/>
      <w:smallCaps/>
      <w:lang w:val="en-CA"/>
    </w:rPr>
  </w:style>
  <w:style w:type="paragraph" w:customStyle="1" w:styleId="SCCRestrictionOnPublicationText">
    <w:name w:val="SCC.RestrictionOnPublicationText"/>
    <w:basedOn w:val="Normal"/>
    <w:next w:val="Normal"/>
    <w:link w:val="SCCRestrictionOnPublicationTextChar"/>
    <w:rsid w:val="00252460"/>
  </w:style>
  <w:style w:type="character" w:customStyle="1" w:styleId="SCCRestrictionOnPublicationTextChar">
    <w:name w:val="SCC.RestrictionOnPublicationText Char"/>
    <w:basedOn w:val="DefaultParagraphFont"/>
    <w:link w:val="SCCRestrictionOnPublicationText"/>
    <w:rsid w:val="00252460"/>
    <w:rPr>
      <w:lang w:val="en-CA"/>
    </w:rPr>
  </w:style>
  <w:style w:type="paragraph" w:customStyle="1" w:styleId="SCCLsocOtherPartyRole">
    <w:name w:val="SCC.Lsoc.OtherPartyRole"/>
    <w:basedOn w:val="Normal"/>
    <w:next w:val="Normal"/>
    <w:link w:val="SCCLsocOtherPartyRoleChar"/>
    <w:rsid w:val="0099776C"/>
    <w:pPr>
      <w:jc w:val="center"/>
    </w:pPr>
  </w:style>
  <w:style w:type="character" w:customStyle="1" w:styleId="SCCLsocOtherPartyRoleChar">
    <w:name w:val="SCC.Lsoc.OtherPartyRole Char"/>
    <w:basedOn w:val="DefaultParagraphFont"/>
    <w:link w:val="SCCLsocOtherPartyRole"/>
    <w:rsid w:val="0099776C"/>
    <w:rPr>
      <w:lang w:val="en-CA"/>
    </w:rPr>
  </w:style>
  <w:style w:type="paragraph" w:customStyle="1" w:styleId="SCCLsocParty">
    <w:name w:val="SCC.Lsoc.Party"/>
    <w:basedOn w:val="Normal"/>
    <w:next w:val="Normal"/>
    <w:link w:val="SCCLsocPartyChar"/>
    <w:rsid w:val="0099776C"/>
    <w:pPr>
      <w:jc w:val="center"/>
    </w:pPr>
    <w:rPr>
      <w:b/>
    </w:rPr>
  </w:style>
  <w:style w:type="character" w:customStyle="1" w:styleId="SCCLsocPartyChar">
    <w:name w:val="SCC.Lsoc.Party Char"/>
    <w:basedOn w:val="DefaultParagraphFont"/>
    <w:link w:val="SCCLsocParty"/>
    <w:rsid w:val="0099776C"/>
    <w:rPr>
      <w:b/>
      <w:lang w:val="en-CA"/>
    </w:rPr>
  </w:style>
  <w:style w:type="paragraph" w:customStyle="1" w:styleId="SCCLsocSubfileSeparator">
    <w:name w:val="SCC.Lsoc.SubfileSeparator"/>
    <w:basedOn w:val="Normal"/>
    <w:next w:val="Normal"/>
    <w:link w:val="SCCLsocSubfileSeparatorChar"/>
    <w:rsid w:val="00FE5ED5"/>
    <w:rPr>
      <w:b/>
      <w:smallCaps/>
    </w:rPr>
  </w:style>
  <w:style w:type="character" w:customStyle="1" w:styleId="SCCLsocSubfileSeparatorChar">
    <w:name w:val="SCC.Lsoc.SubfileSeparator Char"/>
    <w:basedOn w:val="DefaultParagraphFont"/>
    <w:link w:val="SCCLsocSubfileSeparator"/>
    <w:rsid w:val="00FE5ED5"/>
    <w:rPr>
      <w:b/>
      <w:smallCaps/>
      <w:lang w:val="en-CA"/>
    </w:rPr>
  </w:style>
  <w:style w:type="paragraph" w:customStyle="1" w:styleId="SCCLsocVersus">
    <w:name w:val="SCC.Lsoc.Versus"/>
    <w:basedOn w:val="Normal"/>
    <w:next w:val="Normal"/>
    <w:link w:val="SCCLsocVersusChar"/>
    <w:rsid w:val="0099776C"/>
    <w:pPr>
      <w:jc w:val="center"/>
    </w:pPr>
  </w:style>
  <w:style w:type="character" w:customStyle="1" w:styleId="SCCLsocVersusChar">
    <w:name w:val="SCC.Lsoc.Versus Char"/>
    <w:basedOn w:val="DefaultParagraphFont"/>
    <w:link w:val="SCCLsocVersus"/>
    <w:rsid w:val="0099776C"/>
    <w:rPr>
      <w:lang w:val="en-CA"/>
    </w:rPr>
  </w:style>
  <w:style w:type="paragraph" w:customStyle="1" w:styleId="SCCLsocPartyRole">
    <w:name w:val="SCC.Lsoc.PartyRole"/>
    <w:basedOn w:val="Normal"/>
    <w:next w:val="Normal"/>
    <w:link w:val="SCCLsocPartyRoleChar"/>
    <w:rsid w:val="0099776C"/>
    <w:pPr>
      <w:jc w:val="center"/>
    </w:pPr>
  </w:style>
  <w:style w:type="character" w:customStyle="1" w:styleId="SCCLsocPartyRoleChar">
    <w:name w:val="SCC.Lsoc.PartyRole Char"/>
    <w:basedOn w:val="DefaultParagraphFont"/>
    <w:link w:val="SCCLsocPartyRole"/>
    <w:rsid w:val="0099776C"/>
    <w:rPr>
      <w:lang w:val="en-CA"/>
    </w:rPr>
  </w:style>
  <w:style w:type="paragraph" w:customStyle="1" w:styleId="SCCLsocPrefix">
    <w:name w:val="SCC.Lsoc.Prefix"/>
    <w:basedOn w:val="Normal"/>
    <w:next w:val="Normal"/>
    <w:link w:val="SCCLsocPrefixChar"/>
    <w:rsid w:val="00FE5ED5"/>
    <w:rPr>
      <w:b/>
      <w:smallCaps/>
    </w:rPr>
  </w:style>
  <w:style w:type="character" w:customStyle="1" w:styleId="SCCLsocPrefixChar">
    <w:name w:val="SCC.Lsoc.Prefix Char"/>
    <w:basedOn w:val="DefaultParagraphFont"/>
    <w:link w:val="SCCLsocPrefix"/>
    <w:rsid w:val="00FE5ED5"/>
    <w:rPr>
      <w:b/>
      <w:smallCaps/>
      <w:lang w:val="en-CA"/>
    </w:rPr>
  </w:style>
  <w:style w:type="paragraph" w:customStyle="1" w:styleId="SCCHearingJudgmentDatesText">
    <w:name w:val="SCC.HearingJudgmentDatesText"/>
    <w:basedOn w:val="Normal"/>
    <w:next w:val="Normal"/>
    <w:link w:val="SCCHearingJudgmentDatesTextChar"/>
    <w:rsid w:val="00C003E6"/>
  </w:style>
  <w:style w:type="character" w:customStyle="1" w:styleId="SCCHearingJudgmentDatesTextChar">
    <w:name w:val="SCC.HearingJudgmentDatesText Char"/>
    <w:basedOn w:val="DefaultParagraphFont"/>
    <w:link w:val="SCCHearingJudgmentDatesText"/>
    <w:rsid w:val="00C003E6"/>
    <w:rPr>
      <w:lang w:val="en-CA"/>
    </w:rPr>
  </w:style>
  <w:style w:type="paragraph" w:customStyle="1" w:styleId="SCCHearingJudgmentDatesTitle">
    <w:name w:val="SCC.HearingJudgmentDatesTitle"/>
    <w:basedOn w:val="Normal"/>
    <w:next w:val="Normal"/>
    <w:link w:val="SCCHearingJudgmentDatesTitleChar"/>
    <w:rsid w:val="00C003E6"/>
    <w:rPr>
      <w:b/>
      <w:smallCaps/>
    </w:rPr>
  </w:style>
  <w:style w:type="character" w:customStyle="1" w:styleId="SCCHearingJudgmentDatesTitleChar">
    <w:name w:val="SCC.HearingJudgmentDatesTitle Char"/>
    <w:basedOn w:val="DefaultParagraphFont"/>
    <w:link w:val="SCCHearingJudgmentDatesTitle"/>
    <w:rsid w:val="00C003E6"/>
    <w:rPr>
      <w:b/>
      <w:smallCaps/>
      <w:lang w:val="en-CA"/>
    </w:rPr>
  </w:style>
  <w:style w:type="paragraph" w:customStyle="1" w:styleId="SCCLsocOtherPartySeparator">
    <w:name w:val="SCC.Lsoc.OtherPartySeparator"/>
    <w:basedOn w:val="Normal"/>
    <w:next w:val="Normal"/>
    <w:link w:val="SCCLsocOtherPartySeparatorChar"/>
    <w:rsid w:val="002C5A33"/>
    <w:pPr>
      <w:jc w:val="center"/>
    </w:pPr>
  </w:style>
  <w:style w:type="character" w:customStyle="1" w:styleId="SCCLsocOtherPartySeparatorChar">
    <w:name w:val="SCC.Lsoc.OtherPartySeparator Char"/>
    <w:basedOn w:val="DefaultParagraphFont"/>
    <w:link w:val="SCCLsocOtherPartySeparator"/>
    <w:rsid w:val="002C5A33"/>
    <w:rPr>
      <w:lang w:val="en-CA"/>
    </w:rPr>
  </w:style>
  <w:style w:type="paragraph" w:customStyle="1" w:styleId="SCCCounselName">
    <w:name w:val="SCC.CounselName"/>
    <w:basedOn w:val="Normal"/>
    <w:next w:val="Normal"/>
    <w:link w:val="SCCCounselNameChar"/>
    <w:rsid w:val="00962C82"/>
    <w:rPr>
      <w:i/>
    </w:rPr>
  </w:style>
  <w:style w:type="character" w:customStyle="1" w:styleId="SCCCounselNameChar">
    <w:name w:val="SCC.CounselName Char"/>
    <w:basedOn w:val="DefaultParagraphFont"/>
    <w:link w:val="SCCCounselName"/>
    <w:rsid w:val="00962C82"/>
    <w:rPr>
      <w:rFonts w:eastAsia="Times New Roman" w:cs="Times New Roman"/>
      <w:i/>
      <w:szCs w:val="20"/>
      <w:lang w:val="en-CA" w:eastAsia="en-CA"/>
    </w:rPr>
  </w:style>
  <w:style w:type="paragraph" w:customStyle="1" w:styleId="SCCCounselSeparator">
    <w:name w:val="SCC.CounselSeparator"/>
    <w:basedOn w:val="Normal"/>
    <w:next w:val="Normal"/>
    <w:link w:val="SCCCounselSeparatorChar"/>
    <w:rsid w:val="00962C82"/>
  </w:style>
  <w:style w:type="character" w:customStyle="1" w:styleId="SCCCounselSeparatorChar">
    <w:name w:val="SCC.CounselSeparator Char"/>
    <w:basedOn w:val="DefaultParagraphFont"/>
    <w:link w:val="SCCCounselSeparator"/>
    <w:rsid w:val="00962C82"/>
    <w:rPr>
      <w:rFonts w:eastAsia="Times New Roman" w:cs="Times New Roman"/>
      <w:szCs w:val="20"/>
      <w:lang w:val="en-CA" w:eastAsia="en-CA"/>
    </w:rPr>
  </w:style>
  <w:style w:type="paragraph" w:customStyle="1" w:styleId="SCCCounselPartyRole">
    <w:name w:val="SCC.CounselPartyRole"/>
    <w:basedOn w:val="Normal"/>
    <w:next w:val="Normal"/>
    <w:link w:val="SCCCounselPartyRoleChar"/>
    <w:rsid w:val="00962C82"/>
  </w:style>
  <w:style w:type="character" w:customStyle="1" w:styleId="SCCCounselPartyRoleChar">
    <w:name w:val="SCC.CounselPartyRole Char"/>
    <w:basedOn w:val="DefaultParagraphFont"/>
    <w:link w:val="SCCCounselPartyRole"/>
    <w:rsid w:val="00962C82"/>
    <w:rPr>
      <w:rFonts w:eastAsia="Times New Roman" w:cs="Times New Roman"/>
      <w:szCs w:val="20"/>
      <w:lang w:val="en-CA" w:eastAsia="en-CA"/>
    </w:rPr>
  </w:style>
  <w:style w:type="paragraph" w:customStyle="1" w:styleId="SCCBold">
    <w:name w:val="SCC.Bold"/>
    <w:basedOn w:val="Normal"/>
    <w:next w:val="Normal"/>
    <w:rsid w:val="005D2CFA"/>
    <w:rPr>
      <w:b/>
    </w:rPr>
  </w:style>
  <w:style w:type="paragraph" w:customStyle="1" w:styleId="SCCReasonsTitle">
    <w:name w:val="SCC.ReasonsTitle"/>
    <w:basedOn w:val="Normal"/>
    <w:next w:val="Normal"/>
    <w:link w:val="SCCReasonsTitleChar"/>
    <w:qFormat/>
    <w:rsid w:val="00076773"/>
    <w:rPr>
      <w:b/>
    </w:rPr>
  </w:style>
  <w:style w:type="character" w:customStyle="1" w:styleId="SCCReasonsTitleChar">
    <w:name w:val="SCC.ReasonsTitle Char"/>
    <w:basedOn w:val="DefaultParagraphFont"/>
    <w:link w:val="SCCReasonsTitle"/>
    <w:rsid w:val="001B27ED"/>
    <w:rPr>
      <w:b/>
      <w:lang w:val="en-CA"/>
    </w:rPr>
  </w:style>
  <w:style w:type="character" w:styleId="Hyperlink">
    <w:name w:val="Hyperlink"/>
    <w:basedOn w:val="DefaultParagraphFont"/>
    <w:uiPriority w:val="99"/>
    <w:unhideWhenUsed/>
    <w:rsid w:val="00A22F5B"/>
    <w:rPr>
      <w:color w:val="66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cisions.cmac-cacm.ca/cmac-cacm/cmac-cacm/fr/521026/1/document.do" TargetMode="External"/><Relationship Id="rId4" Type="http://schemas.openxmlformats.org/officeDocument/2006/relationships/webSettings" Target="webSettings.xml"/><Relationship Id="rId9" Type="http://schemas.openxmlformats.org/officeDocument/2006/relationships/hyperlink" Target="https://decisions.cmac-cacm.ca/cmac-cacm/cmac-cacm/en/521026/1/document.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F2CB1-68F2-4AC9-BCCB-797706EB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2024-01-18T15:05:00Z</dcterms:created>
  <dcterms:modified xsi:type="dcterms:W3CDTF">2024-04-24T16:52:00Z</dcterms:modified>
</cp:coreProperties>
</file>