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816F89" w:rsidRPr="00816F89" w14:paraId="03C4243E" w14:textId="77777777" w:rsidTr="003253B3">
        <w:trPr>
          <w:trHeight w:val="2103"/>
        </w:trPr>
        <w:tc>
          <w:tcPr>
            <w:tcW w:w="5000" w:type="pct"/>
            <w:gridSpan w:val="4"/>
          </w:tcPr>
          <w:p w14:paraId="489CF96F" w14:textId="77777777" w:rsidR="00816F89" w:rsidRPr="00816F89" w:rsidRDefault="00816F89" w:rsidP="00816F89">
            <w:pPr>
              <w:jc w:val="center"/>
              <w:rPr>
                <w:b/>
              </w:rPr>
            </w:pPr>
            <w:r w:rsidRPr="00816F89">
              <w:rPr>
                <w:b/>
                <w:noProof/>
              </w:rPr>
              <w:drawing>
                <wp:inline distT="0" distB="0" distL="0" distR="0" wp14:anchorId="22833EC7" wp14:editId="200C1763">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4919F476" w14:textId="77777777" w:rsidR="00816F89" w:rsidRPr="00816F89" w:rsidRDefault="00816F89" w:rsidP="00816F89">
            <w:pPr>
              <w:spacing w:before="120" w:after="100" w:afterAutospacing="1"/>
              <w:jc w:val="center"/>
            </w:pPr>
            <w:r w:rsidRPr="00816F89">
              <w:rPr>
                <w:b/>
              </w:rPr>
              <w:t>SUPREME COURT OF CANADA</w:t>
            </w:r>
          </w:p>
        </w:tc>
      </w:tr>
      <w:tr w:rsidR="00816F89" w:rsidRPr="00816F89" w14:paraId="070F2B1B" w14:textId="77777777" w:rsidTr="003253B3">
        <w:tblPrEx>
          <w:tblCellMar>
            <w:top w:w="58" w:type="dxa"/>
            <w:left w:w="58" w:type="dxa"/>
            <w:bottom w:w="58" w:type="dxa"/>
            <w:right w:w="58" w:type="dxa"/>
          </w:tblCellMar>
        </w:tblPrEx>
        <w:tc>
          <w:tcPr>
            <w:tcW w:w="2078" w:type="pct"/>
            <w:gridSpan w:val="2"/>
          </w:tcPr>
          <w:p w14:paraId="16AF1C0B" w14:textId="77777777" w:rsidR="00816F89" w:rsidRPr="00816F89" w:rsidRDefault="00816F89" w:rsidP="00816F89">
            <w:pPr>
              <w:rPr>
                <w:b/>
                <w:smallCaps/>
                <w:lang w:val="fr-CA"/>
              </w:rPr>
            </w:pPr>
          </w:p>
          <w:p w14:paraId="56D38A57" w14:textId="77777777" w:rsidR="00816F89" w:rsidRPr="00816F89" w:rsidRDefault="00816F89" w:rsidP="00816F89">
            <w:pPr>
              <w:rPr>
                <w:b/>
                <w:smallCaps/>
                <w:lang w:val="fr-CA"/>
              </w:rPr>
            </w:pPr>
            <w:r w:rsidRPr="00816F89">
              <w:rPr>
                <w:b/>
                <w:smallCaps/>
                <w:lang w:val="fr-CA"/>
              </w:rPr>
              <w:t>Citation:</w:t>
            </w:r>
            <w:r w:rsidRPr="00816F89">
              <w:rPr>
                <w:lang w:val="fr-CA"/>
              </w:rPr>
              <w:t xml:space="preserve"> Société des casinos du Québec inc. </w:t>
            </w:r>
            <w:r w:rsidRPr="00816F89">
              <w:rPr>
                <w:i/>
                <w:lang w:val="fr-CA"/>
              </w:rPr>
              <w:t>v.</w:t>
            </w:r>
            <w:r w:rsidRPr="00816F89">
              <w:rPr>
                <w:lang w:val="fr-CA"/>
              </w:rPr>
              <w:t xml:space="preserve"> Association des cadres de la Société des casinos du Québec, 2024 SCC 13</w:t>
            </w:r>
          </w:p>
        </w:tc>
        <w:tc>
          <w:tcPr>
            <w:tcW w:w="781" w:type="pct"/>
          </w:tcPr>
          <w:p w14:paraId="0C6F1C3A" w14:textId="77777777" w:rsidR="00816F89" w:rsidRPr="00816F89" w:rsidRDefault="00816F89" w:rsidP="00816F89">
            <w:pPr>
              <w:rPr>
                <w:lang w:val="fr-CA"/>
              </w:rPr>
            </w:pPr>
          </w:p>
        </w:tc>
        <w:tc>
          <w:tcPr>
            <w:tcW w:w="2141" w:type="pct"/>
          </w:tcPr>
          <w:p w14:paraId="1D9A90C6" w14:textId="77777777" w:rsidR="00816F89" w:rsidRPr="00816F89" w:rsidRDefault="00816F89" w:rsidP="00816F89">
            <w:pPr>
              <w:rPr>
                <w:b/>
                <w:smallCaps/>
                <w:lang w:val="fr-CA"/>
              </w:rPr>
            </w:pPr>
          </w:p>
          <w:p w14:paraId="4DB0BC25" w14:textId="77777777" w:rsidR="00816F89" w:rsidRPr="00816F89" w:rsidRDefault="00816F89" w:rsidP="00816F89">
            <w:pPr>
              <w:jc w:val="both"/>
            </w:pPr>
            <w:r w:rsidRPr="00816F89">
              <w:rPr>
                <w:b/>
                <w:smallCaps/>
              </w:rPr>
              <w:t>Appeals Heard:</w:t>
            </w:r>
            <w:r w:rsidRPr="00816F89">
              <w:t xml:space="preserve"> April 20, 2023</w:t>
            </w:r>
          </w:p>
          <w:p w14:paraId="102EA479" w14:textId="77777777" w:rsidR="00816F89" w:rsidRPr="00816F89" w:rsidRDefault="00816F89" w:rsidP="00816F89">
            <w:r w:rsidRPr="00816F89">
              <w:rPr>
                <w:b/>
                <w:smallCaps/>
              </w:rPr>
              <w:t>Judgment Rendered:</w:t>
            </w:r>
            <w:r w:rsidRPr="00816F89">
              <w:t xml:space="preserve"> April 19, 2024</w:t>
            </w:r>
          </w:p>
          <w:p w14:paraId="68685EF1" w14:textId="77777777" w:rsidR="00816F89" w:rsidRPr="00816F89" w:rsidRDefault="00816F89" w:rsidP="00816F89">
            <w:r w:rsidRPr="00816F89">
              <w:rPr>
                <w:b/>
                <w:smallCaps/>
              </w:rPr>
              <w:t>Docket:</w:t>
            </w:r>
            <w:r w:rsidRPr="00816F89">
              <w:t xml:space="preserve"> 40123</w:t>
            </w:r>
          </w:p>
        </w:tc>
      </w:tr>
      <w:tr w:rsidR="00816F89" w:rsidRPr="00816F89" w14:paraId="42CC1764" w14:textId="77777777" w:rsidTr="003253B3">
        <w:tblPrEx>
          <w:tblCellMar>
            <w:top w:w="58" w:type="dxa"/>
            <w:left w:w="58" w:type="dxa"/>
            <w:bottom w:w="58" w:type="dxa"/>
            <w:right w:w="58" w:type="dxa"/>
          </w:tblCellMar>
        </w:tblPrEx>
        <w:tc>
          <w:tcPr>
            <w:tcW w:w="5000" w:type="pct"/>
            <w:gridSpan w:val="4"/>
          </w:tcPr>
          <w:p w14:paraId="6BF55F55" w14:textId="77777777" w:rsidR="00816F89" w:rsidRPr="00816F89" w:rsidRDefault="00816F89" w:rsidP="00816F89">
            <w:pPr>
              <w:rPr>
                <w:lang w:val="fr-CA"/>
              </w:rPr>
            </w:pPr>
          </w:p>
          <w:p w14:paraId="3F572662" w14:textId="77777777" w:rsidR="00816F89" w:rsidRPr="00816F89" w:rsidRDefault="00816F89" w:rsidP="00816F89">
            <w:pPr>
              <w:rPr>
                <w:b/>
                <w:smallCaps/>
                <w:lang w:val="fr-CA"/>
              </w:rPr>
            </w:pPr>
            <w:r w:rsidRPr="00816F89">
              <w:rPr>
                <w:b/>
                <w:smallCaps/>
                <w:lang w:val="fr-CA"/>
              </w:rPr>
              <w:t>Between:</w:t>
            </w:r>
          </w:p>
          <w:p w14:paraId="0D6843AA" w14:textId="77777777" w:rsidR="00816F89" w:rsidRPr="00816F89" w:rsidRDefault="00816F89" w:rsidP="00816F89">
            <w:pPr>
              <w:rPr>
                <w:lang w:val="fr-CA"/>
              </w:rPr>
            </w:pPr>
          </w:p>
          <w:p w14:paraId="73F87DDD" w14:textId="77777777" w:rsidR="00816F89" w:rsidRPr="00816F89" w:rsidRDefault="00816F89" w:rsidP="00816F89">
            <w:pPr>
              <w:jc w:val="center"/>
              <w:rPr>
                <w:b/>
                <w:lang w:val="fr-CA"/>
              </w:rPr>
            </w:pPr>
            <w:r w:rsidRPr="00816F89">
              <w:rPr>
                <w:b/>
                <w:lang w:val="fr-CA"/>
              </w:rPr>
              <w:t>Société des casinos du Québec inc.</w:t>
            </w:r>
          </w:p>
          <w:p w14:paraId="1F016E77" w14:textId="77777777" w:rsidR="00816F89" w:rsidRPr="00816F89" w:rsidRDefault="00816F89" w:rsidP="00816F89">
            <w:pPr>
              <w:jc w:val="center"/>
              <w:rPr>
                <w:lang w:val="fr-CA"/>
              </w:rPr>
            </w:pPr>
            <w:r w:rsidRPr="00816F89">
              <w:rPr>
                <w:lang w:val="fr-CA"/>
              </w:rPr>
              <w:t>Appellant</w:t>
            </w:r>
          </w:p>
          <w:p w14:paraId="14F7835B" w14:textId="77777777" w:rsidR="00816F89" w:rsidRPr="00816F89" w:rsidRDefault="00816F89" w:rsidP="00816F89">
            <w:pPr>
              <w:rPr>
                <w:lang w:val="fr-CA"/>
              </w:rPr>
            </w:pPr>
          </w:p>
          <w:p w14:paraId="7676EF68" w14:textId="77777777" w:rsidR="00816F89" w:rsidRPr="00816F89" w:rsidRDefault="00816F89" w:rsidP="00816F89">
            <w:pPr>
              <w:jc w:val="center"/>
              <w:rPr>
                <w:lang w:val="fr-CA"/>
              </w:rPr>
            </w:pPr>
            <w:r w:rsidRPr="00816F89">
              <w:rPr>
                <w:lang w:val="fr-CA"/>
              </w:rPr>
              <w:t>and</w:t>
            </w:r>
          </w:p>
          <w:p w14:paraId="4BCB4F35" w14:textId="77777777" w:rsidR="00816F89" w:rsidRPr="00816F89" w:rsidRDefault="00816F89" w:rsidP="00816F89">
            <w:pPr>
              <w:rPr>
                <w:lang w:val="fr-CA"/>
              </w:rPr>
            </w:pPr>
          </w:p>
          <w:p w14:paraId="51AA89C8" w14:textId="77777777" w:rsidR="00816F89" w:rsidRPr="00816F89" w:rsidRDefault="00816F89" w:rsidP="00816F89">
            <w:pPr>
              <w:jc w:val="center"/>
              <w:rPr>
                <w:b/>
                <w:lang w:val="fr-CA"/>
              </w:rPr>
            </w:pPr>
            <w:r w:rsidRPr="00816F89">
              <w:rPr>
                <w:b/>
                <w:lang w:val="fr-CA"/>
              </w:rPr>
              <w:t>Association des cadres de la Société des casinos du Québec</w:t>
            </w:r>
          </w:p>
          <w:p w14:paraId="16749C38" w14:textId="77777777" w:rsidR="00816F89" w:rsidRPr="00816F89" w:rsidRDefault="00816F89" w:rsidP="00816F89">
            <w:pPr>
              <w:jc w:val="center"/>
              <w:rPr>
                <w:lang w:val="fr-CA"/>
              </w:rPr>
            </w:pPr>
            <w:r w:rsidRPr="00816F89">
              <w:rPr>
                <w:lang w:val="fr-CA"/>
              </w:rPr>
              <w:t>Respondent</w:t>
            </w:r>
          </w:p>
          <w:p w14:paraId="1299CCAA" w14:textId="77777777" w:rsidR="00816F89" w:rsidRPr="00816F89" w:rsidRDefault="00816F89" w:rsidP="00816F89">
            <w:pPr>
              <w:rPr>
                <w:lang w:val="fr-CA"/>
              </w:rPr>
            </w:pPr>
          </w:p>
          <w:p w14:paraId="314D51B4" w14:textId="77777777" w:rsidR="00816F89" w:rsidRPr="00816F89" w:rsidRDefault="00816F89" w:rsidP="00816F89">
            <w:pPr>
              <w:jc w:val="center"/>
              <w:rPr>
                <w:lang w:val="fr-CA"/>
              </w:rPr>
            </w:pPr>
            <w:r w:rsidRPr="00816F89">
              <w:rPr>
                <w:lang w:val="fr-CA"/>
              </w:rPr>
              <w:t>- and -</w:t>
            </w:r>
          </w:p>
          <w:p w14:paraId="7E4425DA" w14:textId="77777777" w:rsidR="00816F89" w:rsidRPr="00816F89" w:rsidRDefault="00816F89" w:rsidP="00816F89">
            <w:pPr>
              <w:jc w:val="center"/>
              <w:rPr>
                <w:lang w:val="fr-CA"/>
              </w:rPr>
            </w:pPr>
          </w:p>
          <w:p w14:paraId="176D16A2" w14:textId="77777777" w:rsidR="00816F89" w:rsidRPr="00816F89" w:rsidRDefault="00816F89" w:rsidP="00816F89">
            <w:pPr>
              <w:jc w:val="center"/>
              <w:rPr>
                <w:b/>
                <w:lang w:val="fr-CA"/>
              </w:rPr>
            </w:pPr>
            <w:r w:rsidRPr="00816F89">
              <w:rPr>
                <w:b/>
                <w:lang w:val="fr-CA"/>
              </w:rPr>
              <w:t xml:space="preserve">Attorney General of Canada, Attorney General of Ontario, Attorney General of Quebec, Attorney General of Alberta, Administrative Labour Tribunal, Canadian Association of Counsel to Employers, National Police Commissioned Officers Professional Association, Canadian Labour Congress, Ontario Principals’ Council, Catholic Principals’ Council of Ontario, Association des directions et des directions adjointes des écoles franco-ontariennes, Directors Guild of Canada – Ontario, Canadian Lawyers for International Human Rights, Public Service Alliance of Canada, Canadian Civil Liberties Association, Syndicat professionnel des ingénieurs d’Hydro-Québec inc., Association des cadres des collèges du Québec, Association des cadres municipaux de Montréal, Association des conseillers en gestion des ressources humaines du gouvernement du Québec, Association des cadres scolaires du Grand Montréal, Association des cadres supérieurs de la santé et des services sociaux, Association des directeurs et directrices de succursale de la Société des alcools du Québec, Association professionnelle des cadres de premier niveau d’Hydro-Québec, Association québécoise des cadres scolaires, </w:t>
            </w:r>
            <w:r w:rsidRPr="00816F89">
              <w:rPr>
                <w:b/>
                <w:lang w:val="fr-CA"/>
              </w:rPr>
              <w:lastRenderedPageBreak/>
              <w:t>Association québécoise du personnel de direction des écoles and Fédération québécoise des directions d’établissement d’enseignement</w:t>
            </w:r>
          </w:p>
          <w:p w14:paraId="4F09F0D5" w14:textId="77777777" w:rsidR="00816F89" w:rsidRPr="00816F89" w:rsidRDefault="00816F89" w:rsidP="00816F89">
            <w:pPr>
              <w:jc w:val="center"/>
            </w:pPr>
            <w:r w:rsidRPr="00816F89">
              <w:t>Interveners</w:t>
            </w:r>
          </w:p>
          <w:p w14:paraId="4B690D1F" w14:textId="77777777" w:rsidR="00816F89" w:rsidRPr="00816F89" w:rsidRDefault="00816F89" w:rsidP="00816F89">
            <w:pPr>
              <w:rPr>
                <w:smallCaps/>
              </w:rPr>
            </w:pPr>
          </w:p>
          <w:p w14:paraId="18292DC3" w14:textId="77777777" w:rsidR="00816F89" w:rsidRPr="00816F89" w:rsidRDefault="00816F89" w:rsidP="00816F89">
            <w:pPr>
              <w:rPr>
                <w:b/>
                <w:smallCaps/>
              </w:rPr>
            </w:pPr>
            <w:r w:rsidRPr="00816F89">
              <w:rPr>
                <w:b/>
                <w:smallCaps/>
              </w:rPr>
              <w:t>And Between:</w:t>
            </w:r>
          </w:p>
          <w:p w14:paraId="7ECD60F6" w14:textId="77777777" w:rsidR="00816F89" w:rsidRPr="00816F89" w:rsidRDefault="00816F89" w:rsidP="00816F89"/>
          <w:p w14:paraId="280DB661" w14:textId="77777777" w:rsidR="00816F89" w:rsidRPr="00816F89" w:rsidRDefault="00816F89" w:rsidP="00816F89">
            <w:pPr>
              <w:jc w:val="center"/>
              <w:rPr>
                <w:b/>
              </w:rPr>
            </w:pPr>
            <w:r w:rsidRPr="00816F89">
              <w:rPr>
                <w:b/>
              </w:rPr>
              <w:t>Attorney General of Quebec</w:t>
            </w:r>
          </w:p>
          <w:p w14:paraId="311A6834" w14:textId="77777777" w:rsidR="00816F89" w:rsidRPr="00816F89" w:rsidRDefault="00816F89" w:rsidP="00816F89">
            <w:pPr>
              <w:jc w:val="center"/>
              <w:rPr>
                <w:lang w:val="fr-CA"/>
              </w:rPr>
            </w:pPr>
            <w:r w:rsidRPr="00816F89">
              <w:rPr>
                <w:lang w:val="fr-CA"/>
              </w:rPr>
              <w:t>Appellant</w:t>
            </w:r>
          </w:p>
          <w:p w14:paraId="5D1C58DF" w14:textId="77777777" w:rsidR="00816F89" w:rsidRPr="00816F89" w:rsidRDefault="00816F89" w:rsidP="00816F89">
            <w:pPr>
              <w:rPr>
                <w:lang w:val="fr-CA"/>
              </w:rPr>
            </w:pPr>
          </w:p>
          <w:p w14:paraId="238A55E1" w14:textId="77777777" w:rsidR="00816F89" w:rsidRPr="00816F89" w:rsidRDefault="00816F89" w:rsidP="00816F89">
            <w:pPr>
              <w:jc w:val="center"/>
              <w:rPr>
                <w:lang w:val="fr-CA"/>
              </w:rPr>
            </w:pPr>
            <w:r w:rsidRPr="00816F89">
              <w:rPr>
                <w:lang w:val="fr-CA"/>
              </w:rPr>
              <w:t>and</w:t>
            </w:r>
          </w:p>
          <w:p w14:paraId="0D0D5DAD" w14:textId="77777777" w:rsidR="00816F89" w:rsidRPr="00816F89" w:rsidRDefault="00816F89" w:rsidP="00816F89">
            <w:pPr>
              <w:rPr>
                <w:lang w:val="fr-CA"/>
              </w:rPr>
            </w:pPr>
          </w:p>
          <w:p w14:paraId="54CF6D85" w14:textId="77777777" w:rsidR="00816F89" w:rsidRPr="00816F89" w:rsidRDefault="00816F89" w:rsidP="00816F89">
            <w:pPr>
              <w:jc w:val="center"/>
              <w:rPr>
                <w:b/>
                <w:lang w:val="fr-CA"/>
              </w:rPr>
            </w:pPr>
            <w:r w:rsidRPr="00816F89">
              <w:rPr>
                <w:b/>
                <w:lang w:val="fr-CA"/>
              </w:rPr>
              <w:t>Association des cadres de la Société des casinos du Québec</w:t>
            </w:r>
          </w:p>
          <w:p w14:paraId="34A95F95" w14:textId="77777777" w:rsidR="00816F89" w:rsidRPr="00816F89" w:rsidRDefault="00816F89" w:rsidP="00816F89">
            <w:pPr>
              <w:jc w:val="center"/>
              <w:rPr>
                <w:lang w:val="fr-CA"/>
              </w:rPr>
            </w:pPr>
            <w:r w:rsidRPr="00816F89">
              <w:rPr>
                <w:lang w:val="fr-CA"/>
              </w:rPr>
              <w:t>Respondent</w:t>
            </w:r>
          </w:p>
          <w:p w14:paraId="60C4AFEB" w14:textId="77777777" w:rsidR="00816F89" w:rsidRPr="00816F89" w:rsidRDefault="00816F89" w:rsidP="00816F89">
            <w:pPr>
              <w:rPr>
                <w:lang w:val="fr-CA"/>
              </w:rPr>
            </w:pPr>
          </w:p>
          <w:p w14:paraId="749DAD93" w14:textId="77777777" w:rsidR="00816F89" w:rsidRPr="00816F89" w:rsidRDefault="00816F89" w:rsidP="00816F89">
            <w:pPr>
              <w:jc w:val="center"/>
              <w:rPr>
                <w:lang w:val="fr-CA"/>
              </w:rPr>
            </w:pPr>
            <w:r w:rsidRPr="00816F89">
              <w:rPr>
                <w:lang w:val="fr-CA"/>
              </w:rPr>
              <w:t>- and -</w:t>
            </w:r>
          </w:p>
          <w:p w14:paraId="6018CD1F" w14:textId="77777777" w:rsidR="00816F89" w:rsidRPr="00816F89" w:rsidRDefault="00816F89" w:rsidP="00816F89">
            <w:pPr>
              <w:rPr>
                <w:lang w:val="fr-CA"/>
              </w:rPr>
            </w:pPr>
          </w:p>
          <w:p w14:paraId="32820DAE" w14:textId="77777777" w:rsidR="00816F89" w:rsidRPr="00816F89" w:rsidRDefault="00816F89" w:rsidP="00816F89">
            <w:pPr>
              <w:jc w:val="center"/>
              <w:rPr>
                <w:b/>
                <w:lang w:val="fr-CA"/>
              </w:rPr>
            </w:pPr>
            <w:r w:rsidRPr="00816F89">
              <w:rPr>
                <w:b/>
                <w:lang w:val="fr-CA"/>
              </w:rPr>
              <w:t xml:space="preserve">Attorney General of Canada, Attorney General of Ontario, Attorney General of Alberta, Administrative Labour Tribunal, Société des casinos du Québec inc., Canadian Association of Counsel to Employers, National Police Commissioned Officers Professional Association, Canadian Labour Congress, Ontario Principals’ Council, Catholic Principals’ Council of Ontario, Association des directions et des directions adjointes des écoles franco-ontariennes, Directors Guild of Canada </w:t>
            </w:r>
            <w:r w:rsidRPr="00816F89">
              <w:rPr>
                <w:lang w:val="fr-CA"/>
              </w:rPr>
              <w:t>–</w:t>
            </w:r>
            <w:r w:rsidRPr="00816F89">
              <w:rPr>
                <w:b/>
                <w:lang w:val="fr-CA"/>
              </w:rPr>
              <w:t xml:space="preserve"> Ontario, Canadian Lawyers for International Human Rights, Public Service Alliance of Canada, Canadian Civil Liberties Association, Syndicat professionnel des ingénieurs d’Hydro-Québec inc., Association des cadres des collèges du Québec, Association des cadres municipaux de Montréal, Association des conseillers en gestion des ressources humaines du gouvernement du Québec, Association des cadres scolaires du Grand Montréal, Association des cadres supérieurs de la santé et des services sociaux, Association des directeurs et directrices de succursale de la Société des alcools du Québec, Association professionnelle des cadres de premier niveau d’Hydro-Québec, Association québécoise des cadres scolaires, Association québécoise du personnel de direction des écoles and Fédération québécoise des directions d’établissement d’enseignement</w:t>
            </w:r>
          </w:p>
          <w:p w14:paraId="4253A9DF" w14:textId="77777777" w:rsidR="00816F89" w:rsidRPr="00816F89" w:rsidRDefault="00816F89" w:rsidP="00816F89">
            <w:pPr>
              <w:jc w:val="center"/>
            </w:pPr>
            <w:r w:rsidRPr="00816F89">
              <w:t>Interveners</w:t>
            </w:r>
          </w:p>
          <w:p w14:paraId="1EA8ABCD" w14:textId="77777777" w:rsidR="00816F89" w:rsidRPr="00816F89" w:rsidRDefault="00816F89" w:rsidP="00816F89"/>
          <w:p w14:paraId="47D39E81" w14:textId="77777777" w:rsidR="00816F89" w:rsidRPr="00816F89" w:rsidRDefault="00816F89" w:rsidP="00816F89">
            <w:pPr>
              <w:jc w:val="center"/>
              <w:rPr>
                <w:b/>
                <w:smallCaps/>
              </w:rPr>
            </w:pPr>
            <w:r w:rsidRPr="00816F89">
              <w:rPr>
                <w:b/>
                <w:smallCaps/>
              </w:rPr>
              <w:t xml:space="preserve">Official English Translation: </w:t>
            </w:r>
            <w:r w:rsidRPr="00816F89">
              <w:t>Reasons of Côté J.</w:t>
            </w:r>
          </w:p>
          <w:p w14:paraId="1C749C33" w14:textId="77777777" w:rsidR="00816F89" w:rsidRPr="00816F89" w:rsidRDefault="00816F89" w:rsidP="00816F89"/>
          <w:p w14:paraId="40990221" w14:textId="77777777" w:rsidR="00816F89" w:rsidRPr="00816F89" w:rsidRDefault="00816F89" w:rsidP="00816F89">
            <w:r w:rsidRPr="00816F89">
              <w:rPr>
                <w:b/>
                <w:smallCaps/>
              </w:rPr>
              <w:t>Coram:</w:t>
            </w:r>
            <w:r w:rsidRPr="00816F89">
              <w:t xml:space="preserve"> Wagner C.J. and Karakatsanis, Côté, Rowe, Kasirer, Jamal and O’Bonsawin JJ.</w:t>
            </w:r>
          </w:p>
          <w:p w14:paraId="48F38F45" w14:textId="77777777" w:rsidR="00816F89" w:rsidRPr="00816F89" w:rsidRDefault="00816F89" w:rsidP="00816F89">
            <w:pPr>
              <w:rPr>
                <w:b/>
                <w:smallCaps/>
              </w:rPr>
            </w:pPr>
          </w:p>
        </w:tc>
      </w:tr>
      <w:tr w:rsidR="00816F89" w:rsidRPr="00816F89" w14:paraId="2983787C" w14:textId="77777777" w:rsidTr="003253B3">
        <w:tblPrEx>
          <w:tblCellMar>
            <w:top w:w="58" w:type="dxa"/>
            <w:left w:w="58" w:type="dxa"/>
            <w:bottom w:w="58" w:type="dxa"/>
            <w:right w:w="58" w:type="dxa"/>
          </w:tblCellMar>
        </w:tblPrEx>
        <w:trPr>
          <w:cantSplit/>
        </w:trPr>
        <w:tc>
          <w:tcPr>
            <w:tcW w:w="1231" w:type="pct"/>
          </w:tcPr>
          <w:p w14:paraId="2AAA428D" w14:textId="77777777" w:rsidR="00816F89" w:rsidRPr="00816F89" w:rsidRDefault="00816F89" w:rsidP="00816F89">
            <w:r w:rsidRPr="00816F89">
              <w:rPr>
                <w:b/>
                <w:smallCaps/>
              </w:rPr>
              <w:lastRenderedPageBreak/>
              <w:t>Reasons for Judgment</w:t>
            </w:r>
            <w:r w:rsidRPr="00816F89">
              <w:rPr>
                <w:b/>
              </w:rPr>
              <w:t>:</w:t>
            </w:r>
          </w:p>
          <w:p w14:paraId="60C7F24A" w14:textId="77777777" w:rsidR="00816F89" w:rsidRPr="00816F89" w:rsidRDefault="00816F89" w:rsidP="00816F89">
            <w:r w:rsidRPr="00816F89">
              <w:t>(paras. 1 to 58)</w:t>
            </w:r>
          </w:p>
        </w:tc>
        <w:tc>
          <w:tcPr>
            <w:tcW w:w="3769" w:type="pct"/>
            <w:gridSpan w:val="3"/>
          </w:tcPr>
          <w:p w14:paraId="71A6DD44" w14:textId="77777777" w:rsidR="00816F89" w:rsidRPr="00816F89" w:rsidRDefault="00816F89" w:rsidP="00816F89">
            <w:r w:rsidRPr="00816F89">
              <w:t>Jamal J. (Karakatsanis, Kasirer and O’Bonsawin JJ. concurring)</w:t>
            </w:r>
          </w:p>
        </w:tc>
      </w:tr>
      <w:tr w:rsidR="00816F89" w:rsidRPr="00816F89" w14:paraId="7889E947" w14:textId="77777777" w:rsidTr="003253B3">
        <w:tblPrEx>
          <w:tblCellMar>
            <w:top w:w="58" w:type="dxa"/>
            <w:left w:w="58" w:type="dxa"/>
            <w:bottom w:w="58" w:type="dxa"/>
            <w:right w:w="58" w:type="dxa"/>
          </w:tblCellMar>
        </w:tblPrEx>
        <w:trPr>
          <w:cantSplit/>
        </w:trPr>
        <w:tc>
          <w:tcPr>
            <w:tcW w:w="1231" w:type="pct"/>
          </w:tcPr>
          <w:p w14:paraId="33B1ED69" w14:textId="77777777" w:rsidR="00816F89" w:rsidRPr="00816F89" w:rsidRDefault="00816F89" w:rsidP="00816F89"/>
        </w:tc>
        <w:tc>
          <w:tcPr>
            <w:tcW w:w="3769" w:type="pct"/>
            <w:gridSpan w:val="3"/>
          </w:tcPr>
          <w:p w14:paraId="4BEDB01B" w14:textId="77777777" w:rsidR="00816F89" w:rsidRPr="00816F89" w:rsidRDefault="00816F89" w:rsidP="00816F89"/>
        </w:tc>
      </w:tr>
      <w:tr w:rsidR="00816F89" w:rsidRPr="00816F89" w14:paraId="5E2DEFE6" w14:textId="77777777" w:rsidTr="003253B3">
        <w:tblPrEx>
          <w:tblCellMar>
            <w:top w:w="58" w:type="dxa"/>
            <w:left w:w="58" w:type="dxa"/>
            <w:bottom w:w="58" w:type="dxa"/>
            <w:right w:w="58" w:type="dxa"/>
          </w:tblCellMar>
        </w:tblPrEx>
        <w:trPr>
          <w:cantSplit/>
        </w:trPr>
        <w:tc>
          <w:tcPr>
            <w:tcW w:w="1231" w:type="pct"/>
          </w:tcPr>
          <w:p w14:paraId="5DC73117" w14:textId="77777777" w:rsidR="00816F89" w:rsidRPr="00816F89" w:rsidRDefault="00816F89" w:rsidP="00816F89">
            <w:r w:rsidRPr="00816F89">
              <w:rPr>
                <w:b/>
                <w:smallCaps/>
              </w:rPr>
              <w:t>Concurring Reasons</w:t>
            </w:r>
            <w:r w:rsidRPr="00816F89">
              <w:rPr>
                <w:b/>
              </w:rPr>
              <w:t>:</w:t>
            </w:r>
          </w:p>
          <w:p w14:paraId="3DB33990" w14:textId="77777777" w:rsidR="00816F89" w:rsidRPr="00816F89" w:rsidRDefault="00816F89" w:rsidP="00816F89">
            <w:r w:rsidRPr="00816F89">
              <w:t>(paras. 59 to 198)</w:t>
            </w:r>
          </w:p>
        </w:tc>
        <w:tc>
          <w:tcPr>
            <w:tcW w:w="3769" w:type="pct"/>
            <w:gridSpan w:val="3"/>
          </w:tcPr>
          <w:p w14:paraId="1FB42CF8" w14:textId="77777777" w:rsidR="00816F89" w:rsidRPr="00816F89" w:rsidRDefault="00816F89" w:rsidP="00816F89">
            <w:pPr>
              <w:rPr>
                <w:lang w:val="fr-CA"/>
              </w:rPr>
            </w:pPr>
            <w:r w:rsidRPr="00816F89">
              <w:rPr>
                <w:lang w:val="fr-CA"/>
              </w:rPr>
              <w:t>Côté J. (Wagner C.J. concurring)</w:t>
            </w:r>
          </w:p>
        </w:tc>
      </w:tr>
      <w:tr w:rsidR="00816F89" w:rsidRPr="00816F89" w14:paraId="0137E7E1" w14:textId="77777777" w:rsidTr="003253B3">
        <w:tblPrEx>
          <w:tblCellMar>
            <w:top w:w="58" w:type="dxa"/>
            <w:left w:w="58" w:type="dxa"/>
            <w:bottom w:w="58" w:type="dxa"/>
            <w:right w:w="58" w:type="dxa"/>
          </w:tblCellMar>
        </w:tblPrEx>
        <w:trPr>
          <w:cantSplit/>
        </w:trPr>
        <w:tc>
          <w:tcPr>
            <w:tcW w:w="1231" w:type="pct"/>
          </w:tcPr>
          <w:p w14:paraId="2359212D" w14:textId="77777777" w:rsidR="00816F89" w:rsidRPr="00816F89" w:rsidRDefault="00816F89" w:rsidP="00816F89">
            <w:pPr>
              <w:rPr>
                <w:lang w:val="fr-CA"/>
              </w:rPr>
            </w:pPr>
          </w:p>
        </w:tc>
        <w:tc>
          <w:tcPr>
            <w:tcW w:w="3769" w:type="pct"/>
            <w:gridSpan w:val="3"/>
          </w:tcPr>
          <w:p w14:paraId="2D5A6DED" w14:textId="77777777" w:rsidR="00816F89" w:rsidRPr="00816F89" w:rsidRDefault="00816F89" w:rsidP="00816F89">
            <w:pPr>
              <w:rPr>
                <w:lang w:val="fr-CA"/>
              </w:rPr>
            </w:pPr>
          </w:p>
        </w:tc>
      </w:tr>
      <w:tr w:rsidR="00816F89" w:rsidRPr="00816F89" w14:paraId="46CE2BAE" w14:textId="77777777" w:rsidTr="003253B3">
        <w:tblPrEx>
          <w:tblCellMar>
            <w:top w:w="58" w:type="dxa"/>
            <w:left w:w="58" w:type="dxa"/>
            <w:bottom w:w="58" w:type="dxa"/>
            <w:right w:w="58" w:type="dxa"/>
          </w:tblCellMar>
        </w:tblPrEx>
        <w:trPr>
          <w:cantSplit/>
        </w:trPr>
        <w:tc>
          <w:tcPr>
            <w:tcW w:w="1231" w:type="pct"/>
          </w:tcPr>
          <w:p w14:paraId="58C760DA" w14:textId="77777777" w:rsidR="00816F89" w:rsidRPr="00816F89" w:rsidRDefault="00816F89" w:rsidP="00816F89">
            <w:r w:rsidRPr="00816F89">
              <w:rPr>
                <w:b/>
                <w:smallCaps/>
              </w:rPr>
              <w:t>Concurring Reasons</w:t>
            </w:r>
            <w:r w:rsidRPr="00816F89">
              <w:rPr>
                <w:b/>
              </w:rPr>
              <w:t>:</w:t>
            </w:r>
          </w:p>
          <w:p w14:paraId="73DB7B49" w14:textId="77777777" w:rsidR="00816F89" w:rsidRPr="00816F89" w:rsidRDefault="00816F89" w:rsidP="00816F89">
            <w:r w:rsidRPr="00816F89">
              <w:t>(paras. 199 to 221)</w:t>
            </w:r>
          </w:p>
        </w:tc>
        <w:tc>
          <w:tcPr>
            <w:tcW w:w="3769" w:type="pct"/>
            <w:gridSpan w:val="3"/>
          </w:tcPr>
          <w:p w14:paraId="4615A0FF" w14:textId="77777777" w:rsidR="00816F89" w:rsidRPr="00816F89" w:rsidRDefault="00816F89" w:rsidP="00816F89">
            <w:r w:rsidRPr="00816F89">
              <w:t>Rowe J.</w:t>
            </w:r>
          </w:p>
        </w:tc>
      </w:tr>
    </w:tbl>
    <w:p w14:paraId="6E6E9244" w14:textId="77777777" w:rsidR="00816F89" w:rsidRPr="00816F89" w:rsidRDefault="00816F89" w:rsidP="00816F89">
      <w:pPr>
        <w:rPr>
          <w:rFonts w:eastAsiaTheme="minorHAnsi" w:cstheme="minorBidi"/>
          <w:szCs w:val="24"/>
          <w:lang w:eastAsia="en-US"/>
        </w:rPr>
      </w:pPr>
    </w:p>
    <w:p w14:paraId="22EE35AA" w14:textId="77777777" w:rsidR="00816F89" w:rsidRPr="00816F89" w:rsidRDefault="00816F89" w:rsidP="00816F89">
      <w:pPr>
        <w:rPr>
          <w:rFonts w:eastAsiaTheme="minorHAnsi" w:cstheme="minorBidi"/>
          <w:szCs w:val="24"/>
          <w:lang w:eastAsia="en-US"/>
        </w:rPr>
      </w:pPr>
    </w:p>
    <w:p w14:paraId="278D7115" w14:textId="77777777" w:rsidR="00816F89" w:rsidRPr="00816F89" w:rsidRDefault="00816F89" w:rsidP="00816F89">
      <w:pPr>
        <w:rPr>
          <w:rFonts w:eastAsiaTheme="minorHAnsi" w:cstheme="minorBidi"/>
          <w:szCs w:val="24"/>
          <w:lang w:eastAsia="en-US"/>
        </w:rPr>
      </w:pPr>
    </w:p>
    <w:p w14:paraId="7838008D" w14:textId="77777777" w:rsidR="00816F89" w:rsidRPr="00816F89" w:rsidRDefault="00816F89" w:rsidP="00816F89">
      <w:pPr>
        <w:rPr>
          <w:rFonts w:eastAsiaTheme="minorHAnsi" w:cstheme="minorBidi"/>
          <w:szCs w:val="24"/>
          <w:lang w:eastAsia="en-US"/>
        </w:rPr>
      </w:pPr>
      <w:r w:rsidRPr="00816F89">
        <w:rPr>
          <w:rFonts w:eastAsiaTheme="minorHAnsi" w:cstheme="minorBidi"/>
          <w:b/>
          <w:smallCaps/>
          <w:szCs w:val="24"/>
          <w:lang w:eastAsia="en-US"/>
        </w:rPr>
        <w:t>Note:</w:t>
      </w:r>
      <w:r w:rsidRPr="00816F89">
        <w:rPr>
          <w:rFonts w:eastAsiaTheme="minorHAnsi" w:cstheme="minorBidi"/>
          <w:b/>
          <w:szCs w:val="24"/>
          <w:lang w:eastAsia="en-US"/>
        </w:rPr>
        <w:t xml:space="preserve"> </w:t>
      </w:r>
      <w:r w:rsidRPr="00816F89">
        <w:rPr>
          <w:rFonts w:eastAsiaTheme="minorHAnsi" w:cstheme="minorBidi"/>
          <w:szCs w:val="24"/>
          <w:lang w:eastAsia="en-US"/>
        </w:rPr>
        <w:t xml:space="preserve">This document is subject to editorial revision before its reproduction in final form in the </w:t>
      </w:r>
      <w:r w:rsidRPr="00816F89">
        <w:rPr>
          <w:rFonts w:eastAsiaTheme="minorHAnsi" w:cstheme="minorBidi"/>
          <w:i/>
          <w:szCs w:val="24"/>
          <w:lang w:eastAsia="en-US"/>
        </w:rPr>
        <w:t>Canada Supreme Court Reports</w:t>
      </w:r>
      <w:r w:rsidRPr="00816F89">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816F89" w:rsidRPr="00816F89" w14:paraId="2E7B6AE3" w14:textId="77777777" w:rsidTr="003253B3">
        <w:tc>
          <w:tcPr>
            <w:tcW w:w="1500" w:type="pct"/>
            <w:tcMar>
              <w:top w:w="284" w:type="dxa"/>
            </w:tcMar>
          </w:tcPr>
          <w:p w14:paraId="177A1DD5" w14:textId="77777777" w:rsidR="00816F89" w:rsidRPr="00816F89" w:rsidRDefault="00816F89" w:rsidP="00816F89"/>
        </w:tc>
        <w:tc>
          <w:tcPr>
            <w:tcW w:w="2000" w:type="pct"/>
            <w:tcBorders>
              <w:bottom w:val="single" w:sz="4" w:space="0" w:color="auto"/>
            </w:tcBorders>
            <w:tcMar>
              <w:top w:w="284" w:type="dxa"/>
            </w:tcMar>
          </w:tcPr>
          <w:p w14:paraId="42D72A8D" w14:textId="77777777" w:rsidR="00816F89" w:rsidRPr="00816F89" w:rsidRDefault="00816F89" w:rsidP="00816F89"/>
        </w:tc>
        <w:tc>
          <w:tcPr>
            <w:tcW w:w="1500" w:type="pct"/>
            <w:tcMar>
              <w:top w:w="284" w:type="dxa"/>
            </w:tcMar>
          </w:tcPr>
          <w:p w14:paraId="53884993" w14:textId="77777777" w:rsidR="00816F89" w:rsidRPr="00816F89" w:rsidRDefault="00816F89" w:rsidP="00816F89"/>
        </w:tc>
      </w:tr>
    </w:tbl>
    <w:p w14:paraId="4FC0622D" w14:textId="77777777" w:rsidR="00816F89" w:rsidRPr="00816F89" w:rsidRDefault="00816F89" w:rsidP="00816F89">
      <w:pPr>
        <w:rPr>
          <w:rFonts w:eastAsiaTheme="minorHAnsi" w:cstheme="minorBidi"/>
          <w:szCs w:val="24"/>
          <w:lang w:eastAsia="en-US"/>
        </w:rPr>
      </w:pPr>
    </w:p>
    <w:p w14:paraId="31ABE0A7" w14:textId="77777777" w:rsidR="00816F89" w:rsidRPr="00816F89" w:rsidRDefault="00816F89">
      <w:pPr>
        <w:rPr>
          <w:b/>
          <w:lang w:val="fr-CA"/>
        </w:rPr>
      </w:pPr>
      <w:r w:rsidRPr="00816F89">
        <w:rPr>
          <w:lang w:val="fr-CA"/>
        </w:rPr>
        <w:br w:type="page"/>
      </w:r>
    </w:p>
    <w:p w14:paraId="7B1D1A9F" w14:textId="378CDA9F" w:rsidR="00B4401D" w:rsidRPr="00816F89" w:rsidRDefault="004A12F6">
      <w:pPr>
        <w:pStyle w:val="SCCLsocLastPartyInRole"/>
        <w:rPr>
          <w:lang w:val="fr-CA"/>
        </w:rPr>
      </w:pPr>
      <w:r w:rsidRPr="00816F89">
        <w:rPr>
          <w:lang w:val="fr-CA"/>
        </w:rPr>
        <w:t>Société des casinos du Québec inc.</w:t>
      </w:r>
      <w:r w:rsidRPr="00816F89">
        <w:rPr>
          <w:rStyle w:val="SCCLsocPartyRole"/>
          <w:lang w:val="fr-CA"/>
        </w:rPr>
        <w:tab/>
        <w:t>Appellant</w:t>
      </w:r>
    </w:p>
    <w:p w14:paraId="26933E9F" w14:textId="77777777" w:rsidR="00B4401D" w:rsidRPr="00816F89" w:rsidRDefault="004A12F6">
      <w:pPr>
        <w:pStyle w:val="SCCLsocVersus"/>
        <w:rPr>
          <w:lang w:val="fr-CA"/>
        </w:rPr>
      </w:pPr>
      <w:r w:rsidRPr="00816F89">
        <w:rPr>
          <w:lang w:val="fr-CA"/>
        </w:rPr>
        <w:t>v.</w:t>
      </w:r>
    </w:p>
    <w:p w14:paraId="79D63326" w14:textId="2866EA3F" w:rsidR="00B4401D" w:rsidRPr="00816F89" w:rsidRDefault="00C70AC7">
      <w:pPr>
        <w:pStyle w:val="SCCLsocLastPartyInRole"/>
        <w:rPr>
          <w:lang w:val="fr-CA"/>
        </w:rPr>
      </w:pPr>
      <w:r w:rsidRPr="00816F89">
        <w:rPr>
          <w:lang w:val="fr-CA"/>
        </w:rPr>
        <w:t>Associatio</w:t>
      </w:r>
      <w:r w:rsidR="001C3551" w:rsidRPr="00816F89">
        <w:rPr>
          <w:lang w:val="fr-CA"/>
        </w:rPr>
        <w:t>n des c</w:t>
      </w:r>
      <w:r w:rsidR="0096181A" w:rsidRPr="00816F89">
        <w:rPr>
          <w:lang w:val="fr-CA"/>
        </w:rPr>
        <w:t>adres de la Société des c</w:t>
      </w:r>
      <w:r w:rsidR="004A12F6" w:rsidRPr="00816F89">
        <w:rPr>
          <w:lang w:val="fr-CA"/>
        </w:rPr>
        <w:t>asinos du Québec</w:t>
      </w:r>
      <w:r w:rsidR="004A12F6" w:rsidRPr="00816F89">
        <w:rPr>
          <w:rStyle w:val="SCCLsocPartyRole"/>
          <w:lang w:val="fr-CA"/>
        </w:rPr>
        <w:tab/>
        <w:t>Respondent</w:t>
      </w:r>
    </w:p>
    <w:p w14:paraId="29752D65" w14:textId="77777777" w:rsidR="00D975F1" w:rsidRPr="00816F89" w:rsidRDefault="00D975F1">
      <w:pPr>
        <w:pStyle w:val="SCCLsocSubfileSeparator"/>
        <w:rPr>
          <w:lang w:val="en-US"/>
        </w:rPr>
      </w:pPr>
      <w:r w:rsidRPr="00816F89">
        <w:rPr>
          <w:lang w:val="en-US"/>
        </w:rPr>
        <w:t>and</w:t>
      </w:r>
    </w:p>
    <w:p w14:paraId="5AB45C6C" w14:textId="37446CB3" w:rsidR="00FC437E" w:rsidRPr="00816F89" w:rsidRDefault="00FC437E" w:rsidP="00FC437E">
      <w:pPr>
        <w:pStyle w:val="SCCLsocParty"/>
        <w:rPr>
          <w:lang w:val="en-US"/>
        </w:rPr>
      </w:pPr>
      <w:r w:rsidRPr="00816F89">
        <w:rPr>
          <w:lang w:val="en-US"/>
        </w:rPr>
        <w:t>Attorney General of Canada,</w:t>
      </w:r>
      <w:r w:rsidR="00B22D33" w:rsidRPr="00816F89">
        <w:rPr>
          <w:lang w:val="en-US"/>
        </w:rPr>
        <w:t xml:space="preserve"> </w:t>
      </w:r>
      <w:r w:rsidRPr="00816F89">
        <w:t>Attorney General of Ontario,</w:t>
      </w:r>
    </w:p>
    <w:p w14:paraId="544A7632" w14:textId="564718D5" w:rsidR="00FC437E" w:rsidRPr="00816F89" w:rsidRDefault="00FC437E" w:rsidP="00B22D33">
      <w:pPr>
        <w:rPr>
          <w:b/>
        </w:rPr>
      </w:pPr>
      <w:r w:rsidRPr="00816F89">
        <w:rPr>
          <w:b/>
          <w:lang w:val="en-US"/>
        </w:rPr>
        <w:t>Attorney General of Quebec,</w:t>
      </w:r>
      <w:r w:rsidR="00B22D33" w:rsidRPr="00816F89">
        <w:rPr>
          <w:b/>
          <w:lang w:val="en-US"/>
        </w:rPr>
        <w:t xml:space="preserve"> </w:t>
      </w:r>
      <w:r w:rsidRPr="00816F89">
        <w:rPr>
          <w:b/>
        </w:rPr>
        <w:t>Attorney General of Alberta,</w:t>
      </w:r>
    </w:p>
    <w:p w14:paraId="47A549A2" w14:textId="77777777" w:rsidR="00FC437E" w:rsidRPr="00816F89" w:rsidRDefault="00FC437E" w:rsidP="00FC437E">
      <w:pPr>
        <w:pStyle w:val="SCCLsocParty"/>
        <w:rPr>
          <w:lang w:val="en-US"/>
        </w:rPr>
      </w:pPr>
      <w:r w:rsidRPr="00816F89">
        <w:rPr>
          <w:lang w:val="en-US"/>
        </w:rPr>
        <w:t>Administrative Labour Tribunal,</w:t>
      </w:r>
    </w:p>
    <w:p w14:paraId="2B06B427" w14:textId="77777777" w:rsidR="00FC437E" w:rsidRPr="00816F89" w:rsidRDefault="00FC437E" w:rsidP="00FC437E">
      <w:pPr>
        <w:pStyle w:val="SCCLsocParty"/>
      </w:pPr>
      <w:r w:rsidRPr="00816F89">
        <w:t>Canadian Association of Counsel to Employers,</w:t>
      </w:r>
    </w:p>
    <w:p w14:paraId="3D8526BF" w14:textId="77777777" w:rsidR="00FC437E" w:rsidRPr="00816F89" w:rsidRDefault="00FC437E" w:rsidP="00FC437E">
      <w:pPr>
        <w:pStyle w:val="SCCLsocParty"/>
      </w:pPr>
      <w:r w:rsidRPr="00816F89">
        <w:t>National Police Commissioned Officers Professional Association,</w:t>
      </w:r>
    </w:p>
    <w:p w14:paraId="134E296C" w14:textId="422EFE5F" w:rsidR="00FC437E" w:rsidRPr="00816F89" w:rsidRDefault="00FC437E" w:rsidP="00FC437E">
      <w:pPr>
        <w:pStyle w:val="SCCLsocParty"/>
      </w:pPr>
      <w:r w:rsidRPr="00816F89">
        <w:t>Canadian Labour Congress,</w:t>
      </w:r>
      <w:r w:rsidR="00B22D33" w:rsidRPr="00816F89">
        <w:t xml:space="preserve"> </w:t>
      </w:r>
      <w:r w:rsidRPr="00816F89">
        <w:t xml:space="preserve">Ontario Principals’ Council, </w:t>
      </w:r>
    </w:p>
    <w:p w14:paraId="3897C6D0" w14:textId="77777777" w:rsidR="00FC437E" w:rsidRPr="00816F89" w:rsidRDefault="00FC437E" w:rsidP="00FC437E">
      <w:pPr>
        <w:pStyle w:val="SCCLsocParty"/>
      </w:pPr>
      <w:r w:rsidRPr="00816F89">
        <w:t xml:space="preserve">Catholic Principals’ Council of Ontario, </w:t>
      </w:r>
    </w:p>
    <w:p w14:paraId="31B2E458" w14:textId="77777777" w:rsidR="00FC437E" w:rsidRPr="00816F89" w:rsidRDefault="00FC437E" w:rsidP="00FC437E">
      <w:pPr>
        <w:pStyle w:val="SCCLsocParty"/>
        <w:rPr>
          <w:lang w:val="fr-CA"/>
        </w:rPr>
      </w:pPr>
      <w:r w:rsidRPr="00816F89">
        <w:rPr>
          <w:lang w:val="fr-CA"/>
        </w:rPr>
        <w:t>Association des directions et des directions adjointes</w:t>
      </w:r>
    </w:p>
    <w:p w14:paraId="36EEC216" w14:textId="77777777" w:rsidR="00FC437E" w:rsidRPr="00816F89" w:rsidRDefault="00FC437E" w:rsidP="00FC437E">
      <w:pPr>
        <w:pStyle w:val="SCCLsocParty"/>
        <w:rPr>
          <w:lang w:val="en-US"/>
        </w:rPr>
      </w:pPr>
      <w:r w:rsidRPr="00816F89">
        <w:rPr>
          <w:lang w:val="en-US"/>
        </w:rPr>
        <w:t>des écoles franco-ontariennes,</w:t>
      </w:r>
    </w:p>
    <w:p w14:paraId="00988FBA" w14:textId="76643794" w:rsidR="00FC437E" w:rsidRPr="00816F89" w:rsidRDefault="00A1502E" w:rsidP="00FC437E">
      <w:pPr>
        <w:pStyle w:val="SCCLsocParty"/>
        <w:rPr>
          <w:lang w:val="en-US"/>
        </w:rPr>
      </w:pPr>
      <w:r w:rsidRPr="00816F89">
        <w:rPr>
          <w:lang w:val="en-US"/>
        </w:rPr>
        <w:t xml:space="preserve">Directors Guild of Canada </w:t>
      </w:r>
      <w:r w:rsidRPr="00816F89">
        <w:rPr>
          <w:b w:val="0"/>
        </w:rPr>
        <w:t>–</w:t>
      </w:r>
      <w:r w:rsidR="00FC437E" w:rsidRPr="00816F89">
        <w:rPr>
          <w:lang w:val="en-US"/>
        </w:rPr>
        <w:t xml:space="preserve"> Ontario,</w:t>
      </w:r>
    </w:p>
    <w:p w14:paraId="77CE7BDA" w14:textId="77777777" w:rsidR="00FC437E" w:rsidRPr="00816F89" w:rsidRDefault="00FC437E" w:rsidP="00FC437E">
      <w:pPr>
        <w:pStyle w:val="SCCLsocParty"/>
      </w:pPr>
      <w:r w:rsidRPr="00816F89">
        <w:t>Canadian Lawyers for International Human Rights,</w:t>
      </w:r>
    </w:p>
    <w:p w14:paraId="47725D9F" w14:textId="20790A2D" w:rsidR="00FC437E" w:rsidRPr="00816F89" w:rsidRDefault="005237EF" w:rsidP="00FC437E">
      <w:pPr>
        <w:pStyle w:val="SCCLsocParty"/>
        <w:rPr>
          <w:lang w:val="en-US"/>
        </w:rPr>
      </w:pPr>
      <w:r w:rsidRPr="00816F89">
        <w:rPr>
          <w:lang w:val="en-US"/>
        </w:rPr>
        <w:t>Public Service Alliance of Canada,</w:t>
      </w:r>
      <w:r w:rsidR="00B22D33" w:rsidRPr="00816F89">
        <w:rPr>
          <w:lang w:val="en-US"/>
        </w:rPr>
        <w:t xml:space="preserve"> </w:t>
      </w:r>
      <w:r w:rsidR="00FC437E" w:rsidRPr="00816F89">
        <w:rPr>
          <w:lang w:val="en-US"/>
        </w:rPr>
        <w:t>Canadian Civil Liberties Association,</w:t>
      </w:r>
    </w:p>
    <w:p w14:paraId="097E72B5" w14:textId="77777777" w:rsidR="00FC437E" w:rsidRPr="00816F89" w:rsidRDefault="00FC437E" w:rsidP="00FC437E">
      <w:pPr>
        <w:pStyle w:val="SCCLsocParty"/>
        <w:rPr>
          <w:lang w:val="fr-CA"/>
        </w:rPr>
      </w:pPr>
      <w:r w:rsidRPr="00816F89">
        <w:rPr>
          <w:lang w:val="fr-CA"/>
        </w:rPr>
        <w:t>Syndicat professionnel des ingénieurs d’Hydro-Québec inc.,</w:t>
      </w:r>
    </w:p>
    <w:p w14:paraId="53034A57" w14:textId="77777777" w:rsidR="00FC437E" w:rsidRPr="00816F89" w:rsidRDefault="00FC437E" w:rsidP="00FC437E">
      <w:pPr>
        <w:pStyle w:val="SCCLsocParty"/>
        <w:rPr>
          <w:lang w:val="fr-CA"/>
        </w:rPr>
      </w:pPr>
      <w:r w:rsidRPr="00816F89">
        <w:rPr>
          <w:lang w:val="fr-CA"/>
        </w:rPr>
        <w:t xml:space="preserve">Association des cadres des collèges du Québec, </w:t>
      </w:r>
    </w:p>
    <w:p w14:paraId="4047DB79" w14:textId="77777777" w:rsidR="00FC437E" w:rsidRPr="00816F89" w:rsidRDefault="00FC437E" w:rsidP="00FC437E">
      <w:pPr>
        <w:pStyle w:val="SCCLsocParty"/>
        <w:rPr>
          <w:lang w:val="fr-CA"/>
        </w:rPr>
      </w:pPr>
      <w:r w:rsidRPr="00816F89">
        <w:rPr>
          <w:lang w:val="fr-CA"/>
        </w:rPr>
        <w:t xml:space="preserve">Association des cadres municipaux de Montréal, </w:t>
      </w:r>
    </w:p>
    <w:p w14:paraId="1FBB9211" w14:textId="77777777" w:rsidR="00FC437E" w:rsidRPr="00816F89" w:rsidRDefault="00FC437E" w:rsidP="00FC437E">
      <w:pPr>
        <w:pStyle w:val="SCCLsocParty"/>
        <w:rPr>
          <w:lang w:val="fr-CA"/>
        </w:rPr>
      </w:pPr>
      <w:r w:rsidRPr="00816F89">
        <w:rPr>
          <w:lang w:val="fr-CA"/>
        </w:rPr>
        <w:t>Association des conseillers en gestion des ressources humaines du</w:t>
      </w:r>
    </w:p>
    <w:p w14:paraId="79DF593C" w14:textId="77777777" w:rsidR="00FC437E" w:rsidRPr="00816F89" w:rsidRDefault="00FC437E" w:rsidP="00FC437E">
      <w:pPr>
        <w:pStyle w:val="SCCLsocParty"/>
        <w:rPr>
          <w:lang w:val="fr-CA"/>
        </w:rPr>
      </w:pPr>
      <w:r w:rsidRPr="00816F89">
        <w:rPr>
          <w:lang w:val="fr-CA"/>
        </w:rPr>
        <w:t xml:space="preserve">gouvernement du Québec, </w:t>
      </w:r>
    </w:p>
    <w:p w14:paraId="086F4272" w14:textId="77777777" w:rsidR="00FC437E" w:rsidRPr="00816F89" w:rsidRDefault="00FC437E" w:rsidP="00FC437E">
      <w:pPr>
        <w:pStyle w:val="SCCLsocParty"/>
        <w:rPr>
          <w:lang w:val="fr-CA"/>
        </w:rPr>
      </w:pPr>
      <w:r w:rsidRPr="00816F89">
        <w:rPr>
          <w:lang w:val="fr-CA"/>
        </w:rPr>
        <w:t>Association des cadres scolaires du Grand Montréal,</w:t>
      </w:r>
    </w:p>
    <w:p w14:paraId="2F54B567" w14:textId="77777777" w:rsidR="00FC437E" w:rsidRPr="00816F89" w:rsidRDefault="00FC437E" w:rsidP="00FC437E">
      <w:pPr>
        <w:pStyle w:val="SCCLsocParty"/>
        <w:rPr>
          <w:lang w:val="fr-CA"/>
        </w:rPr>
      </w:pPr>
      <w:r w:rsidRPr="00816F89">
        <w:rPr>
          <w:lang w:val="fr-CA"/>
        </w:rPr>
        <w:t xml:space="preserve">Association des cadres supérieurs de la santé et des services sociaux, </w:t>
      </w:r>
    </w:p>
    <w:p w14:paraId="5FC00DC7" w14:textId="77777777" w:rsidR="00FC437E" w:rsidRPr="00816F89" w:rsidRDefault="00FC437E" w:rsidP="00FC437E">
      <w:pPr>
        <w:pStyle w:val="SCCLsocParty"/>
        <w:rPr>
          <w:lang w:val="fr-CA"/>
        </w:rPr>
      </w:pPr>
      <w:r w:rsidRPr="00816F89">
        <w:rPr>
          <w:lang w:val="fr-CA"/>
        </w:rPr>
        <w:t xml:space="preserve">Association des directeurs et directrices de succursale de la </w:t>
      </w:r>
      <w:r w:rsidRPr="00816F89">
        <w:rPr>
          <w:rStyle w:val="SCCCounselPartyRoleChar"/>
          <w:lang w:val="fr-CA"/>
        </w:rPr>
        <w:t>S</w:t>
      </w:r>
      <w:r w:rsidRPr="00816F89">
        <w:rPr>
          <w:lang w:val="fr-CA"/>
        </w:rPr>
        <w:t xml:space="preserve">ociété des </w:t>
      </w:r>
    </w:p>
    <w:p w14:paraId="65DD7191" w14:textId="77777777" w:rsidR="00FC437E" w:rsidRPr="00816F89" w:rsidRDefault="00FC437E" w:rsidP="00FC437E">
      <w:pPr>
        <w:pStyle w:val="SCCLsocParty"/>
        <w:rPr>
          <w:lang w:val="fr-CA"/>
        </w:rPr>
      </w:pPr>
      <w:r w:rsidRPr="00816F89">
        <w:rPr>
          <w:lang w:val="fr-CA"/>
        </w:rPr>
        <w:t>alcools du Québec,</w:t>
      </w:r>
    </w:p>
    <w:p w14:paraId="7B5AC58D" w14:textId="77777777" w:rsidR="00FC437E" w:rsidRPr="00816F89" w:rsidRDefault="00FC437E" w:rsidP="00FC437E">
      <w:pPr>
        <w:pStyle w:val="SCCLsocParty"/>
        <w:rPr>
          <w:lang w:val="fr-CA"/>
        </w:rPr>
      </w:pPr>
      <w:r w:rsidRPr="00816F89">
        <w:rPr>
          <w:lang w:val="fr-CA"/>
        </w:rPr>
        <w:t>Association professionnelle des cadres de premier niveau d’Hydro-Québec,</w:t>
      </w:r>
    </w:p>
    <w:p w14:paraId="6459B86B" w14:textId="77777777" w:rsidR="00FC437E" w:rsidRPr="00816F89" w:rsidRDefault="00FC437E" w:rsidP="00FC437E">
      <w:pPr>
        <w:pStyle w:val="SCCLsocLastPartyInRole"/>
        <w:spacing w:after="0"/>
        <w:rPr>
          <w:lang w:val="fr-CA"/>
        </w:rPr>
      </w:pPr>
      <w:r w:rsidRPr="00816F89">
        <w:rPr>
          <w:lang w:val="fr-CA"/>
        </w:rPr>
        <w:t xml:space="preserve">Association québécoise des cadres scolaires, </w:t>
      </w:r>
    </w:p>
    <w:p w14:paraId="6104C6FF" w14:textId="77777777" w:rsidR="00FC437E" w:rsidRPr="00816F89" w:rsidRDefault="00FC437E" w:rsidP="00FC437E">
      <w:pPr>
        <w:pStyle w:val="SCCLsocLastPartyInRole"/>
        <w:spacing w:after="0"/>
        <w:rPr>
          <w:lang w:val="fr-CA"/>
        </w:rPr>
      </w:pPr>
      <w:r w:rsidRPr="00816F89">
        <w:rPr>
          <w:lang w:val="fr-CA"/>
        </w:rPr>
        <w:t>Association québécoise du personnel de direction des écoles and</w:t>
      </w:r>
    </w:p>
    <w:p w14:paraId="0F531495" w14:textId="77777777" w:rsidR="00FC437E" w:rsidRPr="00816F89" w:rsidRDefault="00FC437E" w:rsidP="00FC437E">
      <w:pPr>
        <w:pStyle w:val="SCCLsocLastPartyInRole"/>
        <w:spacing w:after="0"/>
        <w:rPr>
          <w:lang w:val="fr-CA"/>
        </w:rPr>
      </w:pPr>
      <w:r w:rsidRPr="00816F89">
        <w:rPr>
          <w:lang w:val="fr-CA"/>
        </w:rPr>
        <w:t>Fédération québécoise des directions d’établissement</w:t>
      </w:r>
    </w:p>
    <w:p w14:paraId="79C5D400" w14:textId="014959D8" w:rsidR="00D975F1" w:rsidRPr="00816F89" w:rsidRDefault="00FC437E" w:rsidP="00FC437E">
      <w:pPr>
        <w:pStyle w:val="SCCLsocParty"/>
        <w:spacing w:after="720"/>
        <w:rPr>
          <w:lang w:val="fr-CA"/>
        </w:rPr>
      </w:pPr>
      <w:r w:rsidRPr="00816F89">
        <w:rPr>
          <w:lang w:val="fr-CA"/>
        </w:rPr>
        <w:t>d’enseignement</w:t>
      </w:r>
      <w:r w:rsidR="006F2BA3" w:rsidRPr="00816F89">
        <w:rPr>
          <w:rStyle w:val="SCCLsocPartyRole"/>
          <w:lang w:val="fr-CA"/>
        </w:rPr>
        <w:tab/>
        <w:t>Interveners</w:t>
      </w:r>
    </w:p>
    <w:p w14:paraId="35630660" w14:textId="1B4B2DC6" w:rsidR="00B4401D" w:rsidRPr="00816F89" w:rsidRDefault="005738AD">
      <w:pPr>
        <w:pStyle w:val="SCCLsocSubfileSeparator"/>
        <w:rPr>
          <w:lang w:val="fr-CA"/>
        </w:rPr>
      </w:pPr>
      <w:r w:rsidRPr="00816F89">
        <w:rPr>
          <w:lang w:val="fr-CA"/>
        </w:rPr>
        <w:noBreakHyphen/>
        <w:t xml:space="preserve"> and </w:t>
      </w:r>
      <w:r w:rsidRPr="00816F89">
        <w:rPr>
          <w:lang w:val="fr-CA"/>
        </w:rPr>
        <w:noBreakHyphen/>
      </w:r>
    </w:p>
    <w:p w14:paraId="32F86CD0" w14:textId="77777777" w:rsidR="00B4401D" w:rsidRPr="00816F89" w:rsidRDefault="00D975F1">
      <w:pPr>
        <w:pStyle w:val="SCCLsocLastPartyInRole"/>
      </w:pPr>
      <w:r w:rsidRPr="00816F89">
        <w:t>Attorney General of Que</w:t>
      </w:r>
      <w:r w:rsidR="004A12F6" w:rsidRPr="00816F89">
        <w:t>bec</w:t>
      </w:r>
      <w:r w:rsidR="004A12F6" w:rsidRPr="00816F89">
        <w:rPr>
          <w:rStyle w:val="SCCLsocPartyRole"/>
        </w:rPr>
        <w:tab/>
        <w:t>Appellant</w:t>
      </w:r>
    </w:p>
    <w:p w14:paraId="7F733C87" w14:textId="77777777" w:rsidR="00B4401D" w:rsidRPr="00816F89" w:rsidRDefault="004A12F6">
      <w:pPr>
        <w:pStyle w:val="SCCLsocVersus"/>
      </w:pPr>
      <w:r w:rsidRPr="00816F89">
        <w:t>v.</w:t>
      </w:r>
    </w:p>
    <w:p w14:paraId="02E60680" w14:textId="5A4AE640" w:rsidR="00B4401D" w:rsidRPr="00816F89" w:rsidRDefault="00C70AC7">
      <w:pPr>
        <w:pStyle w:val="SCCLsocLastPartyInRole"/>
        <w:rPr>
          <w:lang w:val="fr-CA"/>
        </w:rPr>
      </w:pPr>
      <w:r w:rsidRPr="00816F89">
        <w:rPr>
          <w:lang w:val="fr-CA"/>
        </w:rPr>
        <w:t>Associatio</w:t>
      </w:r>
      <w:r w:rsidR="001C3551" w:rsidRPr="00816F89">
        <w:rPr>
          <w:lang w:val="fr-CA"/>
        </w:rPr>
        <w:t>n des c</w:t>
      </w:r>
      <w:r w:rsidR="0096181A" w:rsidRPr="00816F89">
        <w:rPr>
          <w:lang w:val="fr-CA"/>
        </w:rPr>
        <w:t>adres de la Société des c</w:t>
      </w:r>
      <w:r w:rsidR="004A12F6" w:rsidRPr="00816F89">
        <w:rPr>
          <w:lang w:val="fr-CA"/>
        </w:rPr>
        <w:t>asinos du Québec</w:t>
      </w:r>
      <w:r w:rsidR="004A12F6" w:rsidRPr="00816F89">
        <w:rPr>
          <w:rStyle w:val="SCCLsocPartyRole"/>
          <w:lang w:val="fr-CA"/>
        </w:rPr>
        <w:tab/>
        <w:t>Respondent</w:t>
      </w:r>
    </w:p>
    <w:p w14:paraId="4D940EED" w14:textId="77777777" w:rsidR="00B4401D" w:rsidRPr="00816F89" w:rsidRDefault="004A12F6">
      <w:pPr>
        <w:pStyle w:val="SCCLsocOtherPartySeparator"/>
        <w:rPr>
          <w:lang w:val="en-US"/>
        </w:rPr>
      </w:pPr>
      <w:r w:rsidRPr="00816F89">
        <w:rPr>
          <w:lang w:val="en-US"/>
        </w:rPr>
        <w:t>and</w:t>
      </w:r>
    </w:p>
    <w:p w14:paraId="548CF6B2" w14:textId="253999A7" w:rsidR="00B4401D" w:rsidRPr="00816F89" w:rsidRDefault="004A12F6">
      <w:pPr>
        <w:pStyle w:val="SCCLsocParty"/>
        <w:rPr>
          <w:lang w:val="en-US"/>
        </w:rPr>
      </w:pPr>
      <w:r w:rsidRPr="00816F89">
        <w:rPr>
          <w:lang w:val="en-US"/>
        </w:rPr>
        <w:t>Attorney General of Canada,</w:t>
      </w:r>
      <w:r w:rsidR="00B22D33" w:rsidRPr="00816F89">
        <w:rPr>
          <w:lang w:val="en-US"/>
        </w:rPr>
        <w:t xml:space="preserve"> </w:t>
      </w:r>
      <w:r w:rsidRPr="00816F89">
        <w:t>Attorney General of Ontario,</w:t>
      </w:r>
    </w:p>
    <w:p w14:paraId="56882511" w14:textId="7DDDD311" w:rsidR="00B4401D" w:rsidRPr="00816F89" w:rsidRDefault="004A12F6">
      <w:pPr>
        <w:pStyle w:val="SCCLsocParty"/>
      </w:pPr>
      <w:r w:rsidRPr="00816F89">
        <w:t>Attorney General of Alberta,</w:t>
      </w:r>
      <w:r w:rsidR="00B22D33" w:rsidRPr="00816F89">
        <w:t xml:space="preserve"> </w:t>
      </w:r>
      <w:r w:rsidRPr="00816F89">
        <w:rPr>
          <w:lang w:val="en-US"/>
        </w:rPr>
        <w:t>Administrative Labour Tribunal,</w:t>
      </w:r>
    </w:p>
    <w:p w14:paraId="71FEFBAD" w14:textId="19FD4875" w:rsidR="005237EF" w:rsidRPr="00816F89" w:rsidRDefault="005237EF">
      <w:pPr>
        <w:pStyle w:val="SCCLsocParty"/>
        <w:rPr>
          <w:lang w:val="fr-CA"/>
        </w:rPr>
      </w:pPr>
      <w:r w:rsidRPr="00816F89">
        <w:rPr>
          <w:lang w:val="fr-CA"/>
        </w:rPr>
        <w:t>Société des casinos du Québec inc.,</w:t>
      </w:r>
    </w:p>
    <w:p w14:paraId="4002DD02" w14:textId="0F65AC53" w:rsidR="00B4401D" w:rsidRPr="00816F89" w:rsidRDefault="00FC437E">
      <w:pPr>
        <w:pStyle w:val="SCCLsocParty"/>
      </w:pPr>
      <w:r w:rsidRPr="00816F89">
        <w:t>Canadian Association of Counsel to Employers,</w:t>
      </w:r>
    </w:p>
    <w:p w14:paraId="48E57BC7" w14:textId="77777777" w:rsidR="00B4401D" w:rsidRPr="00816F89" w:rsidRDefault="004A12F6">
      <w:pPr>
        <w:pStyle w:val="SCCLsocParty"/>
      </w:pPr>
      <w:r w:rsidRPr="00816F89">
        <w:t>National Police Commissioned Officers Professional Association,</w:t>
      </w:r>
    </w:p>
    <w:p w14:paraId="3E5B9EE6" w14:textId="56D2C1AA" w:rsidR="00A30E0C" w:rsidRPr="00816F89" w:rsidRDefault="004A12F6">
      <w:pPr>
        <w:pStyle w:val="SCCLsocParty"/>
      </w:pPr>
      <w:r w:rsidRPr="00816F89">
        <w:t>Canadian Labour Congress,</w:t>
      </w:r>
      <w:r w:rsidR="00B22D33" w:rsidRPr="00816F89">
        <w:t xml:space="preserve"> </w:t>
      </w:r>
      <w:r w:rsidRPr="00816F89">
        <w:t>Ontario Principals</w:t>
      </w:r>
      <w:r w:rsidR="00A30E0C" w:rsidRPr="00816F89">
        <w:t>’</w:t>
      </w:r>
      <w:r w:rsidRPr="00816F89">
        <w:t xml:space="preserve"> Council, </w:t>
      </w:r>
    </w:p>
    <w:p w14:paraId="5BEBC27B" w14:textId="77777777" w:rsidR="00A30E0C" w:rsidRPr="00816F89" w:rsidRDefault="004A12F6">
      <w:pPr>
        <w:pStyle w:val="SCCLsocParty"/>
      </w:pPr>
      <w:r w:rsidRPr="00816F89">
        <w:t>Catholic Principals</w:t>
      </w:r>
      <w:r w:rsidR="00A30E0C" w:rsidRPr="00816F89">
        <w:t>’</w:t>
      </w:r>
      <w:r w:rsidRPr="00816F89">
        <w:t xml:space="preserve"> Council of Ontario, </w:t>
      </w:r>
    </w:p>
    <w:p w14:paraId="52964447" w14:textId="77777777" w:rsidR="00AD3E2E" w:rsidRPr="00816F89" w:rsidRDefault="004A12F6">
      <w:pPr>
        <w:pStyle w:val="SCCLsocParty"/>
        <w:rPr>
          <w:lang w:val="fr-CA"/>
        </w:rPr>
      </w:pPr>
      <w:r w:rsidRPr="00816F89">
        <w:rPr>
          <w:lang w:val="fr-CA"/>
        </w:rPr>
        <w:t>Association des directi</w:t>
      </w:r>
      <w:r w:rsidR="00AD3E2E" w:rsidRPr="00816F89">
        <w:rPr>
          <w:lang w:val="fr-CA"/>
        </w:rPr>
        <w:t>ons et des directions adjointes</w:t>
      </w:r>
    </w:p>
    <w:p w14:paraId="165D53FF" w14:textId="69C63FCB" w:rsidR="00A30E0C" w:rsidRPr="00816F89" w:rsidRDefault="004A12F6">
      <w:pPr>
        <w:pStyle w:val="SCCLsocParty"/>
        <w:rPr>
          <w:lang w:val="en-US"/>
        </w:rPr>
      </w:pPr>
      <w:r w:rsidRPr="00816F89">
        <w:rPr>
          <w:lang w:val="en-US"/>
        </w:rPr>
        <w:t>de</w:t>
      </w:r>
      <w:r w:rsidR="00A30E0C" w:rsidRPr="00816F89">
        <w:rPr>
          <w:lang w:val="en-US"/>
        </w:rPr>
        <w:t xml:space="preserve">s écoles </w:t>
      </w:r>
      <w:r w:rsidR="00D42EC4" w:rsidRPr="00816F89">
        <w:rPr>
          <w:lang w:val="en-US"/>
        </w:rPr>
        <w:t>franco-o</w:t>
      </w:r>
      <w:r w:rsidR="00A30E0C" w:rsidRPr="00816F89">
        <w:rPr>
          <w:lang w:val="en-US"/>
        </w:rPr>
        <w:t>ntariennes,</w:t>
      </w:r>
    </w:p>
    <w:p w14:paraId="156C16A9" w14:textId="4F7A66C2" w:rsidR="00B4401D" w:rsidRPr="00816F89" w:rsidRDefault="004A12F6">
      <w:pPr>
        <w:pStyle w:val="SCCLsocParty"/>
        <w:rPr>
          <w:lang w:val="en-US"/>
        </w:rPr>
      </w:pPr>
      <w:r w:rsidRPr="00816F89">
        <w:rPr>
          <w:lang w:val="en-US"/>
        </w:rPr>
        <w:t>Directors Guild of Canada</w:t>
      </w:r>
      <w:r w:rsidR="00A1502E" w:rsidRPr="00816F89">
        <w:rPr>
          <w:lang w:val="en-US"/>
        </w:rPr>
        <w:t xml:space="preserve"> </w:t>
      </w:r>
      <w:r w:rsidR="00A1502E" w:rsidRPr="00816F89">
        <w:rPr>
          <w:b w:val="0"/>
        </w:rPr>
        <w:t>–</w:t>
      </w:r>
      <w:r w:rsidR="00377C74" w:rsidRPr="00816F89">
        <w:rPr>
          <w:lang w:val="en-US"/>
        </w:rPr>
        <w:t xml:space="preserve"> </w:t>
      </w:r>
      <w:r w:rsidRPr="00816F89">
        <w:rPr>
          <w:lang w:val="en-US"/>
        </w:rPr>
        <w:t>Ontario,</w:t>
      </w:r>
    </w:p>
    <w:p w14:paraId="6EAE0DA2" w14:textId="77777777" w:rsidR="00B4401D" w:rsidRPr="00816F89" w:rsidRDefault="004A12F6">
      <w:pPr>
        <w:pStyle w:val="SCCLsocParty"/>
      </w:pPr>
      <w:r w:rsidRPr="00816F89">
        <w:t>Canadian Lawyers for International Human Rights,</w:t>
      </w:r>
    </w:p>
    <w:p w14:paraId="264E018E" w14:textId="6C2765F1" w:rsidR="00B4401D" w:rsidRPr="00816F89" w:rsidRDefault="005237EF">
      <w:pPr>
        <w:pStyle w:val="SCCLsocParty"/>
        <w:rPr>
          <w:lang w:val="en-US"/>
        </w:rPr>
      </w:pPr>
      <w:r w:rsidRPr="00816F89">
        <w:rPr>
          <w:lang w:val="en-US"/>
        </w:rPr>
        <w:t>Public Service Alliance of Canada,</w:t>
      </w:r>
      <w:r w:rsidR="00B22D33" w:rsidRPr="00816F89">
        <w:rPr>
          <w:lang w:val="en-US"/>
        </w:rPr>
        <w:t xml:space="preserve"> </w:t>
      </w:r>
      <w:r w:rsidR="004A12F6" w:rsidRPr="00816F89">
        <w:rPr>
          <w:lang w:val="en-US"/>
        </w:rPr>
        <w:t>Canadian Civil Liberties Association,</w:t>
      </w:r>
    </w:p>
    <w:p w14:paraId="199E6840" w14:textId="77777777" w:rsidR="00B4401D" w:rsidRPr="00816F89" w:rsidRDefault="004A12F6">
      <w:pPr>
        <w:pStyle w:val="SCCLsocParty"/>
        <w:rPr>
          <w:lang w:val="fr-CA"/>
        </w:rPr>
      </w:pPr>
      <w:r w:rsidRPr="00816F89">
        <w:rPr>
          <w:lang w:val="fr-CA"/>
        </w:rPr>
        <w:t>Syndicat professionnel des ingénieurs d</w:t>
      </w:r>
      <w:r w:rsidR="00A30E0C" w:rsidRPr="00816F89">
        <w:rPr>
          <w:lang w:val="fr-CA"/>
        </w:rPr>
        <w:t>’</w:t>
      </w:r>
      <w:r w:rsidRPr="00816F89">
        <w:rPr>
          <w:lang w:val="fr-CA"/>
        </w:rPr>
        <w:t>Hydro-Québec inc.,</w:t>
      </w:r>
    </w:p>
    <w:p w14:paraId="6D12138C" w14:textId="77777777" w:rsidR="00A30E0C" w:rsidRPr="00816F89" w:rsidRDefault="004A12F6">
      <w:pPr>
        <w:pStyle w:val="SCCLsocParty"/>
        <w:rPr>
          <w:lang w:val="fr-CA"/>
        </w:rPr>
      </w:pPr>
      <w:r w:rsidRPr="00816F89">
        <w:rPr>
          <w:lang w:val="fr-CA"/>
        </w:rPr>
        <w:t xml:space="preserve">Association des cadres des collèges du Québec, </w:t>
      </w:r>
    </w:p>
    <w:p w14:paraId="6984D9D1" w14:textId="77777777" w:rsidR="00A30E0C" w:rsidRPr="00816F89" w:rsidRDefault="004A12F6">
      <w:pPr>
        <w:pStyle w:val="SCCLsocParty"/>
        <w:rPr>
          <w:lang w:val="fr-CA"/>
        </w:rPr>
      </w:pPr>
      <w:r w:rsidRPr="00816F89">
        <w:rPr>
          <w:lang w:val="fr-CA"/>
        </w:rPr>
        <w:t xml:space="preserve">Association des cadres municipaux de Montréal, </w:t>
      </w:r>
    </w:p>
    <w:p w14:paraId="50F04C67" w14:textId="77777777" w:rsidR="00AD3E2E" w:rsidRPr="00816F89" w:rsidRDefault="004A12F6">
      <w:pPr>
        <w:pStyle w:val="SCCLsocParty"/>
        <w:rPr>
          <w:lang w:val="fr-CA"/>
        </w:rPr>
      </w:pPr>
      <w:r w:rsidRPr="00816F89">
        <w:rPr>
          <w:lang w:val="fr-CA"/>
        </w:rPr>
        <w:t>Association des conseillers en gestion des ressources humaines</w:t>
      </w:r>
      <w:r w:rsidR="00AD3E2E" w:rsidRPr="00816F89">
        <w:rPr>
          <w:lang w:val="fr-CA"/>
        </w:rPr>
        <w:t xml:space="preserve"> du</w:t>
      </w:r>
    </w:p>
    <w:p w14:paraId="61C13B55" w14:textId="2DAFFA3D" w:rsidR="00A30E0C" w:rsidRPr="00816F89" w:rsidRDefault="004A12F6">
      <w:pPr>
        <w:pStyle w:val="SCCLsocParty"/>
        <w:rPr>
          <w:lang w:val="fr-CA"/>
        </w:rPr>
      </w:pPr>
      <w:r w:rsidRPr="00816F89">
        <w:rPr>
          <w:lang w:val="fr-CA"/>
        </w:rPr>
        <w:t xml:space="preserve">gouvernement du Québec, </w:t>
      </w:r>
    </w:p>
    <w:p w14:paraId="4D0E1980" w14:textId="1067249E" w:rsidR="00B4401D" w:rsidRPr="00816F89" w:rsidRDefault="004A12F6">
      <w:pPr>
        <w:pStyle w:val="SCCLsocParty"/>
        <w:rPr>
          <w:lang w:val="fr-CA"/>
        </w:rPr>
      </w:pPr>
      <w:r w:rsidRPr="00816F89">
        <w:rPr>
          <w:lang w:val="fr-CA"/>
        </w:rPr>
        <w:t xml:space="preserve">Association des cadres scolaires du </w:t>
      </w:r>
      <w:r w:rsidR="00FD56ED" w:rsidRPr="00816F89">
        <w:rPr>
          <w:lang w:val="fr-CA"/>
        </w:rPr>
        <w:t>G</w:t>
      </w:r>
      <w:r w:rsidRPr="00816F89">
        <w:rPr>
          <w:lang w:val="fr-CA"/>
        </w:rPr>
        <w:t>rand Montréal,</w:t>
      </w:r>
    </w:p>
    <w:p w14:paraId="30F51360" w14:textId="77777777" w:rsidR="00A30E0C" w:rsidRPr="00816F89" w:rsidRDefault="004A12F6">
      <w:pPr>
        <w:pStyle w:val="SCCLsocParty"/>
        <w:rPr>
          <w:lang w:val="fr-CA"/>
        </w:rPr>
      </w:pPr>
      <w:r w:rsidRPr="00816F89">
        <w:rPr>
          <w:lang w:val="fr-CA"/>
        </w:rPr>
        <w:t xml:space="preserve">Association des cadres supérieurs de la santé et des services sociaux, </w:t>
      </w:r>
    </w:p>
    <w:p w14:paraId="531FC270" w14:textId="6B5796E6" w:rsidR="00AD3E2E" w:rsidRPr="00816F89" w:rsidRDefault="004A12F6">
      <w:pPr>
        <w:pStyle w:val="SCCLsocParty"/>
        <w:rPr>
          <w:lang w:val="fr-CA"/>
        </w:rPr>
      </w:pPr>
      <w:r w:rsidRPr="00816F89">
        <w:rPr>
          <w:lang w:val="fr-CA"/>
        </w:rPr>
        <w:t xml:space="preserve">Association des directeurs et directrices de succursale de la </w:t>
      </w:r>
      <w:r w:rsidR="00AD3E2E" w:rsidRPr="00816F89">
        <w:rPr>
          <w:rStyle w:val="SCCCounselPartyRoleChar"/>
          <w:lang w:val="fr-CA"/>
        </w:rPr>
        <w:t>S</w:t>
      </w:r>
      <w:r w:rsidRPr="00816F89">
        <w:rPr>
          <w:lang w:val="fr-CA"/>
        </w:rPr>
        <w:t>ociété des</w:t>
      </w:r>
      <w:r w:rsidR="00A30E0C" w:rsidRPr="00816F89">
        <w:rPr>
          <w:lang w:val="fr-CA"/>
        </w:rPr>
        <w:t xml:space="preserve"> </w:t>
      </w:r>
    </w:p>
    <w:p w14:paraId="0945CDBA" w14:textId="04731915" w:rsidR="00A30E0C" w:rsidRPr="00816F89" w:rsidRDefault="00A30E0C">
      <w:pPr>
        <w:pStyle w:val="SCCLsocParty"/>
        <w:rPr>
          <w:lang w:val="fr-CA"/>
        </w:rPr>
      </w:pPr>
      <w:r w:rsidRPr="00816F89">
        <w:rPr>
          <w:lang w:val="fr-CA"/>
        </w:rPr>
        <w:t>alcools du Québec,</w:t>
      </w:r>
    </w:p>
    <w:p w14:paraId="440F5FA6" w14:textId="60E13347" w:rsidR="00B4401D" w:rsidRPr="00816F89" w:rsidRDefault="004A12F6">
      <w:pPr>
        <w:pStyle w:val="SCCLsocParty"/>
        <w:rPr>
          <w:lang w:val="fr-CA"/>
        </w:rPr>
      </w:pPr>
      <w:r w:rsidRPr="00816F89">
        <w:rPr>
          <w:lang w:val="fr-CA"/>
        </w:rPr>
        <w:t>Association professionnelle des cadres de premier niveau d</w:t>
      </w:r>
      <w:r w:rsidR="00A30E0C" w:rsidRPr="00816F89">
        <w:rPr>
          <w:lang w:val="fr-CA"/>
        </w:rPr>
        <w:t>’</w:t>
      </w:r>
      <w:r w:rsidRPr="00816F89">
        <w:rPr>
          <w:lang w:val="fr-CA"/>
        </w:rPr>
        <w:t>Hydro-Québec,</w:t>
      </w:r>
    </w:p>
    <w:p w14:paraId="1CD53FFE" w14:textId="77777777" w:rsidR="00A30E0C" w:rsidRPr="00816F89" w:rsidRDefault="004A12F6" w:rsidP="00A30E0C">
      <w:pPr>
        <w:pStyle w:val="SCCLsocLastPartyInRole"/>
        <w:spacing w:after="0"/>
        <w:rPr>
          <w:lang w:val="fr-CA"/>
        </w:rPr>
      </w:pPr>
      <w:r w:rsidRPr="00816F89">
        <w:rPr>
          <w:lang w:val="fr-CA"/>
        </w:rPr>
        <w:t xml:space="preserve">Association québécoise des cadres scolaires, </w:t>
      </w:r>
    </w:p>
    <w:p w14:paraId="3C04C133" w14:textId="171C1DE3" w:rsidR="00A30E0C" w:rsidRPr="00816F89" w:rsidRDefault="004A12F6" w:rsidP="00A30E0C">
      <w:pPr>
        <w:pStyle w:val="SCCLsocLastPartyInRole"/>
        <w:spacing w:after="0"/>
        <w:rPr>
          <w:lang w:val="fr-CA"/>
        </w:rPr>
      </w:pPr>
      <w:r w:rsidRPr="00816F89">
        <w:rPr>
          <w:lang w:val="fr-CA"/>
        </w:rPr>
        <w:t xml:space="preserve">Association québécoise du personnel de direction des écoles </w:t>
      </w:r>
      <w:r w:rsidR="004727D3" w:rsidRPr="00816F89">
        <w:rPr>
          <w:lang w:val="fr-CA"/>
        </w:rPr>
        <w:t>and</w:t>
      </w:r>
    </w:p>
    <w:p w14:paraId="2976BB6D" w14:textId="78110805" w:rsidR="00AD3E2E" w:rsidRPr="00816F89" w:rsidRDefault="004A12F6" w:rsidP="00AD3E2E">
      <w:pPr>
        <w:pStyle w:val="SCCLsocLastPartyInRole"/>
        <w:spacing w:after="0"/>
        <w:rPr>
          <w:lang w:val="fr-CA"/>
        </w:rPr>
      </w:pPr>
      <w:r w:rsidRPr="00816F89">
        <w:rPr>
          <w:lang w:val="fr-CA"/>
        </w:rPr>
        <w:t>Fédération québécoise des directions d</w:t>
      </w:r>
      <w:r w:rsidR="00A30E0C" w:rsidRPr="00816F89">
        <w:rPr>
          <w:lang w:val="fr-CA"/>
        </w:rPr>
        <w:t>’</w:t>
      </w:r>
      <w:r w:rsidR="00AD3E2E" w:rsidRPr="00816F89">
        <w:rPr>
          <w:lang w:val="fr-CA"/>
        </w:rPr>
        <w:t>établissement</w:t>
      </w:r>
    </w:p>
    <w:p w14:paraId="1D7497C6" w14:textId="4B01015D" w:rsidR="00B4401D" w:rsidRPr="00816F89" w:rsidRDefault="004A12F6" w:rsidP="005738AD">
      <w:pPr>
        <w:pStyle w:val="SCCLsocLastPartyInRole"/>
        <w:rPr>
          <w:lang w:val="fr-CA"/>
        </w:rPr>
      </w:pPr>
      <w:r w:rsidRPr="00816F89">
        <w:rPr>
          <w:lang w:val="fr-CA"/>
        </w:rPr>
        <w:t>d</w:t>
      </w:r>
      <w:r w:rsidR="00A30E0C" w:rsidRPr="00816F89">
        <w:rPr>
          <w:lang w:val="fr-CA"/>
        </w:rPr>
        <w:t>’</w:t>
      </w:r>
      <w:r w:rsidRPr="00816F89">
        <w:rPr>
          <w:lang w:val="fr-CA"/>
        </w:rPr>
        <w:t>enseignement</w:t>
      </w:r>
      <w:r w:rsidRPr="00816F89">
        <w:rPr>
          <w:rStyle w:val="SCCLsocPartyRole"/>
          <w:lang w:val="fr-CA"/>
        </w:rPr>
        <w:tab/>
        <w:t>Interveners</w:t>
      </w:r>
    </w:p>
    <w:p w14:paraId="43A196BA" w14:textId="12AAFABF" w:rsidR="00426659" w:rsidRPr="00816F89" w:rsidRDefault="00426659" w:rsidP="005738AD">
      <w:pPr>
        <w:spacing w:after="720"/>
        <w:jc w:val="both"/>
        <w:rPr>
          <w:b/>
          <w:lang w:val="fr-CA"/>
        </w:rPr>
      </w:pPr>
      <w:r w:rsidRPr="00816F89">
        <w:rPr>
          <w:b/>
          <w:lang w:val="fr-CA"/>
        </w:rPr>
        <w:t xml:space="preserve">Indexed as: </w:t>
      </w:r>
      <w:r w:rsidR="00A30E0C" w:rsidRPr="00816F89">
        <w:rPr>
          <w:b/>
          <w:lang w:val="fr-CA"/>
        </w:rPr>
        <w:t>Société des casinos du Québec inc.</w:t>
      </w:r>
      <w:r w:rsidRPr="00816F89">
        <w:rPr>
          <w:b/>
          <w:lang w:val="fr-CA"/>
        </w:rPr>
        <w:t xml:space="preserve"> </w:t>
      </w:r>
      <w:r w:rsidRPr="00816F89">
        <w:rPr>
          <w:b/>
          <w:i/>
          <w:lang w:val="fr-CA"/>
        </w:rPr>
        <w:t>v.</w:t>
      </w:r>
      <w:r w:rsidRPr="00816F89">
        <w:rPr>
          <w:b/>
          <w:lang w:val="fr-CA"/>
        </w:rPr>
        <w:t xml:space="preserve"> </w:t>
      </w:r>
      <w:r w:rsidR="00C70AC7" w:rsidRPr="00816F89">
        <w:rPr>
          <w:b/>
          <w:lang w:val="fr-CA"/>
        </w:rPr>
        <w:t>Associatio</w:t>
      </w:r>
      <w:r w:rsidR="001C3551" w:rsidRPr="00816F89">
        <w:rPr>
          <w:b/>
          <w:lang w:val="fr-CA"/>
        </w:rPr>
        <w:t>n des c</w:t>
      </w:r>
      <w:r w:rsidR="0096181A" w:rsidRPr="00816F89">
        <w:rPr>
          <w:b/>
          <w:lang w:val="fr-CA"/>
        </w:rPr>
        <w:t>adres de la Société des c</w:t>
      </w:r>
      <w:r w:rsidR="00E13D68" w:rsidRPr="00816F89">
        <w:rPr>
          <w:b/>
          <w:lang w:val="fr-CA"/>
        </w:rPr>
        <w:t>asinos du Québec</w:t>
      </w:r>
    </w:p>
    <w:p w14:paraId="2BBAB43F" w14:textId="5B6271E7" w:rsidR="00426659" w:rsidRPr="00816F89" w:rsidRDefault="00A26B5E" w:rsidP="005738AD">
      <w:pPr>
        <w:pStyle w:val="SCCSystemYear"/>
        <w:spacing w:after="720"/>
        <w:jc w:val="both"/>
      </w:pPr>
      <w:r w:rsidRPr="00816F89">
        <w:t>2024</w:t>
      </w:r>
      <w:r w:rsidR="003D0399" w:rsidRPr="00816F89">
        <w:t xml:space="preserve"> </w:t>
      </w:r>
      <w:r w:rsidR="005738AD" w:rsidRPr="00816F89">
        <w:t xml:space="preserve">SCC </w:t>
      </w:r>
      <w:r w:rsidR="00575D87" w:rsidRPr="00816F89">
        <w:t>13</w:t>
      </w:r>
    </w:p>
    <w:p w14:paraId="3A585A7D" w14:textId="77777777" w:rsidR="008322BD" w:rsidRPr="00816F89" w:rsidRDefault="009B57B3" w:rsidP="005738AD">
      <w:pPr>
        <w:spacing w:after="720"/>
        <w:jc w:val="both"/>
      </w:pPr>
      <w:r w:rsidRPr="00816F89">
        <w:t>File No.: 40123.</w:t>
      </w:r>
    </w:p>
    <w:p w14:paraId="2CE01BBE" w14:textId="0C6DB7C7" w:rsidR="008322BD" w:rsidRPr="00816F89" w:rsidRDefault="00AE4535" w:rsidP="005738AD">
      <w:pPr>
        <w:spacing w:after="720"/>
        <w:jc w:val="both"/>
      </w:pPr>
      <w:r w:rsidRPr="00816F89">
        <w:t>2023: April 20</w:t>
      </w:r>
      <w:r w:rsidR="009B57B3" w:rsidRPr="00816F89">
        <w:t xml:space="preserve">; </w:t>
      </w:r>
      <w:r w:rsidR="00A26B5E" w:rsidRPr="00816F89">
        <w:t>2024: April 19</w:t>
      </w:r>
      <w:r w:rsidR="009B57B3" w:rsidRPr="00816F89">
        <w:t>.</w:t>
      </w:r>
    </w:p>
    <w:p w14:paraId="5F5A2C6B" w14:textId="42ACAF48" w:rsidR="008322BD" w:rsidRPr="00816F89" w:rsidRDefault="00AD3E2E" w:rsidP="005738AD">
      <w:pPr>
        <w:spacing w:after="720"/>
        <w:jc w:val="both"/>
      </w:pPr>
      <w:r w:rsidRPr="00816F89">
        <w:t xml:space="preserve">Present: </w:t>
      </w:r>
      <w:r w:rsidR="009B57B3" w:rsidRPr="00816F89">
        <w:t>Wagner C.J. and Karakatsanis, Côté, Rowe, Kasirer, Jamal and O</w:t>
      </w:r>
      <w:r w:rsidR="00A30E0C" w:rsidRPr="00816F89">
        <w:t>’</w:t>
      </w:r>
      <w:r w:rsidR="00B5427C" w:rsidRPr="00816F89">
        <w:t>Bonsawin </w:t>
      </w:r>
      <w:r w:rsidR="009B57B3" w:rsidRPr="00816F89">
        <w:t>JJ.</w:t>
      </w:r>
    </w:p>
    <w:p w14:paraId="1243EC2F" w14:textId="77777777" w:rsidR="008322BD" w:rsidRPr="00816F89" w:rsidRDefault="00656313" w:rsidP="005738AD">
      <w:pPr>
        <w:pStyle w:val="SCCLowerCourtNameLowercase"/>
        <w:spacing w:after="720" w:line="240" w:lineRule="auto"/>
      </w:pPr>
      <w:r w:rsidRPr="00816F89">
        <w:t>o</w:t>
      </w:r>
      <w:r w:rsidR="00170592" w:rsidRPr="00816F89">
        <w:t>n</w:t>
      </w:r>
      <w:r w:rsidR="00224FC0" w:rsidRPr="00816F89">
        <w:t xml:space="preserve"> </w:t>
      </w:r>
      <w:r w:rsidRPr="00816F89">
        <w:t>a</w:t>
      </w:r>
      <w:r w:rsidR="00170592" w:rsidRPr="00816F89">
        <w:t>ppeal</w:t>
      </w:r>
      <w:r w:rsidR="00224FC0" w:rsidRPr="00816F89">
        <w:t xml:space="preserve"> </w:t>
      </w:r>
      <w:r w:rsidR="00170592" w:rsidRPr="00816F89">
        <w:t>from</w:t>
      </w:r>
      <w:r w:rsidR="009567AA" w:rsidRPr="00816F89">
        <w:t xml:space="preserve"> the</w:t>
      </w:r>
      <w:r w:rsidR="00224FC0" w:rsidRPr="00816F89">
        <w:t xml:space="preserve"> </w:t>
      </w:r>
      <w:r w:rsidR="00442ECD" w:rsidRPr="00816F89">
        <w:t>court of appeal for quebec</w:t>
      </w:r>
    </w:p>
    <w:p w14:paraId="2F44BAF1" w14:textId="6E74FA18" w:rsidR="00EC6FC7" w:rsidRPr="00816F89" w:rsidRDefault="009B57B3" w:rsidP="00D365F7">
      <w:pPr>
        <w:pStyle w:val="SCCNormalDoubleSpacing"/>
        <w:spacing w:after="480"/>
        <w:rPr>
          <w:i/>
          <w:iCs/>
        </w:rPr>
      </w:pPr>
      <w:r w:rsidRPr="00816F89">
        <w:tab/>
      </w:r>
      <w:r w:rsidR="00EC6FC7" w:rsidRPr="00816F89">
        <w:rPr>
          <w:i/>
          <w:iCs/>
        </w:rPr>
        <w:t xml:space="preserve">Constitutional law — Charter of Rights — Freedom of association — Statutory exclusion — Casino managers excluded from provincial statutory labour relations regime — Whether exclusion infringes managers’ guarantee of freedom of association — Canadian Charter of Rights and Freedoms, s. 2(d) — Charter of human </w:t>
      </w:r>
      <w:r w:rsidR="00D365F7" w:rsidRPr="00816F89">
        <w:rPr>
          <w:i/>
          <w:iCs/>
        </w:rPr>
        <w:t>rights and freedoms, CQLR, c. C</w:t>
      </w:r>
      <w:r w:rsidR="00D365F7" w:rsidRPr="00816F89">
        <w:rPr>
          <w:i/>
          <w:iCs/>
        </w:rPr>
        <w:noBreakHyphen/>
      </w:r>
      <w:r w:rsidR="00EC6FC7" w:rsidRPr="00816F89">
        <w:rPr>
          <w:i/>
          <w:iCs/>
        </w:rPr>
        <w:t>12,</w:t>
      </w:r>
      <w:r w:rsidR="00D365F7" w:rsidRPr="00816F89">
        <w:rPr>
          <w:i/>
          <w:iCs/>
        </w:rPr>
        <w:t xml:space="preserve"> s. 3 — Labour Code, CQLR, c. C</w:t>
      </w:r>
      <w:r w:rsidR="00D365F7" w:rsidRPr="00816F89">
        <w:rPr>
          <w:i/>
          <w:iCs/>
        </w:rPr>
        <w:noBreakHyphen/>
      </w:r>
      <w:r w:rsidR="00EC6FC7" w:rsidRPr="00816F89">
        <w:rPr>
          <w:i/>
          <w:iCs/>
        </w:rPr>
        <w:t>27, s. 1(l)</w:t>
      </w:r>
      <w:r w:rsidR="0026546B">
        <w:rPr>
          <w:i/>
          <w:iCs/>
        </w:rPr>
        <w:t>(</w:t>
      </w:r>
      <w:r w:rsidR="00EC6FC7" w:rsidRPr="00816F89">
        <w:rPr>
          <w:i/>
          <w:iCs/>
        </w:rPr>
        <w:t>1</w:t>
      </w:r>
      <w:r w:rsidR="0026546B">
        <w:rPr>
          <w:i/>
          <w:iCs/>
        </w:rPr>
        <w:t>)</w:t>
      </w:r>
      <w:r w:rsidR="00EC6FC7" w:rsidRPr="00816F89">
        <w:rPr>
          <w:i/>
          <w:iCs/>
        </w:rPr>
        <w:t>.</w:t>
      </w:r>
    </w:p>
    <w:p w14:paraId="71823457" w14:textId="26CE6A92" w:rsidR="008322BD" w:rsidRPr="00816F89" w:rsidRDefault="00EC6FC7" w:rsidP="00D365F7">
      <w:pPr>
        <w:pStyle w:val="SCCNormalDoubleSpacing"/>
        <w:spacing w:after="480"/>
      </w:pPr>
      <w:r w:rsidRPr="00816F89">
        <w:rPr>
          <w:i/>
          <w:iCs/>
        </w:rPr>
        <w:tab/>
        <w:t>Administrative law — Judicial review — Standard of review — Standard of review applicable to findings of fact and findings of mixed fact and law made by administrative decision maker in connection with constitutional question.</w:t>
      </w:r>
    </w:p>
    <w:p w14:paraId="4E115010" w14:textId="4AA27DBC" w:rsidR="00EC6FC7" w:rsidRPr="00816F89" w:rsidRDefault="009B57B3" w:rsidP="00D365F7">
      <w:pPr>
        <w:pStyle w:val="SCCNormalDoubleSpacing"/>
        <w:spacing w:after="480"/>
      </w:pPr>
      <w:r w:rsidRPr="00816F89">
        <w:tab/>
      </w:r>
      <w:r w:rsidR="00EC6FC7" w:rsidRPr="00816F89">
        <w:rPr>
          <w:lang w:val="fr-CA"/>
        </w:rPr>
        <w:t>The Association des cadres de la Société des casinos du Québec (“Associa</w:t>
      </w:r>
      <w:r w:rsidR="00D365F7" w:rsidRPr="00816F89">
        <w:rPr>
          <w:lang w:val="fr-CA"/>
        </w:rPr>
        <w:t>tion”) represents certain first</w:t>
      </w:r>
      <w:r w:rsidR="00D365F7" w:rsidRPr="00816F89">
        <w:rPr>
          <w:lang w:val="fr-CA"/>
        </w:rPr>
        <w:noBreakHyphen/>
      </w:r>
      <w:r w:rsidR="00EC6FC7" w:rsidRPr="00816F89">
        <w:rPr>
          <w:lang w:val="fr-CA"/>
        </w:rPr>
        <w:t xml:space="preserve">level managers working at four casinos run by the Société des casinos du Québec inc. </w:t>
      </w:r>
      <w:r w:rsidR="00EC6FC7" w:rsidRPr="00816F89">
        <w:t xml:space="preserve">(“Société”). The Association applied to the Commission des relations du travail (now the Administrative Labour Tribunal (“ALT”)) </w:t>
      </w:r>
      <w:r w:rsidR="00EC6FC7" w:rsidRPr="00816F89">
        <w:rPr>
          <w:lang w:val="en-US"/>
        </w:rPr>
        <w:t>to be recognized as a certified</w:t>
      </w:r>
      <w:r w:rsidR="003A0C9A" w:rsidRPr="00816F89">
        <w:rPr>
          <w:lang w:val="en-US"/>
        </w:rPr>
        <w:t xml:space="preserve"> association representing first</w:t>
      </w:r>
      <w:r w:rsidR="003A0C9A" w:rsidRPr="00816F89">
        <w:rPr>
          <w:lang w:val="en-US"/>
        </w:rPr>
        <w:noBreakHyphen/>
      </w:r>
      <w:r w:rsidR="00EC6FC7" w:rsidRPr="00816F89">
        <w:rPr>
          <w:lang w:val="en-US"/>
        </w:rPr>
        <w:t xml:space="preserve">level managers in the gaming sector at the Casino de Montréal in order to benefit from the protections of the </w:t>
      </w:r>
      <w:r w:rsidR="00EC6FC7" w:rsidRPr="00816F89">
        <w:t xml:space="preserve">Quebec </w:t>
      </w:r>
      <w:r w:rsidR="00EC6FC7" w:rsidRPr="00816F89">
        <w:rPr>
          <w:i/>
        </w:rPr>
        <w:t>Labour Code</w:t>
      </w:r>
      <w:r w:rsidR="00EC6FC7" w:rsidRPr="00816F89">
        <w:t xml:space="preserve">. </w:t>
      </w:r>
      <w:r w:rsidR="00EC6FC7" w:rsidRPr="00816F89">
        <w:rPr>
          <w:lang w:val="en-US"/>
        </w:rPr>
        <w:t>Because s. 1(</w:t>
      </w:r>
      <w:r w:rsidR="00EC6FC7" w:rsidRPr="00816F89">
        <w:rPr>
          <w:i/>
          <w:lang w:val="en-US"/>
        </w:rPr>
        <w:t>l</w:t>
      </w:r>
      <w:r w:rsidR="00EC6FC7" w:rsidRPr="00816F89">
        <w:rPr>
          <w:lang w:val="en-US"/>
        </w:rPr>
        <w:t xml:space="preserve">)(1) of the </w:t>
      </w:r>
      <w:r w:rsidR="00EC6FC7" w:rsidRPr="00816F89">
        <w:rPr>
          <w:i/>
          <w:lang w:val="en-US"/>
        </w:rPr>
        <w:t>Labour Code</w:t>
      </w:r>
      <w:r w:rsidR="00EC6FC7" w:rsidRPr="00816F89">
        <w:rPr>
          <w:lang w:val="en-US"/>
        </w:rPr>
        <w:t xml:space="preserve"> excludes managers from its statutory labour relations regime, including from the ability to obtain association certification, the Association sought a ruling that this statutory exclusion unjustifiably infringed its members’ freedom of association under s. 2(d) of the </w:t>
      </w:r>
      <w:r w:rsidR="00EC6FC7" w:rsidRPr="00816F89">
        <w:rPr>
          <w:i/>
          <w:lang w:val="en-US"/>
        </w:rPr>
        <w:t>Charter</w:t>
      </w:r>
      <w:r w:rsidR="00EC6FC7" w:rsidRPr="00816F89">
        <w:rPr>
          <w:lang w:val="en-US"/>
        </w:rPr>
        <w:t xml:space="preserve"> and s. 3 of the Quebec </w:t>
      </w:r>
      <w:r w:rsidR="00EC6FC7" w:rsidRPr="00816F89">
        <w:rPr>
          <w:i/>
          <w:lang w:val="en-US"/>
        </w:rPr>
        <w:t>Charter</w:t>
      </w:r>
      <w:r w:rsidR="00EC6FC7" w:rsidRPr="00816F89">
        <w:t>.</w:t>
      </w:r>
    </w:p>
    <w:p w14:paraId="5834E262" w14:textId="4237A1DD" w:rsidR="008322BD" w:rsidRPr="00816F89" w:rsidRDefault="00EC6FC7" w:rsidP="00D365F7">
      <w:pPr>
        <w:pStyle w:val="SCCNormalDoubleSpacing"/>
        <w:spacing w:after="480"/>
      </w:pPr>
      <w:r w:rsidRPr="00816F89">
        <w:tab/>
      </w:r>
      <w:r w:rsidRPr="00816F89">
        <w:rPr>
          <w:lang w:val="en-US"/>
        </w:rPr>
        <w:t>The Association succeeded at first instance before the ALT. The ALT characterized the Association’s claim as a negative r</w:t>
      </w:r>
      <w:r w:rsidR="00D365F7" w:rsidRPr="00816F89">
        <w:rPr>
          <w:lang w:val="en-US"/>
        </w:rPr>
        <w:t>ights claim and applied the two</w:t>
      </w:r>
      <w:r w:rsidR="00D365F7" w:rsidRPr="00816F89">
        <w:rPr>
          <w:lang w:val="en-US"/>
        </w:rPr>
        <w:noBreakHyphen/>
      </w:r>
      <w:r w:rsidRPr="00816F89">
        <w:rPr>
          <w:lang w:val="en-US"/>
        </w:rPr>
        <w:t xml:space="preserve">part substantial interference test for analyzing an alleged infringement of freedom of association articulated in </w:t>
      </w:r>
      <w:r w:rsidRPr="00816F89">
        <w:rPr>
          <w:i/>
        </w:rPr>
        <w:t>Mounted Police Association of Ontario v. Canada (Attorney General)</w:t>
      </w:r>
      <w:r w:rsidRPr="00816F89">
        <w:t>,</w:t>
      </w:r>
      <w:r w:rsidRPr="00816F89">
        <w:rPr>
          <w:i/>
        </w:rPr>
        <w:t xml:space="preserve"> </w:t>
      </w:r>
      <w:r w:rsidRPr="00816F89">
        <w:t>2015 SCC 1, [2015] 1 S.C.R. 3</w:t>
      </w:r>
      <w:r w:rsidRPr="00816F89">
        <w:rPr>
          <w:lang w:val="en-US"/>
        </w:rPr>
        <w:t xml:space="preserve">. It concluded that the exclusion of managers unjustifiably infringed their freedom of association. On judicial review, the Superior Court quashed the ALT’s decision. </w:t>
      </w:r>
      <w:r w:rsidRPr="00816F89">
        <w:t xml:space="preserve">In the Superior Court’s view, the Association sought to impose a positive obligation on the state, which must be analyzed under the framework in </w:t>
      </w:r>
      <w:r w:rsidRPr="00816F89">
        <w:rPr>
          <w:i/>
          <w:iCs/>
          <w:lang w:val="en-US"/>
        </w:rPr>
        <w:t>Dunmore v. Ontario (Attorney General)</w:t>
      </w:r>
      <w:r w:rsidRPr="00816F89">
        <w:rPr>
          <w:lang w:val="en-US"/>
        </w:rPr>
        <w:t>, 2001 SCC 94, [2001] 3 S.C.R. 1016</w:t>
      </w:r>
      <w:r w:rsidRPr="00816F89">
        <w:t xml:space="preserve">. The court ruled that the Association </w:t>
      </w:r>
      <w:r w:rsidRPr="00816F89">
        <w:rPr>
          <w:lang w:val="en-US"/>
        </w:rPr>
        <w:t>did not establish an infringement of its members’ freedom of association.</w:t>
      </w:r>
      <w:r w:rsidRPr="00816F89">
        <w:t xml:space="preserve"> </w:t>
      </w:r>
      <w:r w:rsidRPr="00816F89">
        <w:rPr>
          <w:lang w:val="en-US"/>
        </w:rPr>
        <w:t xml:space="preserve">On further appeal </w:t>
      </w:r>
      <w:r w:rsidRPr="00816F89">
        <w:t>by the Association</w:t>
      </w:r>
      <w:r w:rsidRPr="00816F89">
        <w:rPr>
          <w:lang w:val="en-US"/>
        </w:rPr>
        <w:t xml:space="preserve">, the Court of Appeal </w:t>
      </w:r>
      <w:r w:rsidRPr="00816F89">
        <w:t xml:space="preserve">followed </w:t>
      </w:r>
      <w:r w:rsidRPr="00816F89">
        <w:rPr>
          <w:i/>
        </w:rPr>
        <w:t xml:space="preserve">Mounted Police </w:t>
      </w:r>
      <w:r w:rsidR="00D365F7" w:rsidRPr="00816F89">
        <w:t>and applied the two</w:t>
      </w:r>
      <w:r w:rsidR="00D365F7" w:rsidRPr="00816F89">
        <w:noBreakHyphen/>
      </w:r>
      <w:r w:rsidRPr="00816F89">
        <w:t>part substantial interference test as t</w:t>
      </w:r>
      <w:r w:rsidR="00D365F7" w:rsidRPr="00816F89">
        <w:t>he proper framework under s. </w:t>
      </w:r>
      <w:r w:rsidRPr="00816F89">
        <w:t>2(d), and</w:t>
      </w:r>
      <w:r w:rsidR="00D74428" w:rsidRPr="00816F89">
        <w:t xml:space="preserve"> </w:t>
      </w:r>
      <w:r w:rsidRPr="00816F89">
        <w:rPr>
          <w:lang w:val="en-US"/>
        </w:rPr>
        <w:t>restored the ALT’s decision.</w:t>
      </w:r>
    </w:p>
    <w:p w14:paraId="7532D374" w14:textId="5110C9AF" w:rsidR="008322BD" w:rsidRPr="00816F89" w:rsidRDefault="009B57B3" w:rsidP="00D365F7">
      <w:pPr>
        <w:pStyle w:val="SCCNormalDoubleSpacing"/>
        <w:spacing w:after="480"/>
      </w:pPr>
      <w:r w:rsidRPr="00816F89">
        <w:tab/>
      </w:r>
      <w:r w:rsidRPr="00816F89">
        <w:rPr>
          <w:rStyle w:val="QuoteChar"/>
          <w:color w:val="auto"/>
          <w:lang w:val="en-CA"/>
        </w:rPr>
        <w:t>Held</w:t>
      </w:r>
      <w:r w:rsidRPr="00816F89">
        <w:rPr>
          <w:rStyle w:val="QuoteChar"/>
          <w:i w:val="0"/>
          <w:color w:val="auto"/>
          <w:lang w:val="en-CA"/>
        </w:rPr>
        <w:t>:</w:t>
      </w:r>
      <w:r w:rsidRPr="00816F89">
        <w:t xml:space="preserve"> The appeal</w:t>
      </w:r>
      <w:r w:rsidR="00EC6FC7" w:rsidRPr="00816F89">
        <w:t>s</w:t>
      </w:r>
      <w:r w:rsidRPr="00816F89">
        <w:t xml:space="preserve"> should be</w:t>
      </w:r>
      <w:r w:rsidR="00EC6FC7" w:rsidRPr="00816F89">
        <w:t xml:space="preserve"> allowed.</w:t>
      </w:r>
    </w:p>
    <w:p w14:paraId="3D35B88B" w14:textId="68FD6CB9" w:rsidR="00EC6FC7" w:rsidRPr="00816F89" w:rsidRDefault="009B57B3" w:rsidP="00D365F7">
      <w:pPr>
        <w:pStyle w:val="SCCNormalDoubleSpacing"/>
        <w:spacing w:after="480"/>
      </w:pPr>
      <w:r w:rsidRPr="00816F89">
        <w:tab/>
      </w:r>
      <w:r w:rsidR="00EC6FC7" w:rsidRPr="00816F89">
        <w:rPr>
          <w:i/>
        </w:rPr>
        <w:t xml:space="preserve">Per </w:t>
      </w:r>
      <w:r w:rsidR="00EC6FC7" w:rsidRPr="00816F89">
        <w:t xml:space="preserve">Karakatsanis, Kasirer, </w:t>
      </w:r>
      <w:r w:rsidR="00EC6FC7" w:rsidRPr="00816F89">
        <w:rPr>
          <w:b/>
        </w:rPr>
        <w:t>Jamal</w:t>
      </w:r>
      <w:r w:rsidR="00EC6FC7" w:rsidRPr="00816F89">
        <w:t xml:space="preserve"> and O’Bonsawin JJ.: </w:t>
      </w:r>
      <w:r w:rsidR="00D365F7" w:rsidRPr="00816F89">
        <w:rPr>
          <w:lang w:val="en-US"/>
        </w:rPr>
        <w:t>Section </w:t>
      </w:r>
      <w:r w:rsidR="00EC6FC7" w:rsidRPr="00816F89">
        <w:rPr>
          <w:lang w:val="en-US"/>
        </w:rPr>
        <w:t>1(</w:t>
      </w:r>
      <w:r w:rsidR="00EC6FC7" w:rsidRPr="00816F89">
        <w:rPr>
          <w:i/>
          <w:lang w:val="en-US"/>
        </w:rPr>
        <w:t>l</w:t>
      </w:r>
      <w:r w:rsidR="00EC6FC7" w:rsidRPr="00816F89">
        <w:rPr>
          <w:lang w:val="en-US"/>
        </w:rPr>
        <w:t xml:space="preserve">)(1) of the </w:t>
      </w:r>
      <w:r w:rsidR="00EC6FC7" w:rsidRPr="00816F89">
        <w:rPr>
          <w:i/>
          <w:lang w:val="en-US"/>
        </w:rPr>
        <w:t xml:space="preserve">Labour Code </w:t>
      </w:r>
      <w:r w:rsidR="00EC6FC7" w:rsidRPr="00816F89">
        <w:rPr>
          <w:lang w:val="en-US"/>
        </w:rPr>
        <w:t>applies to the Association in its application for accreditation.</w:t>
      </w:r>
      <w:r w:rsidR="00EC6FC7" w:rsidRPr="00816F89">
        <w:t xml:space="preserve"> The Association has</w:t>
      </w:r>
      <w:r w:rsidR="00D365F7" w:rsidRPr="00816F89">
        <w:t xml:space="preserve"> not shown that, when the two</w:t>
      </w:r>
      <w:r w:rsidR="00D365F7" w:rsidRPr="00816F89">
        <w:noBreakHyphen/>
      </w:r>
      <w:r w:rsidR="00EC6FC7" w:rsidRPr="00816F89">
        <w:t>part substantial interference test</w:t>
      </w:r>
      <w:r w:rsidR="00EC6FC7" w:rsidRPr="00816F89">
        <w:rPr>
          <w:lang w:val="en-US"/>
        </w:rPr>
        <w:t xml:space="preserve">, established </w:t>
      </w:r>
      <w:r w:rsidR="00EC6FC7" w:rsidRPr="00816F89">
        <w:t xml:space="preserve">in </w:t>
      </w:r>
      <w:r w:rsidR="00EC6FC7" w:rsidRPr="00816F89">
        <w:rPr>
          <w:i/>
        </w:rPr>
        <w:t>Dunmore</w:t>
      </w:r>
      <w:r w:rsidR="00EC6FC7" w:rsidRPr="00816F89">
        <w:t xml:space="preserve"> and refined in </w:t>
      </w:r>
      <w:r w:rsidR="00EC6FC7" w:rsidRPr="00816F89">
        <w:rPr>
          <w:i/>
          <w:lang w:val="en-US"/>
        </w:rPr>
        <w:t>Health Services and Support — Facilities Subsector Bargaining Assn. v. British Columbia</w:t>
      </w:r>
      <w:r w:rsidR="00EC6FC7" w:rsidRPr="00816F89">
        <w:rPr>
          <w:lang w:val="en-US"/>
        </w:rPr>
        <w:t xml:space="preserve">, 2007 SCC 27, [2007] 2 S.C.R. 391, </w:t>
      </w:r>
      <w:r w:rsidR="00EC6FC7" w:rsidRPr="00816F89">
        <w:rPr>
          <w:i/>
          <w:lang w:val="en-US"/>
        </w:rPr>
        <w:t>Ontario (Attorney General) v. Fraser</w:t>
      </w:r>
      <w:r w:rsidR="00EC6FC7" w:rsidRPr="00816F89">
        <w:rPr>
          <w:lang w:val="en-US"/>
        </w:rPr>
        <w:t xml:space="preserve">, 2011 SCC 20, [2011] 2 S.C.R. 3, and </w:t>
      </w:r>
      <w:r w:rsidR="00EC6FC7" w:rsidRPr="00816F89">
        <w:rPr>
          <w:i/>
        </w:rPr>
        <w:t>Mounted Police</w:t>
      </w:r>
      <w:r w:rsidR="00EC6FC7" w:rsidRPr="00816F89">
        <w:t>, is applied, the</w:t>
      </w:r>
      <w:r w:rsidR="00D365F7" w:rsidRPr="00816F89">
        <w:t xml:space="preserve"> legislative exclusion of first</w:t>
      </w:r>
      <w:r w:rsidR="00D365F7" w:rsidRPr="00816F89">
        <w:noBreakHyphen/>
      </w:r>
      <w:r w:rsidR="00EC6FC7" w:rsidRPr="00816F89">
        <w:t>level managers from Quebec’s general collective labour relations regime infringes its members’ fr</w:t>
      </w:r>
      <w:r w:rsidR="00D365F7" w:rsidRPr="00816F89">
        <w:t>eedom of association under s. </w:t>
      </w:r>
      <w:r w:rsidR="00EC6FC7" w:rsidRPr="00816F89">
        <w:t xml:space="preserve">2(d) of the </w:t>
      </w:r>
      <w:r w:rsidR="00EC6FC7" w:rsidRPr="00816F89">
        <w:rPr>
          <w:i/>
        </w:rPr>
        <w:t>Charter</w:t>
      </w:r>
      <w:r w:rsidR="00EC6FC7" w:rsidRPr="00816F89">
        <w:t xml:space="preserve"> or s. 3 of the Quebec </w:t>
      </w:r>
      <w:r w:rsidR="00EC6FC7" w:rsidRPr="00816F89">
        <w:rPr>
          <w:i/>
        </w:rPr>
        <w:t>Charter</w:t>
      </w:r>
      <w:r w:rsidR="00EC6FC7" w:rsidRPr="00816F89">
        <w:t>.</w:t>
      </w:r>
    </w:p>
    <w:p w14:paraId="50F5763A" w14:textId="5CDE41B1" w:rsidR="00EC6FC7" w:rsidRPr="00816F89" w:rsidRDefault="00EC6FC7" w:rsidP="00D365F7">
      <w:pPr>
        <w:pStyle w:val="SCCNormalDoubleSpacing"/>
        <w:spacing w:after="480"/>
      </w:pPr>
      <w:r w:rsidRPr="00816F89">
        <w:tab/>
      </w:r>
      <w:r w:rsidRPr="00816F89">
        <w:rPr>
          <w:lang w:val="en-US"/>
        </w:rPr>
        <w:t xml:space="preserve">There is only one framework for </w:t>
      </w:r>
      <w:r w:rsidRPr="00816F89">
        <w:t>determining whether legislation or</w:t>
      </w:r>
      <w:r w:rsidR="00D365F7" w:rsidRPr="00816F89">
        <w:t xml:space="preserve"> government action infringes s. </w:t>
      </w:r>
      <w:r w:rsidRPr="00816F89">
        <w:t xml:space="preserve">2(d) of the </w:t>
      </w:r>
      <w:r w:rsidRPr="00816F89">
        <w:rPr>
          <w:i/>
        </w:rPr>
        <w:t>Charter</w:t>
      </w:r>
      <w:r w:rsidR="00D365F7" w:rsidRPr="00816F89">
        <w:t>. That two</w:t>
      </w:r>
      <w:r w:rsidR="00D365F7" w:rsidRPr="00816F89">
        <w:noBreakHyphen/>
      </w:r>
      <w:r w:rsidRPr="00816F89">
        <w:t>step framework was established by the</w:t>
      </w:r>
      <w:r w:rsidR="00D74428" w:rsidRPr="00816F89">
        <w:t xml:space="preserve"> </w:t>
      </w:r>
      <w:r w:rsidRPr="00816F89">
        <w:t xml:space="preserve">Court in </w:t>
      </w:r>
      <w:r w:rsidRPr="00816F89">
        <w:rPr>
          <w:i/>
          <w:iCs/>
          <w:lang w:val="en-US"/>
        </w:rPr>
        <w:t>Dunmore</w:t>
      </w:r>
      <w:r w:rsidRPr="00816F89">
        <w:t xml:space="preserve"> and examines, first, whether activities fall within the scope of the freedom of association guarantee, and second, whether the government action interferes with the protected activities in purpose or effect. Three factors circumscribing the possibility of successfully challenging underinclusive legislation under s. 2(d) of the </w:t>
      </w:r>
      <w:r w:rsidRPr="00816F89">
        <w:rPr>
          <w:i/>
        </w:rPr>
        <w:t>Charter</w:t>
      </w:r>
      <w:r w:rsidRPr="00816F89">
        <w:t xml:space="preserve"> were also set out in </w:t>
      </w:r>
      <w:r w:rsidRPr="00816F89">
        <w:rPr>
          <w:i/>
        </w:rPr>
        <w:t>Dunmore</w:t>
      </w:r>
      <w:r w:rsidRPr="00816F89">
        <w:t xml:space="preserve">. They relate to whether the claim of underinclusion is grounded in a fundamental </w:t>
      </w:r>
      <w:r w:rsidRPr="00816F89">
        <w:rPr>
          <w:i/>
        </w:rPr>
        <w:t>Charter</w:t>
      </w:r>
      <w:r w:rsidRPr="00816F89">
        <w:t xml:space="preserve"> freedom, rather than access to a particular statutory regime; the evidentiary threshold for showing an interference with such a fundamental freedom; and whether the state can be held accountable for the claimant’s inability to exercise the fundamental freedom. These three factors </w:t>
      </w:r>
      <w:r w:rsidRPr="00816F89">
        <w:rPr>
          <w:lang w:val="en-US"/>
        </w:rPr>
        <w:t>are relevant considerations when evaluating s. 2(d) claims, but they do not constitute a separate test or a distinct framework for evaluating constitutional challenges to underinclusive legisla</w:t>
      </w:r>
      <w:r w:rsidR="00D365F7" w:rsidRPr="00816F89">
        <w:rPr>
          <w:lang w:val="en-US"/>
        </w:rPr>
        <w:t>tion under s. </w:t>
      </w:r>
      <w:r w:rsidRPr="00816F89">
        <w:rPr>
          <w:lang w:val="en-US"/>
        </w:rPr>
        <w:t xml:space="preserve">2(d). There is also only one </w:t>
      </w:r>
      <w:r w:rsidR="00D365F7" w:rsidRPr="00816F89">
        <w:rPr>
          <w:lang w:val="en-US"/>
        </w:rPr>
        <w:t>threshold for evaluating all s. </w:t>
      </w:r>
      <w:r w:rsidRPr="00816F89">
        <w:rPr>
          <w:lang w:val="en-US"/>
        </w:rPr>
        <w:t xml:space="preserve">2(d) claims — the threshold of substantial interference. </w:t>
      </w:r>
      <w:r w:rsidRPr="00816F89">
        <w:t>A claimant alleging that underinc</w:t>
      </w:r>
      <w:r w:rsidR="00D365F7" w:rsidRPr="00816F89">
        <w:t>lusive legislation infringes s. </w:t>
      </w:r>
      <w:r w:rsidRPr="00816F89">
        <w:t>2(d) need not meet an elevated threshold.</w:t>
      </w:r>
    </w:p>
    <w:p w14:paraId="73C575B8" w14:textId="4504301C" w:rsidR="00EC6FC7" w:rsidRPr="00816F89" w:rsidRDefault="00EC6FC7" w:rsidP="00D365F7">
      <w:pPr>
        <w:pStyle w:val="SCCNormalDoubleSpacing"/>
        <w:spacing w:after="480"/>
        <w:rPr>
          <w:lang w:val="en-US"/>
        </w:rPr>
      </w:pPr>
      <w:r w:rsidRPr="00816F89">
        <w:rPr>
          <w:lang w:val="en-US"/>
        </w:rPr>
        <w:tab/>
        <w:t>In</w:t>
      </w:r>
      <w:r w:rsidRPr="00816F89">
        <w:t xml:space="preserve"> </w:t>
      </w:r>
      <w:r w:rsidRPr="00816F89">
        <w:rPr>
          <w:i/>
        </w:rPr>
        <w:t>Toronto (City) v. Ontario (Attorney General)</w:t>
      </w:r>
      <w:r w:rsidRPr="00816F89">
        <w:t>,</w:t>
      </w:r>
      <w:r w:rsidRPr="00816F89">
        <w:rPr>
          <w:i/>
        </w:rPr>
        <w:t xml:space="preserve"> </w:t>
      </w:r>
      <w:r w:rsidRPr="00816F89">
        <w:t>2021 SCC 34,</w:t>
      </w:r>
      <w:r w:rsidR="00D365F7" w:rsidRPr="00816F89">
        <w:rPr>
          <w:lang w:val="en-US"/>
        </w:rPr>
        <w:t xml:space="preserve"> a s. </w:t>
      </w:r>
      <w:r w:rsidRPr="00816F89">
        <w:rPr>
          <w:lang w:val="en-US"/>
        </w:rPr>
        <w:t>2(b) freedom of expression case, a majority of the</w:t>
      </w:r>
      <w:r w:rsidR="00D74428" w:rsidRPr="00816F89">
        <w:rPr>
          <w:lang w:val="en-US"/>
        </w:rPr>
        <w:t xml:space="preserve"> </w:t>
      </w:r>
      <w:r w:rsidRPr="00816F89">
        <w:rPr>
          <w:lang w:val="en-US"/>
        </w:rPr>
        <w:t xml:space="preserve">Court refrained from deciding whether </w:t>
      </w:r>
      <w:r w:rsidRPr="00816F89">
        <w:rPr>
          <w:i/>
          <w:lang w:val="en-US"/>
        </w:rPr>
        <w:t>Dunmore</w:t>
      </w:r>
      <w:r w:rsidR="00D365F7" w:rsidRPr="00816F89">
        <w:rPr>
          <w:lang w:val="en-US"/>
        </w:rPr>
        <w:t xml:space="preserve"> continues to apply to s. </w:t>
      </w:r>
      <w:r w:rsidRPr="00816F89">
        <w:rPr>
          <w:lang w:val="en-US"/>
        </w:rPr>
        <w:t xml:space="preserve">2(d) claims after the Court’s decisions in </w:t>
      </w:r>
      <w:r w:rsidRPr="00816F89">
        <w:rPr>
          <w:i/>
        </w:rPr>
        <w:t>Mounted Police</w:t>
      </w:r>
      <w:r w:rsidRPr="00816F89">
        <w:rPr>
          <w:lang w:val="en-US"/>
        </w:rPr>
        <w:t xml:space="preserve"> and </w:t>
      </w:r>
      <w:r w:rsidRPr="00816F89">
        <w:rPr>
          <w:i/>
          <w:lang w:val="en-US"/>
        </w:rPr>
        <w:t>Fraser</w:t>
      </w:r>
      <w:r w:rsidR="00D365F7" w:rsidRPr="00816F89">
        <w:rPr>
          <w:lang w:val="en-US"/>
        </w:rPr>
        <w:t>. The Court’s s. </w:t>
      </w:r>
      <w:r w:rsidRPr="00816F89">
        <w:rPr>
          <w:lang w:val="en-US"/>
        </w:rPr>
        <w:t>2(d) jurisprudence reveals that the Court</w:t>
      </w:r>
      <w:r w:rsidR="00D365F7" w:rsidRPr="00816F89">
        <w:rPr>
          <w:lang w:val="en-US"/>
        </w:rPr>
        <w:t xml:space="preserve"> has consistently applied a two</w:t>
      </w:r>
      <w:r w:rsidR="00D365F7" w:rsidRPr="00816F89">
        <w:rPr>
          <w:lang w:val="en-US"/>
        </w:rPr>
        <w:noBreakHyphen/>
      </w:r>
      <w:r w:rsidRPr="00816F89">
        <w:rPr>
          <w:lang w:val="en-US"/>
        </w:rPr>
        <w:t>part framework that examines whether activit</w:t>
      </w:r>
      <w:r w:rsidR="00D365F7" w:rsidRPr="00816F89">
        <w:rPr>
          <w:lang w:val="en-US"/>
        </w:rPr>
        <w:t>ies fall within the scope of s. </w:t>
      </w:r>
      <w:r w:rsidRPr="00816F89">
        <w:rPr>
          <w:lang w:val="en-US"/>
        </w:rPr>
        <w:t>2(d) and whether government action has substantially interfered with those activities, in purpose or effect. The Court h</w:t>
      </w:r>
      <w:r w:rsidR="00D365F7" w:rsidRPr="00816F89">
        <w:rPr>
          <w:lang w:val="en-US"/>
        </w:rPr>
        <w:t>as also highlighted that its s. </w:t>
      </w:r>
      <w:r w:rsidRPr="00816F89">
        <w:rPr>
          <w:lang w:val="en-US"/>
        </w:rPr>
        <w:t xml:space="preserve">2(d) jurisprudence since </w:t>
      </w:r>
      <w:r w:rsidRPr="00816F89">
        <w:rPr>
          <w:i/>
          <w:lang w:val="en-US"/>
        </w:rPr>
        <w:t>Dunmore</w:t>
      </w:r>
      <w:r w:rsidRPr="00816F89">
        <w:rPr>
          <w:lang w:val="en-US"/>
        </w:rPr>
        <w:t xml:space="preserve"> should be viewed as a consistent body of case law. </w:t>
      </w:r>
      <w:r w:rsidRPr="00816F89">
        <w:rPr>
          <w:i/>
          <w:lang w:val="en-US"/>
        </w:rPr>
        <w:t xml:space="preserve">Dunmore </w:t>
      </w:r>
      <w:r w:rsidRPr="00816F89">
        <w:rPr>
          <w:lang w:val="en-US"/>
        </w:rPr>
        <w:t xml:space="preserve">was not overturned by the Court’s decisions in </w:t>
      </w:r>
      <w:r w:rsidRPr="00816F89">
        <w:rPr>
          <w:i/>
        </w:rPr>
        <w:t>Mounted Police</w:t>
      </w:r>
      <w:r w:rsidRPr="00816F89">
        <w:t xml:space="preserve"> </w:t>
      </w:r>
      <w:r w:rsidRPr="00816F89">
        <w:rPr>
          <w:lang w:val="en-US"/>
        </w:rPr>
        <w:t xml:space="preserve">or </w:t>
      </w:r>
      <w:r w:rsidRPr="00816F89">
        <w:rPr>
          <w:i/>
          <w:lang w:val="en-US"/>
        </w:rPr>
        <w:t>Fraser</w:t>
      </w:r>
      <w:r w:rsidRPr="00816F89">
        <w:rPr>
          <w:lang w:val="en-US"/>
        </w:rPr>
        <w:t xml:space="preserve">. Nor does the Court’s jurisprudence create two tests, one for claims seeking positive intervention from the state and another for claims seeking negative protection against state interference. Although the </w:t>
      </w:r>
      <w:r w:rsidRPr="00816F89">
        <w:rPr>
          <w:i/>
          <w:lang w:val="en-US"/>
        </w:rPr>
        <w:t xml:space="preserve">Dunmore </w:t>
      </w:r>
      <w:r w:rsidRPr="00816F89">
        <w:rPr>
          <w:lang w:val="en-US"/>
        </w:rPr>
        <w:t>factors have not been identified and analyzed each time the Court has been asked to determine whether legislation or</w:t>
      </w:r>
      <w:r w:rsidR="00D365F7" w:rsidRPr="00816F89">
        <w:rPr>
          <w:lang w:val="en-US"/>
        </w:rPr>
        <w:t xml:space="preserve"> government action infringed s. </w:t>
      </w:r>
      <w:r w:rsidRPr="00816F89">
        <w:rPr>
          <w:lang w:val="en-US"/>
        </w:rPr>
        <w:t xml:space="preserve">2(d) of the </w:t>
      </w:r>
      <w:r w:rsidRPr="00816F89">
        <w:rPr>
          <w:i/>
          <w:lang w:val="en-US"/>
        </w:rPr>
        <w:t>Charter</w:t>
      </w:r>
      <w:r w:rsidRPr="00816F89">
        <w:rPr>
          <w:lang w:val="en-US"/>
        </w:rPr>
        <w:t xml:space="preserve">, the underlying principles have been consistently reaffirmed. It is not always necessary to consider each </w:t>
      </w:r>
      <w:r w:rsidRPr="00816F89">
        <w:rPr>
          <w:i/>
          <w:lang w:val="en-US"/>
        </w:rPr>
        <w:t xml:space="preserve">Dunmore </w:t>
      </w:r>
      <w:r w:rsidRPr="00816F89">
        <w:rPr>
          <w:lang w:val="en-US"/>
        </w:rPr>
        <w:t>factor expressly. Sometimes, the state’s responsibility in causing the s</w:t>
      </w:r>
      <w:r w:rsidR="00D365F7" w:rsidRPr="00816F89">
        <w:rPr>
          <w:lang w:val="en-US"/>
        </w:rPr>
        <w:t>ubstantial interference is self</w:t>
      </w:r>
      <w:r w:rsidR="00D365F7" w:rsidRPr="00816F89">
        <w:rPr>
          <w:lang w:val="en-US"/>
        </w:rPr>
        <w:noBreakHyphen/>
      </w:r>
      <w:r w:rsidRPr="00816F89">
        <w:rPr>
          <w:lang w:val="en-US"/>
        </w:rPr>
        <w:t>evident.</w:t>
      </w:r>
    </w:p>
    <w:p w14:paraId="79420E33" w14:textId="7A2EDD2C" w:rsidR="00EC6FC7" w:rsidRPr="00816F89" w:rsidRDefault="00D365F7" w:rsidP="00D365F7">
      <w:pPr>
        <w:pStyle w:val="SCCNormalDoubleSpacing"/>
        <w:spacing w:after="480"/>
        <w:rPr>
          <w:lang w:val="en-US"/>
        </w:rPr>
      </w:pPr>
      <w:r w:rsidRPr="00816F89">
        <w:rPr>
          <w:lang w:val="en-US"/>
        </w:rPr>
        <w:tab/>
        <w:t>The frameworks under ss. </w:t>
      </w:r>
      <w:r w:rsidR="00EC6FC7" w:rsidRPr="00816F89">
        <w:rPr>
          <w:lang w:val="en-US"/>
        </w:rPr>
        <w:t xml:space="preserve">2(b) and 2(d) of the </w:t>
      </w:r>
      <w:r w:rsidR="00EC6FC7" w:rsidRPr="00816F89">
        <w:rPr>
          <w:i/>
          <w:lang w:val="en-US"/>
        </w:rPr>
        <w:t>Charter</w:t>
      </w:r>
      <w:r w:rsidR="00EC6FC7" w:rsidRPr="00816F89">
        <w:rPr>
          <w:lang w:val="en-US"/>
        </w:rPr>
        <w:t xml:space="preserve"> have evolved differently in </w:t>
      </w:r>
      <w:r w:rsidR="00BB03F0" w:rsidRPr="00816F89">
        <w:rPr>
          <w:lang w:val="en-US"/>
        </w:rPr>
        <w:t xml:space="preserve">the </w:t>
      </w:r>
      <w:r w:rsidR="00EC6FC7" w:rsidRPr="00816F89">
        <w:rPr>
          <w:lang w:val="en-US"/>
        </w:rPr>
        <w:t>Court’s jurisprudence</w:t>
      </w:r>
      <w:bookmarkStart w:id="0" w:name="_Hlk164030818"/>
      <w:r w:rsidR="00EC6FC7" w:rsidRPr="00816F89">
        <w:rPr>
          <w:lang w:val="en-US"/>
        </w:rPr>
        <w:t>. In the con</w:t>
      </w:r>
      <w:r w:rsidRPr="00816F89">
        <w:rPr>
          <w:lang w:val="en-US"/>
        </w:rPr>
        <w:t>text of claims under s. </w:t>
      </w:r>
      <w:r w:rsidR="00EC6FC7" w:rsidRPr="00816F89">
        <w:rPr>
          <w:lang w:val="en-US"/>
        </w:rPr>
        <w:t xml:space="preserve">2(b) of the </w:t>
      </w:r>
      <w:r w:rsidR="00EC6FC7" w:rsidRPr="00816F89">
        <w:rPr>
          <w:i/>
          <w:lang w:val="en-US"/>
        </w:rPr>
        <w:t>Charter</w:t>
      </w:r>
      <w:r w:rsidR="00EC6FC7" w:rsidRPr="00816F89">
        <w:rPr>
          <w:lang w:val="en-US"/>
        </w:rPr>
        <w:t xml:space="preserve">, the threshold for proving positive freedom claims is substantial interference with freedom of expression. </w:t>
      </w:r>
      <w:r w:rsidR="00D126EF" w:rsidRPr="00816F89">
        <w:rPr>
          <w:lang w:val="en-US"/>
        </w:rPr>
        <w:t xml:space="preserve">However, </w:t>
      </w:r>
      <w:r w:rsidR="00EC6FC7" w:rsidRPr="00816F89">
        <w:rPr>
          <w:lang w:val="en-US"/>
        </w:rPr>
        <w:t xml:space="preserve">the threshold for negative rights claims involving freedom of expression is whether the purpose or effect of the government action merely restricts freedom of expression. </w:t>
      </w:r>
      <w:r w:rsidR="00D126EF" w:rsidRPr="00816F89">
        <w:rPr>
          <w:lang w:val="en-US"/>
        </w:rPr>
        <w:t>I</w:t>
      </w:r>
      <w:r w:rsidR="00EC6FC7" w:rsidRPr="00816F89">
        <w:rPr>
          <w:lang w:val="en-US"/>
        </w:rPr>
        <w:t xml:space="preserve">n the freedom of association context, </w:t>
      </w:r>
      <w:r w:rsidR="00D126EF" w:rsidRPr="00816F89">
        <w:rPr>
          <w:lang w:val="en-US"/>
        </w:rPr>
        <w:t xml:space="preserve">by contrast, </w:t>
      </w:r>
      <w:r w:rsidR="00EC6FC7" w:rsidRPr="00816F89">
        <w:rPr>
          <w:lang w:val="en-US"/>
        </w:rPr>
        <w:t xml:space="preserve">the elevated threshold of substantial interference in the second </w:t>
      </w:r>
      <w:r w:rsidR="00EC6FC7" w:rsidRPr="00816F89">
        <w:rPr>
          <w:i/>
          <w:lang w:val="en-US"/>
        </w:rPr>
        <w:t xml:space="preserve">Dunmore </w:t>
      </w:r>
      <w:r w:rsidR="00EC6FC7" w:rsidRPr="00816F89">
        <w:rPr>
          <w:lang w:val="en-US"/>
        </w:rPr>
        <w:t xml:space="preserve">factor already applies to all claims involving both positive and negative duties. </w:t>
      </w:r>
      <w:bookmarkEnd w:id="0"/>
      <w:r w:rsidR="00EC6FC7" w:rsidRPr="00816F89">
        <w:rPr>
          <w:lang w:val="en-US"/>
        </w:rPr>
        <w:t xml:space="preserve">This helps explain why the distinction between positive freedoms and negative rights is not relevant in determining </w:t>
      </w:r>
      <w:r w:rsidRPr="00816F89">
        <w:rPr>
          <w:lang w:val="en-US"/>
        </w:rPr>
        <w:t>the applicable framework for s. </w:t>
      </w:r>
      <w:r w:rsidR="00EC6FC7" w:rsidRPr="00816F89">
        <w:rPr>
          <w:lang w:val="en-US"/>
        </w:rPr>
        <w:t>2(d) claims, even though</w:t>
      </w:r>
      <w:r w:rsidRPr="00816F89">
        <w:rPr>
          <w:lang w:val="en-US"/>
        </w:rPr>
        <w:t xml:space="preserve"> it has been affirmed in the s. </w:t>
      </w:r>
      <w:r w:rsidR="00EC6FC7" w:rsidRPr="00816F89">
        <w:rPr>
          <w:lang w:val="en-US"/>
        </w:rPr>
        <w:t>2(b) context.</w:t>
      </w:r>
    </w:p>
    <w:p w14:paraId="7627AC31" w14:textId="15356ED5" w:rsidR="00EC6FC7" w:rsidRPr="00816F89" w:rsidRDefault="00EC6FC7" w:rsidP="00D365F7">
      <w:pPr>
        <w:pStyle w:val="SCCNormalDoubleSpacing"/>
        <w:spacing w:after="480"/>
        <w:rPr>
          <w:lang w:val="en-US"/>
        </w:rPr>
      </w:pPr>
      <w:r w:rsidRPr="00816F89">
        <w:tab/>
        <w:t xml:space="preserve">In applying the two-part substantial interference test to the Association’s claim, </w:t>
      </w:r>
      <w:r w:rsidRPr="00816F89">
        <w:rPr>
          <w:lang w:val="en-US"/>
        </w:rPr>
        <w:t>the standard of correctness applies to the questions of law and mixed fact and law at issue</w:t>
      </w:r>
      <w:r w:rsidRPr="00816F89">
        <w:t xml:space="preserve">. </w:t>
      </w:r>
      <w:r w:rsidR="00D365F7" w:rsidRPr="00816F89">
        <w:rPr>
          <w:lang w:val="en-US"/>
        </w:rPr>
        <w:t>At the first step of the s. </w:t>
      </w:r>
      <w:r w:rsidRPr="00816F89">
        <w:rPr>
          <w:lang w:val="en-US"/>
        </w:rPr>
        <w:t>2(d) framework, the Court must determine whether the activities that the members of the Association seek to engage</w:t>
      </w:r>
      <w:r w:rsidR="00D365F7" w:rsidRPr="00816F89">
        <w:rPr>
          <w:lang w:val="en-US"/>
        </w:rPr>
        <w:t xml:space="preserve"> in fall within the scope of s. </w:t>
      </w:r>
      <w:r w:rsidRPr="00816F89">
        <w:rPr>
          <w:lang w:val="en-US"/>
        </w:rPr>
        <w:t xml:space="preserve">2(d) of the </w:t>
      </w:r>
      <w:r w:rsidRPr="00816F89">
        <w:rPr>
          <w:i/>
          <w:lang w:val="en-US"/>
        </w:rPr>
        <w:t>Charter</w:t>
      </w:r>
      <w:r w:rsidRPr="00816F89">
        <w:rPr>
          <w:lang w:val="en-US"/>
        </w:rPr>
        <w:t xml:space="preserve">, and therefore consider whether the Association can plausibly ground its action in a fundamental </w:t>
      </w:r>
      <w:r w:rsidRPr="00816F89">
        <w:rPr>
          <w:i/>
          <w:lang w:val="en-US"/>
        </w:rPr>
        <w:t>Charter</w:t>
      </w:r>
      <w:r w:rsidRPr="00816F89">
        <w:rPr>
          <w:lang w:val="en-US"/>
        </w:rPr>
        <w:t xml:space="preserve"> freedom. </w:t>
      </w:r>
      <w:r w:rsidRPr="00816F89">
        <w:t xml:space="preserve">The </w:t>
      </w:r>
      <w:r w:rsidRPr="00816F89">
        <w:rPr>
          <w:lang w:val="en-US"/>
        </w:rPr>
        <w:t xml:space="preserve">Association’s claim does involve activities protected under s. 2(d) of the </w:t>
      </w:r>
      <w:r w:rsidRPr="00816F89">
        <w:rPr>
          <w:i/>
          <w:lang w:val="en-US"/>
        </w:rPr>
        <w:t>Charter</w:t>
      </w:r>
      <w:r w:rsidRPr="00816F89">
        <w:rPr>
          <w:lang w:val="en-US"/>
        </w:rPr>
        <w:t>, including the right to form an association with sufficient independence from the employer, to make collective representations to the employer, and to have those representations considered in good faith.</w:t>
      </w:r>
    </w:p>
    <w:p w14:paraId="6C2DEB71" w14:textId="1050A019" w:rsidR="00610539" w:rsidRPr="00816F89" w:rsidRDefault="00EC6FC7" w:rsidP="00D365F7">
      <w:pPr>
        <w:pStyle w:val="SCCNormalDoubleSpacing"/>
        <w:spacing w:after="480"/>
        <w:rPr>
          <w:lang w:val="en-US"/>
        </w:rPr>
      </w:pPr>
      <w:r w:rsidRPr="00816F89">
        <w:rPr>
          <w:lang w:val="en-US"/>
        </w:rPr>
        <w:tab/>
      </w:r>
      <w:r w:rsidR="00D365F7" w:rsidRPr="00816F89">
        <w:rPr>
          <w:lang w:val="en-US"/>
        </w:rPr>
        <w:t>At the second step of the s. </w:t>
      </w:r>
      <w:r w:rsidRPr="00816F89">
        <w:rPr>
          <w:lang w:val="en-US"/>
        </w:rPr>
        <w:t>2(d) framework, the Court must determine whether the legislative exclusion, in purpose or effect, substantially i</w:t>
      </w:r>
      <w:r w:rsidR="00D365F7" w:rsidRPr="00816F89">
        <w:rPr>
          <w:lang w:val="en-US"/>
        </w:rPr>
        <w:t>nterferes with the protected s. </w:t>
      </w:r>
      <w:r w:rsidRPr="00816F89">
        <w:rPr>
          <w:lang w:val="en-US"/>
        </w:rPr>
        <w:t>2(d) activities of the Association’s members. In addressing this issue, the Court must consider whether the state is responsible for the members’ inability to exercise thei</w:t>
      </w:r>
      <w:r w:rsidR="00D365F7" w:rsidRPr="00816F89">
        <w:rPr>
          <w:lang w:val="en-US"/>
        </w:rPr>
        <w:t>r fundamental freedoms under s. </w:t>
      </w:r>
      <w:r w:rsidRPr="00816F89">
        <w:rPr>
          <w:lang w:val="en-US"/>
        </w:rPr>
        <w:t>2(d). In the instant case,</w:t>
      </w:r>
      <w:r w:rsidR="00D74428" w:rsidRPr="00816F89">
        <w:rPr>
          <w:lang w:val="en-US"/>
        </w:rPr>
        <w:t xml:space="preserve"> </w:t>
      </w:r>
      <w:r w:rsidRPr="00816F89">
        <w:t xml:space="preserve">the purpose of the legislative exclusion is not to interfere with managers’ associational rights. The legislature’s purposes in excluding managers from the definition of “employee” under the </w:t>
      </w:r>
      <w:r w:rsidRPr="00816F89">
        <w:rPr>
          <w:i/>
        </w:rPr>
        <w:t xml:space="preserve">Labour Code </w:t>
      </w:r>
      <w:r w:rsidRPr="00816F89">
        <w:t>were to distinguish between management and operations in organizational hierarchies; to avoid placing managers in a situation of conflict of interest between their role as employees in collective bargaining and their role as representatives of the employer in their employment responsibilities; and to give employers confidence that managers would represent their interests, while protecting the distinctive common interests of employees</w:t>
      </w:r>
      <w:r w:rsidRPr="00816F89">
        <w:rPr>
          <w:lang w:val="en-US"/>
        </w:rPr>
        <w:t>. The Association has also failed to show, on the record before the Court, that the effect of the legislative exclusion is to substantially interfere with its members’ rights to meaningful collective bargaining.</w:t>
      </w:r>
    </w:p>
    <w:p w14:paraId="08D925CE" w14:textId="58CBB437" w:rsidR="006A068F" w:rsidRPr="00816F89" w:rsidRDefault="006A068F" w:rsidP="007B4536">
      <w:pPr>
        <w:pStyle w:val="SCCNormalDoubleSpacing"/>
        <w:spacing w:after="480"/>
        <w:rPr>
          <w:i/>
        </w:rPr>
      </w:pPr>
      <w:r w:rsidRPr="00816F89">
        <w:tab/>
      </w:r>
      <w:r w:rsidRPr="00816F89">
        <w:rPr>
          <w:i/>
        </w:rPr>
        <w:t>Per</w:t>
      </w:r>
      <w:r w:rsidRPr="00816F89">
        <w:t xml:space="preserve"> Wagner C.J. and </w:t>
      </w:r>
      <w:r w:rsidRPr="00816F89">
        <w:rPr>
          <w:b/>
        </w:rPr>
        <w:t>Côté</w:t>
      </w:r>
      <w:r w:rsidRPr="00816F89">
        <w:t xml:space="preserve"> J.: The </w:t>
      </w:r>
      <w:r w:rsidRPr="00816F89">
        <w:rPr>
          <w:i/>
        </w:rPr>
        <w:t>Dunmore</w:t>
      </w:r>
      <w:r w:rsidRPr="00816F89">
        <w:t xml:space="preserve"> framework remains applicable to constitutional challenges to the exclusion of workers from a labour relations regime. While in each case substantial interference is the applicable standard for finding an infringement of freedom of association and is at the heart of the analysis, the framework for analyzing freedom of association varies depending on whether the party is asking the state to refrain from interfering with a protected activity or is instead seeking state action to remedy its inability to engage in that activity without support or enablement. The three</w:t>
      </w:r>
      <w:r w:rsidRPr="00816F89">
        <w:noBreakHyphen/>
        <w:t xml:space="preserve">step </w:t>
      </w:r>
      <w:r w:rsidRPr="00816F89">
        <w:rPr>
          <w:i/>
          <w:iCs/>
        </w:rPr>
        <w:t>Dunmore</w:t>
      </w:r>
      <w:r w:rsidRPr="00816F89">
        <w:t xml:space="preserve"> framework is better suited to the context of a positive claim and to the type of remedy sought in such cases. In this case, the application of the framework leads to the conclusion that the impugned legislative exclusion does not limit the freedom of association guaranteed by the </w:t>
      </w:r>
      <w:r w:rsidRPr="00816F89">
        <w:rPr>
          <w:iCs/>
        </w:rPr>
        <w:t xml:space="preserve">Canadian </w:t>
      </w:r>
      <w:r w:rsidRPr="00816F89">
        <w:t xml:space="preserve">and </w:t>
      </w:r>
      <w:r w:rsidRPr="00816F89">
        <w:rPr>
          <w:iCs/>
        </w:rPr>
        <w:t>Quebec charters</w:t>
      </w:r>
      <w:r w:rsidRPr="00816F89">
        <w:t>. Section 1(</w:t>
      </w:r>
      <w:r w:rsidRPr="00816F89">
        <w:rPr>
          <w:i/>
        </w:rPr>
        <w:t>l</w:t>
      </w:r>
      <w:r w:rsidRPr="00816F89">
        <w:t xml:space="preserve">)(1) of the </w:t>
      </w:r>
      <w:r w:rsidRPr="00816F89">
        <w:rPr>
          <w:i/>
        </w:rPr>
        <w:t>Labour Code</w:t>
      </w:r>
      <w:r w:rsidRPr="00816F89">
        <w:t xml:space="preserve"> is therefore operable against the Association in the context of its petition for certification.</w:t>
      </w:r>
    </w:p>
    <w:p w14:paraId="0D8C1872" w14:textId="77777777" w:rsidR="006A068F" w:rsidRPr="00816F89" w:rsidRDefault="006A068F" w:rsidP="007B4536">
      <w:pPr>
        <w:pStyle w:val="SCCNormalDoubleSpacing"/>
        <w:spacing w:after="480"/>
      </w:pPr>
      <w:r w:rsidRPr="00816F89">
        <w:tab/>
        <w:t xml:space="preserve">An overview of the Court’s jurisprudence reveals that freedom of association under s. 2(d) of the </w:t>
      </w:r>
      <w:r w:rsidRPr="00816F89">
        <w:rPr>
          <w:i/>
        </w:rPr>
        <w:t>Charter</w:t>
      </w:r>
      <w:r w:rsidRPr="00816F89">
        <w:t xml:space="preserve"> and s. 3 of the Quebec </w:t>
      </w:r>
      <w:r w:rsidRPr="00816F89">
        <w:rPr>
          <w:i/>
        </w:rPr>
        <w:t>Charter</w:t>
      </w:r>
      <w:r w:rsidRPr="00816F89">
        <w:t xml:space="preserve"> protects against any substantial interference with the right of employees to meaningfully associate with others in the pursuit of collective goals relating to conditions of employment. This protection encompasses the right of employees to a meaningful process of collective bargaining, a process that includes the right to make collective representations to their employer and to have those representations considered in good faith, freedom of choice with respect to their representation, the independence of their association from their employer, and the right to strike. However, the Court has emphasized since </w:t>
      </w:r>
      <w:r w:rsidRPr="00816F89">
        <w:rPr>
          <w:i/>
        </w:rPr>
        <w:t>Dunmore</w:t>
      </w:r>
      <w:r w:rsidRPr="00816F89">
        <w:t xml:space="preserve"> that s. 2(d) guarantees a process, not an outcome or access to a particular model of labour relations. Freedom of association is indeed non</w:t>
      </w:r>
      <w:r w:rsidRPr="00816F89">
        <w:noBreakHyphen/>
        <w:t>statutory, but the manner of its exercise may be spelled out in legislation.</w:t>
      </w:r>
    </w:p>
    <w:p w14:paraId="52928143" w14:textId="77777777" w:rsidR="006A068F" w:rsidRPr="00816F89" w:rsidRDefault="006A068F" w:rsidP="007B4536">
      <w:pPr>
        <w:pStyle w:val="SCCNormalDoubleSpacing"/>
        <w:spacing w:after="480"/>
      </w:pPr>
      <w:r w:rsidRPr="00816F89">
        <w:tab/>
        <w:t>The three</w:t>
      </w:r>
      <w:r w:rsidRPr="00816F89">
        <w:noBreakHyphen/>
        <w:t xml:space="preserve">step </w:t>
      </w:r>
      <w:r w:rsidRPr="00816F89">
        <w:rPr>
          <w:i/>
          <w:iCs/>
        </w:rPr>
        <w:t>Dunmore</w:t>
      </w:r>
      <w:r w:rsidRPr="00816F89">
        <w:t xml:space="preserve"> framework applies in determining the circumstances in which positive state action may be required under s. 2(d) of the </w:t>
      </w:r>
      <w:r w:rsidRPr="00816F89">
        <w:rPr>
          <w:i/>
          <w:iCs/>
        </w:rPr>
        <w:t>Charter</w:t>
      </w:r>
      <w:r w:rsidRPr="00816F89">
        <w:rPr>
          <w:iCs/>
        </w:rPr>
        <w:t>, such that the legislature</w:t>
      </w:r>
      <w:r w:rsidRPr="00816F89">
        <w:rPr>
          <w:color w:val="FF0000"/>
        </w:rPr>
        <w:t xml:space="preserve"> </w:t>
      </w:r>
      <w:r w:rsidRPr="00816F89">
        <w:t xml:space="preserve">will be obliged to enact a particular labour relations regime. First, claims made against the exclusion must be grounded in an activity protected by s. 2(d) itself and not in access to a particular statutory regime. Second, the exclusion must have the purpose or effect of substantially interfering with that activity. Third, it must be possible for the state to be held accountable for the substantial interference. When these three steps are satisfied, it must be concluded that the legislature’s failure to provide a particular regime constitutes an infringement of s. 2(d) of the </w:t>
      </w:r>
      <w:r w:rsidRPr="00816F89">
        <w:rPr>
          <w:i/>
        </w:rPr>
        <w:t>Charter</w:t>
      </w:r>
      <w:r w:rsidRPr="00816F89">
        <w:t>.</w:t>
      </w:r>
    </w:p>
    <w:p w14:paraId="5975DBDA" w14:textId="77777777" w:rsidR="006A068F" w:rsidRPr="00816F89" w:rsidRDefault="006A068F" w:rsidP="007B4536">
      <w:pPr>
        <w:pStyle w:val="SCCNormalDoubleSpacing"/>
        <w:spacing w:after="480"/>
      </w:pPr>
      <w:r w:rsidRPr="00816F89">
        <w:tab/>
        <w:t xml:space="preserve">Although the Court suggested in </w:t>
      </w:r>
      <w:r w:rsidRPr="00816F89">
        <w:rPr>
          <w:i/>
          <w:iCs/>
        </w:rPr>
        <w:t>obiter</w:t>
      </w:r>
      <w:r w:rsidRPr="00816F89">
        <w:t xml:space="preserve"> in </w:t>
      </w:r>
      <w:r w:rsidRPr="00816F89">
        <w:rPr>
          <w:i/>
          <w:iCs/>
        </w:rPr>
        <w:t>Toronto (City)</w:t>
      </w:r>
      <w:r w:rsidRPr="00816F89">
        <w:t xml:space="preserve"> that the applicability of the </w:t>
      </w:r>
      <w:r w:rsidRPr="00816F89">
        <w:rPr>
          <w:i/>
          <w:iCs/>
        </w:rPr>
        <w:t>Dunmore</w:t>
      </w:r>
      <w:r w:rsidRPr="00816F89">
        <w:t xml:space="preserve"> framework was now uncertain in light of </w:t>
      </w:r>
      <w:r w:rsidRPr="00816F89">
        <w:rPr>
          <w:i/>
        </w:rPr>
        <w:t>Mounted Police</w:t>
      </w:r>
      <w:r w:rsidRPr="00816F89">
        <w:t xml:space="preserve"> and </w:t>
      </w:r>
      <w:r w:rsidRPr="00816F89">
        <w:rPr>
          <w:i/>
          <w:iCs/>
        </w:rPr>
        <w:t>Fraser</w:t>
      </w:r>
      <w:r w:rsidRPr="00816F89">
        <w:t xml:space="preserve">, those decisions </w:t>
      </w:r>
      <w:r w:rsidRPr="00816F89">
        <w:rPr>
          <w:iCs/>
        </w:rPr>
        <w:t>must not be read as overturning</w:t>
      </w:r>
      <w:r w:rsidRPr="00816F89">
        <w:t xml:space="preserve"> this framework </w:t>
      </w:r>
      <w:r w:rsidRPr="00816F89">
        <w:rPr>
          <w:i/>
        </w:rPr>
        <w:t>sub silentio</w:t>
      </w:r>
      <w:r w:rsidRPr="00816F89">
        <w:t xml:space="preserve">. The Court’s jurisprudence has relied on </w:t>
      </w:r>
      <w:r w:rsidRPr="00816F89">
        <w:rPr>
          <w:i/>
        </w:rPr>
        <w:t>Dunmore</w:t>
      </w:r>
      <w:r w:rsidRPr="00816F89">
        <w:t xml:space="preserve"> to develop the substantial interference framework, without ever reversing the higher threshold to be met for positive rights claims. The </w:t>
      </w:r>
      <w:r w:rsidRPr="00816F89">
        <w:rPr>
          <w:i/>
        </w:rPr>
        <w:t>Dunmore</w:t>
      </w:r>
      <w:r w:rsidRPr="00816F89">
        <w:t xml:space="preserve"> approach therefore remains applicable to challenges relating to exclusion from a statutory regime.</w:t>
      </w:r>
    </w:p>
    <w:p w14:paraId="19802558" w14:textId="77777777" w:rsidR="006A068F" w:rsidRPr="00816F89" w:rsidRDefault="006A068F" w:rsidP="007B4536">
      <w:pPr>
        <w:pStyle w:val="SCCNormalDoubleSpacing"/>
        <w:spacing w:after="480"/>
      </w:pPr>
      <w:r w:rsidRPr="00816F89">
        <w:tab/>
        <w:t>T</w:t>
      </w:r>
      <w:r w:rsidRPr="00816F89">
        <w:rPr>
          <w:szCs w:val="24"/>
        </w:rPr>
        <w:t>he three</w:t>
      </w:r>
      <w:r w:rsidRPr="00816F89">
        <w:rPr>
          <w:szCs w:val="24"/>
        </w:rPr>
        <w:noBreakHyphen/>
        <w:t xml:space="preserve">step </w:t>
      </w:r>
      <w:r w:rsidRPr="00816F89">
        <w:rPr>
          <w:i/>
          <w:szCs w:val="24"/>
        </w:rPr>
        <w:t>Dunmore</w:t>
      </w:r>
      <w:r w:rsidRPr="00816F89">
        <w:rPr>
          <w:szCs w:val="24"/>
        </w:rPr>
        <w:t xml:space="preserve"> framework should not be set aside, because this framework better addresses positive claims and reflects the exceptional nature of the remedy sought</w:t>
      </w:r>
      <w:r w:rsidRPr="00816F89">
        <w:t xml:space="preserve">. Distinguishing between the various steps of the framework, rather than incorporating them into the substantial interference standard, is preferable in several respects. Such an approach involves conceptual clarity based on the structure and language of the </w:t>
      </w:r>
      <w:r w:rsidRPr="00816F89">
        <w:rPr>
          <w:i/>
        </w:rPr>
        <w:t>Charter</w:t>
      </w:r>
      <w:r w:rsidRPr="00816F89">
        <w:t xml:space="preserve"> and provides clear direction regarding the burden of proof to be met at each step. The first step excludes the possibility of seeking access to a particular regime, given the distinction between s. 2(d) and s. 15; the second step requires that substantial interference be shown, as in any constitutional challenge under s. 2(d); and the third step, based on s. 32 of the </w:t>
      </w:r>
      <w:r w:rsidRPr="00816F89">
        <w:rPr>
          <w:i/>
        </w:rPr>
        <w:t>Charter</w:t>
      </w:r>
      <w:r w:rsidRPr="00816F89">
        <w:t xml:space="preserve">, takes into account the specific nature of the claim by requiring a causal link between the substantial interference and the legislative exclusion. This approach serves to maintain substantial interference as a single standard while necessitating legislative action only in exceptional circumstances, and it is therefore consistent with the separation of powers. Distinguishing between the three steps of the framework also avoids the risk that a constitutional challenge under s. 2(d) to a legislative exclusion will be transformed into a balancing of various factors or considerations, which would amount to overturning the </w:t>
      </w:r>
      <w:r w:rsidRPr="00816F89">
        <w:rPr>
          <w:i/>
        </w:rPr>
        <w:t>Dunmore</w:t>
      </w:r>
      <w:r w:rsidRPr="00816F89">
        <w:t xml:space="preserve"> framework </w:t>
      </w:r>
      <w:r w:rsidRPr="00816F89">
        <w:rPr>
          <w:i/>
        </w:rPr>
        <w:t>sub silentio</w:t>
      </w:r>
      <w:r w:rsidRPr="00816F89">
        <w:t>. Under the three</w:t>
      </w:r>
      <w:r w:rsidRPr="00816F89">
        <w:noBreakHyphen/>
        <w:t>step framework, it is quite possible that a group of employees excluded from a statutory labour relations regime will be able to demonstrate substantial interference with the exercise of freedom of association but will be unable to establish a causal link with the state’s failure to legislate.</w:t>
      </w:r>
    </w:p>
    <w:p w14:paraId="64257111" w14:textId="77777777" w:rsidR="006A068F" w:rsidRPr="00816F89" w:rsidRDefault="006A068F" w:rsidP="007B4536">
      <w:pPr>
        <w:pStyle w:val="SCCNormalDoubleSpacing"/>
        <w:spacing w:after="480"/>
      </w:pPr>
      <w:r w:rsidRPr="00816F89">
        <w:tab/>
        <w:t xml:space="preserve">In this case, no deference is owed to the ALT’s findings of law and findings of mixed fact and law, but only to its findings of pure fact. In </w:t>
      </w:r>
      <w:r w:rsidRPr="00816F89">
        <w:rPr>
          <w:i/>
          <w:lang w:val="en-US"/>
        </w:rPr>
        <w:t>Canada (Minister of Citizenship and Immigration) v. Vavilov</w:t>
      </w:r>
      <w:r w:rsidRPr="00816F89">
        <w:rPr>
          <w:lang w:val="en-US"/>
        </w:rPr>
        <w:t>, 2019 SCC 65, [2019] 4 S.C.R. 653</w:t>
      </w:r>
      <w:r w:rsidRPr="00816F89">
        <w:t>, the Court established a presumption that the standard of reasonableness applies to the judicial review of an administrative decision maker’s decision. However, this presumption can be rebutted when the rule of law requires a consistent, determinate and final answer from the courts, which is the case with constitutional questions. The standard of correctness therefore applies to the findings of law made by the ALT in the context of analyzing the constitutional question before it. The standard of correctness also applies to findings of mixed fact and law made in connection with a constitutional question, because it is important that constitutional questions be answered correctly. As for findings of pure fact that can be isolated from the constitutional analysis, a reviewing court must show deference to them. Such deference is based on considerations related to judicial efficiency, the importance of preserving certainty and public confidence, and the relatively advantageous position of the first instance decision maker. The rule of law does not require that there be a determinate and final answer to questions of pure fact, as they will vary from case to case.</w:t>
      </w:r>
    </w:p>
    <w:p w14:paraId="0B6F79B0" w14:textId="77777777" w:rsidR="006A068F" w:rsidRPr="00816F89" w:rsidRDefault="006A068F" w:rsidP="007B4536">
      <w:pPr>
        <w:pStyle w:val="SCCNormalDoubleSpacing"/>
        <w:spacing w:after="480"/>
      </w:pPr>
      <w:r w:rsidRPr="00816F89">
        <w:tab/>
        <w:t xml:space="preserve">To determine whether an infringement of s. 2(d) of the </w:t>
      </w:r>
      <w:r w:rsidRPr="00816F89">
        <w:rPr>
          <w:i/>
        </w:rPr>
        <w:t>Charter</w:t>
      </w:r>
      <w:r w:rsidRPr="00816F89">
        <w:t xml:space="preserve"> and s. 3 of the Quebec </w:t>
      </w:r>
      <w:r w:rsidRPr="00816F89">
        <w:rPr>
          <w:i/>
        </w:rPr>
        <w:t>Charter</w:t>
      </w:r>
      <w:r w:rsidRPr="00816F89">
        <w:t xml:space="preserve"> has been established, it is important to characterize the nature of the Association’s claim, because the nature of the claim may affect the framework that applies. The content of several </w:t>
      </w:r>
      <w:r w:rsidRPr="00816F89">
        <w:rPr>
          <w:i/>
        </w:rPr>
        <w:t>Charter</w:t>
      </w:r>
      <w:r w:rsidRPr="00816F89">
        <w:t xml:space="preserve"> freedoms has both positive and negative dimensions. A right’s positive dimensions require government to act in certain ways, whereas its negative dimensions require government to refrain from acting in other ways. The characterization exercise is concerned with the nature of the obligation that the claim seeks to impose upon the state. In this case, the Association’s claim seeks the recognition and enforcement of a positive state obligation, since any claim that seeks to eliminate the exclusion of a class of workers from the application of a general collective relations regime is essentially a claim for inclusion in a particular regime. The three</w:t>
      </w:r>
      <w:r w:rsidRPr="00816F89">
        <w:noBreakHyphen/>
        <w:t xml:space="preserve">step </w:t>
      </w:r>
      <w:r w:rsidRPr="00816F89">
        <w:rPr>
          <w:i/>
        </w:rPr>
        <w:t>Dunmore</w:t>
      </w:r>
      <w:r w:rsidRPr="00816F89">
        <w:t xml:space="preserve"> framework must therefore be applied to determine whether, in light of this framework, the exclusion of the Association’s members from the </w:t>
      </w:r>
      <w:r w:rsidRPr="00816F89">
        <w:rPr>
          <w:i/>
        </w:rPr>
        <w:t>Labour Code</w:t>
      </w:r>
      <w:r w:rsidRPr="00816F89">
        <w:t xml:space="preserve"> regime infringes s. 2(d) of the </w:t>
      </w:r>
      <w:r w:rsidRPr="00816F89">
        <w:rPr>
          <w:i/>
        </w:rPr>
        <w:t>Charter</w:t>
      </w:r>
      <w:r w:rsidRPr="00816F89">
        <w:t xml:space="preserve"> and s. 3 of the Quebec </w:t>
      </w:r>
      <w:r w:rsidRPr="00816F89">
        <w:rPr>
          <w:i/>
        </w:rPr>
        <w:t>Charter</w:t>
      </w:r>
      <w:r w:rsidRPr="00816F89">
        <w:t>.</w:t>
      </w:r>
    </w:p>
    <w:p w14:paraId="4E9C069D" w14:textId="77777777" w:rsidR="006A068F" w:rsidRPr="00816F89" w:rsidRDefault="006A068F" w:rsidP="007B4536">
      <w:pPr>
        <w:pStyle w:val="SCCNormalDoubleSpacing"/>
        <w:spacing w:after="480"/>
      </w:pPr>
      <w:r w:rsidRPr="00816F89">
        <w:tab/>
        <w:t xml:space="preserve">The application of the first step of the </w:t>
      </w:r>
      <w:r w:rsidRPr="00816F89">
        <w:rPr>
          <w:i/>
          <w:iCs/>
        </w:rPr>
        <w:t>Dunmore</w:t>
      </w:r>
      <w:r w:rsidRPr="00816F89">
        <w:rPr>
          <w:iCs/>
        </w:rPr>
        <w:t xml:space="preserve"> framework</w:t>
      </w:r>
      <w:r w:rsidRPr="00816F89">
        <w:t xml:space="preserve"> to the facts of this case shows that the Association and its members are seeking access to a particular statutory regime, that is, the regime provided for in the </w:t>
      </w:r>
      <w:r w:rsidRPr="00816F89">
        <w:rPr>
          <w:i/>
        </w:rPr>
        <w:t>Labour Code</w:t>
      </w:r>
      <w:r w:rsidRPr="00816F89">
        <w:t xml:space="preserve">. The Association’s choice to proceed by way of a petition for certification shows that its ultimate goal is for its members to be subject to the collective labour relations regime in the </w:t>
      </w:r>
      <w:r w:rsidRPr="00816F89">
        <w:rPr>
          <w:i/>
        </w:rPr>
        <w:t>Labour Code</w:t>
      </w:r>
      <w:r w:rsidRPr="00816F89">
        <w:t xml:space="preserve">, especially since the ALT, which can neither make a formal declaration of unconstitutionality nor suspend the effects of its decision, would have no choice but to give the Association’s members access to all of the rights and privileges flowing from the </w:t>
      </w:r>
      <w:r w:rsidRPr="00816F89">
        <w:rPr>
          <w:i/>
        </w:rPr>
        <w:t>Labour Code</w:t>
      </w:r>
      <w:r w:rsidRPr="00816F89">
        <w:t xml:space="preserve"> if it granted the Association’s claim. This conclusion is sufficient to allow the appeals. However, even if this step of the </w:t>
      </w:r>
      <w:r w:rsidRPr="00816F89">
        <w:rPr>
          <w:i/>
        </w:rPr>
        <w:t>Dunmore</w:t>
      </w:r>
      <w:r w:rsidRPr="00816F89">
        <w:t xml:space="preserve"> framework were satisfied, the Association’s claim would fail at the second and third steps of the framework.</w:t>
      </w:r>
    </w:p>
    <w:p w14:paraId="52B69F48" w14:textId="77777777" w:rsidR="006A068F" w:rsidRPr="00816F89" w:rsidRDefault="006A068F" w:rsidP="007B4536">
      <w:pPr>
        <w:pStyle w:val="SCCNormalDoubleSpacing"/>
        <w:spacing w:after="480"/>
      </w:pPr>
      <w:r w:rsidRPr="00816F89">
        <w:tab/>
        <w:t xml:space="preserve">With regard to the second step, </w:t>
      </w:r>
      <w:bookmarkStart w:id="1" w:name="_Toc162942351"/>
      <w:r w:rsidRPr="00816F89">
        <w:t>the exclusion in s. 1(</w:t>
      </w:r>
      <w:r w:rsidRPr="00816F89">
        <w:rPr>
          <w:i/>
        </w:rPr>
        <w:t>l</w:t>
      </w:r>
      <w:r w:rsidRPr="00816F89">
        <w:t xml:space="preserve">)(1) of the </w:t>
      </w:r>
      <w:r w:rsidRPr="00816F89">
        <w:rPr>
          <w:i/>
        </w:rPr>
        <w:t>Labour Code</w:t>
      </w:r>
      <w:r w:rsidRPr="00816F89">
        <w:t xml:space="preserve"> does not have the purpose or effect of substantially interfering with the freedom of association of the Association’s members</w:t>
      </w:r>
      <w:bookmarkEnd w:id="1"/>
      <w:r w:rsidRPr="00816F89">
        <w:t xml:space="preserve">. Firstly, the Association has not shown that such a purpose existed in 1964 when the </w:t>
      </w:r>
      <w:r w:rsidRPr="00816F89">
        <w:rPr>
          <w:i/>
          <w:iCs/>
        </w:rPr>
        <w:t>Labour Code</w:t>
      </w:r>
      <w:r w:rsidRPr="00816F89">
        <w:t xml:space="preserve"> was enacted. T</w:t>
      </w:r>
      <w:r w:rsidRPr="00816F89">
        <w:rPr>
          <w:iCs/>
        </w:rPr>
        <w:t>he record does not show that there was distrust of any association of first</w:t>
      </w:r>
      <w:r w:rsidRPr="00816F89">
        <w:rPr>
          <w:iCs/>
        </w:rPr>
        <w:noBreakHyphen/>
        <w:t>level managers, and there is no basis for concluding that the Quebec legislature considered the role of manager to be fundamentally incompatible with the collective bargaining protected by freedom of association</w:t>
      </w:r>
      <w:r w:rsidRPr="00816F89">
        <w:t xml:space="preserve">. Secondly, not every difference between the situation of the Association’s members and the situation they would be in if they were not excluded from the </w:t>
      </w:r>
      <w:r w:rsidRPr="00816F89">
        <w:rPr>
          <w:i/>
        </w:rPr>
        <w:t>Labour Code</w:t>
      </w:r>
      <w:r w:rsidRPr="00816F89">
        <w:rPr>
          <w:i/>
          <w:iCs/>
        </w:rPr>
        <w:t xml:space="preserve"> </w:t>
      </w:r>
      <w:r w:rsidRPr="00816F89">
        <w:t xml:space="preserve">regime constitutes substantial interference. It must be recognized that they have been able to associate. While certain aspects of the Société’s conduct, in the absence of the protections conferred by the </w:t>
      </w:r>
      <w:r w:rsidRPr="00816F89">
        <w:rPr>
          <w:i/>
        </w:rPr>
        <w:t>Labour Code</w:t>
      </w:r>
      <w:r w:rsidRPr="00816F89">
        <w:t>’s provisions, do seem to interfere substantially with the freedom of association of the Association’s members, the existence of alternative recourses is another important consideration in concluding that they are not unable to exercise their freedom of association. Furthermore, the Association is not without recourse in the event that the Société interferes with the conduct of its activities.</w:t>
      </w:r>
    </w:p>
    <w:p w14:paraId="43097CBA" w14:textId="77777777" w:rsidR="006A068F" w:rsidRPr="00816F89" w:rsidRDefault="006A068F" w:rsidP="007B4536">
      <w:pPr>
        <w:pStyle w:val="SCCNormalDoubleSpacing"/>
        <w:spacing w:after="480"/>
      </w:pPr>
      <w:r w:rsidRPr="00816F89">
        <w:tab/>
        <w:t xml:space="preserve">Finally, even on the assumption that the Société’s impugned conduct constitutes substantial interference with the exercise of the freedom of association of the Association’s members, this interference is not attributable to the state at the third step of the </w:t>
      </w:r>
      <w:r w:rsidRPr="00816F89">
        <w:rPr>
          <w:i/>
        </w:rPr>
        <w:t>Dunmore</w:t>
      </w:r>
      <w:r w:rsidRPr="00816F89">
        <w:t xml:space="preserve"> framework. Establishing a link is crucial, as what is being challenged when the </w:t>
      </w:r>
      <w:r w:rsidRPr="00816F89">
        <w:rPr>
          <w:i/>
          <w:iCs/>
        </w:rPr>
        <w:t xml:space="preserve">Dunmore </w:t>
      </w:r>
      <w:r w:rsidRPr="00816F89">
        <w:t xml:space="preserve">framework is applied is the state’s </w:t>
      </w:r>
      <w:r w:rsidRPr="00816F89">
        <w:rPr>
          <w:iCs/>
        </w:rPr>
        <w:t>legislative</w:t>
      </w:r>
      <w:r w:rsidRPr="00816F89">
        <w:t xml:space="preserve"> action, not the employer’s action alone. The analysis must be based on the factual context of the case. In this case, there is no link between the legislative exclusion being challenged and the Société’s impugned conduct, which is due to its alleged failure to comply with its contractual undertakings and which can be sanctioned by the ordinary courts.</w:t>
      </w:r>
    </w:p>
    <w:p w14:paraId="07C0F123" w14:textId="5A1E7E10" w:rsidR="00BF27C4" w:rsidRPr="00816F89" w:rsidRDefault="00BF27C4" w:rsidP="00BF27C4">
      <w:pPr>
        <w:pStyle w:val="SCCNormalDoubleSpacing"/>
        <w:spacing w:after="480"/>
      </w:pPr>
      <w:r w:rsidRPr="00816F89">
        <w:rPr>
          <w:i/>
        </w:rPr>
        <w:tab/>
        <w:t>Per</w:t>
      </w:r>
      <w:r w:rsidRPr="00816F89">
        <w:t xml:space="preserve"> </w:t>
      </w:r>
      <w:r w:rsidRPr="00816F89">
        <w:rPr>
          <w:b/>
        </w:rPr>
        <w:t>Rowe</w:t>
      </w:r>
      <w:r w:rsidRPr="00816F89">
        <w:t xml:space="preserve"> J.: The </w:t>
      </w:r>
      <w:r w:rsidRPr="00816F89">
        <w:rPr>
          <w:i/>
        </w:rPr>
        <w:t>Dunmore</w:t>
      </w:r>
      <w:r w:rsidRPr="00816F89">
        <w:t xml:space="preserve"> framework should remain applicable to a</w:t>
      </w:r>
      <w:r w:rsidR="00262848" w:rsidRPr="00816F89">
        <w:t>ssess positive claims. While s. </w:t>
      </w:r>
      <w:r w:rsidRPr="00816F89">
        <w:t>2(d) can require positive actions from the state in order to make the freedom to organize meaningful, claims of this nature must be analyzed under a distinct framework that takes into account the nature of this fundamental freedom, the necessary link to state action, and the separation of powers.</w:t>
      </w:r>
    </w:p>
    <w:p w14:paraId="0FEF85B6" w14:textId="19036F0B" w:rsidR="00BF27C4" w:rsidRPr="00816F89" w:rsidRDefault="00BF27C4" w:rsidP="00BF27C4">
      <w:pPr>
        <w:pStyle w:val="SCCNormalDoubleSpacing"/>
        <w:spacing w:after="480"/>
      </w:pPr>
      <w:r w:rsidRPr="00816F89">
        <w:tab/>
        <w:t xml:space="preserve">Under the purposive approach articulated in </w:t>
      </w:r>
      <w:r w:rsidRPr="00816F89">
        <w:rPr>
          <w:i/>
        </w:rPr>
        <w:t>R. v. Big M Drug Mart Ltd.</w:t>
      </w:r>
      <w:r w:rsidRPr="00816F89">
        <w:t>, [1985] 1 S.C.R. 295, a freedom has both positive and negative dimensions. However, the distinction between these dimensions remains important when considering the nature of the obligation that the claim seeks to impose upon the state</w:t>
      </w:r>
      <w:r w:rsidRPr="00816F89">
        <w:rPr>
          <w:lang w:val="en-US"/>
        </w:rPr>
        <w:t xml:space="preserve">. A freedom, by nature, does not encompass the obligation for the state to facilitate its exercise. </w:t>
      </w:r>
      <w:r w:rsidRPr="00816F89">
        <w:t>This is why a higher burden forces the claimants to demonstrate why, in their circumstances, a posture of restraint from the state is not enough. In effect, any positive obligation requiring the state to protect the freedom should arise only where the claimant would otherwise be substantially incapable of exercising the freedom. The Cour</w:t>
      </w:r>
      <w:r w:rsidR="00262848" w:rsidRPr="00816F89">
        <w:t>t has consistently described s. </w:t>
      </w:r>
      <w:r w:rsidRPr="00816F89">
        <w:t xml:space="preserve">2(d) as reflecting a right that is largely “negative” in nature. Thus, in most circumstances, it does not impose “positive” obligations of protection or assistance on the state. It is only in exceptional circumstances, identified under a distinct framework set out in </w:t>
      </w:r>
      <w:r w:rsidRPr="00816F89">
        <w:rPr>
          <w:i/>
        </w:rPr>
        <w:t>Dunmore</w:t>
      </w:r>
      <w:r w:rsidR="00262848" w:rsidRPr="00816F89">
        <w:t xml:space="preserve"> that s. </w:t>
      </w:r>
      <w:r w:rsidRPr="00816F89">
        <w:t xml:space="preserve">2(d) of the </w:t>
      </w:r>
      <w:r w:rsidRPr="00816F89">
        <w:rPr>
          <w:i/>
        </w:rPr>
        <w:t>Charter</w:t>
      </w:r>
      <w:r w:rsidRPr="00816F89">
        <w:t xml:space="preserve"> can impose positive obligations on the state.</w:t>
      </w:r>
    </w:p>
    <w:p w14:paraId="72E96138" w14:textId="0F55A271" w:rsidR="00BF27C4" w:rsidRPr="00816F89" w:rsidRDefault="00BF27C4" w:rsidP="00BF27C4">
      <w:pPr>
        <w:pStyle w:val="SCCNormalDoubleSpacing"/>
        <w:spacing w:after="480"/>
      </w:pPr>
      <w:r w:rsidRPr="00816F89">
        <w:rPr>
          <w:lang w:val="en-US"/>
        </w:rPr>
        <w:tab/>
        <w:t>The infringement giving ri</w:t>
      </w:r>
      <w:r w:rsidR="00262848" w:rsidRPr="00816F89">
        <w:rPr>
          <w:lang w:val="en-US"/>
        </w:rPr>
        <w:t>se to a negative claim under s. </w:t>
      </w:r>
      <w:r w:rsidRPr="00816F89">
        <w:rPr>
          <w:lang w:val="en-US"/>
        </w:rPr>
        <w:t xml:space="preserve">2(d) is fundamentally different than the infringement leading to a positive claim. </w:t>
      </w:r>
      <w:r w:rsidRPr="00816F89">
        <w:t xml:space="preserve">Given this difference, the standard to analyze positive claims should not be the same as for negative claims. </w:t>
      </w:r>
      <w:r w:rsidRPr="00816F89">
        <w:rPr>
          <w:lang w:val="en-US"/>
        </w:rPr>
        <w:t xml:space="preserve">The </w:t>
      </w:r>
      <w:r w:rsidRPr="00816F89">
        <w:rPr>
          <w:i/>
          <w:lang w:val="en-US"/>
        </w:rPr>
        <w:t>Dunmore</w:t>
      </w:r>
      <w:r w:rsidRPr="00816F89">
        <w:rPr>
          <w:lang w:val="en-US"/>
        </w:rPr>
        <w:t xml:space="preserve"> framework was specifically designed to take into account the absence of direct state action giving rise to the infringement in the case of positive claims, where the state has only failed to adequately protect the freedom from infringement by third parties, notably private actors. </w:t>
      </w:r>
      <w:r w:rsidRPr="00816F89">
        <w:t xml:space="preserve">Under this framework, it remains part of the test to demonstrate that the freedom of association has been substantially impeded by the exclusion from the protective legislation. However, the claimant also has the burden of demonstrating that the claim is grounded in fundamental </w:t>
      </w:r>
      <w:r w:rsidRPr="00816F89">
        <w:rPr>
          <w:i/>
        </w:rPr>
        <w:t>Charter</w:t>
      </w:r>
      <w:r w:rsidRPr="00816F89">
        <w:t xml:space="preserve"> freedoms rather than in access to a particular statutory regime and, more importantly, that the state can be held accountable in some ways for the inability to exercise the</w:t>
      </w:r>
      <w:r w:rsidR="00FE3367" w:rsidRPr="00816F89">
        <w:t>se</w:t>
      </w:r>
      <w:r w:rsidRPr="00816F89">
        <w:t xml:space="preserve"> fundamental freedom</w:t>
      </w:r>
      <w:r w:rsidR="00FE3367" w:rsidRPr="00816F89">
        <w:t>s</w:t>
      </w:r>
      <w:r w:rsidRPr="00816F89">
        <w:t>. The contribution of private actors to a violation is part of the factual context in which the review takes place but cannot in itself justify the imposition of a positive obligation on the state. Thus, this framework is particularly important in order to distinguish cases where the intervention of the state is warranted.</w:t>
      </w:r>
    </w:p>
    <w:p w14:paraId="538DD745" w14:textId="2344A2FB" w:rsidR="00BF27C4" w:rsidRPr="00816F89" w:rsidRDefault="00BF27C4" w:rsidP="00D365F7">
      <w:pPr>
        <w:pStyle w:val="SCCNormalDoubleSpacing"/>
        <w:spacing w:after="480"/>
      </w:pPr>
      <w:r w:rsidRPr="00816F89">
        <w:tab/>
        <w:t xml:space="preserve">The elevated </w:t>
      </w:r>
      <w:r w:rsidR="00FE3367" w:rsidRPr="00816F89">
        <w:t xml:space="preserve">evidentiary </w:t>
      </w:r>
      <w:r w:rsidRPr="00816F89">
        <w:t xml:space="preserve">threshold provided in the </w:t>
      </w:r>
      <w:r w:rsidRPr="00816F89">
        <w:rPr>
          <w:i/>
        </w:rPr>
        <w:t>Dunmore</w:t>
      </w:r>
      <w:r w:rsidRPr="00816F89">
        <w:t xml:space="preserve"> framework also ensures that the adjudication of positive claims respects the separation of powers. It is not the proper role of the Court to confer constitutional status on a particular statutory regime. Labour relations regimes are a policy choice, designed to promote labour peace and bring certainty to the employment relationship, but they are not a constitutional imperative.</w:t>
      </w:r>
    </w:p>
    <w:p w14:paraId="10229AC7" w14:textId="77777777" w:rsidR="007E1C47" w:rsidRPr="00816F89" w:rsidRDefault="002E6705" w:rsidP="00D365F7">
      <w:pPr>
        <w:pStyle w:val="SCCNormalDoubleSpacing"/>
        <w:widowControl w:val="0"/>
        <w:spacing w:after="720" w:line="240" w:lineRule="auto"/>
        <w:rPr>
          <w:b/>
        </w:rPr>
      </w:pPr>
      <w:r w:rsidRPr="00816F89">
        <w:rPr>
          <w:b/>
        </w:rPr>
        <w:t>Cases Cited</w:t>
      </w:r>
    </w:p>
    <w:p w14:paraId="2BE6512F" w14:textId="77777777" w:rsidR="00A26B5E" w:rsidRPr="00816F89" w:rsidRDefault="00A26B5E" w:rsidP="00D365F7">
      <w:pPr>
        <w:pStyle w:val="SCCNormalDoubleSpacing"/>
        <w:widowControl w:val="0"/>
        <w:spacing w:after="720" w:line="240" w:lineRule="auto"/>
        <w:rPr>
          <w:lang w:val="en-US"/>
        </w:rPr>
      </w:pPr>
      <w:r w:rsidRPr="00816F89">
        <w:rPr>
          <w:lang w:val="en-US"/>
        </w:rPr>
        <w:t>By Jamal J.</w:t>
      </w:r>
    </w:p>
    <w:p w14:paraId="09FCFB09" w14:textId="6108C68E" w:rsidR="00A26B5E" w:rsidRPr="00816F89" w:rsidRDefault="00F2647D" w:rsidP="00A26B5E">
      <w:pPr>
        <w:pStyle w:val="SCCNormalDoubleSpacing"/>
        <w:widowControl w:val="0"/>
        <w:spacing w:after="480"/>
        <w:rPr>
          <w:i/>
          <w:lang w:val="en-US"/>
        </w:rPr>
      </w:pPr>
      <w:r w:rsidRPr="00816F89">
        <w:rPr>
          <w:i/>
          <w:lang w:val="en-US"/>
        </w:rPr>
        <w:tab/>
      </w:r>
      <w:r w:rsidRPr="00816F89">
        <w:rPr>
          <w:b/>
        </w:rPr>
        <w:t xml:space="preserve">Applied: </w:t>
      </w:r>
      <w:r w:rsidRPr="00816F89">
        <w:rPr>
          <w:i/>
          <w:lang w:val="en-US"/>
        </w:rPr>
        <w:t>Dunmore v. Ontario (Attorney General)</w:t>
      </w:r>
      <w:r w:rsidRPr="00816F89">
        <w:rPr>
          <w:lang w:val="en-US"/>
        </w:rPr>
        <w:t xml:space="preserve">, 2001 SCC 94, [2001] 3 S.C.R. 1016; </w:t>
      </w:r>
      <w:r w:rsidRPr="00816F89">
        <w:rPr>
          <w:b/>
        </w:rPr>
        <w:t xml:space="preserve">considered: </w:t>
      </w:r>
      <w:r w:rsidRPr="00816F89">
        <w:rPr>
          <w:i/>
          <w:lang w:val="en-US"/>
        </w:rPr>
        <w:t>Health Services and Support — Facilities Subsector Bargaining Assn. v. British Columbia</w:t>
      </w:r>
      <w:r w:rsidRPr="00816F89">
        <w:rPr>
          <w:lang w:val="en-US"/>
        </w:rPr>
        <w:t>, 2007 SCC 27, [2007] 2 S.C.R. 391;</w:t>
      </w:r>
      <w:r w:rsidRPr="00816F89">
        <w:rPr>
          <w:i/>
        </w:rPr>
        <w:t xml:space="preserve"> Ontario (Attorney General) v. Fraser</w:t>
      </w:r>
      <w:r w:rsidRPr="00816F89">
        <w:t>, 2011 SCC 20, [2011] 2 S.C.R. 3;</w:t>
      </w:r>
      <w:r w:rsidRPr="00816F89">
        <w:rPr>
          <w:i/>
        </w:rPr>
        <w:t xml:space="preserve"> Mounted Police Association of Ontario v. Canada (Attorney General)</w:t>
      </w:r>
      <w:r w:rsidRPr="00816F89">
        <w:t>, 2015 SCC 1, [2015] 1 S.C.R. 3;</w:t>
      </w:r>
      <w:r w:rsidRPr="00816F89">
        <w:rPr>
          <w:i/>
        </w:rPr>
        <w:t xml:space="preserve"> Toronto (City) v. Ontario (Attorney General)</w:t>
      </w:r>
      <w:r w:rsidRPr="00816F89">
        <w:t xml:space="preserve">, 2021 SCC 34; </w:t>
      </w:r>
      <w:r w:rsidRPr="00816F89">
        <w:rPr>
          <w:i/>
        </w:rPr>
        <w:t>Meredith v. Canada (Attorney General)</w:t>
      </w:r>
      <w:r w:rsidRPr="00816F89">
        <w:t xml:space="preserve">, 2015 SCC 2, [2015] 1 S.C.R. 125; </w:t>
      </w:r>
      <w:r w:rsidRPr="00816F89">
        <w:rPr>
          <w:i/>
        </w:rPr>
        <w:t>Saskatchewan Federation of Labour v. Saskatchewan</w:t>
      </w:r>
      <w:r w:rsidRPr="00816F89">
        <w:t>, 2015 SCC 4, [2015] 1 S.C.R. 245;</w:t>
      </w:r>
      <w:bookmarkStart w:id="2" w:name="_Hlk164025757"/>
      <w:r w:rsidRPr="00816F89">
        <w:t xml:space="preserve"> </w:t>
      </w:r>
      <w:r w:rsidRPr="00816F89">
        <w:rPr>
          <w:b/>
        </w:rPr>
        <w:t>r</w:t>
      </w:r>
      <w:r w:rsidR="00A26B5E" w:rsidRPr="00816F89">
        <w:rPr>
          <w:b/>
          <w:lang w:val="en-US"/>
        </w:rPr>
        <w:t xml:space="preserve">eferred to: </w:t>
      </w:r>
      <w:r w:rsidR="00A26B5E" w:rsidRPr="00816F89">
        <w:rPr>
          <w:i/>
          <w:lang w:val="en-US"/>
        </w:rPr>
        <w:t>Alliance des professionnels et des professionnelles de la Ville de Québec v. Procureur général du Québec</w:t>
      </w:r>
      <w:r w:rsidR="00A26B5E" w:rsidRPr="00816F89">
        <w:rPr>
          <w:lang w:val="en-US"/>
        </w:rPr>
        <w:t xml:space="preserve">, 2023 QCCA 626, 75 C.C.P.B. (2nd) 1; </w:t>
      </w:r>
      <w:r w:rsidR="00A26B5E" w:rsidRPr="00816F89">
        <w:rPr>
          <w:i/>
          <w:lang w:val="en-US"/>
        </w:rPr>
        <w:t>Procureur général du Québec v. Les avocats et notaires de l’État québécois</w:t>
      </w:r>
      <w:r w:rsidR="00A26B5E" w:rsidRPr="00816F89">
        <w:rPr>
          <w:lang w:val="en-US"/>
        </w:rPr>
        <w:t xml:space="preserve">, 2021 QCCA 559; </w:t>
      </w:r>
      <w:r w:rsidR="00A26B5E" w:rsidRPr="00816F89">
        <w:rPr>
          <w:i/>
          <w:lang w:val="en-US"/>
        </w:rPr>
        <w:t>Quebec (Commission des normes, de l’équité, de la santé et de la sécurité du travail) v. Caron</w:t>
      </w:r>
      <w:r w:rsidR="00A26B5E" w:rsidRPr="00816F89">
        <w:rPr>
          <w:lang w:val="en-US"/>
        </w:rPr>
        <w:t xml:space="preserve">, 2018 SCC 3, [2018] 1 S.C.R. 35; </w:t>
      </w:r>
      <w:r w:rsidR="00A26B5E" w:rsidRPr="00816F89">
        <w:rPr>
          <w:bCs/>
          <w:i/>
          <w:lang w:val="en-US"/>
        </w:rPr>
        <w:t>Baier v. Alberta</w:t>
      </w:r>
      <w:r w:rsidR="00A26B5E" w:rsidRPr="00816F89">
        <w:rPr>
          <w:bCs/>
          <w:lang w:val="en-US"/>
        </w:rPr>
        <w:t xml:space="preserve">, 2007 SCC 31, [2007] 2 S.C.R. 673; </w:t>
      </w:r>
      <w:r w:rsidR="00A26B5E" w:rsidRPr="00816F89">
        <w:rPr>
          <w:i/>
          <w:lang w:val="en-US"/>
        </w:rPr>
        <w:t>Irwin Toy Ltd. v. Quebec (Attorney General)</w:t>
      </w:r>
      <w:r w:rsidR="00A26B5E" w:rsidRPr="00816F89">
        <w:rPr>
          <w:lang w:val="en-US"/>
        </w:rPr>
        <w:t xml:space="preserve">, [1989] 1 S.C.R. 927; </w:t>
      </w:r>
      <w:r w:rsidR="00A26B5E" w:rsidRPr="00816F89">
        <w:rPr>
          <w:i/>
          <w:lang w:val="en-US"/>
        </w:rPr>
        <w:t>R. v. Big M Drug Mart Ltd.</w:t>
      </w:r>
      <w:r w:rsidR="00A26B5E" w:rsidRPr="00816F89">
        <w:rPr>
          <w:lang w:val="en-US"/>
        </w:rPr>
        <w:t>, [1985] 1 S.C.R. 295.</w:t>
      </w:r>
      <w:bookmarkEnd w:id="2"/>
    </w:p>
    <w:p w14:paraId="1A987AB2" w14:textId="49374449" w:rsidR="00A149DF" w:rsidRPr="00816F89" w:rsidRDefault="00F5062B" w:rsidP="00D365F7">
      <w:pPr>
        <w:pStyle w:val="SCCNormalDoubleSpacing"/>
        <w:widowControl w:val="0"/>
        <w:spacing w:after="720" w:line="240" w:lineRule="auto"/>
        <w:rPr>
          <w:i/>
          <w:lang w:val="en-US"/>
        </w:rPr>
      </w:pPr>
      <w:r w:rsidRPr="00816F89">
        <w:t>By Côté J.</w:t>
      </w:r>
    </w:p>
    <w:p w14:paraId="49AC2949" w14:textId="72B38C62" w:rsidR="00A149DF" w:rsidRPr="00816F89" w:rsidRDefault="002E6705" w:rsidP="00D365F7">
      <w:pPr>
        <w:pStyle w:val="SCCNormalDoubleSpacing"/>
        <w:widowControl w:val="0"/>
        <w:spacing w:after="480"/>
        <w:rPr>
          <w:b/>
        </w:rPr>
      </w:pPr>
      <w:r w:rsidRPr="00816F89">
        <w:tab/>
      </w:r>
      <w:r w:rsidR="00F717B1" w:rsidRPr="00816F89">
        <w:rPr>
          <w:b/>
        </w:rPr>
        <w:t>Applied:</w:t>
      </w:r>
      <w:r w:rsidR="00F717B1" w:rsidRPr="00816F89">
        <w:t xml:space="preserve"> </w:t>
      </w:r>
      <w:r w:rsidR="00F717B1" w:rsidRPr="00816F89">
        <w:rPr>
          <w:i/>
          <w:lang w:val="en-US"/>
        </w:rPr>
        <w:t>Dunmore v. Ontario (Attorney General)</w:t>
      </w:r>
      <w:r w:rsidR="00F717B1" w:rsidRPr="00816F89">
        <w:rPr>
          <w:lang w:val="en-US"/>
        </w:rPr>
        <w:t>, 2001 SCC 94, [2001] 3 S.C.R. 1016;</w:t>
      </w:r>
      <w:r w:rsidR="00F717B1" w:rsidRPr="00816F89">
        <w:rPr>
          <w:i/>
          <w:lang w:val="en-US"/>
        </w:rPr>
        <w:t xml:space="preserve"> Canada (Minister of Citizenship and Immigration) v. Vavilov</w:t>
      </w:r>
      <w:r w:rsidR="00F717B1" w:rsidRPr="00816F89">
        <w:rPr>
          <w:lang w:val="en-US"/>
        </w:rPr>
        <w:t>, 2019 SCC 65, [2019] 4 S.C.R. 653;</w:t>
      </w:r>
      <w:r w:rsidR="000F24E0" w:rsidRPr="00816F89">
        <w:t xml:space="preserve"> </w:t>
      </w:r>
      <w:r w:rsidR="00F717B1" w:rsidRPr="00816F89">
        <w:rPr>
          <w:b/>
        </w:rPr>
        <w:t>distinguished:</w:t>
      </w:r>
      <w:r w:rsidR="00F717B1" w:rsidRPr="00816F89">
        <w:t xml:space="preserve"> </w:t>
      </w:r>
      <w:r w:rsidR="00F717B1" w:rsidRPr="00816F89">
        <w:rPr>
          <w:i/>
          <w:lang w:val="en-US"/>
        </w:rPr>
        <w:t>Ontario (Attorney General) v. Fraser</w:t>
      </w:r>
      <w:r w:rsidR="00F717B1" w:rsidRPr="00816F89">
        <w:rPr>
          <w:lang w:val="en-US"/>
        </w:rPr>
        <w:t xml:space="preserve">, 2011 SCC 20, [2011] 2 S.C.R. 3; </w:t>
      </w:r>
      <w:r w:rsidR="00F717B1" w:rsidRPr="00816F89">
        <w:rPr>
          <w:i/>
          <w:lang w:val="en-US"/>
        </w:rPr>
        <w:t>Mounted Police Association of Ontario v. Canada (Attorney General)</w:t>
      </w:r>
      <w:r w:rsidR="00F717B1" w:rsidRPr="00816F89">
        <w:rPr>
          <w:lang w:val="en-US"/>
        </w:rPr>
        <w:t>, 2015 SCC 1, [2015] 1 S.C.R. 3;</w:t>
      </w:r>
      <w:r w:rsidR="00F717B1" w:rsidRPr="00816F89">
        <w:rPr>
          <w:i/>
          <w:lang w:val="en-US"/>
        </w:rPr>
        <w:t xml:space="preserve"> Health Services and Support — Facilities Subsector Bargaining Assn. v. British Columbia</w:t>
      </w:r>
      <w:r w:rsidR="00F717B1" w:rsidRPr="00816F89">
        <w:rPr>
          <w:lang w:val="en-US"/>
        </w:rPr>
        <w:t>, 2007 SCC 27, [2007] 2 S.C.R. 391;</w:t>
      </w:r>
      <w:r w:rsidR="00E70739" w:rsidRPr="00816F89">
        <w:rPr>
          <w:i/>
          <w:lang w:val="en-US"/>
        </w:rPr>
        <w:t xml:space="preserve"> Saskatchewan Federation of Labour v. Saskatchewan</w:t>
      </w:r>
      <w:r w:rsidR="00E70739" w:rsidRPr="00816F89">
        <w:rPr>
          <w:lang w:val="en-US"/>
        </w:rPr>
        <w:t>, 2015 SCC 4, [2015] 1 S.C.R. 245;</w:t>
      </w:r>
      <w:r w:rsidR="000F24E0" w:rsidRPr="00816F89">
        <w:t xml:space="preserve"> </w:t>
      </w:r>
      <w:r w:rsidR="00F717B1" w:rsidRPr="00816F89">
        <w:rPr>
          <w:b/>
        </w:rPr>
        <w:t>considered:</w:t>
      </w:r>
      <w:r w:rsidR="00F717B1" w:rsidRPr="00816F89">
        <w:t xml:space="preserve"> </w:t>
      </w:r>
      <w:r w:rsidR="00F717B1" w:rsidRPr="00816F89">
        <w:rPr>
          <w:i/>
          <w:lang w:val="en-US"/>
        </w:rPr>
        <w:t>Delisle v. Canada (Deputy Attorney General)</w:t>
      </w:r>
      <w:r w:rsidR="00F717B1" w:rsidRPr="00816F89">
        <w:rPr>
          <w:lang w:val="en-US"/>
        </w:rPr>
        <w:t>, [1999] 2 S.C.R. 989;</w:t>
      </w:r>
      <w:r w:rsidR="00F717B1" w:rsidRPr="00816F89">
        <w:rPr>
          <w:i/>
          <w:lang w:val="en-US"/>
        </w:rPr>
        <w:t xml:space="preserve"> Meredith v. Canada (Attorney General)</w:t>
      </w:r>
      <w:r w:rsidR="00F717B1" w:rsidRPr="00816F89">
        <w:rPr>
          <w:lang w:val="en-US"/>
        </w:rPr>
        <w:t>, 2015 SCC 2, [2015] 1 S.C.R. 125;</w:t>
      </w:r>
      <w:r w:rsidR="00E70739" w:rsidRPr="00816F89">
        <w:rPr>
          <w:i/>
          <w:lang w:val="en-US"/>
        </w:rPr>
        <w:t xml:space="preserve"> In re The Maryland Drydock Co.</w:t>
      </w:r>
      <w:r w:rsidR="00E70739" w:rsidRPr="00816F89">
        <w:rPr>
          <w:lang w:val="en-US"/>
        </w:rPr>
        <w:t xml:space="preserve">, 49 N.L.R.B. 733 (1943); </w:t>
      </w:r>
      <w:r w:rsidR="00E70739" w:rsidRPr="00816F89">
        <w:rPr>
          <w:i/>
          <w:lang w:val="en-US"/>
        </w:rPr>
        <w:t>Packard Motor Car Co. v. Labor Board</w:t>
      </w:r>
      <w:r w:rsidR="00E70739" w:rsidRPr="00816F89">
        <w:rPr>
          <w:lang w:val="en-US"/>
        </w:rPr>
        <w:t>, 330 U.S. 485 (1947);</w:t>
      </w:r>
      <w:r w:rsidR="000F24E0" w:rsidRPr="00816F89">
        <w:t xml:space="preserve"> </w:t>
      </w:r>
      <w:r w:rsidR="00F717B1" w:rsidRPr="00816F89">
        <w:rPr>
          <w:b/>
        </w:rPr>
        <w:t>r</w:t>
      </w:r>
      <w:r w:rsidRPr="00816F89">
        <w:rPr>
          <w:b/>
        </w:rPr>
        <w:t>eferred to:</w:t>
      </w:r>
      <w:r w:rsidR="00BD0E9E" w:rsidRPr="00816F89">
        <w:t xml:space="preserve"> </w:t>
      </w:r>
      <w:bookmarkStart w:id="3" w:name="_Hlk164031386"/>
      <w:r w:rsidR="006131E0" w:rsidRPr="00816F89">
        <w:rPr>
          <w:i/>
          <w:lang w:val="en-US"/>
        </w:rPr>
        <w:t>Syndicat canadien de la fonction publique, section locale 3939 v. Société des casinos du Québec inc.</w:t>
      </w:r>
      <w:r w:rsidR="006131E0" w:rsidRPr="00816F89">
        <w:rPr>
          <w:lang w:val="en-US"/>
        </w:rPr>
        <w:t xml:space="preserve">, 1995 CanLII 15922; </w:t>
      </w:r>
      <w:r w:rsidR="006131E0" w:rsidRPr="00816F89">
        <w:rPr>
          <w:i/>
          <w:lang w:val="en-US"/>
        </w:rPr>
        <w:t>Toronto (City) v. Ontario (Attorney General)</w:t>
      </w:r>
      <w:r w:rsidR="006131E0" w:rsidRPr="00816F89">
        <w:rPr>
          <w:lang w:val="en-US"/>
        </w:rPr>
        <w:t xml:space="preserve">, 2021 SCC 34; </w:t>
      </w:r>
      <w:r w:rsidR="006131E0" w:rsidRPr="00816F89">
        <w:rPr>
          <w:bCs/>
          <w:i/>
          <w:lang w:val="en-US"/>
        </w:rPr>
        <w:t>Baier v. Alberta</w:t>
      </w:r>
      <w:r w:rsidR="006131E0" w:rsidRPr="00816F89">
        <w:rPr>
          <w:bCs/>
          <w:lang w:val="en-US"/>
        </w:rPr>
        <w:t xml:space="preserve">, 2007 SCC 31, [2007] 2 S.C.R. 673; </w:t>
      </w:r>
      <w:r w:rsidR="006131E0" w:rsidRPr="00816F89">
        <w:rPr>
          <w:i/>
          <w:lang w:val="en-US"/>
        </w:rPr>
        <w:t>Westcoast Energy Inc. v. Canada (National Energy Board)</w:t>
      </w:r>
      <w:r w:rsidR="006131E0" w:rsidRPr="00816F89">
        <w:rPr>
          <w:lang w:val="en-US"/>
        </w:rPr>
        <w:t xml:space="preserve">, [1998] 1 S.C.R. 322; </w:t>
      </w:r>
      <w:r w:rsidR="006131E0" w:rsidRPr="00816F89">
        <w:rPr>
          <w:i/>
          <w:lang w:val="en-US"/>
        </w:rPr>
        <w:t>Consolidated Fastfrate Inc. v. Western Canada Council of Teamsters</w:t>
      </w:r>
      <w:r w:rsidR="006131E0" w:rsidRPr="00816F89">
        <w:rPr>
          <w:lang w:val="en-US"/>
        </w:rPr>
        <w:t xml:space="preserve">, 2009 SCC 53, [2009] 3 S.C.R. 407; </w:t>
      </w:r>
      <w:r w:rsidR="006131E0" w:rsidRPr="00816F89">
        <w:rPr>
          <w:i/>
          <w:lang w:val="en-US"/>
        </w:rPr>
        <w:t>Reference re Public Service Employee Relations Act (Alta.)</w:t>
      </w:r>
      <w:r w:rsidR="006131E0" w:rsidRPr="00816F89">
        <w:rPr>
          <w:lang w:val="en-US"/>
        </w:rPr>
        <w:t xml:space="preserve">, [1987] 1 S.C.R. 313; </w:t>
      </w:r>
      <w:r w:rsidR="006131E0" w:rsidRPr="00816F89">
        <w:rPr>
          <w:i/>
          <w:lang w:val="en-US"/>
        </w:rPr>
        <w:t>PSAC v. Canada</w:t>
      </w:r>
      <w:r w:rsidR="006131E0" w:rsidRPr="00816F89">
        <w:rPr>
          <w:lang w:val="en-US"/>
        </w:rPr>
        <w:t xml:space="preserve">, [1987] 1 S.C.R. 424; </w:t>
      </w:r>
      <w:r w:rsidR="006131E0" w:rsidRPr="00816F89">
        <w:rPr>
          <w:i/>
          <w:lang w:val="en-US"/>
        </w:rPr>
        <w:t>RWDSU v. Saskatchewan</w:t>
      </w:r>
      <w:r w:rsidR="006131E0" w:rsidRPr="00816F89">
        <w:rPr>
          <w:lang w:val="en-US"/>
        </w:rPr>
        <w:t xml:space="preserve">, [1987] 1 S.C.R. 460; </w:t>
      </w:r>
      <w:r w:rsidR="006131E0" w:rsidRPr="00816F89">
        <w:rPr>
          <w:i/>
          <w:lang w:val="en-US"/>
        </w:rPr>
        <w:t>Professional Institute of the Public Service of Canada v. Northwest Territories (Commissioner)</w:t>
      </w:r>
      <w:r w:rsidR="006131E0" w:rsidRPr="00816F89">
        <w:rPr>
          <w:lang w:val="en-US"/>
        </w:rPr>
        <w:t xml:space="preserve">, [1990] 2 S.C.R. 367; </w:t>
      </w:r>
      <w:r w:rsidR="006131E0" w:rsidRPr="00816F89">
        <w:rPr>
          <w:i/>
          <w:lang w:val="en-US"/>
        </w:rPr>
        <w:t>Canadian Egg Marketing Agency v. Richardson</w:t>
      </w:r>
      <w:r w:rsidR="006131E0" w:rsidRPr="00816F89">
        <w:rPr>
          <w:lang w:val="en-US"/>
        </w:rPr>
        <w:t xml:space="preserve">, [1998] 3 S.C.R. 157; </w:t>
      </w:r>
      <w:r w:rsidR="006131E0" w:rsidRPr="00816F89">
        <w:rPr>
          <w:i/>
          <w:lang w:val="en-US"/>
        </w:rPr>
        <w:t>Lavigne v. Ontario Public Service Employees Union</w:t>
      </w:r>
      <w:r w:rsidR="006131E0" w:rsidRPr="00816F89">
        <w:rPr>
          <w:lang w:val="en-US"/>
        </w:rPr>
        <w:t xml:space="preserve">, [1991] 2 S.C.R. 211; </w:t>
      </w:r>
      <w:r w:rsidR="006131E0" w:rsidRPr="00816F89">
        <w:rPr>
          <w:i/>
          <w:lang w:val="en-US"/>
        </w:rPr>
        <w:t>R. v. Advance Cutting &amp; Coring Ltd.</w:t>
      </w:r>
      <w:r w:rsidR="006131E0" w:rsidRPr="00816F89">
        <w:rPr>
          <w:lang w:val="en-US"/>
        </w:rPr>
        <w:t xml:space="preserve">, 2001 SCC 70, [2001] 3 S.C.R. 209; </w:t>
      </w:r>
      <w:r w:rsidR="006131E0" w:rsidRPr="00816F89">
        <w:rPr>
          <w:i/>
          <w:lang w:val="en-US"/>
        </w:rPr>
        <w:t>Québec (Procureur général) v. Confédération des syndicats nationaux (CSN)</w:t>
      </w:r>
      <w:r w:rsidR="006131E0" w:rsidRPr="00816F89">
        <w:rPr>
          <w:lang w:val="en-US"/>
        </w:rPr>
        <w:t xml:space="preserve">, 2011 QCCA 1247; </w:t>
      </w:r>
      <w:r w:rsidR="006131E0" w:rsidRPr="00816F89">
        <w:rPr>
          <w:i/>
          <w:lang w:val="en-US"/>
        </w:rPr>
        <w:t>Doré v. Verdun (City)</w:t>
      </w:r>
      <w:r w:rsidR="006131E0" w:rsidRPr="00816F89">
        <w:rPr>
          <w:lang w:val="en-US"/>
        </w:rPr>
        <w:t xml:space="preserve">, [1997] 2 S.C.R. 862; </w:t>
      </w:r>
      <w:r w:rsidR="006131E0" w:rsidRPr="00816F89">
        <w:rPr>
          <w:i/>
          <w:lang w:val="en-US"/>
        </w:rPr>
        <w:t>Noël v. Société d’énergie de la Baie James</w:t>
      </w:r>
      <w:r w:rsidR="006131E0" w:rsidRPr="00816F89">
        <w:rPr>
          <w:lang w:val="en-US"/>
        </w:rPr>
        <w:t xml:space="preserve">, 2001 SCC 39, [2001] 2 S.C.R. 207; </w:t>
      </w:r>
      <w:r w:rsidR="006131E0" w:rsidRPr="00816F89">
        <w:rPr>
          <w:i/>
          <w:lang w:val="en-US"/>
        </w:rPr>
        <w:t>Quebec (Attorney General) v. Guérin</w:t>
      </w:r>
      <w:r w:rsidR="006131E0" w:rsidRPr="00816F89">
        <w:rPr>
          <w:lang w:val="en-US"/>
        </w:rPr>
        <w:t xml:space="preserve">, 2017 SCC 42, [2017] 2 S.C.R. 3; </w:t>
      </w:r>
      <w:r w:rsidR="006131E0" w:rsidRPr="00816F89">
        <w:rPr>
          <w:i/>
          <w:lang w:val="en-US"/>
        </w:rPr>
        <w:t>Isidore Garon ltée v. Tremblay</w:t>
      </w:r>
      <w:r w:rsidR="006131E0" w:rsidRPr="00816F89">
        <w:rPr>
          <w:lang w:val="en-US"/>
        </w:rPr>
        <w:t xml:space="preserve">, 2006 SCC 2, [2006] 1 S.C.R. 27; </w:t>
      </w:r>
      <w:r w:rsidR="006131E0" w:rsidRPr="00816F89">
        <w:rPr>
          <w:i/>
          <w:lang w:val="en-US"/>
        </w:rPr>
        <w:t>Haig v. Canada</w:t>
      </w:r>
      <w:r w:rsidR="006131E0" w:rsidRPr="00816F89">
        <w:rPr>
          <w:lang w:val="en-US"/>
        </w:rPr>
        <w:t xml:space="preserve">, [1993] 2 S.C.R. 995; </w:t>
      </w:r>
      <w:r w:rsidR="006131E0" w:rsidRPr="00816F89">
        <w:rPr>
          <w:i/>
          <w:lang w:val="en-US"/>
        </w:rPr>
        <w:t>Canada v. Craig</w:t>
      </w:r>
      <w:r w:rsidR="006131E0" w:rsidRPr="00816F89">
        <w:rPr>
          <w:lang w:val="en-US"/>
        </w:rPr>
        <w:t xml:space="preserve">, 2012 SCC 43, [2012] 2 S.C.R. 489; </w:t>
      </w:r>
      <w:r w:rsidR="006131E0" w:rsidRPr="00816F89">
        <w:rPr>
          <w:i/>
          <w:lang w:val="en-US"/>
        </w:rPr>
        <w:t>Cuddy Chicks Ltd. v. Ontario (Labour Relations Board)</w:t>
      </w:r>
      <w:r w:rsidR="006131E0" w:rsidRPr="00816F89">
        <w:rPr>
          <w:lang w:val="en-US"/>
        </w:rPr>
        <w:t xml:space="preserve">, [1991] 2 S.C.R. 5; </w:t>
      </w:r>
      <w:r w:rsidR="006131E0" w:rsidRPr="00816F89">
        <w:rPr>
          <w:i/>
          <w:lang w:val="en-US"/>
        </w:rPr>
        <w:t>Nova Scotia (Workers’ Compensation Board) v. Martin</w:t>
      </w:r>
      <w:r w:rsidR="006131E0" w:rsidRPr="00816F89">
        <w:rPr>
          <w:lang w:val="en-US"/>
        </w:rPr>
        <w:t xml:space="preserve">, 2003 SCC 54, [2003] 2 S.C.R. 504; </w:t>
      </w:r>
      <w:r w:rsidR="005738AD" w:rsidRPr="00816F89">
        <w:rPr>
          <w:i/>
          <w:lang w:val="en-US"/>
        </w:rPr>
        <w:t>Okwuobi v. Lester B. </w:t>
      </w:r>
      <w:r w:rsidR="006131E0" w:rsidRPr="00816F89">
        <w:rPr>
          <w:i/>
          <w:lang w:val="en-US"/>
        </w:rPr>
        <w:t>Pearson School Board</w:t>
      </w:r>
      <w:r w:rsidR="006131E0" w:rsidRPr="00816F89">
        <w:rPr>
          <w:lang w:val="en-US"/>
        </w:rPr>
        <w:t xml:space="preserve">, 2005 SCC 16, [2005] 1 S.C.R. 257; </w:t>
      </w:r>
      <w:r w:rsidR="001C1EA7" w:rsidRPr="00816F89">
        <w:rPr>
          <w:i/>
          <w:lang w:val="en-US"/>
        </w:rPr>
        <w:t>Mouvement laïque québécois v. Saguenay (City)</w:t>
      </w:r>
      <w:r w:rsidR="001C1EA7" w:rsidRPr="00816F89">
        <w:rPr>
          <w:lang w:val="en-US"/>
        </w:rPr>
        <w:t xml:space="preserve">, 2015 SCC 16, [2015] 2 S.C.R. 3; </w:t>
      </w:r>
      <w:r w:rsidR="001C1EA7" w:rsidRPr="00816F89">
        <w:rPr>
          <w:i/>
          <w:lang w:val="en-US"/>
        </w:rPr>
        <w:t>Ontario (Attorney General) v. G</w:t>
      </w:r>
      <w:r w:rsidR="001C1EA7" w:rsidRPr="00816F89">
        <w:rPr>
          <w:lang w:val="en-US"/>
        </w:rPr>
        <w:t xml:space="preserve">, 2020 SCC 38, [2020] 3 S.C.R. 629; </w:t>
      </w:r>
      <w:r w:rsidR="00AC2121" w:rsidRPr="00816F89">
        <w:rPr>
          <w:i/>
          <w:lang w:val="en-US"/>
        </w:rPr>
        <w:t>R. v. Big M Drug Mart Ltd.</w:t>
      </w:r>
      <w:r w:rsidR="00AC2121" w:rsidRPr="00816F89">
        <w:rPr>
          <w:lang w:val="en-US"/>
        </w:rPr>
        <w:t xml:space="preserve">, [1985] 1 S.C.R. 295; </w:t>
      </w:r>
      <w:r w:rsidR="006131E0" w:rsidRPr="00816F89">
        <w:rPr>
          <w:i/>
          <w:lang w:val="en-US"/>
        </w:rPr>
        <w:t>NLRB v. Kentucky River Community Care, Inc.</w:t>
      </w:r>
      <w:r w:rsidR="006131E0" w:rsidRPr="00816F89">
        <w:rPr>
          <w:lang w:val="en-US"/>
        </w:rPr>
        <w:t xml:space="preserve">, 532 U.S. 706 (2001); </w:t>
      </w:r>
      <w:r w:rsidR="006131E0" w:rsidRPr="00816F89">
        <w:rPr>
          <w:i/>
          <w:lang w:val="en-US"/>
        </w:rPr>
        <w:t>Labor Board v. Bell Aerospace Co.</w:t>
      </w:r>
      <w:r w:rsidR="006131E0" w:rsidRPr="00816F89">
        <w:rPr>
          <w:lang w:val="en-US"/>
        </w:rPr>
        <w:t xml:space="preserve">, 416 U.S. 267 (1974); </w:t>
      </w:r>
      <w:r w:rsidR="006131E0" w:rsidRPr="00816F89">
        <w:rPr>
          <w:i/>
          <w:lang w:val="en-US"/>
        </w:rPr>
        <w:t>Mills v. The Queen</w:t>
      </w:r>
      <w:r w:rsidR="006131E0" w:rsidRPr="00816F89">
        <w:rPr>
          <w:lang w:val="en-US"/>
        </w:rPr>
        <w:t xml:space="preserve">, [1986] 1 S.C.R. 863; </w:t>
      </w:r>
      <w:r w:rsidR="005738AD" w:rsidRPr="00816F89">
        <w:rPr>
          <w:i/>
          <w:lang w:val="en-US"/>
        </w:rPr>
        <w:t>Doucet</w:t>
      </w:r>
      <w:r w:rsidR="005738AD" w:rsidRPr="00816F89">
        <w:rPr>
          <w:i/>
          <w:lang w:val="en-US"/>
        </w:rPr>
        <w:noBreakHyphen/>
      </w:r>
      <w:r w:rsidR="006131E0" w:rsidRPr="00816F89">
        <w:rPr>
          <w:i/>
          <w:lang w:val="en-US"/>
        </w:rPr>
        <w:t>Boudreau v. Nova Scotia (Minister of Education)</w:t>
      </w:r>
      <w:r w:rsidR="006131E0" w:rsidRPr="00816F89">
        <w:rPr>
          <w:lang w:val="en-US"/>
        </w:rPr>
        <w:t xml:space="preserve">, 2003 SCC 62, [2003] 3 S.C.R. 3; </w:t>
      </w:r>
      <w:r w:rsidR="006131E0" w:rsidRPr="00816F89">
        <w:rPr>
          <w:i/>
          <w:lang w:val="en-US"/>
        </w:rPr>
        <w:t>Quebec (Commission des droits de la personne et des droits de la jeunesse) v. Communauté urbaine de Montréal</w:t>
      </w:r>
      <w:r w:rsidR="006131E0" w:rsidRPr="00816F89">
        <w:rPr>
          <w:lang w:val="en-US"/>
        </w:rPr>
        <w:t xml:space="preserve">, 2004 SCC 30, [2004] 1 S.C.R. 789; </w:t>
      </w:r>
      <w:r w:rsidR="006131E0" w:rsidRPr="00816F89">
        <w:rPr>
          <w:i/>
          <w:lang w:val="en-US"/>
        </w:rPr>
        <w:t>Quebec (Commission des droits de la personne et des droits de la jeunesse) v. Bombardier Inc. (Bombardier Aerospace Training Center)</w:t>
      </w:r>
      <w:r w:rsidR="006131E0" w:rsidRPr="00816F89">
        <w:rPr>
          <w:lang w:val="en-US"/>
        </w:rPr>
        <w:t xml:space="preserve">, 2015 SCC 39, [2015] 2 S.C.R. 789; </w:t>
      </w:r>
      <w:r w:rsidR="006131E0" w:rsidRPr="00816F89">
        <w:rPr>
          <w:i/>
          <w:lang w:val="en-US"/>
        </w:rPr>
        <w:t>Canada (Attorney General) v. PHS Community Services Society</w:t>
      </w:r>
      <w:r w:rsidR="006131E0" w:rsidRPr="00816F89">
        <w:rPr>
          <w:lang w:val="en-US"/>
        </w:rPr>
        <w:t xml:space="preserve">, 2011 SCC 44, [2011] 3 S.C.R. 134; </w:t>
      </w:r>
      <w:r w:rsidR="006131E0" w:rsidRPr="00816F89">
        <w:rPr>
          <w:i/>
          <w:lang w:val="en-US"/>
        </w:rPr>
        <w:t>Vancouver (City) v. Ward</w:t>
      </w:r>
      <w:r w:rsidR="006131E0" w:rsidRPr="00816F89">
        <w:rPr>
          <w:lang w:val="en-US"/>
        </w:rPr>
        <w:t xml:space="preserve">, 2010 SCC 27, [2010] 2 S.C.R. 28; </w:t>
      </w:r>
      <w:r w:rsidR="006131E0" w:rsidRPr="00816F89">
        <w:rPr>
          <w:i/>
          <w:lang w:val="en-US"/>
        </w:rPr>
        <w:t>Hinse v. Canada (Attorney General)</w:t>
      </w:r>
      <w:r w:rsidR="006131E0" w:rsidRPr="00816F89">
        <w:rPr>
          <w:lang w:val="en-US"/>
        </w:rPr>
        <w:t xml:space="preserve">, 2015 SCC 35, [2015] 2 S.C.R. 621; </w:t>
      </w:r>
      <w:r w:rsidR="006131E0" w:rsidRPr="00816F89">
        <w:rPr>
          <w:i/>
          <w:lang w:val="en-US"/>
        </w:rPr>
        <w:t>de Montigny v. Brossard (Succession)</w:t>
      </w:r>
      <w:r w:rsidR="006131E0" w:rsidRPr="00816F89">
        <w:rPr>
          <w:lang w:val="en-US"/>
        </w:rPr>
        <w:t xml:space="preserve">, 2010 SCC 51, [2010] 3 S.C.R. 64; </w:t>
      </w:r>
      <w:r w:rsidR="006131E0" w:rsidRPr="00816F89">
        <w:rPr>
          <w:i/>
          <w:lang w:val="en-US"/>
        </w:rPr>
        <w:t>R. v. Ferguson</w:t>
      </w:r>
      <w:r w:rsidR="006131E0" w:rsidRPr="00816F89">
        <w:rPr>
          <w:lang w:val="en-US"/>
        </w:rPr>
        <w:t xml:space="preserve">, 2008 SCC 6, [2008] 1 S.C.R. 96; </w:t>
      </w:r>
      <w:r w:rsidR="006131E0" w:rsidRPr="00816F89">
        <w:rPr>
          <w:i/>
          <w:lang w:val="en-US"/>
        </w:rPr>
        <w:t>Qu</w:t>
      </w:r>
      <w:r w:rsidR="00AB073E" w:rsidRPr="00816F89">
        <w:rPr>
          <w:i/>
          <w:lang w:val="en-US"/>
        </w:rPr>
        <w:t>ebec (Attorney General) v. 9147</w:t>
      </w:r>
      <w:r w:rsidR="00AB073E" w:rsidRPr="00816F89">
        <w:rPr>
          <w:i/>
          <w:lang w:val="en-US"/>
        </w:rPr>
        <w:noBreakHyphen/>
      </w:r>
      <w:r w:rsidR="006131E0" w:rsidRPr="00816F89">
        <w:rPr>
          <w:i/>
          <w:lang w:val="en-US"/>
        </w:rPr>
        <w:t>0732 Québec inc.</w:t>
      </w:r>
      <w:r w:rsidR="006131E0" w:rsidRPr="00816F89">
        <w:rPr>
          <w:lang w:val="en-US"/>
        </w:rPr>
        <w:t>, 2020 SCC 32, [2020] 3 S.C.R. 426.</w:t>
      </w:r>
    </w:p>
    <w:bookmarkEnd w:id="3"/>
    <w:p w14:paraId="43CF65D2" w14:textId="186C6D86" w:rsidR="00F5062B" w:rsidRPr="00816F89" w:rsidRDefault="00F5062B" w:rsidP="005738AD">
      <w:pPr>
        <w:pStyle w:val="SCCNormalDoubleSpacing"/>
        <w:widowControl w:val="0"/>
        <w:spacing w:after="720" w:line="240" w:lineRule="auto"/>
        <w:rPr>
          <w:lang w:val="en-US"/>
        </w:rPr>
      </w:pPr>
      <w:r w:rsidRPr="00816F89">
        <w:rPr>
          <w:lang w:val="en-US"/>
        </w:rPr>
        <w:t>By Rowe J.</w:t>
      </w:r>
    </w:p>
    <w:p w14:paraId="6BAAF456" w14:textId="68B296F9" w:rsidR="00F5062B" w:rsidRPr="00816F89" w:rsidRDefault="00F5062B" w:rsidP="008A4242">
      <w:pPr>
        <w:pStyle w:val="SCCNormalDoubleSpacing"/>
        <w:widowControl w:val="0"/>
        <w:spacing w:after="480"/>
        <w:rPr>
          <w:lang w:val="en-US"/>
        </w:rPr>
      </w:pPr>
      <w:r w:rsidRPr="00816F89">
        <w:rPr>
          <w:b/>
        </w:rPr>
        <w:tab/>
        <w:t>Referred to:</w:t>
      </w:r>
      <w:r w:rsidRPr="00816F89">
        <w:t xml:space="preserve"> </w:t>
      </w:r>
      <w:bookmarkStart w:id="4" w:name="_Hlk164031403"/>
      <w:r w:rsidRPr="00816F89">
        <w:rPr>
          <w:i/>
          <w:lang w:val="en-US"/>
        </w:rPr>
        <w:t>Dunmore v. Ontario (Attorney General)</w:t>
      </w:r>
      <w:r w:rsidRPr="00816F89">
        <w:rPr>
          <w:lang w:val="en-US"/>
        </w:rPr>
        <w:t xml:space="preserve">, 2001 SCC 94, [2001] 3 S.C.R. 1016; </w:t>
      </w:r>
      <w:r w:rsidR="006002B1" w:rsidRPr="00816F89">
        <w:rPr>
          <w:bCs/>
          <w:i/>
          <w:lang w:val="en-US"/>
        </w:rPr>
        <w:t>Baier v. Alberta</w:t>
      </w:r>
      <w:r w:rsidR="006002B1" w:rsidRPr="00816F89">
        <w:rPr>
          <w:bCs/>
          <w:lang w:val="en-US"/>
        </w:rPr>
        <w:t xml:space="preserve">, 2007 SCC 31, [2007] 2 S.C.R. 673; </w:t>
      </w:r>
      <w:r w:rsidRPr="00816F89">
        <w:rPr>
          <w:i/>
          <w:lang w:val="en-US"/>
        </w:rPr>
        <w:t>Toronto (City) v. Ontario (Attorney General)</w:t>
      </w:r>
      <w:r w:rsidRPr="00816F89">
        <w:rPr>
          <w:lang w:val="en-US"/>
        </w:rPr>
        <w:t xml:space="preserve">, 2021 SCC 34; </w:t>
      </w:r>
      <w:r w:rsidRPr="00816F89">
        <w:rPr>
          <w:i/>
          <w:lang w:val="en-US"/>
        </w:rPr>
        <w:t>Delisle v. Canada (Deputy Attorney General)</w:t>
      </w:r>
      <w:r w:rsidRPr="00816F89">
        <w:rPr>
          <w:lang w:val="en-US"/>
        </w:rPr>
        <w:t xml:space="preserve">, [1999] 2 S.C.R. 989; </w:t>
      </w:r>
      <w:r w:rsidRPr="00816F89">
        <w:rPr>
          <w:i/>
          <w:lang w:val="en-US"/>
        </w:rPr>
        <w:t>Haig v. Canada</w:t>
      </w:r>
      <w:r w:rsidRPr="00816F89">
        <w:rPr>
          <w:lang w:val="en-US"/>
        </w:rPr>
        <w:t xml:space="preserve">, [1993] 2 S.C.R. 995; </w:t>
      </w:r>
      <w:r w:rsidRPr="00816F89">
        <w:rPr>
          <w:i/>
          <w:lang w:val="en-US"/>
        </w:rPr>
        <w:t>Health Services and Support — Facilities Subsector Bargaining Assn. v. British Columbia</w:t>
      </w:r>
      <w:r w:rsidRPr="00816F89">
        <w:rPr>
          <w:lang w:val="en-US"/>
        </w:rPr>
        <w:t xml:space="preserve">, 2007 SCC 27, [2007] 2 S.C.R. 391; </w:t>
      </w:r>
      <w:r w:rsidRPr="00816F89">
        <w:rPr>
          <w:i/>
          <w:lang w:val="en-US"/>
        </w:rPr>
        <w:t>Saskatchewan Federation of Labour v. Saskatchewan</w:t>
      </w:r>
      <w:r w:rsidRPr="00816F89">
        <w:rPr>
          <w:lang w:val="en-US"/>
        </w:rPr>
        <w:t xml:space="preserve">, 2015 SCC 4, [2015] 1 S.C.R. 245; </w:t>
      </w:r>
      <w:r w:rsidRPr="00816F89">
        <w:rPr>
          <w:i/>
          <w:lang w:val="en-US"/>
        </w:rPr>
        <w:t>Native Women’s Assn. of Canada v. Canada</w:t>
      </w:r>
      <w:r w:rsidRPr="00816F89">
        <w:rPr>
          <w:lang w:val="en-US"/>
        </w:rPr>
        <w:t xml:space="preserve">, [1994] 3 S.C.R. 627; </w:t>
      </w:r>
      <w:r w:rsidRPr="00816F89">
        <w:rPr>
          <w:i/>
          <w:lang w:val="en-US"/>
        </w:rPr>
        <w:t>Greater Vancouver Transportation Authority v. Canadian Federation of Students — British Columbia Component</w:t>
      </w:r>
      <w:r w:rsidRPr="00816F89">
        <w:rPr>
          <w:lang w:val="en-US"/>
        </w:rPr>
        <w:t xml:space="preserve">, 2009 SCC 31, [2009] 2 S.C.R. 295; </w:t>
      </w:r>
      <w:r w:rsidRPr="00816F89">
        <w:rPr>
          <w:i/>
          <w:lang w:val="en-US"/>
        </w:rPr>
        <w:t>R. v. Big M Drug Mart Ltd.</w:t>
      </w:r>
      <w:r w:rsidRPr="00816F89">
        <w:rPr>
          <w:lang w:val="en-US"/>
        </w:rPr>
        <w:t xml:space="preserve">, [1985] 1 S.C.R. 295; </w:t>
      </w:r>
      <w:r w:rsidRPr="00816F89">
        <w:rPr>
          <w:i/>
          <w:lang w:val="en-US"/>
        </w:rPr>
        <w:t>Ontario (Attorney General) v. Fraser</w:t>
      </w:r>
      <w:r w:rsidRPr="00816F89">
        <w:rPr>
          <w:lang w:val="en-US"/>
        </w:rPr>
        <w:t xml:space="preserve">, 2011 SCC 20, [2011] 2 S.C.R. 3; </w:t>
      </w:r>
      <w:r w:rsidRPr="00816F89">
        <w:rPr>
          <w:i/>
          <w:lang w:val="en-US"/>
        </w:rPr>
        <w:t>McKinney v. University of Guelph</w:t>
      </w:r>
      <w:r w:rsidRPr="00816F89">
        <w:rPr>
          <w:lang w:val="en-US"/>
        </w:rPr>
        <w:t xml:space="preserve">, [1990] 3 S.C.R. 229; </w:t>
      </w:r>
      <w:r w:rsidRPr="00816F89">
        <w:rPr>
          <w:i/>
          <w:lang w:val="en-US"/>
        </w:rPr>
        <w:t>Congrégati</w:t>
      </w:r>
      <w:r w:rsidR="005738AD" w:rsidRPr="00816F89">
        <w:rPr>
          <w:i/>
          <w:lang w:val="en-US"/>
        </w:rPr>
        <w:t>on des témoins de Jéhovah de St</w:t>
      </w:r>
      <w:r w:rsidR="005738AD" w:rsidRPr="00816F89">
        <w:rPr>
          <w:i/>
          <w:lang w:val="en-US"/>
        </w:rPr>
        <w:noBreakHyphen/>
      </w:r>
      <w:r w:rsidRPr="00816F89">
        <w:rPr>
          <w:i/>
          <w:lang w:val="en-US"/>
        </w:rPr>
        <w:t>Jérôme</w:t>
      </w:r>
      <w:r w:rsidR="005738AD" w:rsidRPr="00816F89">
        <w:rPr>
          <w:i/>
          <w:lang w:val="en-US"/>
        </w:rPr>
        <w:noBreakHyphen/>
      </w:r>
      <w:r w:rsidRPr="00816F89">
        <w:rPr>
          <w:i/>
          <w:lang w:val="en-US"/>
        </w:rPr>
        <w:t>Lafontaine v. Lafontaine (Village)</w:t>
      </w:r>
      <w:r w:rsidRPr="00816F89">
        <w:rPr>
          <w:lang w:val="en-US"/>
        </w:rPr>
        <w:t>, 2004 SCC 48, [2004] 2 S.C.R. 650</w:t>
      </w:r>
      <w:r w:rsidR="00263574" w:rsidRPr="00816F89">
        <w:rPr>
          <w:lang w:val="en-US"/>
        </w:rPr>
        <w:t xml:space="preserve">; </w:t>
      </w:r>
      <w:r w:rsidR="00263574" w:rsidRPr="00816F89">
        <w:rPr>
          <w:i/>
        </w:rPr>
        <w:t>Dunmore v. Ontario (Attorney General)</w:t>
      </w:r>
      <w:r w:rsidR="00263574" w:rsidRPr="00816F89">
        <w:t xml:space="preserve"> (1997), 155 D.L.R. (4th) 193</w:t>
      </w:r>
      <w:r w:rsidRPr="00816F89">
        <w:rPr>
          <w:lang w:val="en-US"/>
        </w:rPr>
        <w:t>.</w:t>
      </w:r>
      <w:bookmarkEnd w:id="4"/>
    </w:p>
    <w:p w14:paraId="049F28ED" w14:textId="1781D634" w:rsidR="00A41805" w:rsidRPr="00816F89" w:rsidRDefault="002E6705" w:rsidP="00B92B8C">
      <w:pPr>
        <w:pStyle w:val="SCCNormalDoubleSpacing"/>
        <w:spacing w:after="720" w:line="240" w:lineRule="auto"/>
      </w:pPr>
      <w:bookmarkStart w:id="5" w:name="_Hlk164031578"/>
      <w:r w:rsidRPr="00816F89">
        <w:rPr>
          <w:b/>
        </w:rPr>
        <w:t>Statutes and Regulations Cite</w:t>
      </w:r>
      <w:r w:rsidR="00A41805" w:rsidRPr="00816F89">
        <w:rPr>
          <w:b/>
        </w:rPr>
        <w:t>d</w:t>
      </w:r>
    </w:p>
    <w:p w14:paraId="2B40C081" w14:textId="25983B0E" w:rsidR="00116720" w:rsidRPr="00816F89" w:rsidRDefault="00BD36C2" w:rsidP="00116720">
      <w:pPr>
        <w:pStyle w:val="SCCNormalDoubleSpacing"/>
        <w:spacing w:after="240" w:line="240" w:lineRule="auto"/>
        <w:ind w:left="547" w:hanging="547"/>
        <w:rPr>
          <w:lang w:val="en-US"/>
        </w:rPr>
      </w:pPr>
      <w:r w:rsidRPr="00816F89">
        <w:rPr>
          <w:lang w:val="en-US"/>
        </w:rPr>
        <w:t>29 U.S.C. § 152(3</w:t>
      </w:r>
      <w:r w:rsidR="00116720" w:rsidRPr="00816F89">
        <w:rPr>
          <w:lang w:val="en-US"/>
        </w:rPr>
        <w:t>) (2018).</w:t>
      </w:r>
    </w:p>
    <w:p w14:paraId="68F1B3E2" w14:textId="17D6F5CC" w:rsidR="00A149DF" w:rsidRPr="00816F89" w:rsidRDefault="00B92B8C" w:rsidP="00B92B8C">
      <w:pPr>
        <w:pStyle w:val="SCCNormalDoubleSpacing"/>
        <w:spacing w:after="240" w:line="240" w:lineRule="auto"/>
        <w:ind w:left="547" w:hanging="547"/>
        <w:rPr>
          <w:i/>
          <w:iCs/>
          <w:lang w:val="en-US"/>
        </w:rPr>
      </w:pPr>
      <w:r w:rsidRPr="00816F89">
        <w:rPr>
          <w:i/>
          <w:iCs/>
          <w:lang w:val="en-US"/>
        </w:rPr>
        <w:t xml:space="preserve">Act </w:t>
      </w:r>
      <w:r w:rsidR="00FC437E" w:rsidRPr="00816F89">
        <w:rPr>
          <w:i/>
          <w:iCs/>
          <w:lang w:val="en-US"/>
        </w:rPr>
        <w:t>respecting industrial accidents and occupational d</w:t>
      </w:r>
      <w:r w:rsidRPr="00816F89">
        <w:rPr>
          <w:i/>
          <w:iCs/>
          <w:lang w:val="en-US"/>
        </w:rPr>
        <w:t>iseases</w:t>
      </w:r>
      <w:r w:rsidRPr="00816F89">
        <w:rPr>
          <w:iCs/>
          <w:lang w:val="en-US"/>
        </w:rPr>
        <w:t>, C</w:t>
      </w:r>
      <w:r w:rsidR="005738AD" w:rsidRPr="00816F89">
        <w:rPr>
          <w:iCs/>
          <w:lang w:val="en-US"/>
        </w:rPr>
        <w:t>QLR, c. A</w:t>
      </w:r>
      <w:r w:rsidR="005738AD" w:rsidRPr="00816F89">
        <w:rPr>
          <w:iCs/>
          <w:lang w:val="en-US"/>
        </w:rPr>
        <w:noBreakHyphen/>
      </w:r>
      <w:r w:rsidRPr="00816F89">
        <w:rPr>
          <w:iCs/>
          <w:lang w:val="en-US"/>
        </w:rPr>
        <w:t>3.001, s. 2.</w:t>
      </w:r>
    </w:p>
    <w:p w14:paraId="71AAA3BA" w14:textId="4701723F" w:rsidR="00B92B8C" w:rsidRPr="00816F89" w:rsidRDefault="00FC437E" w:rsidP="00B92B8C">
      <w:pPr>
        <w:pStyle w:val="SCCNormalDoubleSpacing"/>
        <w:spacing w:after="240" w:line="240" w:lineRule="auto"/>
        <w:ind w:left="547" w:hanging="547"/>
        <w:rPr>
          <w:i/>
          <w:iCs/>
          <w:lang w:val="en-US"/>
        </w:rPr>
      </w:pPr>
      <w:r w:rsidRPr="00816F89">
        <w:rPr>
          <w:i/>
          <w:iCs/>
          <w:lang w:val="en-US"/>
        </w:rPr>
        <w:t>Act respecting labour s</w:t>
      </w:r>
      <w:r w:rsidR="00B92B8C" w:rsidRPr="00816F89">
        <w:rPr>
          <w:i/>
          <w:iCs/>
          <w:lang w:val="en-US"/>
        </w:rPr>
        <w:t>tandards</w:t>
      </w:r>
      <w:r w:rsidR="005738AD" w:rsidRPr="00816F89">
        <w:rPr>
          <w:iCs/>
          <w:lang w:val="en-US"/>
        </w:rPr>
        <w:t>, CQLR, c. N</w:t>
      </w:r>
      <w:r w:rsidR="005738AD" w:rsidRPr="00816F89">
        <w:rPr>
          <w:iCs/>
          <w:lang w:val="en-US"/>
        </w:rPr>
        <w:noBreakHyphen/>
      </w:r>
      <w:r w:rsidRPr="00816F89">
        <w:rPr>
          <w:iCs/>
          <w:lang w:val="en-US"/>
        </w:rPr>
        <w:t>1.1, ss. 3</w:t>
      </w:r>
      <w:r w:rsidR="00B92B8C" w:rsidRPr="00816F89">
        <w:rPr>
          <w:iCs/>
          <w:lang w:val="en-US"/>
        </w:rPr>
        <w:t>(6), 128.</w:t>
      </w:r>
    </w:p>
    <w:p w14:paraId="5F1B4AEF" w14:textId="40660B8E" w:rsidR="00B92B8C" w:rsidRPr="00816F89" w:rsidRDefault="00FC437E" w:rsidP="00B92B8C">
      <w:pPr>
        <w:pStyle w:val="SCCNormalDoubleSpacing"/>
        <w:spacing w:after="240" w:line="240" w:lineRule="auto"/>
        <w:ind w:left="547" w:hanging="547"/>
        <w:rPr>
          <w:i/>
          <w:iCs/>
          <w:lang w:val="en-US"/>
        </w:rPr>
      </w:pPr>
      <w:r w:rsidRPr="00816F89">
        <w:rPr>
          <w:i/>
          <w:iCs/>
          <w:lang w:val="en-US"/>
        </w:rPr>
        <w:t>Act to e</w:t>
      </w:r>
      <w:r w:rsidR="00B92B8C" w:rsidRPr="00816F89">
        <w:rPr>
          <w:i/>
          <w:iCs/>
          <w:lang w:val="en-US"/>
        </w:rPr>
        <w:t>stablish the Administrative Labour Tribunal</w:t>
      </w:r>
      <w:r w:rsidR="005738AD" w:rsidRPr="00816F89">
        <w:rPr>
          <w:iCs/>
          <w:lang w:val="en-US"/>
        </w:rPr>
        <w:t>, CQLR, c. T</w:t>
      </w:r>
      <w:r w:rsidR="005738AD" w:rsidRPr="00816F89">
        <w:rPr>
          <w:iCs/>
          <w:lang w:val="en-US"/>
        </w:rPr>
        <w:noBreakHyphen/>
      </w:r>
      <w:r w:rsidR="00B92B8C" w:rsidRPr="00816F89">
        <w:rPr>
          <w:iCs/>
          <w:lang w:val="en-US"/>
        </w:rPr>
        <w:t>15.1, s. 1.</w:t>
      </w:r>
    </w:p>
    <w:p w14:paraId="41FBCF6F" w14:textId="75A2A53A" w:rsidR="00B92B8C" w:rsidRPr="00816F89" w:rsidRDefault="00B92B8C" w:rsidP="00B92B8C">
      <w:pPr>
        <w:pStyle w:val="SCCNormalDoubleSpacing"/>
        <w:spacing w:after="240" w:line="240" w:lineRule="auto"/>
        <w:ind w:left="547" w:hanging="547"/>
        <w:rPr>
          <w:lang w:val="fr-CA"/>
        </w:rPr>
      </w:pPr>
      <w:r w:rsidRPr="00816F89">
        <w:rPr>
          <w:i/>
          <w:lang w:val="fr-CA"/>
        </w:rPr>
        <w:t>Canada Labour Code</w:t>
      </w:r>
      <w:r w:rsidR="005738AD" w:rsidRPr="00816F89">
        <w:rPr>
          <w:lang w:val="fr-CA"/>
        </w:rPr>
        <w:t>, R.S.C. 1985, c. L</w:t>
      </w:r>
      <w:r w:rsidR="005738AD" w:rsidRPr="00816F89">
        <w:rPr>
          <w:lang w:val="fr-CA"/>
        </w:rPr>
        <w:noBreakHyphen/>
      </w:r>
      <w:r w:rsidRPr="00816F89">
        <w:rPr>
          <w:lang w:val="fr-CA"/>
        </w:rPr>
        <w:t>2, s. 3(1).</w:t>
      </w:r>
    </w:p>
    <w:p w14:paraId="79B472B7" w14:textId="258165FC" w:rsidR="00B92B8C" w:rsidRPr="00816F89" w:rsidRDefault="00B92B8C" w:rsidP="00B92B8C">
      <w:pPr>
        <w:pStyle w:val="SCCNormalDoubleSpacing"/>
        <w:spacing w:after="240" w:line="240" w:lineRule="auto"/>
        <w:ind w:left="547" w:hanging="547"/>
        <w:rPr>
          <w:lang w:val="en-US"/>
        </w:rPr>
      </w:pPr>
      <w:r w:rsidRPr="00816F89">
        <w:rPr>
          <w:i/>
          <w:iCs/>
          <w:lang w:val="en-US"/>
        </w:rPr>
        <w:t>Canadian Charter of Rights and Freedoms</w:t>
      </w:r>
      <w:r w:rsidRPr="00816F89">
        <w:rPr>
          <w:lang w:val="en-US"/>
        </w:rPr>
        <w:t xml:space="preserve">, ss. 1, 2(b), (d), </w:t>
      </w:r>
      <w:r w:rsidR="002910DD" w:rsidRPr="00816F89">
        <w:rPr>
          <w:lang w:val="en-US"/>
        </w:rPr>
        <w:t xml:space="preserve">15, </w:t>
      </w:r>
      <w:r w:rsidRPr="00816F89">
        <w:rPr>
          <w:lang w:val="en-US"/>
        </w:rPr>
        <w:t>24(1)</w:t>
      </w:r>
      <w:r w:rsidR="002910DD" w:rsidRPr="00816F89">
        <w:rPr>
          <w:lang w:val="en-US"/>
        </w:rPr>
        <w:t>, 32</w:t>
      </w:r>
      <w:r w:rsidRPr="00816F89">
        <w:rPr>
          <w:lang w:val="en-US"/>
        </w:rPr>
        <w:t>.</w:t>
      </w:r>
    </w:p>
    <w:p w14:paraId="4D0F10D2" w14:textId="21CC0587" w:rsidR="00B92B8C" w:rsidRPr="00816F89" w:rsidRDefault="00FC437E" w:rsidP="00B92B8C">
      <w:pPr>
        <w:pStyle w:val="SCCNormalDoubleSpacing"/>
        <w:spacing w:after="240" w:line="240" w:lineRule="auto"/>
        <w:ind w:left="547" w:hanging="547"/>
        <w:rPr>
          <w:lang w:val="en-US"/>
        </w:rPr>
      </w:pPr>
      <w:r w:rsidRPr="00816F89">
        <w:rPr>
          <w:i/>
          <w:lang w:val="en-US"/>
        </w:rPr>
        <w:t>Charter of human rights and f</w:t>
      </w:r>
      <w:r w:rsidR="00B92B8C" w:rsidRPr="00816F89">
        <w:rPr>
          <w:i/>
          <w:lang w:val="en-US"/>
        </w:rPr>
        <w:t>reedoms</w:t>
      </w:r>
      <w:r w:rsidR="005738AD" w:rsidRPr="00816F89">
        <w:rPr>
          <w:lang w:val="en-US"/>
        </w:rPr>
        <w:t>, CQLR, c. C</w:t>
      </w:r>
      <w:r w:rsidR="005738AD" w:rsidRPr="00816F89">
        <w:rPr>
          <w:lang w:val="en-US"/>
        </w:rPr>
        <w:noBreakHyphen/>
      </w:r>
      <w:r w:rsidR="00B92B8C" w:rsidRPr="00816F89">
        <w:rPr>
          <w:lang w:val="en-US"/>
        </w:rPr>
        <w:t>12, ss. 3, 9.1, 49.</w:t>
      </w:r>
    </w:p>
    <w:p w14:paraId="20486327" w14:textId="37089FAD" w:rsidR="00B92B8C" w:rsidRPr="00816F89" w:rsidRDefault="00B92B8C" w:rsidP="00B92B8C">
      <w:pPr>
        <w:pStyle w:val="SCCNormalDoubleSpacing"/>
        <w:spacing w:after="240" w:line="240" w:lineRule="auto"/>
        <w:ind w:left="547" w:hanging="547"/>
        <w:rPr>
          <w:lang w:val="en-US"/>
        </w:rPr>
      </w:pPr>
      <w:r w:rsidRPr="00816F89">
        <w:rPr>
          <w:i/>
          <w:lang w:val="en-US"/>
        </w:rPr>
        <w:t>Civil Code of Québec</w:t>
      </w:r>
      <w:r w:rsidRPr="00816F89">
        <w:rPr>
          <w:lang w:val="en-US"/>
        </w:rPr>
        <w:t>, preliminary provision.</w:t>
      </w:r>
    </w:p>
    <w:p w14:paraId="583FE7D0" w14:textId="60E27A8D" w:rsidR="00B92B8C" w:rsidRPr="00816F89" w:rsidRDefault="00B92B8C" w:rsidP="00B92B8C">
      <w:pPr>
        <w:pStyle w:val="SCCNormalDoubleSpacing"/>
        <w:spacing w:after="240" w:line="240" w:lineRule="auto"/>
        <w:ind w:left="547" w:hanging="547"/>
        <w:rPr>
          <w:lang w:val="en-US"/>
        </w:rPr>
      </w:pPr>
      <w:r w:rsidRPr="00816F89">
        <w:rPr>
          <w:i/>
          <w:lang w:val="en-US"/>
        </w:rPr>
        <w:t>Civil Service Collective Bargaining Act</w:t>
      </w:r>
      <w:r w:rsidRPr="00816F89">
        <w:rPr>
          <w:lang w:val="en-US"/>
        </w:rPr>
        <w:t>, R.S.N.S. 1989, c. 71, ss. 2(f), 11(1)(e).</w:t>
      </w:r>
    </w:p>
    <w:p w14:paraId="527E5D60" w14:textId="6B8450BB" w:rsidR="00B92B8C" w:rsidRPr="00816F89" w:rsidRDefault="00B92B8C" w:rsidP="00B92B8C">
      <w:pPr>
        <w:pStyle w:val="SCCNormalDoubleSpacing"/>
        <w:spacing w:after="240" w:line="240" w:lineRule="auto"/>
        <w:ind w:left="547" w:hanging="547"/>
        <w:rPr>
          <w:lang w:val="en-US"/>
        </w:rPr>
      </w:pPr>
      <w:r w:rsidRPr="00816F89">
        <w:rPr>
          <w:i/>
          <w:lang w:val="en-US"/>
        </w:rPr>
        <w:t>Constitution Act, 1982</w:t>
      </w:r>
      <w:r w:rsidRPr="00816F89">
        <w:rPr>
          <w:lang w:val="en-US"/>
        </w:rPr>
        <w:t>, s. 52(1).</w:t>
      </w:r>
    </w:p>
    <w:p w14:paraId="72F1A259" w14:textId="35CFE655" w:rsidR="00B92B8C" w:rsidRPr="00816F89" w:rsidRDefault="00B92B8C" w:rsidP="00B92B8C">
      <w:pPr>
        <w:pStyle w:val="SCCNormalDoubleSpacing"/>
        <w:spacing w:after="240" w:line="240" w:lineRule="auto"/>
        <w:ind w:left="547" w:hanging="547"/>
        <w:rPr>
          <w:lang w:val="en-US"/>
        </w:rPr>
      </w:pPr>
      <w:r w:rsidRPr="00816F89">
        <w:rPr>
          <w:i/>
          <w:lang w:val="en-US"/>
        </w:rPr>
        <w:t>Crown Employees Collective Bargaining Act, 1993</w:t>
      </w:r>
      <w:r w:rsidR="00AC2121" w:rsidRPr="00816F89">
        <w:rPr>
          <w:lang w:val="en-US"/>
        </w:rPr>
        <w:t>, S.O. 1993, c. 38, s. 1.1(3) 9</w:t>
      </w:r>
      <w:r w:rsidRPr="00816F89">
        <w:rPr>
          <w:lang w:val="en-US"/>
        </w:rPr>
        <w:t>.</w:t>
      </w:r>
    </w:p>
    <w:p w14:paraId="3BFE8329" w14:textId="62524387" w:rsidR="00B92B8C" w:rsidRPr="00816F89" w:rsidRDefault="00B92B8C" w:rsidP="00B92B8C">
      <w:pPr>
        <w:pStyle w:val="SCCNormalDoubleSpacing"/>
        <w:spacing w:after="240" w:line="240" w:lineRule="auto"/>
        <w:ind w:left="547" w:hanging="547"/>
        <w:rPr>
          <w:lang w:val="en-US"/>
        </w:rPr>
      </w:pPr>
      <w:r w:rsidRPr="00816F89">
        <w:rPr>
          <w:i/>
          <w:lang w:val="en-US"/>
        </w:rPr>
        <w:t>Labour Act</w:t>
      </w:r>
      <w:r w:rsidR="005738AD" w:rsidRPr="00816F89">
        <w:rPr>
          <w:lang w:val="en-US"/>
        </w:rPr>
        <w:t>, R.S.P.E.I. 1988, c. L</w:t>
      </w:r>
      <w:r w:rsidR="005738AD" w:rsidRPr="00816F89">
        <w:rPr>
          <w:lang w:val="en-US"/>
        </w:rPr>
        <w:noBreakHyphen/>
      </w:r>
      <w:r w:rsidRPr="00816F89">
        <w:rPr>
          <w:lang w:val="en-US"/>
        </w:rPr>
        <w:t>1, s. 7(2)(b).</w:t>
      </w:r>
    </w:p>
    <w:p w14:paraId="0168FDCF" w14:textId="79CB52D6" w:rsidR="00B92B8C" w:rsidRPr="00816F89" w:rsidRDefault="00B92B8C" w:rsidP="00B92B8C">
      <w:pPr>
        <w:pStyle w:val="SCCNormalDoubleSpacing"/>
        <w:spacing w:after="240" w:line="240" w:lineRule="auto"/>
        <w:ind w:left="547" w:hanging="547"/>
        <w:rPr>
          <w:lang w:val="fr-CA"/>
        </w:rPr>
      </w:pPr>
      <w:r w:rsidRPr="00816F89">
        <w:rPr>
          <w:i/>
          <w:lang w:val="fr-CA"/>
        </w:rPr>
        <w:t>Labour Code</w:t>
      </w:r>
      <w:r w:rsidR="005738AD" w:rsidRPr="00816F89">
        <w:rPr>
          <w:lang w:val="fr-CA"/>
        </w:rPr>
        <w:t>, CQLR, c. C</w:t>
      </w:r>
      <w:r w:rsidR="005738AD" w:rsidRPr="00816F89">
        <w:rPr>
          <w:lang w:val="fr-CA"/>
        </w:rPr>
        <w:noBreakHyphen/>
      </w:r>
      <w:r w:rsidR="001B48CC" w:rsidRPr="00816F89">
        <w:rPr>
          <w:lang w:val="fr-CA"/>
        </w:rPr>
        <w:t>27, s. </w:t>
      </w:r>
      <w:r w:rsidR="00FC437E" w:rsidRPr="00816F89">
        <w:rPr>
          <w:lang w:val="fr-CA"/>
        </w:rPr>
        <w:t>1(</w:t>
      </w:r>
      <w:r w:rsidR="00FC437E" w:rsidRPr="00816F89">
        <w:rPr>
          <w:i/>
          <w:iCs/>
          <w:lang w:val="fr-CA"/>
        </w:rPr>
        <w:t>l</w:t>
      </w:r>
      <w:r w:rsidR="00AC2121" w:rsidRPr="00816F89">
        <w:rPr>
          <w:lang w:val="fr-CA"/>
        </w:rPr>
        <w:t>)</w:t>
      </w:r>
      <w:r w:rsidRPr="00816F89">
        <w:rPr>
          <w:lang w:val="fr-CA"/>
        </w:rPr>
        <w:t>.</w:t>
      </w:r>
    </w:p>
    <w:p w14:paraId="58AFDA19" w14:textId="3B97D548" w:rsidR="00B92B8C" w:rsidRPr="00816F89" w:rsidRDefault="00B92B8C" w:rsidP="00B92B8C">
      <w:pPr>
        <w:pStyle w:val="SCCNormalDoubleSpacing"/>
        <w:spacing w:after="240" w:line="240" w:lineRule="auto"/>
        <w:ind w:left="547" w:hanging="547"/>
        <w:rPr>
          <w:lang w:val="en-US"/>
        </w:rPr>
      </w:pPr>
      <w:r w:rsidRPr="00816F89">
        <w:rPr>
          <w:i/>
          <w:lang w:val="en-US"/>
        </w:rPr>
        <w:t>Labour Relations Act</w:t>
      </w:r>
      <w:r w:rsidR="005738AD" w:rsidRPr="00816F89">
        <w:rPr>
          <w:lang w:val="en-US"/>
        </w:rPr>
        <w:t>, R.S.N.L. 1990, c. L</w:t>
      </w:r>
      <w:r w:rsidR="005738AD" w:rsidRPr="00816F89">
        <w:rPr>
          <w:lang w:val="en-US"/>
        </w:rPr>
        <w:noBreakHyphen/>
      </w:r>
      <w:r w:rsidRPr="00816F89">
        <w:rPr>
          <w:lang w:val="en-US"/>
        </w:rPr>
        <w:t>1, s. 2(1)(m).</w:t>
      </w:r>
    </w:p>
    <w:p w14:paraId="03683A53" w14:textId="3B4E9735" w:rsidR="00B92B8C" w:rsidRPr="00816F89" w:rsidRDefault="00B92B8C" w:rsidP="00B92B8C">
      <w:pPr>
        <w:pStyle w:val="SCCNormalDoubleSpacing"/>
        <w:spacing w:after="240" w:line="240" w:lineRule="auto"/>
        <w:ind w:left="547" w:hanging="547"/>
        <w:rPr>
          <w:lang w:val="en-US"/>
        </w:rPr>
      </w:pPr>
      <w:r w:rsidRPr="00816F89">
        <w:rPr>
          <w:i/>
          <w:lang w:val="en-US"/>
        </w:rPr>
        <w:t>Labour Relations Act</w:t>
      </w:r>
      <w:r w:rsidRPr="00816F89">
        <w:rPr>
          <w:lang w:val="en-US"/>
        </w:rPr>
        <w:t>, S.Q. 1944, c. 30, s. </w:t>
      </w:r>
      <w:r w:rsidR="00AC2121" w:rsidRPr="00816F89">
        <w:rPr>
          <w:lang w:val="en-US"/>
        </w:rPr>
        <w:t>2(a)1</w:t>
      </w:r>
      <w:r w:rsidRPr="00816F89">
        <w:rPr>
          <w:lang w:val="en-US"/>
        </w:rPr>
        <w:t>.</w:t>
      </w:r>
    </w:p>
    <w:p w14:paraId="1465300F" w14:textId="3DF8CBDB" w:rsidR="00B92B8C" w:rsidRPr="00816F89" w:rsidRDefault="00B92B8C" w:rsidP="00B92B8C">
      <w:pPr>
        <w:pStyle w:val="SCCNormalDoubleSpacing"/>
        <w:spacing w:after="240" w:line="240" w:lineRule="auto"/>
        <w:ind w:left="547" w:hanging="547"/>
        <w:rPr>
          <w:lang w:val="en-US"/>
        </w:rPr>
      </w:pPr>
      <w:r w:rsidRPr="00816F89">
        <w:rPr>
          <w:i/>
          <w:lang w:val="en-US"/>
        </w:rPr>
        <w:t>Labour Relations Act, 1995</w:t>
      </w:r>
      <w:r w:rsidRPr="00816F89">
        <w:rPr>
          <w:lang w:val="en-US"/>
        </w:rPr>
        <w:t>, S.O. 1995, c. 1, Sch. A, s. 1(3)(b).</w:t>
      </w:r>
    </w:p>
    <w:p w14:paraId="31C8949D" w14:textId="552036EB" w:rsidR="00B92B8C" w:rsidRPr="00816F89" w:rsidRDefault="00B92B8C" w:rsidP="00B92B8C">
      <w:pPr>
        <w:pStyle w:val="SCCNormalDoubleSpacing"/>
        <w:spacing w:after="240" w:line="240" w:lineRule="auto"/>
        <w:ind w:left="547" w:hanging="547"/>
        <w:rPr>
          <w:lang w:val="en-US"/>
        </w:rPr>
      </w:pPr>
      <w:r w:rsidRPr="00816F89">
        <w:rPr>
          <w:i/>
          <w:lang w:val="en-US"/>
        </w:rPr>
        <w:t>Labour Relations Code</w:t>
      </w:r>
      <w:r w:rsidRPr="00816F89">
        <w:rPr>
          <w:lang w:val="en-US"/>
        </w:rPr>
        <w:t>, R.S.A. 2000, c. L</w:t>
      </w:r>
      <w:r w:rsidR="005738AD" w:rsidRPr="00816F89">
        <w:rPr>
          <w:lang w:val="en-US"/>
        </w:rPr>
        <w:noBreakHyphen/>
      </w:r>
      <w:r w:rsidRPr="00816F89">
        <w:rPr>
          <w:lang w:val="en-US"/>
        </w:rPr>
        <w:t>1</w:t>
      </w:r>
      <w:r w:rsidR="00AC2121" w:rsidRPr="00816F89">
        <w:rPr>
          <w:lang w:val="en-US"/>
        </w:rPr>
        <w:t>, s. 1(1)(l)(i)</w:t>
      </w:r>
      <w:r w:rsidRPr="00816F89">
        <w:rPr>
          <w:lang w:val="en-US"/>
        </w:rPr>
        <w:t>.</w:t>
      </w:r>
    </w:p>
    <w:p w14:paraId="7FD7CF95" w14:textId="4423B56D" w:rsidR="004B1989" w:rsidRPr="00816F89" w:rsidRDefault="00B92B8C" w:rsidP="004B1989">
      <w:pPr>
        <w:pStyle w:val="SCCNormalDoubleSpacing"/>
        <w:spacing w:after="240" w:line="240" w:lineRule="auto"/>
        <w:ind w:left="547" w:hanging="547"/>
        <w:rPr>
          <w:lang w:val="en-US"/>
        </w:rPr>
      </w:pPr>
      <w:r w:rsidRPr="00816F89">
        <w:rPr>
          <w:i/>
          <w:lang w:val="en-US"/>
        </w:rPr>
        <w:t>Managerial Exclusion Act</w:t>
      </w:r>
      <w:r w:rsidRPr="00816F89">
        <w:rPr>
          <w:lang w:val="en-US"/>
        </w:rPr>
        <w:t xml:space="preserve">, </w:t>
      </w:r>
      <w:r w:rsidR="005738AD" w:rsidRPr="00816F89">
        <w:rPr>
          <w:lang w:val="en-US"/>
        </w:rPr>
        <w:t>R.S.A. 2000, c. M</w:t>
      </w:r>
      <w:r w:rsidR="005738AD" w:rsidRPr="00816F89">
        <w:rPr>
          <w:lang w:val="en-US"/>
        </w:rPr>
        <w:noBreakHyphen/>
      </w:r>
      <w:r w:rsidRPr="00816F89">
        <w:rPr>
          <w:lang w:val="en-US"/>
        </w:rPr>
        <w:t>3</w:t>
      </w:r>
      <w:r w:rsidR="00AC2121" w:rsidRPr="00816F89">
        <w:rPr>
          <w:lang w:val="en-US"/>
        </w:rPr>
        <w:t>, s. 2(1)</w:t>
      </w:r>
      <w:r w:rsidRPr="00816F89">
        <w:rPr>
          <w:lang w:val="en-US"/>
        </w:rPr>
        <w:t>.</w:t>
      </w:r>
    </w:p>
    <w:p w14:paraId="34506FE0" w14:textId="40702D7B" w:rsidR="004B1989" w:rsidRPr="00816F89" w:rsidRDefault="004B1989" w:rsidP="004B1989">
      <w:pPr>
        <w:pStyle w:val="SCCNormalDoubleSpacing"/>
        <w:spacing w:after="240" w:line="240" w:lineRule="auto"/>
        <w:ind w:left="547" w:hanging="547"/>
        <w:rPr>
          <w:lang w:val="en-US"/>
        </w:rPr>
      </w:pPr>
      <w:r w:rsidRPr="00816F89">
        <w:rPr>
          <w:i/>
          <w:lang w:val="en-US"/>
        </w:rPr>
        <w:t>National Labor Relations Act</w:t>
      </w:r>
      <w:r w:rsidR="005738AD" w:rsidRPr="00816F89">
        <w:rPr>
          <w:lang w:val="en-US"/>
        </w:rPr>
        <w:t>, Pub. L. No. 74</w:t>
      </w:r>
      <w:r w:rsidR="005738AD" w:rsidRPr="00816F89">
        <w:rPr>
          <w:lang w:val="en-US"/>
        </w:rPr>
        <w:noBreakHyphen/>
      </w:r>
      <w:r w:rsidR="001B48CC" w:rsidRPr="00816F89">
        <w:rPr>
          <w:lang w:val="en-US"/>
        </w:rPr>
        <w:t xml:space="preserve">198, 49 Stat. </w:t>
      </w:r>
      <w:r w:rsidRPr="00816F89">
        <w:rPr>
          <w:lang w:val="en-US"/>
        </w:rPr>
        <w:t>449 (1935) (codified</w:t>
      </w:r>
      <w:r w:rsidR="005738AD" w:rsidRPr="00816F89">
        <w:rPr>
          <w:lang w:val="en-US"/>
        </w:rPr>
        <w:t xml:space="preserve"> as amended at 29 U.S.C. §§ 151</w:t>
      </w:r>
      <w:r w:rsidR="005738AD" w:rsidRPr="00816F89">
        <w:rPr>
          <w:lang w:val="en-US"/>
        </w:rPr>
        <w:noBreakHyphen/>
      </w:r>
      <w:r w:rsidRPr="00816F89">
        <w:rPr>
          <w:lang w:val="en-US"/>
        </w:rPr>
        <w:t>169).</w:t>
      </w:r>
    </w:p>
    <w:p w14:paraId="37793896" w14:textId="1646A5AF" w:rsidR="00B92B8C" w:rsidRPr="00816F89" w:rsidRDefault="00B92B8C" w:rsidP="00B92B8C">
      <w:pPr>
        <w:pStyle w:val="SCCNormalDoubleSpacing"/>
        <w:spacing w:after="240" w:line="240" w:lineRule="auto"/>
        <w:ind w:left="547" w:hanging="547"/>
        <w:rPr>
          <w:lang w:val="en-US"/>
        </w:rPr>
      </w:pPr>
      <w:r w:rsidRPr="00816F89">
        <w:rPr>
          <w:i/>
          <w:lang w:val="en-US"/>
        </w:rPr>
        <w:t>Pay Equity Act</w:t>
      </w:r>
      <w:r w:rsidR="005738AD" w:rsidRPr="00816F89">
        <w:rPr>
          <w:lang w:val="en-US"/>
        </w:rPr>
        <w:t>, CQLR, c. E</w:t>
      </w:r>
      <w:r w:rsidR="005738AD" w:rsidRPr="00816F89">
        <w:rPr>
          <w:lang w:val="en-US"/>
        </w:rPr>
        <w:noBreakHyphen/>
      </w:r>
      <w:r w:rsidRPr="00816F89">
        <w:rPr>
          <w:lang w:val="en-US"/>
        </w:rPr>
        <w:t>12.001, s. 8.</w:t>
      </w:r>
    </w:p>
    <w:p w14:paraId="067F5200" w14:textId="5F2E28DB" w:rsidR="00B92B8C" w:rsidRPr="00816F89" w:rsidRDefault="00B92B8C" w:rsidP="00B92B8C">
      <w:pPr>
        <w:pStyle w:val="SCCNormalDoubleSpacing"/>
        <w:spacing w:after="240" w:line="240" w:lineRule="auto"/>
        <w:ind w:left="547" w:hanging="547"/>
        <w:rPr>
          <w:lang w:val="en-US"/>
        </w:rPr>
      </w:pPr>
      <w:r w:rsidRPr="00816F89">
        <w:rPr>
          <w:i/>
          <w:lang w:val="en-US"/>
        </w:rPr>
        <w:t>Professional Syndicates Act</w:t>
      </w:r>
      <w:r w:rsidR="005738AD" w:rsidRPr="00816F89">
        <w:rPr>
          <w:lang w:val="en-US"/>
        </w:rPr>
        <w:t xml:space="preserve">, </w:t>
      </w:r>
      <w:r w:rsidR="00AE4D6B" w:rsidRPr="00816F89">
        <w:rPr>
          <w:lang w:val="en-US"/>
        </w:rPr>
        <w:t xml:space="preserve">R.S.Q., c. S-40 (now </w:t>
      </w:r>
      <w:r w:rsidR="005738AD" w:rsidRPr="00816F89">
        <w:rPr>
          <w:lang w:val="en-US"/>
        </w:rPr>
        <w:t>CQLR, c. S</w:t>
      </w:r>
      <w:r w:rsidR="005738AD" w:rsidRPr="00816F89">
        <w:rPr>
          <w:lang w:val="en-US"/>
        </w:rPr>
        <w:noBreakHyphen/>
      </w:r>
      <w:r w:rsidRPr="00816F89">
        <w:rPr>
          <w:lang w:val="en-US"/>
        </w:rPr>
        <w:t>40</w:t>
      </w:r>
      <w:r w:rsidR="00AE4D6B" w:rsidRPr="00816F89">
        <w:rPr>
          <w:lang w:val="en-US"/>
        </w:rPr>
        <w:t>)</w:t>
      </w:r>
      <w:r w:rsidRPr="00816F89">
        <w:rPr>
          <w:lang w:val="en-US"/>
        </w:rPr>
        <w:t>, s. 6.</w:t>
      </w:r>
    </w:p>
    <w:p w14:paraId="1762736B" w14:textId="7CFC31D1" w:rsidR="00B92B8C" w:rsidRPr="00816F89" w:rsidRDefault="00B92B8C" w:rsidP="00B92B8C">
      <w:pPr>
        <w:pStyle w:val="SCCNormalDoubleSpacing"/>
        <w:spacing w:after="240" w:line="240" w:lineRule="auto"/>
        <w:ind w:left="547" w:hanging="547"/>
        <w:rPr>
          <w:lang w:val="en-US"/>
        </w:rPr>
      </w:pPr>
      <w:r w:rsidRPr="00816F89">
        <w:rPr>
          <w:i/>
          <w:lang w:val="en-US"/>
        </w:rPr>
        <w:t>Public Service Employee Relations Act</w:t>
      </w:r>
      <w:r w:rsidR="005738AD" w:rsidRPr="00816F89">
        <w:rPr>
          <w:lang w:val="en-US"/>
        </w:rPr>
        <w:t>, R.S.A. 2000, c. P</w:t>
      </w:r>
      <w:r w:rsidR="005738AD" w:rsidRPr="00816F89">
        <w:rPr>
          <w:lang w:val="en-US"/>
        </w:rPr>
        <w:noBreakHyphen/>
      </w:r>
      <w:r w:rsidRPr="00816F89">
        <w:rPr>
          <w:lang w:val="en-US"/>
        </w:rPr>
        <w:t>43, s. 12(1)(a).</w:t>
      </w:r>
    </w:p>
    <w:p w14:paraId="1446353C" w14:textId="762CE2DA" w:rsidR="00B92B8C" w:rsidRPr="00816F89" w:rsidRDefault="00B92B8C" w:rsidP="00B92B8C">
      <w:pPr>
        <w:pStyle w:val="SCCNormalDoubleSpacing"/>
        <w:spacing w:after="240" w:line="240" w:lineRule="auto"/>
        <w:ind w:left="547" w:hanging="547"/>
        <w:rPr>
          <w:lang w:val="en-US"/>
        </w:rPr>
      </w:pPr>
      <w:r w:rsidRPr="00816F89">
        <w:rPr>
          <w:i/>
          <w:lang w:val="en-US"/>
        </w:rPr>
        <w:t>Public Service Labour Relations Act</w:t>
      </w:r>
      <w:r w:rsidRPr="00816F89">
        <w:rPr>
          <w:lang w:val="en-US"/>
        </w:rPr>
        <w:t xml:space="preserve">, S.C. 2003, c. 22 [as en. by </w:t>
      </w:r>
      <w:r w:rsidRPr="00816F89">
        <w:rPr>
          <w:i/>
          <w:lang w:val="en-US"/>
        </w:rPr>
        <w:t>Public Service Modernization Act</w:t>
      </w:r>
      <w:r w:rsidRPr="00816F89">
        <w:rPr>
          <w:lang w:val="en-US"/>
        </w:rPr>
        <w:t>, S.C. 2003, c. 22, s. 2], s. 2(1).</w:t>
      </w:r>
    </w:p>
    <w:p w14:paraId="772B85D4" w14:textId="3307C792" w:rsidR="00B92B8C" w:rsidRPr="00816F89" w:rsidRDefault="00B92B8C" w:rsidP="00B92B8C">
      <w:pPr>
        <w:pStyle w:val="SCCNormalDoubleSpacing"/>
        <w:spacing w:after="240" w:line="240" w:lineRule="auto"/>
        <w:ind w:left="547" w:hanging="547"/>
        <w:rPr>
          <w:lang w:val="en-US"/>
        </w:rPr>
      </w:pPr>
      <w:r w:rsidRPr="00816F89">
        <w:rPr>
          <w:i/>
          <w:lang w:val="en-US"/>
        </w:rPr>
        <w:t>School Boards Collective Bargaining Act, 2014</w:t>
      </w:r>
      <w:r w:rsidRPr="00816F89">
        <w:rPr>
          <w:lang w:val="en-US"/>
        </w:rPr>
        <w:t>, S.O. 2014, c. 5, s. 8.</w:t>
      </w:r>
    </w:p>
    <w:p w14:paraId="1AE4239A" w14:textId="34F77A4D" w:rsidR="00B92B8C" w:rsidRPr="00816F89" w:rsidRDefault="00B92B8C" w:rsidP="00B92B8C">
      <w:pPr>
        <w:pStyle w:val="SCCNormalDoubleSpacing"/>
        <w:spacing w:after="720" w:line="240" w:lineRule="auto"/>
        <w:ind w:left="547" w:hanging="547"/>
        <w:rPr>
          <w:lang w:val="en-US"/>
        </w:rPr>
      </w:pPr>
      <w:r w:rsidRPr="00816F89">
        <w:rPr>
          <w:i/>
          <w:lang w:val="en-US"/>
        </w:rPr>
        <w:t>Trade Union Act</w:t>
      </w:r>
      <w:r w:rsidRPr="00816F89">
        <w:rPr>
          <w:lang w:val="en-US"/>
        </w:rPr>
        <w:t>, R.S.N.S. 1989, c. 475, s. 2(2)</w:t>
      </w:r>
      <w:r w:rsidR="00AC2121" w:rsidRPr="00816F89">
        <w:rPr>
          <w:lang w:val="en-US"/>
        </w:rPr>
        <w:t>(a)</w:t>
      </w:r>
      <w:r w:rsidRPr="00816F89">
        <w:rPr>
          <w:lang w:val="en-US"/>
        </w:rPr>
        <w:t>.</w:t>
      </w:r>
    </w:p>
    <w:p w14:paraId="6BE897A3" w14:textId="744D457B" w:rsidR="00B92B8C" w:rsidRPr="00816F89" w:rsidRDefault="00B92B8C" w:rsidP="00B92B8C">
      <w:pPr>
        <w:pStyle w:val="SCCNormalDoubleSpacing"/>
        <w:spacing w:after="720" w:line="240" w:lineRule="auto"/>
        <w:ind w:left="547" w:hanging="547"/>
        <w:rPr>
          <w:b/>
          <w:lang w:val="en-US"/>
        </w:rPr>
      </w:pPr>
      <w:r w:rsidRPr="00816F89">
        <w:rPr>
          <w:b/>
          <w:lang w:val="en-US"/>
        </w:rPr>
        <w:t>Treaties and Other International Instruments</w:t>
      </w:r>
    </w:p>
    <w:p w14:paraId="36731FBB" w14:textId="156E30B9" w:rsidR="00B92B8C" w:rsidRPr="00816F89" w:rsidRDefault="00B92B8C" w:rsidP="00B92B8C">
      <w:pPr>
        <w:pStyle w:val="SCCNormalDoubleSpacing"/>
        <w:spacing w:after="240" w:line="240" w:lineRule="auto"/>
        <w:ind w:left="547" w:hanging="547"/>
        <w:rPr>
          <w:i/>
          <w:lang w:val="en-US"/>
        </w:rPr>
      </w:pPr>
      <w:r w:rsidRPr="00816F89">
        <w:rPr>
          <w:i/>
          <w:lang w:val="en-US"/>
        </w:rPr>
        <w:t>Convention (No. 87) concerning freedom of association and protection of the right to organize</w:t>
      </w:r>
      <w:r w:rsidRPr="00816F89">
        <w:rPr>
          <w:lang w:val="en-US"/>
        </w:rPr>
        <w:t>, 68 U.N.T.S. 17.</w:t>
      </w:r>
    </w:p>
    <w:p w14:paraId="1B8ED040" w14:textId="1A0580DF" w:rsidR="00935218" w:rsidRPr="00816F89" w:rsidRDefault="00B92B8C" w:rsidP="00B92B8C">
      <w:pPr>
        <w:pStyle w:val="SCCNormalDoubleSpacing"/>
        <w:spacing w:after="720" w:line="240" w:lineRule="auto"/>
        <w:ind w:left="547" w:hanging="547"/>
        <w:rPr>
          <w:i/>
          <w:lang w:val="en-US"/>
        </w:rPr>
      </w:pPr>
      <w:r w:rsidRPr="00816F89">
        <w:rPr>
          <w:i/>
          <w:lang w:val="en-US"/>
        </w:rPr>
        <w:t>Convention (No. 98) concerning the application of the principles of the right to organise and to bargain collectively</w:t>
      </w:r>
      <w:r w:rsidRPr="00816F89">
        <w:rPr>
          <w:lang w:val="en-US"/>
        </w:rPr>
        <w:t>, 96 U.N.T.S. 257.</w:t>
      </w:r>
    </w:p>
    <w:p w14:paraId="0838F1D8" w14:textId="58941F72" w:rsidR="00DE319C" w:rsidRPr="00816F89" w:rsidRDefault="002E6705" w:rsidP="006131E0">
      <w:pPr>
        <w:pStyle w:val="SCCNormalDoubleSpacing"/>
        <w:spacing w:after="720" w:line="240" w:lineRule="auto"/>
        <w:rPr>
          <w:b/>
          <w:lang w:val="en-US"/>
        </w:rPr>
      </w:pPr>
      <w:r w:rsidRPr="00816F89">
        <w:rPr>
          <w:b/>
          <w:lang w:val="en-US"/>
        </w:rPr>
        <w:t>Authors Cited</w:t>
      </w:r>
    </w:p>
    <w:p w14:paraId="4209F1F4" w14:textId="5EE2BE12" w:rsidR="00F5062B" w:rsidRPr="00816F89" w:rsidRDefault="00F5062B" w:rsidP="00F5062B">
      <w:pPr>
        <w:pStyle w:val="SCCNormalDoubleSpacing"/>
        <w:spacing w:after="240" w:line="240" w:lineRule="auto"/>
        <w:ind w:left="547" w:hanging="547"/>
        <w:rPr>
          <w:lang w:val="en-US"/>
        </w:rPr>
      </w:pPr>
      <w:r w:rsidRPr="00816F89">
        <w:rPr>
          <w:lang w:val="en-US"/>
        </w:rPr>
        <w:t>Barrett, Steven M. “</w:t>
      </w:r>
      <w:r w:rsidRPr="00816F89">
        <w:rPr>
          <w:i/>
          <w:lang w:val="en-US"/>
        </w:rPr>
        <w:t>Dunmore v. Ontario (Attorney General)</w:t>
      </w:r>
      <w:r w:rsidRPr="00816F89">
        <w:rPr>
          <w:lang w:val="en-US"/>
        </w:rPr>
        <w:t xml:space="preserve">: Freedom of Association at the Crossroads” (2003), 10 </w:t>
      </w:r>
      <w:r w:rsidRPr="00816F89">
        <w:rPr>
          <w:i/>
          <w:lang w:val="en-US"/>
        </w:rPr>
        <w:t xml:space="preserve">C.L.E.L.J. </w:t>
      </w:r>
      <w:r w:rsidRPr="00816F89">
        <w:rPr>
          <w:lang w:val="en-US"/>
        </w:rPr>
        <w:t>83.</w:t>
      </w:r>
    </w:p>
    <w:p w14:paraId="259B7D99" w14:textId="7AF7C809" w:rsidR="00F5062B" w:rsidRPr="00816F89" w:rsidRDefault="00F5062B" w:rsidP="00F5062B">
      <w:pPr>
        <w:pStyle w:val="SCCNormalDoubleSpacing"/>
        <w:spacing w:after="240" w:line="240" w:lineRule="auto"/>
        <w:ind w:left="547" w:hanging="547"/>
        <w:rPr>
          <w:lang w:val="fr-CA"/>
        </w:rPr>
      </w:pPr>
      <w:r w:rsidRPr="00816F89">
        <w:rPr>
          <w:lang w:val="en-US"/>
        </w:rPr>
        <w:t xml:space="preserve">Barrett, Steven, and Ethan Poskanzer. “What </w:t>
      </w:r>
      <w:r w:rsidRPr="00816F89">
        <w:rPr>
          <w:i/>
          <w:lang w:val="en-US"/>
        </w:rPr>
        <w:t>Fraser</w:t>
      </w:r>
      <w:r w:rsidRPr="00816F89">
        <w:rPr>
          <w:lang w:val="en-US"/>
        </w:rPr>
        <w:t xml:space="preserve"> Means For Labour Rights in Canada”, in Fay Faraday, Judy Fudge and Eric Tucker, eds., </w:t>
      </w:r>
      <w:r w:rsidRPr="00816F89">
        <w:rPr>
          <w:i/>
          <w:lang w:val="en-US"/>
        </w:rPr>
        <w:t>Constitutional Labour Rights in Canada: Farm Workers and the Fraser Case</w:t>
      </w:r>
      <w:r w:rsidRPr="00816F89">
        <w:rPr>
          <w:lang w:val="en-US"/>
        </w:rPr>
        <w:t xml:space="preserve">. </w:t>
      </w:r>
      <w:r w:rsidRPr="00816F89">
        <w:rPr>
          <w:lang w:val="fr-CA"/>
        </w:rPr>
        <w:t>Toronto: Irwin Law, 2012, 190.</w:t>
      </w:r>
    </w:p>
    <w:p w14:paraId="65897B7B" w14:textId="77777777" w:rsidR="00F5062B" w:rsidRPr="00816F89" w:rsidRDefault="006131E0" w:rsidP="00F5062B">
      <w:pPr>
        <w:pStyle w:val="SCCNormalDoubleSpacing"/>
        <w:spacing w:after="240" w:line="240" w:lineRule="auto"/>
        <w:ind w:left="547" w:hanging="547"/>
        <w:rPr>
          <w:lang w:val="fr-CA"/>
        </w:rPr>
      </w:pPr>
      <w:r w:rsidRPr="00816F89">
        <w:rPr>
          <w:lang w:val="fr-CA"/>
        </w:rPr>
        <w:t xml:space="preserve">Blouin, Rodrigue. “La qualification des cadres hiérarchiques par le Code du travail” (1975), 30 </w:t>
      </w:r>
      <w:r w:rsidR="003926A5" w:rsidRPr="00816F89">
        <w:rPr>
          <w:i/>
          <w:lang w:val="fr-CA"/>
        </w:rPr>
        <w:t>I.R.</w:t>
      </w:r>
      <w:r w:rsidRPr="00816F89">
        <w:rPr>
          <w:lang w:val="fr-CA"/>
        </w:rPr>
        <w:t xml:space="preserve"> 478.</w:t>
      </w:r>
    </w:p>
    <w:p w14:paraId="51ED6741" w14:textId="77777777" w:rsidR="00F5062B" w:rsidRPr="00816F89" w:rsidRDefault="00F5062B" w:rsidP="00F5062B">
      <w:pPr>
        <w:pStyle w:val="SCCNormalDoubleSpacing"/>
        <w:spacing w:after="240" w:line="240" w:lineRule="auto"/>
        <w:ind w:left="547" w:hanging="547"/>
        <w:rPr>
          <w:lang w:val="en-US"/>
        </w:rPr>
      </w:pPr>
      <w:r w:rsidRPr="00816F89">
        <w:rPr>
          <w:lang w:val="en-US"/>
        </w:rPr>
        <w:t xml:space="preserve">Bogg, Alan, and Keith Ewing. “A (Muted) Voice at Work? Collective Bargaining in the Supreme Court of Canada” (2012), 33 </w:t>
      </w:r>
      <w:r w:rsidRPr="00816F89">
        <w:rPr>
          <w:i/>
          <w:lang w:val="en-US"/>
        </w:rPr>
        <w:t>Comp. Lab. L. &amp; Pol’y J.</w:t>
      </w:r>
      <w:r w:rsidRPr="00816F89">
        <w:rPr>
          <w:lang w:val="en-US"/>
        </w:rPr>
        <w:t xml:space="preserve"> 379.</w:t>
      </w:r>
    </w:p>
    <w:p w14:paraId="2A59A357" w14:textId="3F953DA6" w:rsidR="00F5062B" w:rsidRPr="00816F89" w:rsidRDefault="00F5062B" w:rsidP="00F5062B">
      <w:pPr>
        <w:pStyle w:val="SCCNormalDoubleSpacing"/>
        <w:spacing w:after="240" w:line="240" w:lineRule="auto"/>
        <w:ind w:left="547" w:hanging="547"/>
        <w:rPr>
          <w:lang w:val="fr-CA"/>
        </w:rPr>
      </w:pPr>
      <w:r w:rsidRPr="00816F89">
        <w:rPr>
          <w:lang w:val="fr-CA"/>
        </w:rPr>
        <w:t xml:space="preserve">Brun, Henri, Guy Tremblay et Eugénie Brouillet. </w:t>
      </w:r>
      <w:r w:rsidRPr="00816F89">
        <w:rPr>
          <w:i/>
          <w:lang w:val="fr-CA"/>
        </w:rPr>
        <w:t>Droit constitutionnel</w:t>
      </w:r>
      <w:r w:rsidRPr="00816F89">
        <w:rPr>
          <w:lang w:val="fr-CA"/>
        </w:rPr>
        <w:t>, 6</w:t>
      </w:r>
      <w:r w:rsidRPr="00816F89">
        <w:rPr>
          <w:vertAlign w:val="superscript"/>
          <w:lang w:val="fr-CA"/>
        </w:rPr>
        <w:t>e</w:t>
      </w:r>
      <w:r w:rsidRPr="00816F89">
        <w:rPr>
          <w:lang w:val="fr-CA"/>
        </w:rPr>
        <w:t> éd. Cowansville, Que.: Yvon Blais, 2014.</w:t>
      </w:r>
    </w:p>
    <w:p w14:paraId="351D02EA" w14:textId="44240B7E" w:rsidR="00F5062B" w:rsidRPr="00816F89" w:rsidRDefault="00F5062B" w:rsidP="00F5062B">
      <w:pPr>
        <w:pStyle w:val="SCCNormalDoubleSpacing"/>
        <w:spacing w:after="240" w:line="240" w:lineRule="auto"/>
        <w:ind w:left="547" w:hanging="547"/>
        <w:rPr>
          <w:lang w:val="en-US"/>
        </w:rPr>
      </w:pPr>
      <w:r w:rsidRPr="00816F89">
        <w:rPr>
          <w:lang w:val="en-US"/>
        </w:rPr>
        <w:t>Cameron, Jamie. “Due Process</w:t>
      </w:r>
      <w:r w:rsidR="005738AD" w:rsidRPr="00816F89">
        <w:rPr>
          <w:lang w:val="en-US"/>
        </w:rPr>
        <w:t>, Collective Bargaining, and s. </w:t>
      </w:r>
      <w:r w:rsidRPr="00816F89">
        <w:rPr>
          <w:lang w:val="en-US"/>
        </w:rPr>
        <w:t xml:space="preserve">2(d) of the </w:t>
      </w:r>
      <w:r w:rsidRPr="00816F89">
        <w:rPr>
          <w:i/>
          <w:lang w:val="en-US"/>
        </w:rPr>
        <w:t>Charter</w:t>
      </w:r>
      <w:r w:rsidRPr="00816F89">
        <w:rPr>
          <w:lang w:val="en-US"/>
        </w:rPr>
        <w:t xml:space="preserve">: A Comment on </w:t>
      </w:r>
      <w:r w:rsidRPr="00816F89">
        <w:rPr>
          <w:i/>
          <w:lang w:val="en-US"/>
        </w:rPr>
        <w:t>B.C. Health Services</w:t>
      </w:r>
      <w:r w:rsidRPr="00816F89">
        <w:rPr>
          <w:lang w:val="en-US"/>
        </w:rPr>
        <w:t xml:space="preserve">” (2006), 13 </w:t>
      </w:r>
      <w:r w:rsidRPr="00816F89">
        <w:rPr>
          <w:i/>
          <w:lang w:val="en-US"/>
        </w:rPr>
        <w:t>C.L.E.L.J.</w:t>
      </w:r>
      <w:r w:rsidRPr="00816F89">
        <w:rPr>
          <w:lang w:val="en-US"/>
        </w:rPr>
        <w:t xml:space="preserve"> 233.</w:t>
      </w:r>
    </w:p>
    <w:p w14:paraId="1BF6A5A2" w14:textId="34A8E978" w:rsidR="00F5062B" w:rsidRPr="00816F89" w:rsidRDefault="00F5062B" w:rsidP="00F5062B">
      <w:pPr>
        <w:pStyle w:val="SCCNormalDoubleSpacing"/>
        <w:spacing w:after="240" w:line="240" w:lineRule="auto"/>
        <w:ind w:left="547" w:hanging="547"/>
        <w:rPr>
          <w:lang w:val="fr-CA"/>
        </w:rPr>
      </w:pPr>
      <w:r w:rsidRPr="00816F89">
        <w:rPr>
          <w:lang w:val="fr-CA"/>
        </w:rPr>
        <w:t xml:space="preserve">Cameron, Jamie, and Nathalie Des Rosiers. </w:t>
      </w:r>
      <w:r w:rsidRPr="00816F89">
        <w:rPr>
          <w:lang w:val="en-US"/>
        </w:rPr>
        <w:t xml:space="preserve">“The Right to Protest, Freedom of Expression, and Freedom of Association”, in Peter Oliver, Patrick Macklem and Nathalie Des Rosiers, eds., </w:t>
      </w:r>
      <w:r w:rsidRPr="00816F89">
        <w:rPr>
          <w:i/>
          <w:lang w:val="en-US"/>
        </w:rPr>
        <w:t>The Oxford Handbook of the Canadian Constitution</w:t>
      </w:r>
      <w:r w:rsidRPr="00816F89">
        <w:rPr>
          <w:lang w:val="en-US"/>
        </w:rPr>
        <w:t xml:space="preserve">. </w:t>
      </w:r>
      <w:r w:rsidRPr="00816F89">
        <w:rPr>
          <w:lang w:val="fr-CA"/>
        </w:rPr>
        <w:t>New York: Oxford University Press, 2017, 737.</w:t>
      </w:r>
    </w:p>
    <w:p w14:paraId="0CAAF2D5" w14:textId="4E0B0D4F" w:rsidR="006131E0" w:rsidRPr="00816F89" w:rsidRDefault="006131E0" w:rsidP="006131E0">
      <w:pPr>
        <w:pStyle w:val="SCCNormalDoubleSpacing"/>
        <w:spacing w:after="240" w:line="240" w:lineRule="auto"/>
        <w:ind w:left="547" w:hanging="547"/>
        <w:rPr>
          <w:lang w:val="fr-CA"/>
        </w:rPr>
      </w:pPr>
      <w:r w:rsidRPr="00816F89">
        <w:rPr>
          <w:lang w:val="fr-CA"/>
        </w:rPr>
        <w:t xml:space="preserve">Chartier, Roger. “Le syndicalisme de cadres et la législation québécoise du travail” (1965), 20 </w:t>
      </w:r>
      <w:r w:rsidR="003926A5" w:rsidRPr="00816F89">
        <w:rPr>
          <w:i/>
          <w:lang w:val="fr-CA"/>
        </w:rPr>
        <w:t>I.R.</w:t>
      </w:r>
      <w:r w:rsidRPr="00816F89">
        <w:rPr>
          <w:lang w:val="fr-CA"/>
        </w:rPr>
        <w:t xml:space="preserve"> 278.</w:t>
      </w:r>
    </w:p>
    <w:p w14:paraId="6910E73B" w14:textId="77777777" w:rsidR="006131E0" w:rsidRPr="00816F89" w:rsidRDefault="006131E0" w:rsidP="006131E0">
      <w:pPr>
        <w:pStyle w:val="SCCNormalDoubleSpacing"/>
        <w:spacing w:after="240" w:line="240" w:lineRule="auto"/>
        <w:ind w:left="547" w:hanging="547"/>
        <w:rPr>
          <w:lang w:val="en-US"/>
        </w:rPr>
      </w:pPr>
      <w:r w:rsidRPr="00816F89">
        <w:rPr>
          <w:lang w:val="fr-CA"/>
        </w:rPr>
        <w:t xml:space="preserve">Coutu, Michel, et autres, avec la collaboration de Florence Laporte-Murdock. </w:t>
      </w:r>
      <w:r w:rsidRPr="00816F89">
        <w:rPr>
          <w:i/>
          <w:lang w:val="fr-CA"/>
        </w:rPr>
        <w:t>Droit des rapports collectifs du travail au Québec</w:t>
      </w:r>
      <w:r w:rsidRPr="00816F89">
        <w:rPr>
          <w:lang w:val="fr-CA"/>
        </w:rPr>
        <w:t xml:space="preserve">, vol. 1, </w:t>
      </w:r>
      <w:r w:rsidRPr="00816F89">
        <w:rPr>
          <w:i/>
          <w:lang w:val="fr-CA"/>
        </w:rPr>
        <w:t>Le régime général</w:t>
      </w:r>
      <w:r w:rsidRPr="00816F89">
        <w:rPr>
          <w:lang w:val="fr-CA"/>
        </w:rPr>
        <w:t>, 3</w:t>
      </w:r>
      <w:r w:rsidRPr="00816F89">
        <w:rPr>
          <w:vertAlign w:val="superscript"/>
          <w:lang w:val="fr-CA"/>
        </w:rPr>
        <w:t>e</w:t>
      </w:r>
      <w:r w:rsidRPr="00816F89">
        <w:rPr>
          <w:lang w:val="fr-CA"/>
        </w:rPr>
        <w:t xml:space="preserve"> éd. </w:t>
      </w:r>
      <w:r w:rsidRPr="00816F89">
        <w:rPr>
          <w:lang w:val="en-US"/>
        </w:rPr>
        <w:t>Montréal: Yvon Blais, 2019.</w:t>
      </w:r>
    </w:p>
    <w:p w14:paraId="3C74D90D" w14:textId="77777777" w:rsidR="006F4679" w:rsidRPr="00816F89" w:rsidRDefault="006131E0" w:rsidP="006F4679">
      <w:pPr>
        <w:pStyle w:val="SCCNormalDoubleSpacing"/>
        <w:spacing w:after="240" w:line="240" w:lineRule="auto"/>
        <w:ind w:left="547" w:hanging="547"/>
        <w:rPr>
          <w:lang w:val="en-US"/>
        </w:rPr>
      </w:pPr>
      <w:r w:rsidRPr="00816F89">
        <w:rPr>
          <w:lang w:val="en-US"/>
        </w:rPr>
        <w:t xml:space="preserve">Daykin, Walter L. “The Status of Supervisory Employees Under the National Labor Relations Act” (1944), 29 </w:t>
      </w:r>
      <w:r w:rsidRPr="00816F89">
        <w:rPr>
          <w:i/>
          <w:lang w:val="en-US"/>
        </w:rPr>
        <w:t>Iowa L. Rev.</w:t>
      </w:r>
      <w:r w:rsidRPr="00816F89">
        <w:rPr>
          <w:lang w:val="en-US"/>
        </w:rPr>
        <w:t xml:space="preserve"> 297.</w:t>
      </w:r>
    </w:p>
    <w:p w14:paraId="0BC830A6" w14:textId="3FEBEECF" w:rsidR="006F4679" w:rsidRPr="00816F89" w:rsidRDefault="006F4679" w:rsidP="006F4679">
      <w:pPr>
        <w:pStyle w:val="SCCNormalDoubleSpacing"/>
        <w:spacing w:after="240" w:line="240" w:lineRule="auto"/>
        <w:ind w:left="547" w:hanging="547"/>
        <w:rPr>
          <w:lang w:val="en-US"/>
        </w:rPr>
      </w:pPr>
      <w:r w:rsidRPr="00816F89">
        <w:rPr>
          <w:lang w:val="en-US"/>
        </w:rPr>
        <w:t xml:space="preserve">Faraday, Fay. “Taking a Mulligan: Freedom of Association”, in Howard Kislowicz, Kerri A. Froc and Richard Moon, eds., </w:t>
      </w:r>
      <w:r w:rsidRPr="00816F89">
        <w:rPr>
          <w:i/>
          <w:lang w:val="en-US"/>
        </w:rPr>
        <w:t>Canada’s Surprising Constitution: Unexpected Interpretations of the Constitution Act, 1982</w:t>
      </w:r>
      <w:r w:rsidRPr="00816F89">
        <w:rPr>
          <w:lang w:val="en-US"/>
        </w:rPr>
        <w:t>. Vancouver: UBC Press, 2024 (forthcoming), 335.</w:t>
      </w:r>
    </w:p>
    <w:p w14:paraId="5537AC8D" w14:textId="28F87679" w:rsidR="00F5062B" w:rsidRPr="00816F89" w:rsidRDefault="00F5062B" w:rsidP="00F5062B">
      <w:pPr>
        <w:pStyle w:val="SCCNormalDoubleSpacing"/>
        <w:spacing w:after="240" w:line="240" w:lineRule="auto"/>
        <w:ind w:left="547" w:hanging="547"/>
        <w:rPr>
          <w:lang w:val="en-US"/>
        </w:rPr>
      </w:pPr>
      <w:r w:rsidRPr="00816F89">
        <w:rPr>
          <w:lang w:val="en-US"/>
        </w:rPr>
        <w:t xml:space="preserve">Fudge, Judy. “Freedom of Association”, in Errol Mendes and Stéphane Beaulac, eds., </w:t>
      </w:r>
      <w:r w:rsidRPr="00816F89">
        <w:rPr>
          <w:i/>
          <w:lang w:val="en-US"/>
        </w:rPr>
        <w:t>Canadian Charter of Rights and Freedoms</w:t>
      </w:r>
      <w:r w:rsidRPr="00816F89">
        <w:rPr>
          <w:lang w:val="en-US"/>
        </w:rPr>
        <w:t>, 5th ed. Markham, Ont.: LexisNexis, 2013, 527.</w:t>
      </w:r>
    </w:p>
    <w:p w14:paraId="067B0D16" w14:textId="7B6377B8" w:rsidR="004374C6" w:rsidRPr="00816F89" w:rsidRDefault="004374C6" w:rsidP="004374C6">
      <w:pPr>
        <w:pStyle w:val="SCCNormalDoubleSpacing"/>
        <w:spacing w:after="240" w:line="240" w:lineRule="auto"/>
        <w:ind w:left="547" w:hanging="547"/>
        <w:rPr>
          <w:lang w:val="en-US"/>
        </w:rPr>
      </w:pPr>
      <w:r w:rsidRPr="00816F89">
        <w:rPr>
          <w:lang w:val="en-US"/>
        </w:rPr>
        <w:t xml:space="preserve">International Labour Office. Committee on Freedom of Association. Report No. 335. Case No. 2257. “Report in which the Committee requests to be kept informed of developments”, </w:t>
      </w:r>
      <w:r w:rsidRPr="00816F89">
        <w:rPr>
          <w:i/>
          <w:lang w:val="en-US"/>
        </w:rPr>
        <w:t>ILO Official Bulletin</w:t>
      </w:r>
      <w:r w:rsidRPr="00816F89">
        <w:rPr>
          <w:lang w:val="en-US"/>
        </w:rPr>
        <w:t>, vol. LXXXVII, 2004, Series B, No. 3.</w:t>
      </w:r>
    </w:p>
    <w:p w14:paraId="308693F6" w14:textId="77777777" w:rsidR="00F5062B" w:rsidRPr="00816F89" w:rsidRDefault="006131E0" w:rsidP="00F5062B">
      <w:pPr>
        <w:pStyle w:val="SCCNormalDoubleSpacing"/>
        <w:spacing w:after="240" w:line="240" w:lineRule="auto"/>
        <w:ind w:left="547" w:hanging="547"/>
        <w:rPr>
          <w:lang w:val="en-US"/>
        </w:rPr>
      </w:pPr>
      <w:r w:rsidRPr="00816F89">
        <w:rPr>
          <w:lang w:val="en-US"/>
        </w:rPr>
        <w:t xml:space="preserve">Langille, Brian. “Why Are Canadian Judges Drafting Labour Codes — And Constitutionalizing the Wagner Act Model?” (2009), 15 </w:t>
      </w:r>
      <w:r w:rsidRPr="00816F89">
        <w:rPr>
          <w:i/>
          <w:lang w:val="en-US"/>
        </w:rPr>
        <w:t>C.L.E.L.J.</w:t>
      </w:r>
      <w:r w:rsidRPr="00816F89">
        <w:rPr>
          <w:lang w:val="en-US"/>
        </w:rPr>
        <w:t xml:space="preserve"> 101.</w:t>
      </w:r>
    </w:p>
    <w:p w14:paraId="1F557EC7" w14:textId="7C7C2012" w:rsidR="00F5062B" w:rsidRPr="00816F89" w:rsidRDefault="00F5062B" w:rsidP="00F5062B">
      <w:pPr>
        <w:pStyle w:val="SCCNormalDoubleSpacing"/>
        <w:spacing w:after="240" w:line="240" w:lineRule="auto"/>
        <w:ind w:left="547" w:hanging="547"/>
        <w:rPr>
          <w:lang w:val="en-US"/>
        </w:rPr>
      </w:pPr>
      <w:r w:rsidRPr="00816F89">
        <w:rPr>
          <w:lang w:val="en-US"/>
        </w:rPr>
        <w:t>Langille, Brian. “</w:t>
      </w:r>
      <w:r w:rsidRPr="00816F89">
        <w:rPr>
          <w:bCs/>
          <w:lang w:val="en-US"/>
        </w:rPr>
        <w:t xml:space="preserve">Why </w:t>
      </w:r>
      <w:r w:rsidRPr="00816F89">
        <w:rPr>
          <w:lang w:val="en-US"/>
        </w:rPr>
        <w:t xml:space="preserve">the Right-Freedom Distinction Matters to Labour Lawyers — And to </w:t>
      </w:r>
      <w:r w:rsidRPr="00816F89">
        <w:rPr>
          <w:bCs/>
          <w:lang w:val="en-US"/>
        </w:rPr>
        <w:t xml:space="preserve">All </w:t>
      </w:r>
      <w:r w:rsidRPr="00816F89">
        <w:rPr>
          <w:lang w:val="en-US"/>
        </w:rPr>
        <w:t xml:space="preserve">Canadians” (2011), 34 </w:t>
      </w:r>
      <w:r w:rsidRPr="00816F89">
        <w:rPr>
          <w:i/>
          <w:lang w:val="en-US"/>
        </w:rPr>
        <w:t>Dal. L.J.</w:t>
      </w:r>
      <w:r w:rsidRPr="00816F89">
        <w:rPr>
          <w:lang w:val="en-US"/>
        </w:rPr>
        <w:t xml:space="preserve"> 143.</w:t>
      </w:r>
    </w:p>
    <w:p w14:paraId="2C121137" w14:textId="5C863EBE" w:rsidR="00F5062B" w:rsidRPr="00816F89" w:rsidRDefault="00F5062B" w:rsidP="00F5062B">
      <w:pPr>
        <w:pStyle w:val="SCCNormalDoubleSpacing"/>
        <w:spacing w:after="240" w:line="240" w:lineRule="auto"/>
        <w:ind w:left="547" w:hanging="547"/>
        <w:rPr>
          <w:lang w:val="en-US"/>
        </w:rPr>
      </w:pPr>
      <w:r w:rsidRPr="00816F89">
        <w:rPr>
          <w:lang w:val="en-US"/>
        </w:rPr>
        <w:t xml:space="preserve">Langille, Brian, and Benjamin Oliphant. “The Legal Structure of Freedom of Association” (2014), 40 </w:t>
      </w:r>
      <w:r w:rsidRPr="00816F89">
        <w:rPr>
          <w:i/>
          <w:lang w:val="en-US"/>
        </w:rPr>
        <w:t>Queen’s L.J.</w:t>
      </w:r>
      <w:r w:rsidRPr="00816F89">
        <w:rPr>
          <w:lang w:val="en-US"/>
        </w:rPr>
        <w:t xml:space="preserve"> 249.</w:t>
      </w:r>
    </w:p>
    <w:p w14:paraId="17C74197" w14:textId="77777777" w:rsidR="006131E0" w:rsidRPr="00816F89" w:rsidRDefault="006131E0" w:rsidP="006131E0">
      <w:pPr>
        <w:pStyle w:val="SCCNormalDoubleSpacing"/>
        <w:spacing w:after="240" w:line="240" w:lineRule="auto"/>
        <w:ind w:left="547" w:hanging="547"/>
        <w:rPr>
          <w:lang w:val="fr-CA"/>
        </w:rPr>
      </w:pPr>
      <w:r w:rsidRPr="00816F89">
        <w:rPr>
          <w:lang w:val="fr-CA"/>
        </w:rPr>
        <w:t xml:space="preserve">Morin, Fernand. </w:t>
      </w:r>
      <w:r w:rsidRPr="00816F89">
        <w:rPr>
          <w:i/>
          <w:lang w:val="fr-CA"/>
        </w:rPr>
        <w:t>L’élaboration du droit de l’emploi du Québec: Ses sources législatives et judiciaires</w:t>
      </w:r>
      <w:r w:rsidRPr="00816F89">
        <w:rPr>
          <w:lang w:val="fr-CA"/>
        </w:rPr>
        <w:t>. Montréal: Wilson &amp; Lafleur, 2011.</w:t>
      </w:r>
    </w:p>
    <w:p w14:paraId="17D79651" w14:textId="77777777" w:rsidR="006131E0" w:rsidRPr="00816F89" w:rsidRDefault="006131E0" w:rsidP="006131E0">
      <w:pPr>
        <w:pStyle w:val="SCCNormalDoubleSpacing"/>
        <w:spacing w:after="240" w:line="240" w:lineRule="auto"/>
        <w:ind w:left="547" w:hanging="547"/>
        <w:rPr>
          <w:lang w:val="fr-CA"/>
        </w:rPr>
      </w:pPr>
      <w:r w:rsidRPr="00816F89">
        <w:rPr>
          <w:lang w:val="fr-CA"/>
        </w:rPr>
        <w:t xml:space="preserve">Morin, Fernand. </w:t>
      </w:r>
      <w:r w:rsidRPr="00816F89">
        <w:rPr>
          <w:i/>
          <w:lang w:val="fr-CA"/>
        </w:rPr>
        <w:t>Rapports collectifs du travail</w:t>
      </w:r>
      <w:r w:rsidRPr="00816F89">
        <w:rPr>
          <w:lang w:val="fr-CA"/>
        </w:rPr>
        <w:t>, 2</w:t>
      </w:r>
      <w:r w:rsidRPr="00816F89">
        <w:rPr>
          <w:vertAlign w:val="superscript"/>
          <w:lang w:val="fr-CA"/>
        </w:rPr>
        <w:t>e</w:t>
      </w:r>
      <w:r w:rsidRPr="00816F89">
        <w:rPr>
          <w:lang w:val="fr-CA"/>
        </w:rPr>
        <w:t> éd. Montréal: Thémis, 1991.</w:t>
      </w:r>
    </w:p>
    <w:p w14:paraId="581B76E4" w14:textId="44AE6AA1" w:rsidR="006131E0" w:rsidRPr="00816F89" w:rsidRDefault="006131E0" w:rsidP="005738AD">
      <w:pPr>
        <w:pStyle w:val="SCCNormalDoubleSpacing"/>
        <w:spacing w:after="720" w:line="240" w:lineRule="auto"/>
        <w:ind w:left="547" w:hanging="547"/>
        <w:rPr>
          <w:lang w:val="en-US"/>
        </w:rPr>
      </w:pPr>
      <w:r w:rsidRPr="00816F89">
        <w:rPr>
          <w:lang w:val="fr-CA"/>
        </w:rPr>
        <w:t xml:space="preserve">Morin, Fernand, et autres. </w:t>
      </w:r>
      <w:r w:rsidRPr="00816F89">
        <w:rPr>
          <w:i/>
          <w:lang w:val="fr-CA"/>
        </w:rPr>
        <w:t>Le droit de l’emploi au Québec</w:t>
      </w:r>
      <w:r w:rsidRPr="00816F89">
        <w:rPr>
          <w:lang w:val="fr-CA"/>
        </w:rPr>
        <w:t>, 4</w:t>
      </w:r>
      <w:r w:rsidRPr="00816F89">
        <w:rPr>
          <w:vertAlign w:val="superscript"/>
          <w:lang w:val="fr-CA"/>
        </w:rPr>
        <w:t>e</w:t>
      </w:r>
      <w:r w:rsidRPr="00816F89">
        <w:rPr>
          <w:lang w:val="fr-CA"/>
        </w:rPr>
        <w:t xml:space="preserve"> éd. </w:t>
      </w:r>
      <w:r w:rsidRPr="00816F89">
        <w:rPr>
          <w:lang w:val="en-US"/>
        </w:rPr>
        <w:t>Montréal: Wilson &amp; Lafleur, 2010.</w:t>
      </w:r>
    </w:p>
    <w:p w14:paraId="01D01583" w14:textId="09597A54" w:rsidR="00656313" w:rsidRPr="00816F89" w:rsidRDefault="009B57B3" w:rsidP="005738AD">
      <w:pPr>
        <w:pStyle w:val="SCCNormalDoubleSpacing"/>
        <w:spacing w:after="480"/>
        <w:rPr>
          <w:lang w:val="en-US"/>
        </w:rPr>
      </w:pPr>
      <w:r w:rsidRPr="00816F89">
        <w:tab/>
        <w:t>APPEAL</w:t>
      </w:r>
      <w:r w:rsidR="00D12819" w:rsidRPr="00816F89">
        <w:t>S</w:t>
      </w:r>
      <w:r w:rsidRPr="00816F89">
        <w:t xml:space="preserve"> from a judgment of the </w:t>
      </w:r>
      <w:r w:rsidR="00A34568" w:rsidRPr="00816F89">
        <w:t xml:space="preserve">Quebec </w:t>
      </w:r>
      <w:r w:rsidRPr="00816F89">
        <w:t>Cou</w:t>
      </w:r>
      <w:r w:rsidR="00A34568" w:rsidRPr="00816F89">
        <w:t>rt of Appeal (</w:t>
      </w:r>
      <w:r w:rsidR="003A56EF" w:rsidRPr="00816F89">
        <w:t>Gagnon, Hogue and Beaupré </w:t>
      </w:r>
      <w:r w:rsidR="00A34568" w:rsidRPr="00816F89">
        <w:t>JJ.A.</w:t>
      </w:r>
      <w:r w:rsidRPr="00816F89">
        <w:t>)</w:t>
      </w:r>
      <w:r w:rsidR="00762C74" w:rsidRPr="00816F89">
        <w:t xml:space="preserve">, </w:t>
      </w:r>
      <w:hyperlink r:id="rId10" w:history="1">
        <w:r w:rsidR="00762C74" w:rsidRPr="00816F89">
          <w:rPr>
            <w:rStyle w:val="Hyperlink"/>
          </w:rPr>
          <w:t>2022 QCCA 180</w:t>
        </w:r>
      </w:hyperlink>
      <w:r w:rsidR="005738AD" w:rsidRPr="00816F89">
        <w:t>, [2022] AZ</w:t>
      </w:r>
      <w:r w:rsidR="005738AD" w:rsidRPr="00816F89">
        <w:noBreakHyphen/>
      </w:r>
      <w:r w:rsidR="00875B9B" w:rsidRPr="00816F89">
        <w:t>51828174</w:t>
      </w:r>
      <w:r w:rsidR="00762C74" w:rsidRPr="00816F89">
        <w:t xml:space="preserve">, </w:t>
      </w:r>
      <w:r w:rsidR="00526D4B" w:rsidRPr="00816F89">
        <w:t>[2022] Q.J. No. 661</w:t>
      </w:r>
      <w:r w:rsidR="00762C74" w:rsidRPr="00816F89">
        <w:t xml:space="preserve"> (</w:t>
      </w:r>
      <w:r w:rsidR="0050060C" w:rsidRPr="00816F89">
        <w:t>Lexis</w:t>
      </w:r>
      <w:r w:rsidR="00762C74" w:rsidRPr="00816F89">
        <w:t xml:space="preserve">), </w:t>
      </w:r>
      <w:r w:rsidR="00526D4B" w:rsidRPr="00816F89">
        <w:t>2022 CarswellQue 21330</w:t>
      </w:r>
      <w:r w:rsidR="00762C74" w:rsidRPr="00816F89">
        <w:t xml:space="preserve"> (WL), </w:t>
      </w:r>
      <w:r w:rsidR="00762C74" w:rsidRPr="00816F89">
        <w:rPr>
          <w:lang w:val="en"/>
        </w:rPr>
        <w:t xml:space="preserve">setting aside a decision of </w:t>
      </w:r>
      <w:r w:rsidR="00762C74" w:rsidRPr="00816F89">
        <w:t>Lamarche J., 2018 QCCS 4781</w:t>
      </w:r>
      <w:r w:rsidR="005738AD" w:rsidRPr="00816F89">
        <w:t>, [2018] AZ</w:t>
      </w:r>
      <w:r w:rsidR="005738AD" w:rsidRPr="00816F89">
        <w:noBreakHyphen/>
      </w:r>
      <w:r w:rsidR="00547266" w:rsidRPr="00816F89">
        <w:t>51543513</w:t>
      </w:r>
      <w:r w:rsidR="00762C74" w:rsidRPr="00816F89">
        <w:t>, [2018] J.Q. n</w:t>
      </w:r>
      <w:r w:rsidR="00762C74" w:rsidRPr="00816F89">
        <w:rPr>
          <w:vertAlign w:val="superscript"/>
        </w:rPr>
        <w:t>o</w:t>
      </w:r>
      <w:r w:rsidR="00762C74" w:rsidRPr="00816F89">
        <w:t> 10547 (</w:t>
      </w:r>
      <w:r w:rsidR="0050060C" w:rsidRPr="00816F89">
        <w:t>Lexis</w:t>
      </w:r>
      <w:r w:rsidR="00762C74" w:rsidRPr="00816F89">
        <w:t>), 2018 CarswellQue 10361 (WL)</w:t>
      </w:r>
      <w:r w:rsidR="00526D4B" w:rsidRPr="00816F89">
        <w:t>, allowing an application for judicial review of a decision of the Administrative Labour Tribu</w:t>
      </w:r>
      <w:r w:rsidR="005738AD" w:rsidRPr="00816F89">
        <w:t>nal, 2016 QCTAT 6870, [2016] AZ</w:t>
      </w:r>
      <w:r w:rsidR="005738AD" w:rsidRPr="00816F89">
        <w:noBreakHyphen/>
      </w:r>
      <w:r w:rsidR="00526D4B" w:rsidRPr="00816F89">
        <w:t>51348664, 2016 LNQCTAT 1697 (</w:t>
      </w:r>
      <w:r w:rsidR="0050060C" w:rsidRPr="00816F89">
        <w:t>Lexis</w:t>
      </w:r>
      <w:r w:rsidR="00526D4B" w:rsidRPr="00816F89">
        <w:t>), 2016 CarswellQue 14696 (WL)</w:t>
      </w:r>
      <w:r w:rsidR="00762C74" w:rsidRPr="00816F89">
        <w:t xml:space="preserve">. </w:t>
      </w:r>
      <w:r w:rsidR="00762C74" w:rsidRPr="00816F89">
        <w:rPr>
          <w:lang w:val="en-US"/>
        </w:rPr>
        <w:t>Appeal</w:t>
      </w:r>
      <w:r w:rsidR="00D12819" w:rsidRPr="00816F89">
        <w:rPr>
          <w:lang w:val="en-US"/>
        </w:rPr>
        <w:t>s</w:t>
      </w:r>
      <w:r w:rsidR="00762C74" w:rsidRPr="00816F89">
        <w:rPr>
          <w:lang w:val="en-US"/>
        </w:rPr>
        <w:t xml:space="preserve"> </w:t>
      </w:r>
      <w:r w:rsidR="009140FE" w:rsidRPr="00816F89">
        <w:rPr>
          <w:lang w:val="en-US"/>
        </w:rPr>
        <w:t>allowed</w:t>
      </w:r>
      <w:r w:rsidR="00762C74" w:rsidRPr="00816F89">
        <w:rPr>
          <w:lang w:val="en-US"/>
        </w:rPr>
        <w:t>.</w:t>
      </w:r>
    </w:p>
    <w:p w14:paraId="763A1F48" w14:textId="6D92E80E" w:rsidR="00B4401D" w:rsidRPr="00816F89" w:rsidRDefault="004A12F6" w:rsidP="005738AD">
      <w:pPr>
        <w:pStyle w:val="SCCNormalDoubleSpacing"/>
        <w:spacing w:after="480"/>
      </w:pPr>
      <w:r w:rsidRPr="00816F89">
        <w:rPr>
          <w:rStyle w:val="SCCCounselNameChar"/>
          <w:lang w:val="en-US"/>
        </w:rPr>
        <w:tab/>
      </w:r>
      <w:r w:rsidRPr="00816F89">
        <w:rPr>
          <w:rStyle w:val="SCCCounselNameChar"/>
        </w:rPr>
        <w:t>Jean Leduc</w:t>
      </w:r>
      <w:r w:rsidR="00DA5E91" w:rsidRPr="00816F89">
        <w:rPr>
          <w:rStyle w:val="SCCCounselNameChar"/>
        </w:rPr>
        <w:t xml:space="preserve"> </w:t>
      </w:r>
      <w:r w:rsidR="00DA5E91" w:rsidRPr="00816F89">
        <w:rPr>
          <w:rStyle w:val="SCCCounselNameChar"/>
          <w:i w:val="0"/>
        </w:rPr>
        <w:t xml:space="preserve">and </w:t>
      </w:r>
      <w:r w:rsidR="00DA5E91" w:rsidRPr="00816F89">
        <w:rPr>
          <w:rStyle w:val="SCCCounselNameChar"/>
        </w:rPr>
        <w:t>Camille Grimard</w:t>
      </w:r>
      <w:r w:rsidRPr="00816F89">
        <w:rPr>
          <w:rStyle w:val="SCCCounselPartyRoleChar"/>
        </w:rPr>
        <w:t xml:space="preserve">, </w:t>
      </w:r>
      <w:r w:rsidR="0010661D" w:rsidRPr="00816F89">
        <w:rPr>
          <w:rStyle w:val="SCCCounselPartyRoleChar"/>
        </w:rPr>
        <w:t xml:space="preserve">for </w:t>
      </w:r>
      <w:r w:rsidR="00DA5E91" w:rsidRPr="00816F89">
        <w:t>Société des casinos du Québec inc</w:t>
      </w:r>
      <w:r w:rsidRPr="00816F89">
        <w:rPr>
          <w:rStyle w:val="SCCCounselPartyRoleChar"/>
        </w:rPr>
        <w:t>.</w:t>
      </w:r>
    </w:p>
    <w:p w14:paraId="585FF2D2" w14:textId="287D0C00" w:rsidR="00B4401D" w:rsidRPr="00816F89" w:rsidRDefault="004A12F6" w:rsidP="005738AD">
      <w:pPr>
        <w:pStyle w:val="SCCNormalDoubleSpacing"/>
        <w:spacing w:after="480"/>
        <w:rPr>
          <w:lang w:val="en-US"/>
        </w:rPr>
      </w:pPr>
      <w:r w:rsidRPr="00816F89">
        <w:rPr>
          <w:rStyle w:val="SCCCounselNameChar"/>
        </w:rPr>
        <w:tab/>
      </w:r>
      <w:r w:rsidRPr="00816F89">
        <w:rPr>
          <w:rStyle w:val="SCCCounselNameChar"/>
          <w:lang w:val="en-US"/>
        </w:rPr>
        <w:t>Michel Déom</w:t>
      </w:r>
      <w:r w:rsidRPr="00816F89">
        <w:rPr>
          <w:rStyle w:val="SCCCounselNameChar"/>
          <w:i w:val="0"/>
          <w:lang w:val="en-US"/>
        </w:rPr>
        <w:t>,</w:t>
      </w:r>
      <w:r w:rsidRPr="00816F89">
        <w:rPr>
          <w:rStyle w:val="SCCCounselNameChar"/>
          <w:lang w:val="en-US"/>
        </w:rPr>
        <w:t xml:space="preserve"> Samuel Chayer</w:t>
      </w:r>
      <w:r w:rsidR="00DA5E91" w:rsidRPr="00816F89">
        <w:rPr>
          <w:rStyle w:val="SCCCounselNameChar"/>
          <w:i w:val="0"/>
          <w:lang w:val="en-US"/>
        </w:rPr>
        <w:t xml:space="preserve">, </w:t>
      </w:r>
      <w:r w:rsidR="00DA5E91" w:rsidRPr="00816F89">
        <w:rPr>
          <w:rStyle w:val="SCCCounselNameChar"/>
          <w:lang w:val="en-US"/>
        </w:rPr>
        <w:t>Caroline Renaud</w:t>
      </w:r>
      <w:r w:rsidRPr="00816F89">
        <w:rPr>
          <w:rStyle w:val="SCCCounselSeparatorChar"/>
          <w:lang w:val="en-US"/>
        </w:rPr>
        <w:t xml:space="preserve"> and </w:t>
      </w:r>
      <w:r w:rsidR="00DA5E91" w:rsidRPr="00816F89">
        <w:rPr>
          <w:rStyle w:val="SCCCounselNameChar"/>
          <w:lang w:val="en-US"/>
        </w:rPr>
        <w:t>Gabrielle St</w:t>
      </w:r>
      <w:r w:rsidR="00DA5E91" w:rsidRPr="00816F89">
        <w:rPr>
          <w:rStyle w:val="SCCCounselNameChar"/>
          <w:lang w:val="en-US"/>
        </w:rPr>
        <w:noBreakHyphen/>
        <w:t>Martin Deaudelin</w:t>
      </w:r>
      <w:r w:rsidRPr="00816F89">
        <w:rPr>
          <w:rStyle w:val="SCCCounselPartyRoleChar"/>
          <w:lang w:val="en-US"/>
        </w:rPr>
        <w:t xml:space="preserve">, for the </w:t>
      </w:r>
      <w:r w:rsidR="00DA5E91" w:rsidRPr="00816F89">
        <w:rPr>
          <w:lang w:val="en-US"/>
        </w:rPr>
        <w:t>Attorney General of Quebec</w:t>
      </w:r>
      <w:r w:rsidRPr="00816F89">
        <w:rPr>
          <w:rStyle w:val="SCCCounselPartyRoleChar"/>
          <w:lang w:val="en-US"/>
        </w:rPr>
        <w:t>.</w:t>
      </w:r>
    </w:p>
    <w:p w14:paraId="5650A468" w14:textId="119EFD6F" w:rsidR="00B4401D" w:rsidRPr="00816F89" w:rsidRDefault="004A12F6" w:rsidP="005738AD">
      <w:pPr>
        <w:pStyle w:val="SCCNormalDoubleSpacing"/>
        <w:spacing w:after="480"/>
        <w:rPr>
          <w:lang w:val="en-US"/>
        </w:rPr>
      </w:pPr>
      <w:r w:rsidRPr="00816F89">
        <w:rPr>
          <w:rStyle w:val="SCCCounselNameChar"/>
          <w:lang w:val="en-US"/>
        </w:rPr>
        <w:tab/>
        <w:t>Sophie Cloutier</w:t>
      </w:r>
      <w:r w:rsidR="00EE470B" w:rsidRPr="00816F89">
        <w:rPr>
          <w:rStyle w:val="SCCCounselNameChar"/>
          <w:i w:val="0"/>
          <w:lang w:val="en-US"/>
        </w:rPr>
        <w:t xml:space="preserve"> and </w:t>
      </w:r>
      <w:r w:rsidR="00EE470B" w:rsidRPr="00816F89">
        <w:rPr>
          <w:rStyle w:val="SCCCounselNameChar"/>
          <w:lang w:val="en-US"/>
        </w:rPr>
        <w:t>Jean</w:t>
      </w:r>
      <w:r w:rsidR="005738AD" w:rsidRPr="00816F89">
        <w:rPr>
          <w:rStyle w:val="SCCCounselNameChar"/>
          <w:lang w:val="en-US"/>
        </w:rPr>
        <w:noBreakHyphen/>
      </w:r>
      <w:r w:rsidR="00EE470B" w:rsidRPr="00816F89">
        <w:rPr>
          <w:rStyle w:val="SCCCounselNameChar"/>
          <w:lang w:val="en-US"/>
        </w:rPr>
        <w:t>Luc Dufour</w:t>
      </w:r>
      <w:r w:rsidRPr="00816F89">
        <w:rPr>
          <w:rStyle w:val="SCCCounselPartyRoleChar"/>
          <w:lang w:val="en-US"/>
        </w:rPr>
        <w:t>, for the respondent.</w:t>
      </w:r>
    </w:p>
    <w:p w14:paraId="317613BB" w14:textId="77777777" w:rsidR="00D745AC" w:rsidRPr="00816F89" w:rsidRDefault="00D745AC" w:rsidP="005738AD">
      <w:pPr>
        <w:pStyle w:val="SCCNormalDoubleSpacing"/>
        <w:spacing w:after="480"/>
      </w:pPr>
      <w:r w:rsidRPr="00816F89">
        <w:rPr>
          <w:rStyle w:val="SCCCounselNameChar"/>
        </w:rPr>
        <w:tab/>
        <w:t>Sean Gaudet</w:t>
      </w:r>
      <w:r w:rsidRPr="00816F89">
        <w:rPr>
          <w:rStyle w:val="SCCCounselSeparatorChar"/>
        </w:rPr>
        <w:t xml:space="preserve"> and </w:t>
      </w:r>
      <w:r w:rsidRPr="00816F89">
        <w:rPr>
          <w:rStyle w:val="SCCCounselNameChar"/>
        </w:rPr>
        <w:t>Kirk Shannon</w:t>
      </w:r>
      <w:r w:rsidRPr="00816F89">
        <w:rPr>
          <w:rStyle w:val="SCCCounselPartyRoleChar"/>
        </w:rPr>
        <w:t>, for the intervener the Attorney General of Canada.</w:t>
      </w:r>
    </w:p>
    <w:p w14:paraId="63DA41FF" w14:textId="469EA32E" w:rsidR="00D745AC" w:rsidRPr="00816F89" w:rsidRDefault="00D745AC" w:rsidP="005738AD">
      <w:pPr>
        <w:pStyle w:val="SCCNormalDoubleSpacing"/>
        <w:spacing w:after="480"/>
      </w:pPr>
      <w:r w:rsidRPr="00816F89">
        <w:rPr>
          <w:rStyle w:val="SCCCounselNameChar"/>
        </w:rPr>
        <w:tab/>
      </w:r>
      <w:r w:rsidR="008B586C" w:rsidRPr="00816F89">
        <w:rPr>
          <w:rStyle w:val="SCCCounselNameChar"/>
        </w:rPr>
        <w:t xml:space="preserve">Savitri Gordian </w:t>
      </w:r>
      <w:r w:rsidRPr="00816F89">
        <w:rPr>
          <w:rStyle w:val="SCCCounselSeparatorChar"/>
        </w:rPr>
        <w:t>and</w:t>
      </w:r>
      <w:r w:rsidR="008B586C" w:rsidRPr="00816F89">
        <w:rPr>
          <w:rStyle w:val="SCCCounselNameChar"/>
        </w:rPr>
        <w:t xml:space="preserve"> Rochelle Fox</w:t>
      </w:r>
      <w:r w:rsidRPr="00816F89">
        <w:rPr>
          <w:rStyle w:val="SCCCounselPartyRoleChar"/>
        </w:rPr>
        <w:t>, for the intervener the Attorney General of Ontario.</w:t>
      </w:r>
    </w:p>
    <w:p w14:paraId="48CD5B5F" w14:textId="7E7B8CF5" w:rsidR="00D745AC" w:rsidRPr="00816F89" w:rsidRDefault="00D745AC" w:rsidP="005738AD">
      <w:pPr>
        <w:pStyle w:val="SCCNormalDoubleSpacing"/>
        <w:spacing w:after="480"/>
      </w:pPr>
      <w:r w:rsidRPr="00816F89">
        <w:rPr>
          <w:rStyle w:val="SCCCounselNameChar"/>
        </w:rPr>
        <w:tab/>
      </w:r>
      <w:r w:rsidR="00BC4858" w:rsidRPr="00816F89">
        <w:rPr>
          <w:rStyle w:val="SCCCounselNameChar"/>
        </w:rPr>
        <w:t xml:space="preserve">Michael P. Wall </w:t>
      </w:r>
      <w:r w:rsidRPr="00816F89">
        <w:rPr>
          <w:rStyle w:val="SCCCounselSeparatorChar"/>
        </w:rPr>
        <w:t>and</w:t>
      </w:r>
      <w:r w:rsidR="00BC4858" w:rsidRPr="00816F89">
        <w:rPr>
          <w:rStyle w:val="SCCCounselNameChar"/>
        </w:rPr>
        <w:t xml:space="preserve"> Leah M. McDaniel</w:t>
      </w:r>
      <w:r w:rsidRPr="00816F89">
        <w:rPr>
          <w:rStyle w:val="SCCCounselPartyRoleChar"/>
        </w:rPr>
        <w:t>, for the intervener the Attorney General of Alberta.</w:t>
      </w:r>
    </w:p>
    <w:p w14:paraId="332DE89F" w14:textId="29D46464" w:rsidR="00B4401D" w:rsidRPr="00816F89" w:rsidRDefault="004A12F6" w:rsidP="005738AD">
      <w:pPr>
        <w:pStyle w:val="SCCNormalDoubleSpacing"/>
        <w:spacing w:after="480"/>
      </w:pPr>
      <w:r w:rsidRPr="00816F89">
        <w:rPr>
          <w:rStyle w:val="SCCCounselNameChar"/>
          <w:lang w:val="en-US"/>
        </w:rPr>
        <w:tab/>
      </w:r>
      <w:r w:rsidRPr="00816F89">
        <w:rPr>
          <w:rStyle w:val="SCCCounselNameChar"/>
        </w:rPr>
        <w:t>Geneviève Bond Roussel</w:t>
      </w:r>
      <w:r w:rsidRPr="00816F89">
        <w:rPr>
          <w:rStyle w:val="SCCCounselPartyRoleChar"/>
        </w:rPr>
        <w:t xml:space="preserve">, for the intervener </w:t>
      </w:r>
      <w:r w:rsidR="00D745AC" w:rsidRPr="00816F89">
        <w:rPr>
          <w:rStyle w:val="SCCCounselPartyRoleChar"/>
        </w:rPr>
        <w:t xml:space="preserve">the </w:t>
      </w:r>
      <w:r w:rsidRPr="00816F89">
        <w:rPr>
          <w:rStyle w:val="SCCCounselPartyRoleChar"/>
        </w:rPr>
        <w:t>Administrative Labour Tribunal.</w:t>
      </w:r>
    </w:p>
    <w:p w14:paraId="6B8E4CFF" w14:textId="64F9C287" w:rsidR="00B4401D" w:rsidRPr="00816F89" w:rsidRDefault="004A12F6" w:rsidP="005738AD">
      <w:pPr>
        <w:pStyle w:val="SCCNormalDoubleSpacing"/>
        <w:spacing w:after="480"/>
      </w:pPr>
      <w:r w:rsidRPr="00816F89">
        <w:rPr>
          <w:rStyle w:val="SCCCounselNameChar"/>
        </w:rPr>
        <w:tab/>
      </w:r>
      <w:r w:rsidR="00446AD9" w:rsidRPr="00816F89">
        <w:rPr>
          <w:rStyle w:val="SCCCounselNameChar"/>
          <w:lang w:val="en-US"/>
        </w:rPr>
        <w:t xml:space="preserve">Timothy </w:t>
      </w:r>
      <w:r w:rsidRPr="00816F89">
        <w:rPr>
          <w:rStyle w:val="SCCCounselNameChar"/>
        </w:rPr>
        <w:t>Lawson</w:t>
      </w:r>
      <w:r w:rsidR="00335A86" w:rsidRPr="00816F89">
        <w:rPr>
          <w:rStyle w:val="SCCCounselNameChar"/>
          <w:i w:val="0"/>
        </w:rPr>
        <w:t>,</w:t>
      </w:r>
      <w:r w:rsidRPr="00816F89">
        <w:rPr>
          <w:rStyle w:val="SCCCounselNameChar"/>
        </w:rPr>
        <w:t xml:space="preserve"> Myriane Le François</w:t>
      </w:r>
      <w:r w:rsidRPr="00816F89">
        <w:rPr>
          <w:rStyle w:val="SCCCounselPartyRoleChar"/>
        </w:rPr>
        <w:t xml:space="preserve">, </w:t>
      </w:r>
      <w:r w:rsidR="005738AD" w:rsidRPr="00816F89">
        <w:rPr>
          <w:rStyle w:val="SCCCounselPartyRoleChar"/>
          <w:i/>
        </w:rPr>
        <w:t>Mathieu Bernier</w:t>
      </w:r>
      <w:r w:rsidR="005738AD" w:rsidRPr="00816F89">
        <w:rPr>
          <w:rStyle w:val="SCCCounselPartyRoleChar"/>
          <w:i/>
        </w:rPr>
        <w:noBreakHyphen/>
      </w:r>
      <w:r w:rsidR="00335A86" w:rsidRPr="00816F89">
        <w:rPr>
          <w:rStyle w:val="SCCCounselPartyRoleChar"/>
          <w:i/>
        </w:rPr>
        <w:t>Trudeau</w:t>
      </w:r>
      <w:r w:rsidR="00335A86" w:rsidRPr="00816F89">
        <w:rPr>
          <w:rStyle w:val="SCCCounselPartyRoleChar"/>
        </w:rPr>
        <w:t xml:space="preserve"> and </w:t>
      </w:r>
      <w:r w:rsidR="00335A86" w:rsidRPr="00816F89">
        <w:rPr>
          <w:rStyle w:val="SCCCounselPartyRoleChar"/>
          <w:i/>
        </w:rPr>
        <w:t>Andrew Weizman</w:t>
      </w:r>
      <w:r w:rsidR="00335A86" w:rsidRPr="00816F89">
        <w:rPr>
          <w:rStyle w:val="SCCCounselPartyRoleChar"/>
        </w:rPr>
        <w:t xml:space="preserve">, </w:t>
      </w:r>
      <w:r w:rsidRPr="00816F89">
        <w:rPr>
          <w:rStyle w:val="SCCCounselPartyRoleChar"/>
        </w:rPr>
        <w:t>for the intervener</w:t>
      </w:r>
      <w:r w:rsidR="006917BF" w:rsidRPr="00816F89">
        <w:rPr>
          <w:rStyle w:val="SCCCounselPartyRoleChar"/>
        </w:rPr>
        <w:t xml:space="preserve"> the</w:t>
      </w:r>
      <w:r w:rsidRPr="00816F89">
        <w:rPr>
          <w:rStyle w:val="SCCCounselPartyRoleChar"/>
        </w:rPr>
        <w:t xml:space="preserve"> Canadian Association of Counsel to Employers.</w:t>
      </w:r>
    </w:p>
    <w:p w14:paraId="46856E9F" w14:textId="4AF6D4D5" w:rsidR="00B4401D" w:rsidRPr="00816F89" w:rsidRDefault="004A12F6" w:rsidP="005738AD">
      <w:pPr>
        <w:pStyle w:val="SCCNormalDoubleSpacing"/>
        <w:spacing w:after="480"/>
      </w:pPr>
      <w:r w:rsidRPr="00816F89">
        <w:rPr>
          <w:rStyle w:val="SCCCounselNameChar"/>
        </w:rPr>
        <w:tab/>
      </w:r>
      <w:r w:rsidR="005738AD" w:rsidRPr="00816F89">
        <w:rPr>
          <w:rStyle w:val="SCCCounselNameChar"/>
        </w:rPr>
        <w:t>Andrew Montague</w:t>
      </w:r>
      <w:r w:rsidR="005738AD" w:rsidRPr="00816F89">
        <w:rPr>
          <w:rStyle w:val="SCCCounselNameChar"/>
        </w:rPr>
        <w:noBreakHyphen/>
      </w:r>
      <w:r w:rsidRPr="00816F89">
        <w:rPr>
          <w:rStyle w:val="SCCCounselNameChar"/>
        </w:rPr>
        <w:t>Reinholdt</w:t>
      </w:r>
      <w:r w:rsidR="00C3570C" w:rsidRPr="00816F89">
        <w:rPr>
          <w:rStyle w:val="SCCCounselSeparatorChar"/>
        </w:rPr>
        <w:t xml:space="preserve"> and </w:t>
      </w:r>
      <w:r w:rsidR="00C3570C" w:rsidRPr="00816F89">
        <w:rPr>
          <w:rStyle w:val="SCCCounselSeparatorChar"/>
          <w:i/>
        </w:rPr>
        <w:t>Malini Vijaykumar</w:t>
      </w:r>
      <w:r w:rsidRPr="00816F89">
        <w:rPr>
          <w:rStyle w:val="SCCCounselPartyRoleChar"/>
        </w:rPr>
        <w:t xml:space="preserve">, for the intervener </w:t>
      </w:r>
      <w:r w:rsidR="006917BF" w:rsidRPr="00816F89">
        <w:rPr>
          <w:rStyle w:val="SCCCounselPartyRoleChar"/>
        </w:rPr>
        <w:t xml:space="preserve">the </w:t>
      </w:r>
      <w:r w:rsidRPr="00816F89">
        <w:rPr>
          <w:rStyle w:val="SCCCounselPartyRoleChar"/>
        </w:rPr>
        <w:t>National Police Commissioned Officers Professional Association.</w:t>
      </w:r>
    </w:p>
    <w:p w14:paraId="5B57C58A" w14:textId="616BA093" w:rsidR="00B4401D" w:rsidRPr="00816F89" w:rsidRDefault="004A12F6" w:rsidP="005738AD">
      <w:pPr>
        <w:pStyle w:val="SCCNormalDoubleSpacing"/>
        <w:spacing w:after="480"/>
      </w:pPr>
      <w:r w:rsidRPr="00816F89">
        <w:rPr>
          <w:rStyle w:val="SCCCounselNameChar"/>
        </w:rPr>
        <w:tab/>
      </w:r>
      <w:r w:rsidR="005738AD" w:rsidRPr="00816F89">
        <w:rPr>
          <w:rStyle w:val="SCCCounselNameChar"/>
        </w:rPr>
        <w:t>Steven M. </w:t>
      </w:r>
      <w:r w:rsidRPr="00816F89">
        <w:rPr>
          <w:rStyle w:val="SCCCounselNameChar"/>
        </w:rPr>
        <w:t>Barrett</w:t>
      </w:r>
      <w:r w:rsidR="00C3570C" w:rsidRPr="00816F89">
        <w:rPr>
          <w:rStyle w:val="SCCCounselNameChar"/>
          <w:i w:val="0"/>
        </w:rPr>
        <w:t xml:space="preserve"> and </w:t>
      </w:r>
      <w:r w:rsidR="00C3570C" w:rsidRPr="00816F89">
        <w:rPr>
          <w:i/>
        </w:rPr>
        <w:t>Colleen Bauman</w:t>
      </w:r>
      <w:r w:rsidRPr="00816F89">
        <w:rPr>
          <w:rStyle w:val="SCCCounselPartyRoleChar"/>
        </w:rPr>
        <w:t>, for the intervener</w:t>
      </w:r>
      <w:r w:rsidR="006917BF" w:rsidRPr="00816F89">
        <w:rPr>
          <w:rStyle w:val="SCCCounselPartyRoleChar"/>
        </w:rPr>
        <w:t xml:space="preserve"> the</w:t>
      </w:r>
      <w:r w:rsidRPr="00816F89">
        <w:rPr>
          <w:rStyle w:val="SCCCounselPartyRoleChar"/>
        </w:rPr>
        <w:t xml:space="preserve"> Canadian Labour Congress.</w:t>
      </w:r>
    </w:p>
    <w:p w14:paraId="72121F9D" w14:textId="67714B13" w:rsidR="00B4401D" w:rsidRPr="00816F89" w:rsidRDefault="004A12F6" w:rsidP="005738AD">
      <w:pPr>
        <w:pStyle w:val="SCCNormalDoubleSpacing"/>
        <w:spacing w:after="480"/>
      </w:pPr>
      <w:r w:rsidRPr="00816F89">
        <w:rPr>
          <w:rStyle w:val="SCCCounselNameChar"/>
        </w:rPr>
        <w:tab/>
        <w:t xml:space="preserve">Caroline </w:t>
      </w:r>
      <w:r w:rsidR="006917BF" w:rsidRPr="00816F89">
        <w:rPr>
          <w:rStyle w:val="SCCCounselNameChar"/>
        </w:rPr>
        <w:t>V</w:t>
      </w:r>
      <w:r w:rsidRPr="00816F89">
        <w:rPr>
          <w:rStyle w:val="SCCCounselNameChar"/>
        </w:rPr>
        <w:t>. (Nini) Jones</w:t>
      </w:r>
      <w:r w:rsidRPr="00816F89">
        <w:rPr>
          <w:rStyle w:val="SCCCounselSeparatorChar"/>
        </w:rPr>
        <w:t xml:space="preserve"> and </w:t>
      </w:r>
      <w:r w:rsidRPr="00816F89">
        <w:rPr>
          <w:rStyle w:val="SCCCounselNameChar"/>
        </w:rPr>
        <w:t>Lauren Pearce</w:t>
      </w:r>
      <w:r w:rsidRPr="00816F89">
        <w:rPr>
          <w:rStyle w:val="SCCCounselPartyRoleChar"/>
        </w:rPr>
        <w:t>, for the intervener</w:t>
      </w:r>
      <w:r w:rsidR="00270A34" w:rsidRPr="00816F89">
        <w:rPr>
          <w:rStyle w:val="SCCCounselPartyRoleChar"/>
        </w:rPr>
        <w:t>s</w:t>
      </w:r>
      <w:r w:rsidRPr="00816F89">
        <w:rPr>
          <w:rStyle w:val="SCCCounselPartyRoleChar"/>
        </w:rPr>
        <w:t xml:space="preserve"> </w:t>
      </w:r>
      <w:r w:rsidR="00A35617" w:rsidRPr="00816F89">
        <w:rPr>
          <w:rStyle w:val="SCCCounselPartyRoleChar"/>
        </w:rPr>
        <w:t xml:space="preserve">the </w:t>
      </w:r>
      <w:r w:rsidRPr="00816F89">
        <w:rPr>
          <w:rStyle w:val="SCCCounselPartyRoleChar"/>
        </w:rPr>
        <w:t>Ontario Principals</w:t>
      </w:r>
      <w:r w:rsidR="00A30E0C" w:rsidRPr="00816F89">
        <w:rPr>
          <w:rStyle w:val="SCCCounselPartyRoleChar"/>
        </w:rPr>
        <w:t>’</w:t>
      </w:r>
      <w:r w:rsidRPr="00816F89">
        <w:rPr>
          <w:rStyle w:val="SCCCounselPartyRoleChar"/>
        </w:rPr>
        <w:t xml:space="preserve"> Council, </w:t>
      </w:r>
      <w:r w:rsidR="00A35617" w:rsidRPr="00816F89">
        <w:rPr>
          <w:rStyle w:val="SCCCounselPartyRoleChar"/>
        </w:rPr>
        <w:t xml:space="preserve">the </w:t>
      </w:r>
      <w:r w:rsidRPr="00816F89">
        <w:rPr>
          <w:rStyle w:val="SCCCounselPartyRoleChar"/>
        </w:rPr>
        <w:t>Catholic Principals</w:t>
      </w:r>
      <w:r w:rsidR="00A30E0C" w:rsidRPr="00816F89">
        <w:rPr>
          <w:rStyle w:val="SCCCounselPartyRoleChar"/>
        </w:rPr>
        <w:t>’</w:t>
      </w:r>
      <w:r w:rsidRPr="00816F89">
        <w:rPr>
          <w:rStyle w:val="SCCCounselPartyRoleChar"/>
        </w:rPr>
        <w:t xml:space="preserve"> Council of Ontario, Association des directions et des directions adjointes des écoles </w:t>
      </w:r>
      <w:r w:rsidR="005738AD" w:rsidRPr="00816F89">
        <w:rPr>
          <w:rStyle w:val="SCCCounselPartyRoleChar"/>
        </w:rPr>
        <w:t>franco</w:t>
      </w:r>
      <w:r w:rsidR="005738AD" w:rsidRPr="00816F89">
        <w:rPr>
          <w:rStyle w:val="SCCCounselPartyRoleChar"/>
        </w:rPr>
        <w:noBreakHyphen/>
      </w:r>
      <w:r w:rsidR="00D42EC4" w:rsidRPr="00816F89">
        <w:rPr>
          <w:rStyle w:val="SCCCounselPartyRoleChar"/>
        </w:rPr>
        <w:t>o</w:t>
      </w:r>
      <w:r w:rsidRPr="00816F89">
        <w:rPr>
          <w:rStyle w:val="SCCCounselPartyRoleChar"/>
        </w:rPr>
        <w:t>ntarienne</w:t>
      </w:r>
      <w:r w:rsidR="00377C74" w:rsidRPr="00816F89">
        <w:rPr>
          <w:rStyle w:val="SCCCounselPartyRoleChar"/>
        </w:rPr>
        <w:t>s and</w:t>
      </w:r>
      <w:r w:rsidR="00A35617" w:rsidRPr="00816F89">
        <w:rPr>
          <w:rStyle w:val="SCCCounselPartyRoleChar"/>
        </w:rPr>
        <w:t xml:space="preserve"> the</w:t>
      </w:r>
      <w:r w:rsidR="00377C74" w:rsidRPr="00816F89">
        <w:rPr>
          <w:rStyle w:val="SCCCounselPartyRoleChar"/>
        </w:rPr>
        <w:t xml:space="preserve"> Directors Guild of Canada</w:t>
      </w:r>
      <w:r w:rsidR="00A1502E" w:rsidRPr="00816F89">
        <w:rPr>
          <w:lang w:val="en-US"/>
        </w:rPr>
        <w:t xml:space="preserve"> </w:t>
      </w:r>
      <w:r w:rsidR="00A1502E" w:rsidRPr="00816F89">
        <w:rPr>
          <w:b/>
        </w:rPr>
        <w:t>–</w:t>
      </w:r>
      <w:r w:rsidR="00377C74" w:rsidRPr="00816F89">
        <w:rPr>
          <w:lang w:val="en-US"/>
        </w:rPr>
        <w:t xml:space="preserve"> </w:t>
      </w:r>
      <w:r w:rsidRPr="00816F89">
        <w:rPr>
          <w:rStyle w:val="SCCCounselPartyRoleChar"/>
        </w:rPr>
        <w:t>Ontario.</w:t>
      </w:r>
    </w:p>
    <w:p w14:paraId="75517A2D" w14:textId="12706E9C" w:rsidR="00B4401D" w:rsidRPr="00816F89" w:rsidRDefault="004A12F6" w:rsidP="005738AD">
      <w:pPr>
        <w:pStyle w:val="SCCNormalDoubleSpacing"/>
        <w:spacing w:after="480"/>
      </w:pPr>
      <w:r w:rsidRPr="00816F89">
        <w:rPr>
          <w:rStyle w:val="SCCCounselNameChar"/>
        </w:rPr>
        <w:tab/>
        <w:t>Mae J. Nam</w:t>
      </w:r>
      <w:r w:rsidR="006917BF" w:rsidRPr="00816F89">
        <w:rPr>
          <w:rStyle w:val="SCCCounselNameChar"/>
          <w:i w:val="0"/>
        </w:rPr>
        <w:t>,</w:t>
      </w:r>
      <w:r w:rsidRPr="00816F89">
        <w:rPr>
          <w:rStyle w:val="SCCCounselSeparatorChar"/>
        </w:rPr>
        <w:t xml:space="preserve"> </w:t>
      </w:r>
      <w:r w:rsidRPr="00816F89">
        <w:rPr>
          <w:rStyle w:val="SCCCounselNameChar"/>
        </w:rPr>
        <w:t>Rebecca Jones</w:t>
      </w:r>
      <w:r w:rsidR="006917BF" w:rsidRPr="00816F89">
        <w:rPr>
          <w:rStyle w:val="SCCCounselSeparatorChar"/>
        </w:rPr>
        <w:t xml:space="preserve"> and </w:t>
      </w:r>
      <w:r w:rsidR="006917BF" w:rsidRPr="00816F89">
        <w:rPr>
          <w:rStyle w:val="SCCCounselSeparatorChar"/>
          <w:i/>
        </w:rPr>
        <w:t>James Yap</w:t>
      </w:r>
      <w:r w:rsidRPr="00816F89">
        <w:rPr>
          <w:rStyle w:val="SCCCounselPartyRoleChar"/>
        </w:rPr>
        <w:t xml:space="preserve">, for the intervener </w:t>
      </w:r>
      <w:r w:rsidR="006917BF" w:rsidRPr="00816F89">
        <w:rPr>
          <w:rStyle w:val="SCCCounselPartyRoleChar"/>
        </w:rPr>
        <w:t xml:space="preserve">the </w:t>
      </w:r>
      <w:r w:rsidRPr="00816F89">
        <w:rPr>
          <w:rStyle w:val="SCCCounselPartyRoleChar"/>
        </w:rPr>
        <w:t>Canadian Lawyers for International Human Rights.</w:t>
      </w:r>
    </w:p>
    <w:p w14:paraId="2A925747" w14:textId="7E50001B" w:rsidR="00B4401D" w:rsidRPr="00816F89" w:rsidRDefault="004A12F6" w:rsidP="005738AD">
      <w:pPr>
        <w:pStyle w:val="SCCNormalDoubleSpacing"/>
        <w:spacing w:after="480"/>
      </w:pPr>
      <w:r w:rsidRPr="00816F89">
        <w:rPr>
          <w:rStyle w:val="SCCCounselNameChar"/>
        </w:rPr>
        <w:tab/>
        <w:t>Andrew Astritis</w:t>
      </w:r>
      <w:r w:rsidRPr="00816F89">
        <w:rPr>
          <w:rStyle w:val="SCCCounselSeparatorChar"/>
        </w:rPr>
        <w:t xml:space="preserve"> and </w:t>
      </w:r>
      <w:r w:rsidRPr="00816F89">
        <w:rPr>
          <w:rStyle w:val="SCCCounselNameChar"/>
        </w:rPr>
        <w:t>Morgan Rowe</w:t>
      </w:r>
      <w:r w:rsidRPr="00816F89">
        <w:rPr>
          <w:rStyle w:val="SCCCounselPartyRoleChar"/>
        </w:rPr>
        <w:t xml:space="preserve">, for the intervener </w:t>
      </w:r>
      <w:r w:rsidR="006917BF" w:rsidRPr="00816F89">
        <w:rPr>
          <w:rStyle w:val="SCCCounselPartyRoleChar"/>
        </w:rPr>
        <w:t xml:space="preserve">the </w:t>
      </w:r>
      <w:r w:rsidRPr="00816F89">
        <w:rPr>
          <w:rStyle w:val="SCCCounselPartyRoleChar"/>
        </w:rPr>
        <w:t>Public Service Alliance of Canada.</w:t>
      </w:r>
    </w:p>
    <w:p w14:paraId="4CED0C96" w14:textId="64D5CEE6" w:rsidR="00B4401D" w:rsidRPr="00816F89" w:rsidRDefault="004A12F6" w:rsidP="005738AD">
      <w:pPr>
        <w:pStyle w:val="SCCNormalDoubleSpacing"/>
        <w:spacing w:after="480"/>
      </w:pPr>
      <w:r w:rsidRPr="00816F89">
        <w:rPr>
          <w:rStyle w:val="SCCCounselNameChar"/>
        </w:rPr>
        <w:tab/>
      </w:r>
      <w:r w:rsidR="006917BF" w:rsidRPr="00816F89">
        <w:rPr>
          <w:rStyle w:val="SCCCounselNameChar"/>
        </w:rPr>
        <w:t xml:space="preserve">Catherine Fan </w:t>
      </w:r>
      <w:r w:rsidRPr="00816F89">
        <w:rPr>
          <w:rStyle w:val="SCCCounselSeparatorChar"/>
        </w:rPr>
        <w:t>and</w:t>
      </w:r>
      <w:r w:rsidR="006917BF" w:rsidRPr="00816F89">
        <w:rPr>
          <w:rStyle w:val="SCCCounselNameChar"/>
        </w:rPr>
        <w:t xml:space="preserve"> Danielle Glatt</w:t>
      </w:r>
      <w:r w:rsidRPr="00816F89">
        <w:rPr>
          <w:rStyle w:val="SCCCounselPartyRoleChar"/>
        </w:rPr>
        <w:t>, for the intervener</w:t>
      </w:r>
      <w:r w:rsidR="006917BF" w:rsidRPr="00816F89">
        <w:rPr>
          <w:rStyle w:val="SCCCounselPartyRoleChar"/>
        </w:rPr>
        <w:t xml:space="preserve"> the</w:t>
      </w:r>
      <w:r w:rsidRPr="00816F89">
        <w:rPr>
          <w:rStyle w:val="SCCCounselPartyRoleChar"/>
        </w:rPr>
        <w:t xml:space="preserve"> Canadian Civil Liberties Association.</w:t>
      </w:r>
    </w:p>
    <w:p w14:paraId="13194AC4" w14:textId="2A8686AF" w:rsidR="00B4401D" w:rsidRPr="00816F89" w:rsidRDefault="004A12F6" w:rsidP="005738AD">
      <w:pPr>
        <w:pStyle w:val="SCCNormalDoubleSpacing"/>
        <w:spacing w:after="480"/>
        <w:rPr>
          <w:lang w:val="fr-CA"/>
        </w:rPr>
      </w:pPr>
      <w:r w:rsidRPr="00816F89">
        <w:rPr>
          <w:rStyle w:val="SCCCounselNameChar"/>
        </w:rPr>
        <w:tab/>
      </w:r>
      <w:r w:rsidRPr="00816F89">
        <w:rPr>
          <w:rStyle w:val="SCCCounselNameChar"/>
          <w:lang w:val="fr-CA"/>
        </w:rPr>
        <w:t>Claude Tardif</w:t>
      </w:r>
      <w:r w:rsidR="00963C41" w:rsidRPr="00816F89">
        <w:rPr>
          <w:rStyle w:val="SCCCounselSeparatorChar"/>
          <w:lang w:val="fr-CA"/>
        </w:rPr>
        <w:t xml:space="preserve">, </w:t>
      </w:r>
      <w:r w:rsidR="005738AD" w:rsidRPr="00816F89">
        <w:rPr>
          <w:rStyle w:val="SCCCounselNameChar"/>
          <w:lang w:val="fr-CA"/>
        </w:rPr>
        <w:t>Catherine Massé</w:t>
      </w:r>
      <w:r w:rsidR="005738AD" w:rsidRPr="00816F89">
        <w:rPr>
          <w:rStyle w:val="SCCCounselNameChar"/>
          <w:lang w:val="fr-CA"/>
        </w:rPr>
        <w:noBreakHyphen/>
      </w:r>
      <w:r w:rsidRPr="00816F89">
        <w:rPr>
          <w:rStyle w:val="SCCCounselNameChar"/>
          <w:lang w:val="fr-CA"/>
        </w:rPr>
        <w:t>Lacoste</w:t>
      </w:r>
      <w:r w:rsidR="00963C41" w:rsidRPr="00816F89">
        <w:rPr>
          <w:rStyle w:val="SCCCounselSeparatorChar"/>
          <w:lang w:val="fr-CA"/>
        </w:rPr>
        <w:t xml:space="preserve"> and </w:t>
      </w:r>
      <w:r w:rsidR="00963C41" w:rsidRPr="00816F89">
        <w:rPr>
          <w:rStyle w:val="SCCCounselSeparatorChar"/>
          <w:i/>
          <w:lang w:val="fr-CA"/>
        </w:rPr>
        <w:t>Marie</w:t>
      </w:r>
      <w:r w:rsidR="005738AD" w:rsidRPr="00816F89">
        <w:rPr>
          <w:rStyle w:val="SCCCounselSeparatorChar"/>
          <w:i/>
          <w:lang w:val="fr-CA"/>
        </w:rPr>
        <w:noBreakHyphen/>
      </w:r>
      <w:r w:rsidR="00963C41" w:rsidRPr="00816F89">
        <w:rPr>
          <w:rStyle w:val="SCCCounselSeparatorChar"/>
          <w:i/>
          <w:lang w:val="fr-CA"/>
        </w:rPr>
        <w:t>Laurence Lamarre</w:t>
      </w:r>
      <w:r w:rsidRPr="00816F89">
        <w:rPr>
          <w:rStyle w:val="SCCCounselPartyRoleChar"/>
          <w:lang w:val="fr-CA"/>
        </w:rPr>
        <w:t>, for the intervener Syndicat professionnel des ingénieurs d</w:t>
      </w:r>
      <w:r w:rsidR="00A30E0C" w:rsidRPr="00816F89">
        <w:rPr>
          <w:rStyle w:val="SCCCounselPartyRoleChar"/>
          <w:lang w:val="fr-CA"/>
        </w:rPr>
        <w:t>’</w:t>
      </w:r>
      <w:r w:rsidR="005738AD" w:rsidRPr="00816F89">
        <w:rPr>
          <w:rStyle w:val="SCCCounselPartyRoleChar"/>
          <w:lang w:val="fr-CA"/>
        </w:rPr>
        <w:t>Hydro</w:t>
      </w:r>
      <w:r w:rsidR="005738AD" w:rsidRPr="00816F89">
        <w:rPr>
          <w:rStyle w:val="SCCCounselPartyRoleChar"/>
          <w:lang w:val="fr-CA"/>
        </w:rPr>
        <w:noBreakHyphen/>
      </w:r>
      <w:r w:rsidR="006269AA" w:rsidRPr="00816F89">
        <w:rPr>
          <w:rStyle w:val="SCCCounselPartyRoleChar"/>
          <w:lang w:val="fr-CA"/>
        </w:rPr>
        <w:t>Québec inc.</w:t>
      </w:r>
    </w:p>
    <w:p w14:paraId="14ABA27F" w14:textId="71270E46" w:rsidR="00B4401D" w:rsidRPr="00816F89" w:rsidRDefault="00DC2B73" w:rsidP="005738AD">
      <w:pPr>
        <w:pStyle w:val="SCCNormalDoubleSpacing"/>
        <w:spacing w:after="480"/>
        <w:rPr>
          <w:lang w:val="fr-CA"/>
        </w:rPr>
      </w:pPr>
      <w:r w:rsidRPr="00816F89">
        <w:rPr>
          <w:rStyle w:val="SCCCounselNameChar"/>
          <w:lang w:val="fr-CA"/>
        </w:rPr>
        <w:tab/>
        <w:t>Pierre Brun</w:t>
      </w:r>
      <w:r w:rsidRPr="00816F89">
        <w:rPr>
          <w:rStyle w:val="SCCCounselNameChar"/>
          <w:i w:val="0"/>
          <w:lang w:val="fr-CA"/>
        </w:rPr>
        <w:t>,</w:t>
      </w:r>
      <w:r w:rsidRPr="00816F89">
        <w:rPr>
          <w:rStyle w:val="SCCCounselNameChar"/>
          <w:lang w:val="fr-CA"/>
        </w:rPr>
        <w:t xml:space="preserve"> Michel Gilbert </w:t>
      </w:r>
      <w:r w:rsidRPr="00816F89">
        <w:rPr>
          <w:rStyle w:val="SCCCounselSeparatorChar"/>
          <w:lang w:val="fr-CA"/>
        </w:rPr>
        <w:t>and</w:t>
      </w:r>
      <w:r w:rsidR="004A12F6" w:rsidRPr="00816F89">
        <w:rPr>
          <w:rStyle w:val="SCCCounselNameChar"/>
          <w:lang w:val="fr-CA"/>
        </w:rPr>
        <w:t xml:space="preserve"> Guillaume Grenier</w:t>
      </w:r>
      <w:r w:rsidR="004A12F6" w:rsidRPr="00816F89">
        <w:rPr>
          <w:rStyle w:val="SCCCounselPartyRoleChar"/>
          <w:lang w:val="fr-CA"/>
        </w:rPr>
        <w:t>, for the intervener</w:t>
      </w:r>
      <w:r w:rsidR="000B4830" w:rsidRPr="00816F89">
        <w:rPr>
          <w:rStyle w:val="SCCCounselPartyRoleChar"/>
          <w:lang w:val="fr-CA"/>
        </w:rPr>
        <w:t>s</w:t>
      </w:r>
      <w:r w:rsidR="004A12F6" w:rsidRPr="00816F89">
        <w:rPr>
          <w:rStyle w:val="SCCCounselPartyRoleChar"/>
          <w:lang w:val="fr-CA"/>
        </w:rPr>
        <w:t xml:space="preserve"> Association des cadres des collèges du Québec, Association des cadres municipaux de Montréal, Association des conseillers en gestion des ressources humaines du gouvernement du Québec, Association des cadres scolaires du </w:t>
      </w:r>
      <w:r w:rsidR="00FD56ED" w:rsidRPr="00816F89">
        <w:rPr>
          <w:lang w:val="fr-CA"/>
        </w:rPr>
        <w:t>G</w:t>
      </w:r>
      <w:r w:rsidR="004A12F6" w:rsidRPr="00816F89">
        <w:rPr>
          <w:rStyle w:val="SCCCounselPartyRoleChar"/>
          <w:lang w:val="fr-CA"/>
        </w:rPr>
        <w:t>rand Montréal</w:t>
      </w:r>
      <w:r w:rsidR="000B4830" w:rsidRPr="00816F89">
        <w:rPr>
          <w:rStyle w:val="SCCCounselPartyRoleChar"/>
          <w:lang w:val="fr-CA"/>
        </w:rPr>
        <w:t>,</w:t>
      </w:r>
      <w:r w:rsidR="004A12F6" w:rsidRPr="00816F89">
        <w:rPr>
          <w:rStyle w:val="SCCCounselPartyRoleChar"/>
          <w:lang w:val="fr-CA"/>
        </w:rPr>
        <w:t xml:space="preserve"> Association des cadres supérieurs de la santé et des services sociaux, Association des directeurs et directrices de succursale de la </w:t>
      </w:r>
      <w:r w:rsidR="00AD3E2E" w:rsidRPr="00816F89">
        <w:rPr>
          <w:rStyle w:val="SCCCounselPartyRoleChar"/>
          <w:lang w:val="fr-CA"/>
        </w:rPr>
        <w:t>S</w:t>
      </w:r>
      <w:r w:rsidR="004A12F6" w:rsidRPr="00816F89">
        <w:rPr>
          <w:rStyle w:val="SCCCounselPartyRoleChar"/>
          <w:lang w:val="fr-CA"/>
        </w:rPr>
        <w:t>ociété des alcools du Québec, Association professionnelle des cadres de premier niveau d</w:t>
      </w:r>
      <w:r w:rsidR="00A30E0C" w:rsidRPr="00816F89">
        <w:rPr>
          <w:rStyle w:val="SCCCounselPartyRoleChar"/>
          <w:lang w:val="fr-CA"/>
        </w:rPr>
        <w:t>’</w:t>
      </w:r>
      <w:r w:rsidR="005738AD" w:rsidRPr="00816F89">
        <w:rPr>
          <w:rStyle w:val="SCCCounselPartyRoleChar"/>
          <w:lang w:val="fr-CA"/>
        </w:rPr>
        <w:t>Hydro</w:t>
      </w:r>
      <w:r w:rsidR="005738AD" w:rsidRPr="00816F89">
        <w:rPr>
          <w:rStyle w:val="SCCCounselPartyRoleChar"/>
          <w:lang w:val="fr-CA"/>
        </w:rPr>
        <w:noBreakHyphen/>
      </w:r>
      <w:r w:rsidR="004A12F6" w:rsidRPr="00816F89">
        <w:rPr>
          <w:rStyle w:val="SCCCounselPartyRoleChar"/>
          <w:lang w:val="fr-CA"/>
        </w:rPr>
        <w:t>Québec</w:t>
      </w:r>
      <w:r w:rsidR="000B4830" w:rsidRPr="00816F89">
        <w:rPr>
          <w:rStyle w:val="SCCCounselPartyRoleChar"/>
          <w:lang w:val="fr-CA"/>
        </w:rPr>
        <w:t>,</w:t>
      </w:r>
      <w:r w:rsidR="004A12F6" w:rsidRPr="00816F89">
        <w:rPr>
          <w:rStyle w:val="SCCCounselPartyRoleChar"/>
          <w:lang w:val="fr-CA"/>
        </w:rPr>
        <w:t xml:space="preserve"> Association québécoise des cadres scolaires, Association québécoise du personnel de direction des écoles </w:t>
      </w:r>
      <w:r w:rsidR="000B4830" w:rsidRPr="00816F89">
        <w:rPr>
          <w:rStyle w:val="SCCCounselPartyRoleChar"/>
          <w:lang w:val="fr-CA"/>
        </w:rPr>
        <w:t>and</w:t>
      </w:r>
      <w:r w:rsidR="004A12F6" w:rsidRPr="00816F89">
        <w:rPr>
          <w:rStyle w:val="SCCCounselPartyRoleChar"/>
          <w:lang w:val="fr-CA"/>
        </w:rPr>
        <w:t xml:space="preserve"> Fédération québécoise des directions d</w:t>
      </w:r>
      <w:r w:rsidR="00A30E0C" w:rsidRPr="00816F89">
        <w:rPr>
          <w:rStyle w:val="SCCCounselPartyRoleChar"/>
          <w:lang w:val="fr-CA"/>
        </w:rPr>
        <w:t>’</w:t>
      </w:r>
      <w:r w:rsidR="004A12F6" w:rsidRPr="00816F89">
        <w:rPr>
          <w:rStyle w:val="SCCCounselPartyRoleChar"/>
          <w:lang w:val="fr-CA"/>
        </w:rPr>
        <w:t>établissement d</w:t>
      </w:r>
      <w:r w:rsidR="00A30E0C" w:rsidRPr="00816F89">
        <w:rPr>
          <w:rStyle w:val="SCCCounselPartyRoleChar"/>
          <w:lang w:val="fr-CA"/>
        </w:rPr>
        <w:t>’</w:t>
      </w:r>
      <w:r w:rsidR="004A12F6" w:rsidRPr="00816F89">
        <w:rPr>
          <w:rStyle w:val="SCCCounselPartyRoleChar"/>
          <w:lang w:val="fr-CA"/>
        </w:rPr>
        <w:t>enseignement.</w:t>
      </w:r>
    </w:p>
    <w:p w14:paraId="11A39B7A" w14:textId="77777777" w:rsidR="00816F89" w:rsidRPr="00816F89" w:rsidRDefault="00816F89" w:rsidP="00816F89">
      <w:pPr>
        <w:tabs>
          <w:tab w:val="left" w:pos="1134"/>
        </w:tabs>
        <w:spacing w:after="480" w:line="480" w:lineRule="auto"/>
        <w:jc w:val="both"/>
        <w:rPr>
          <w:lang w:val="en-US"/>
        </w:rPr>
      </w:pPr>
      <w:r w:rsidRPr="00816F89">
        <w:rPr>
          <w:lang w:val="fr-CA"/>
        </w:rPr>
        <w:tab/>
      </w:r>
      <w:r w:rsidRPr="00816F89">
        <w:rPr>
          <w:lang w:val="en-US"/>
        </w:rPr>
        <w:t>The judgment of Karakatsanis, Kasirer, Jamal and O’Bonsawin JJ. was delivered by</w:t>
      </w:r>
    </w:p>
    <w:p w14:paraId="3694BC0F" w14:textId="77777777" w:rsidR="00816F89" w:rsidRPr="00816F89" w:rsidRDefault="00816F89" w:rsidP="0094036F">
      <w:pPr>
        <w:pStyle w:val="JudgeJuge"/>
        <w:tabs>
          <w:tab w:val="clear" w:pos="1260"/>
          <w:tab w:val="left" w:pos="1134"/>
        </w:tabs>
      </w:pPr>
      <w:r w:rsidRPr="00816F89">
        <w:tab/>
        <w:t xml:space="preserve">Jamal J. — </w:t>
      </w:r>
    </w:p>
    <w:p w14:paraId="02FF4F57" w14:textId="77777777" w:rsidR="00816F89" w:rsidRPr="00816F89" w:rsidRDefault="00816F89" w:rsidP="00816F89">
      <w:pPr>
        <w:pStyle w:val="Title1LevelTitre1Niveau-AltL"/>
        <w:numPr>
          <w:ilvl w:val="0"/>
          <w:numId w:val="8"/>
        </w:numPr>
        <w:rPr>
          <w:rFonts w:cs="Times New Roman"/>
        </w:rPr>
      </w:pPr>
      <w:r w:rsidRPr="00816F89">
        <w:rPr>
          <w:rFonts w:cs="Times New Roman"/>
        </w:rPr>
        <w:t>Overview</w:t>
      </w:r>
    </w:p>
    <w:p w14:paraId="17935F73" w14:textId="77777777" w:rsidR="00816F89" w:rsidRPr="00816F89" w:rsidRDefault="00816F89" w:rsidP="00816F89">
      <w:pPr>
        <w:pStyle w:val="ParaNoNdepar-AltN"/>
        <w:rPr>
          <w:rFonts w:cs="Times New Roman"/>
          <w:lang w:val="en-US"/>
        </w:rPr>
      </w:pPr>
      <w:r w:rsidRPr="00816F89">
        <w:rPr>
          <w:rFonts w:cs="Times New Roman"/>
          <w:lang w:val="en-US"/>
        </w:rPr>
        <w:t xml:space="preserve">These appeals address whether the statutory exclusion of managers from the labour relations regime of the Quebec </w:t>
      </w:r>
      <w:r w:rsidRPr="00816F89">
        <w:rPr>
          <w:rFonts w:cs="Times New Roman"/>
          <w:i/>
          <w:lang w:val="en-US"/>
        </w:rPr>
        <w:t>Labour Code</w:t>
      </w:r>
      <w:r w:rsidRPr="00816F89">
        <w:rPr>
          <w:rFonts w:cs="Times New Roman"/>
          <w:lang w:val="en-US"/>
        </w:rPr>
        <w:t xml:space="preserve">, CQLR, c. C-27, infringes the guarantee of freedom of association under s. 2(d) of the </w:t>
      </w:r>
      <w:r w:rsidRPr="00816F89">
        <w:rPr>
          <w:rFonts w:cs="Times New Roman"/>
          <w:i/>
          <w:lang w:val="en-US"/>
        </w:rPr>
        <w:t>Canadian Charter of Rights and Freedoms</w:t>
      </w:r>
      <w:r w:rsidRPr="00816F89">
        <w:rPr>
          <w:rFonts w:cs="Times New Roman"/>
          <w:lang w:val="en-US"/>
        </w:rPr>
        <w:t xml:space="preserve"> (“Canadian </w:t>
      </w:r>
      <w:r w:rsidRPr="00816F89">
        <w:rPr>
          <w:rFonts w:cs="Times New Roman"/>
          <w:i/>
          <w:lang w:val="en-US"/>
        </w:rPr>
        <w:t>Charter</w:t>
      </w:r>
      <w:r w:rsidRPr="00816F89">
        <w:rPr>
          <w:rFonts w:cs="Times New Roman"/>
          <w:lang w:val="en-US"/>
        </w:rPr>
        <w:t>” or “</w:t>
      </w:r>
      <w:r w:rsidRPr="00816F89">
        <w:rPr>
          <w:rFonts w:cs="Times New Roman"/>
          <w:i/>
          <w:lang w:val="en-US"/>
        </w:rPr>
        <w:t>Charter</w:t>
      </w:r>
      <w:r w:rsidRPr="00816F89">
        <w:rPr>
          <w:rFonts w:cs="Times New Roman"/>
          <w:lang w:val="en-US"/>
        </w:rPr>
        <w:t xml:space="preserve">”) and s. 3 of the Quebec </w:t>
      </w:r>
      <w:r w:rsidRPr="00816F89">
        <w:rPr>
          <w:rFonts w:cs="Times New Roman"/>
          <w:i/>
          <w:lang w:val="en-US"/>
        </w:rPr>
        <w:t>Charter of human rights and freedoms</w:t>
      </w:r>
      <w:r w:rsidRPr="00816F89">
        <w:rPr>
          <w:rFonts w:cs="Times New Roman"/>
          <w:lang w:val="en-US"/>
        </w:rPr>
        <w:t>, CQLR, c. C</w:t>
      </w:r>
      <w:r w:rsidRPr="00816F89">
        <w:rPr>
          <w:rFonts w:cs="Times New Roman"/>
          <w:lang w:val="en-US"/>
        </w:rPr>
        <w:noBreakHyphen/>
        <w:t xml:space="preserve">12 (“Quebec </w:t>
      </w:r>
      <w:r w:rsidRPr="00816F89">
        <w:rPr>
          <w:rFonts w:cs="Times New Roman"/>
          <w:i/>
          <w:lang w:val="en-US"/>
        </w:rPr>
        <w:t>Charter</w:t>
      </w:r>
      <w:r w:rsidRPr="00816F89">
        <w:rPr>
          <w:rFonts w:cs="Times New Roman"/>
          <w:lang w:val="en-US"/>
        </w:rPr>
        <w:t xml:space="preserve">”). </w:t>
      </w:r>
    </w:p>
    <w:p w14:paraId="0BC18404" w14:textId="77777777" w:rsidR="00816F89" w:rsidRPr="00816F89" w:rsidRDefault="00816F89" w:rsidP="00816F89">
      <w:pPr>
        <w:pStyle w:val="ParaNoNdepar-AltN"/>
        <w:rPr>
          <w:rFonts w:cs="Times New Roman"/>
          <w:lang w:val="en-US"/>
        </w:rPr>
      </w:pPr>
      <w:r w:rsidRPr="00816F89">
        <w:rPr>
          <w:rFonts w:cs="Times New Roman"/>
          <w:lang w:val="en-US"/>
        </w:rPr>
        <w:t xml:space="preserve">The impugned statutory provision, </w:t>
      </w:r>
      <w:r w:rsidRPr="00816F89">
        <w:rPr>
          <w:rFonts w:cs="Times New Roman"/>
        </w:rPr>
        <w:t>s. 1(</w:t>
      </w:r>
      <w:r w:rsidRPr="00816F89">
        <w:rPr>
          <w:rFonts w:cs="Times New Roman"/>
          <w:i/>
        </w:rPr>
        <w:t>l</w:t>
      </w:r>
      <w:r w:rsidRPr="00816F89">
        <w:rPr>
          <w:rFonts w:cs="Times New Roman"/>
        </w:rPr>
        <w:t xml:space="preserve">)(1) of the </w:t>
      </w:r>
      <w:r w:rsidRPr="00816F89">
        <w:rPr>
          <w:rFonts w:cs="Times New Roman"/>
          <w:i/>
        </w:rPr>
        <w:t>Labour Code</w:t>
      </w:r>
      <w:r w:rsidRPr="00816F89">
        <w:rPr>
          <w:rFonts w:cs="Times New Roman"/>
        </w:rPr>
        <w:t xml:space="preserve">, defines an “employee” broadly, as “a person who works for an employer and for remuneration”, but expressly excludes a person who is employed as a “manager, superintendent, foreman or representative of the employer in his relations with his employees”. This provision was constitutionally challenged under s. 2(d) of the Canadian </w:t>
      </w:r>
      <w:r w:rsidRPr="00816F89">
        <w:rPr>
          <w:rFonts w:cs="Times New Roman"/>
          <w:i/>
        </w:rPr>
        <w:t>Charter</w:t>
      </w:r>
      <w:r w:rsidRPr="00816F89">
        <w:rPr>
          <w:rFonts w:cs="Times New Roman"/>
        </w:rPr>
        <w:t xml:space="preserve"> and s. 3 of the Quebec </w:t>
      </w:r>
      <w:r w:rsidRPr="00816F89">
        <w:rPr>
          <w:rFonts w:cs="Times New Roman"/>
          <w:i/>
        </w:rPr>
        <w:t>Charter</w:t>
      </w:r>
      <w:r w:rsidRPr="00816F89">
        <w:rPr>
          <w:rFonts w:cs="Times New Roman"/>
        </w:rPr>
        <w:t xml:space="preserve"> </w:t>
      </w:r>
      <w:r w:rsidRPr="00816F89">
        <w:rPr>
          <w:rFonts w:cs="Times New Roman"/>
          <w:lang w:val="en-US"/>
        </w:rPr>
        <w:t xml:space="preserve">by the Association des cadres de la Société des casinos du Québec (“Association”), which represents certain first-level managers working at four casinos run by the Société des casinos du Québec inc. (“Société”). The Association sought to be recognized as a certified association representing first-level managers in the gaming sector at the Casino de Montréal in order to benefit from the protections of the </w:t>
      </w:r>
      <w:r w:rsidRPr="00816F89">
        <w:rPr>
          <w:rFonts w:cs="Times New Roman"/>
          <w:i/>
          <w:lang w:val="en-US"/>
        </w:rPr>
        <w:t>Labour Code</w:t>
      </w:r>
      <w:r w:rsidRPr="00816F89">
        <w:rPr>
          <w:rFonts w:cs="Times New Roman"/>
          <w:lang w:val="en-US"/>
        </w:rPr>
        <w:t>.</w:t>
      </w:r>
    </w:p>
    <w:p w14:paraId="19F251A4" w14:textId="77777777" w:rsidR="00816F89" w:rsidRPr="00816F89" w:rsidRDefault="00816F89" w:rsidP="00816F89">
      <w:pPr>
        <w:pStyle w:val="ParaNoNdepar-AltN"/>
        <w:rPr>
          <w:rFonts w:cs="Times New Roman"/>
          <w:lang w:val="en-US"/>
        </w:rPr>
      </w:pPr>
      <w:r w:rsidRPr="00816F89">
        <w:rPr>
          <w:rFonts w:cs="Times New Roman"/>
          <w:lang w:val="en-US"/>
        </w:rPr>
        <w:t>The Association succeeded at first instance before the Commission des relations du travail (now the Administrative Labour Tribunal (“ALT”)). In response to the Société’s application for judicial review, the Superior Court of Quebec quashed the ALT’s decision. On further appeal, the Court of Appeal of Quebec allowed the appeal and restored the ALT’s decision, subject to a 12-month suspension of the effects of the ALT’s decision regarding the inoperability of the exclusion in s. 1(</w:t>
      </w:r>
      <w:r w:rsidRPr="00816F89">
        <w:rPr>
          <w:rFonts w:cs="Times New Roman"/>
          <w:i/>
          <w:lang w:val="en-US"/>
        </w:rPr>
        <w:t>l</w:t>
      </w:r>
      <w:r w:rsidRPr="00816F89">
        <w:rPr>
          <w:rFonts w:cs="Times New Roman"/>
          <w:lang w:val="en-US"/>
        </w:rPr>
        <w:t xml:space="preserve">)(1) of the </w:t>
      </w:r>
      <w:r w:rsidRPr="00816F89">
        <w:rPr>
          <w:rFonts w:cs="Times New Roman"/>
          <w:i/>
          <w:lang w:val="en-US"/>
        </w:rPr>
        <w:t>Labour Code</w:t>
      </w:r>
      <w:r w:rsidRPr="00816F89">
        <w:rPr>
          <w:rFonts w:cs="Times New Roman"/>
          <w:lang w:val="en-US"/>
        </w:rPr>
        <w:t>.</w:t>
      </w:r>
    </w:p>
    <w:p w14:paraId="0032BF4C" w14:textId="77777777" w:rsidR="00816F89" w:rsidRPr="00816F89" w:rsidRDefault="00816F89" w:rsidP="00816F89">
      <w:pPr>
        <w:pStyle w:val="ParaNoNdepar-AltN"/>
        <w:rPr>
          <w:rFonts w:cs="Times New Roman"/>
        </w:rPr>
      </w:pPr>
      <w:r w:rsidRPr="00816F89">
        <w:rPr>
          <w:rFonts w:cs="Times New Roman"/>
        </w:rPr>
        <w:t xml:space="preserve">I would allow the appeals. In my view, the impugned provision does not infringe the freedom of association guaranteed by s. 2(d) of the </w:t>
      </w:r>
      <w:r w:rsidRPr="00816F89">
        <w:rPr>
          <w:rFonts w:cs="Times New Roman"/>
          <w:i/>
        </w:rPr>
        <w:t xml:space="preserve">Charter </w:t>
      </w:r>
      <w:r w:rsidRPr="00816F89">
        <w:rPr>
          <w:rFonts w:cs="Times New Roman"/>
        </w:rPr>
        <w:t xml:space="preserve">or s. 3 of the Quebec </w:t>
      </w:r>
      <w:r w:rsidRPr="00816F89">
        <w:rPr>
          <w:rFonts w:cs="Times New Roman"/>
          <w:i/>
        </w:rPr>
        <w:t>Charter</w:t>
      </w:r>
      <w:r w:rsidRPr="00816F89">
        <w:rPr>
          <w:rFonts w:cs="Times New Roman"/>
        </w:rPr>
        <w:t>. I set out below what I see as the proper framework for analyzing an alleged infringement of freedom of association under this Court’s s. 2(d) jurisprudence</w:t>
      </w:r>
      <w:r w:rsidRPr="00816F89">
        <w:rPr>
          <w:rFonts w:cs="Times New Roman"/>
          <w:lang w:val="en-US"/>
        </w:rPr>
        <w:t>.</w:t>
      </w:r>
      <w:r w:rsidRPr="0094036F">
        <w:rPr>
          <w:rStyle w:val="Hyperlink"/>
          <w:vertAlign w:val="superscript"/>
        </w:rPr>
        <w:footnoteReference w:id="1"/>
      </w:r>
    </w:p>
    <w:p w14:paraId="35E17B5C" w14:textId="77777777" w:rsidR="00816F89" w:rsidRPr="00816F89" w:rsidRDefault="00816F89" w:rsidP="00816F89">
      <w:pPr>
        <w:pStyle w:val="ParaNoNdepar-AltN"/>
        <w:rPr>
          <w:rFonts w:cs="Times New Roman"/>
        </w:rPr>
      </w:pPr>
      <w:r w:rsidRPr="00816F89">
        <w:rPr>
          <w:rFonts w:cs="Times New Roman"/>
        </w:rPr>
        <w:t xml:space="preserve">In </w:t>
      </w:r>
      <w:r w:rsidRPr="00816F89">
        <w:rPr>
          <w:rFonts w:cs="Times New Roman"/>
          <w:i/>
          <w:iCs/>
          <w:lang w:val="en-US"/>
        </w:rPr>
        <w:t>Dunmore v. Ontario (Attorney General)</w:t>
      </w:r>
      <w:r w:rsidRPr="00816F89">
        <w:rPr>
          <w:rFonts w:cs="Times New Roman"/>
          <w:lang w:val="en-US"/>
        </w:rPr>
        <w:t>,</w:t>
      </w:r>
      <w:r w:rsidRPr="00816F89">
        <w:rPr>
          <w:rFonts w:cs="Times New Roman"/>
          <w:i/>
          <w:lang w:val="en-US"/>
        </w:rPr>
        <w:t xml:space="preserve"> </w:t>
      </w:r>
      <w:r w:rsidRPr="00816F89">
        <w:rPr>
          <w:rFonts w:cs="Times New Roman"/>
          <w:lang w:val="en-US"/>
        </w:rPr>
        <w:t>2001 SCC 94, [2001] 3 S.C.R. 1016, Bastarache J. for a majority of this Court set out a two-step framework for evaluating alleged infringements of freedom of association. First, a court considers whether activities fall within the range of activities protected under the freedom of association guarantee. Second, the court determines whether the legislation or government action, in purpose or effect, substantially interferes with those activities (paras. 13 and 25).</w:t>
      </w:r>
    </w:p>
    <w:p w14:paraId="26464D78" w14:textId="77777777" w:rsidR="00816F89" w:rsidRPr="00816F89" w:rsidRDefault="00816F89" w:rsidP="00816F89">
      <w:pPr>
        <w:pStyle w:val="ParaNoNdepar-AltN"/>
        <w:rPr>
          <w:rFonts w:cs="Times New Roman"/>
        </w:rPr>
      </w:pPr>
      <w:r w:rsidRPr="00816F89">
        <w:rPr>
          <w:rFonts w:cs="Times New Roman"/>
          <w:lang w:val="en-US"/>
        </w:rPr>
        <w:t xml:space="preserve">Justice Bastarache also considered in </w:t>
      </w:r>
      <w:r w:rsidRPr="00816F89">
        <w:rPr>
          <w:rFonts w:cs="Times New Roman"/>
          <w:i/>
          <w:lang w:val="en-US"/>
        </w:rPr>
        <w:t>Dunmore</w:t>
      </w:r>
      <w:r w:rsidRPr="00816F89">
        <w:rPr>
          <w:rFonts w:cs="Times New Roman"/>
          <w:lang w:val="en-US"/>
        </w:rPr>
        <w:t xml:space="preserve"> when underinclusive legislation engages state responsibility under s. 2(d) of the </w:t>
      </w:r>
      <w:r w:rsidRPr="00816F89">
        <w:rPr>
          <w:rFonts w:cs="Times New Roman"/>
          <w:i/>
          <w:lang w:val="en-US"/>
        </w:rPr>
        <w:t>Charter</w:t>
      </w:r>
      <w:r w:rsidRPr="00816F89">
        <w:rPr>
          <w:rFonts w:cs="Times New Roman"/>
          <w:lang w:val="en-US"/>
        </w:rPr>
        <w:t xml:space="preserve"> and set out three factors circumscribing the possibility of successfully challenging such legislation. These factors relate to whether the claim of underinclusion is grounded in a fundamental </w:t>
      </w:r>
      <w:r w:rsidRPr="00816F89">
        <w:rPr>
          <w:rFonts w:cs="Times New Roman"/>
          <w:i/>
          <w:lang w:val="en-US"/>
        </w:rPr>
        <w:t>Charter</w:t>
      </w:r>
      <w:r w:rsidRPr="00816F89">
        <w:rPr>
          <w:rFonts w:cs="Times New Roman"/>
          <w:lang w:val="en-US"/>
        </w:rPr>
        <w:t xml:space="preserve"> freedom, rather than access to a particular statutory regime; the evidentiary threshold for showing an interference with such a fundamental freedom; and whether the state can be held accountable for the claimant’s inability to exercise the fundamental freedom (paras. 24-26).</w:t>
      </w:r>
    </w:p>
    <w:p w14:paraId="7216BCAC" w14:textId="77777777" w:rsidR="00816F89" w:rsidRPr="00816F89" w:rsidRDefault="00816F89" w:rsidP="00816F89">
      <w:pPr>
        <w:pStyle w:val="ParaNoNdepar-AltN"/>
        <w:rPr>
          <w:rFonts w:cs="Times New Roman"/>
        </w:rPr>
      </w:pPr>
      <w:r w:rsidRPr="00816F89">
        <w:rPr>
          <w:rFonts w:cs="Times New Roman"/>
          <w:lang w:val="en-US"/>
        </w:rPr>
        <w:t xml:space="preserve">My colleague Justice Côté views these three factors listed in </w:t>
      </w:r>
      <w:r w:rsidRPr="00816F89">
        <w:rPr>
          <w:rFonts w:cs="Times New Roman"/>
          <w:i/>
          <w:lang w:val="en-US"/>
        </w:rPr>
        <w:t>Dunmore</w:t>
      </w:r>
      <w:r w:rsidRPr="00816F89">
        <w:rPr>
          <w:rFonts w:cs="Times New Roman"/>
          <w:lang w:val="en-US"/>
        </w:rPr>
        <w:t xml:space="preserve"> as creating a distinct framework for evaluating constitutional challenges to underinclusive legislation under s. 2(d) — so-called “positive rights” claims — and as imposing a higher threshold for such challenges than for challenges to legislation or government action directly interfering with associational activities — so-called “negative rights” claims</w:t>
      </w:r>
      <w:r w:rsidRPr="00816F89">
        <w:rPr>
          <w:rFonts w:cs="Times New Roman"/>
        </w:rPr>
        <w:t xml:space="preserve"> </w:t>
      </w:r>
      <w:r w:rsidRPr="00816F89">
        <w:rPr>
          <w:rFonts w:cs="Times New Roman"/>
          <w:lang w:val="en-US"/>
        </w:rPr>
        <w:t xml:space="preserve">(Justice Côté’s reasons, at paras. 133-34 and 149). I respectfully disagree. As I read this Court’s jurisprudence, there is only one framework for evaluating whether legislation or government action infringes s. 2(d). That framework, originally enunciated in </w:t>
      </w:r>
      <w:r w:rsidRPr="00816F89">
        <w:rPr>
          <w:rFonts w:cs="Times New Roman"/>
          <w:i/>
          <w:lang w:val="en-US"/>
        </w:rPr>
        <w:t>Dunmore</w:t>
      </w:r>
      <w:r w:rsidRPr="00816F89">
        <w:rPr>
          <w:rFonts w:cs="Times New Roman"/>
          <w:lang w:val="en-US"/>
        </w:rPr>
        <w:t xml:space="preserve"> and refined in later cases such as </w:t>
      </w:r>
      <w:r w:rsidRPr="00816F89">
        <w:rPr>
          <w:rFonts w:cs="Times New Roman"/>
          <w:i/>
          <w:lang w:val="en-US"/>
        </w:rPr>
        <w:t>Health Services and Support — Facilities Subsector Bargaining Assn. v. British Columbia</w:t>
      </w:r>
      <w:r w:rsidRPr="00816F89">
        <w:rPr>
          <w:rFonts w:cs="Times New Roman"/>
          <w:lang w:val="en-US"/>
        </w:rPr>
        <w:t xml:space="preserve">, 2007 SCC 27, [2007] 2 S.C.R. 391, </w:t>
      </w:r>
      <w:r w:rsidRPr="00816F89">
        <w:rPr>
          <w:rFonts w:cs="Times New Roman"/>
          <w:i/>
          <w:lang w:val="en-US"/>
        </w:rPr>
        <w:t>Ontario (Attorney General) v. Fraser</w:t>
      </w:r>
      <w:r w:rsidRPr="00816F89">
        <w:rPr>
          <w:rFonts w:cs="Times New Roman"/>
          <w:lang w:val="en-US"/>
        </w:rPr>
        <w:t xml:space="preserve">, 2011 SCC 20, [2011] 2 S.C.R. 3, and </w:t>
      </w:r>
      <w:r w:rsidRPr="00816F89">
        <w:rPr>
          <w:rFonts w:cs="Times New Roman"/>
          <w:i/>
        </w:rPr>
        <w:t>Mounted Police Association of Ontario v. Canada (Attorney General)</w:t>
      </w:r>
      <w:r w:rsidRPr="00816F89">
        <w:rPr>
          <w:rFonts w:cs="Times New Roman"/>
        </w:rPr>
        <w:t>,</w:t>
      </w:r>
      <w:r w:rsidRPr="00816F89">
        <w:rPr>
          <w:rFonts w:cs="Times New Roman"/>
          <w:i/>
        </w:rPr>
        <w:t xml:space="preserve"> </w:t>
      </w:r>
      <w:r w:rsidRPr="00816F89">
        <w:rPr>
          <w:rFonts w:cs="Times New Roman"/>
        </w:rPr>
        <w:t xml:space="preserve">2015 SCC 1, [2015] 1 S.C.R. 3, </w:t>
      </w:r>
      <w:r w:rsidRPr="00816F89">
        <w:rPr>
          <w:rFonts w:cs="Times New Roman"/>
          <w:lang w:val="en-US"/>
        </w:rPr>
        <w:t xml:space="preserve">examines, first, whether activities fall within the scope of the freedom of association guarantee, and second, whether the government action interferes with the protected activities in purpose or effect. The three factors set out in </w:t>
      </w:r>
      <w:r w:rsidRPr="00816F89">
        <w:rPr>
          <w:rFonts w:cs="Times New Roman"/>
          <w:i/>
          <w:lang w:val="en-US"/>
        </w:rPr>
        <w:t xml:space="preserve">Dunmore </w:t>
      </w:r>
      <w:r w:rsidRPr="00816F89">
        <w:rPr>
          <w:rFonts w:cs="Times New Roman"/>
          <w:lang w:val="en-US"/>
        </w:rPr>
        <w:t>are relevant considerations when evaluating s. 2(d) claims, but they do not constitute a separate test.</w:t>
      </w:r>
    </w:p>
    <w:p w14:paraId="6D5108A5" w14:textId="77777777" w:rsidR="00816F89" w:rsidRPr="00816F89" w:rsidRDefault="00816F89" w:rsidP="00816F89">
      <w:pPr>
        <w:pStyle w:val="ParaNoNdepar-AltN"/>
        <w:rPr>
          <w:rFonts w:cs="Times New Roman"/>
        </w:rPr>
      </w:pPr>
      <w:r w:rsidRPr="00816F89">
        <w:rPr>
          <w:rFonts w:cs="Times New Roman"/>
          <w:lang w:val="en-US"/>
        </w:rPr>
        <w:t>There is also only one threshold for evaluating all s. 2(d) claims — the threshold of substantial interference. In certain contexts, such as challenges to underinclusive legislation, it may be harder to satisfy the burden of proof to establish a substantial interference. But I respectfully disagree with my colleagues’ view that, in cases of underinclusive legislation, there is a “higher threshold” than the threshold of substantial interference (Justice Côté’s reasons, at paras. 137 and 149; see also Justice Rowe’s reasons, at paras. 211 and 219).</w:t>
      </w:r>
    </w:p>
    <w:p w14:paraId="58C58D03" w14:textId="77777777" w:rsidR="00816F89" w:rsidRPr="00816F89" w:rsidRDefault="00816F89" w:rsidP="00816F89">
      <w:pPr>
        <w:pStyle w:val="ParaNoNdepar-AltN"/>
        <w:rPr>
          <w:rFonts w:cs="Times New Roman"/>
        </w:rPr>
      </w:pPr>
      <w:r w:rsidRPr="00816F89">
        <w:rPr>
          <w:rFonts w:cs="Times New Roman"/>
          <w:lang w:val="en-US"/>
        </w:rPr>
        <w:t xml:space="preserve">I conclude that the Association has not shown on the record before this Court that the legislative exclusion of first-level managers from Quebec’s general collective labour relations regime infringes its members’ freedom of association. </w:t>
      </w:r>
    </w:p>
    <w:p w14:paraId="2DBF9BA9" w14:textId="77777777" w:rsidR="00816F89" w:rsidRPr="00816F89" w:rsidRDefault="00816F89" w:rsidP="00816F89">
      <w:pPr>
        <w:pStyle w:val="Title1LevelTitre1Niveau-AltL"/>
        <w:numPr>
          <w:ilvl w:val="0"/>
          <w:numId w:val="8"/>
        </w:numPr>
        <w:rPr>
          <w:rFonts w:cs="Times New Roman"/>
        </w:rPr>
      </w:pPr>
      <w:r w:rsidRPr="00816F89">
        <w:rPr>
          <w:rFonts w:cs="Times New Roman"/>
        </w:rPr>
        <w:t>Background</w:t>
      </w:r>
    </w:p>
    <w:p w14:paraId="2AC367A1" w14:textId="77777777" w:rsidR="00816F89" w:rsidRPr="00816F89" w:rsidRDefault="00816F89" w:rsidP="00816F89">
      <w:pPr>
        <w:pStyle w:val="ParaNoNdepar-AltN"/>
        <w:rPr>
          <w:rFonts w:cs="Times New Roman"/>
        </w:rPr>
      </w:pPr>
      <w:r w:rsidRPr="00816F89">
        <w:rPr>
          <w:rFonts w:cs="Times New Roman"/>
          <w:lang w:val="en-US"/>
        </w:rPr>
        <w:t xml:space="preserve">The Association represents certain operations supervisors working for the Société. </w:t>
      </w:r>
      <w:r w:rsidRPr="00816F89">
        <w:rPr>
          <w:rFonts w:cs="Times New Roman"/>
        </w:rPr>
        <w:t xml:space="preserve">The Société is a subsidiary of the Quebec government corporation Société des loteries du Québec and oversees four government-run casinos. Operations supervisors are first-level managers in the </w:t>
      </w:r>
      <w:r w:rsidRPr="00816F89">
        <w:rPr>
          <w:rFonts w:cs="Times New Roman"/>
          <w:lang w:val="en-US"/>
        </w:rPr>
        <w:t>Société’s five levels of management and are responsible for ensuring the smooth operation of gaming activities and customer service. They supervise the croupiers, who are unionized employees running games in the casinos.</w:t>
      </w:r>
    </w:p>
    <w:p w14:paraId="256B5F09" w14:textId="77777777" w:rsidR="00816F89" w:rsidRPr="00816F89" w:rsidRDefault="00816F89" w:rsidP="00816F89">
      <w:pPr>
        <w:pStyle w:val="ParaNoNdepar-AltN"/>
        <w:rPr>
          <w:rFonts w:cs="Times New Roman"/>
        </w:rPr>
      </w:pPr>
      <w:r w:rsidRPr="00816F89">
        <w:rPr>
          <w:rFonts w:cs="Times New Roman"/>
        </w:rPr>
        <w:t xml:space="preserve">The Association applied to the ALT for association certification under the </w:t>
      </w:r>
      <w:r w:rsidRPr="00816F89">
        <w:rPr>
          <w:rFonts w:cs="Times New Roman"/>
          <w:i/>
        </w:rPr>
        <w:t>Labour Code</w:t>
      </w:r>
      <w:r w:rsidRPr="00816F89">
        <w:rPr>
          <w:rFonts w:cs="Times New Roman"/>
        </w:rPr>
        <w:t>. Because s. 1(</w:t>
      </w:r>
      <w:r w:rsidRPr="00816F89">
        <w:rPr>
          <w:rFonts w:cs="Times New Roman"/>
          <w:i/>
        </w:rPr>
        <w:t>l</w:t>
      </w:r>
      <w:r w:rsidRPr="00816F89">
        <w:rPr>
          <w:rFonts w:cs="Times New Roman"/>
        </w:rPr>
        <w:t xml:space="preserve">)(1) of the </w:t>
      </w:r>
      <w:r w:rsidRPr="00816F89">
        <w:rPr>
          <w:rFonts w:cs="Times New Roman"/>
          <w:i/>
        </w:rPr>
        <w:t>Labour Code</w:t>
      </w:r>
      <w:r w:rsidRPr="00816F89">
        <w:rPr>
          <w:rFonts w:cs="Times New Roman"/>
        </w:rPr>
        <w:t xml:space="preserve"> excludes managers from its statutory labour relations regime, including from the ability to obtain association certification, the Association sought a ruling that this statutory exclusion unjustifiably infringed its members’ freedom of association under s. 2(d) of the </w:t>
      </w:r>
      <w:r w:rsidRPr="00816F89">
        <w:rPr>
          <w:rFonts w:cs="Times New Roman"/>
          <w:i/>
        </w:rPr>
        <w:t xml:space="preserve">Charter </w:t>
      </w:r>
      <w:r w:rsidRPr="00816F89">
        <w:rPr>
          <w:rFonts w:cs="Times New Roman"/>
        </w:rPr>
        <w:t xml:space="preserve">and s. 3 of the Quebec </w:t>
      </w:r>
      <w:r w:rsidRPr="00816F89">
        <w:rPr>
          <w:rFonts w:cs="Times New Roman"/>
          <w:i/>
        </w:rPr>
        <w:t>Charter</w:t>
      </w:r>
      <w:r w:rsidRPr="00816F89">
        <w:rPr>
          <w:rFonts w:cs="Times New Roman"/>
        </w:rPr>
        <w:t>.</w:t>
      </w:r>
    </w:p>
    <w:p w14:paraId="2329A40E" w14:textId="77777777" w:rsidR="00816F89" w:rsidRPr="00816F89" w:rsidRDefault="00816F89" w:rsidP="00816F89">
      <w:pPr>
        <w:pStyle w:val="ParaNoNdepar-AltN"/>
        <w:rPr>
          <w:rFonts w:cs="Times New Roman"/>
          <w:lang w:val="en-US"/>
        </w:rPr>
      </w:pPr>
      <w:r w:rsidRPr="00816F89">
        <w:rPr>
          <w:rFonts w:cs="Times New Roman"/>
          <w:lang w:val="en-US"/>
        </w:rPr>
        <w:t xml:space="preserve">The ALT </w:t>
      </w:r>
      <w:r w:rsidRPr="00816F89">
        <w:rPr>
          <w:rFonts w:cs="Times New Roman"/>
        </w:rPr>
        <w:t>concluded that the exclusion of managers from the definition of “employee”</w:t>
      </w:r>
      <w:r w:rsidRPr="00816F89">
        <w:rPr>
          <w:rFonts w:cs="Times New Roman"/>
          <w:lang w:val="en-US"/>
        </w:rPr>
        <w:t xml:space="preserve"> unjustifiably infringed the </w:t>
      </w:r>
      <w:r w:rsidRPr="00816F89">
        <w:rPr>
          <w:rFonts w:cs="Times New Roman"/>
        </w:rPr>
        <w:t xml:space="preserve">freedom of association of the operations supervisors (2016 QCTAT 6870). The administrative judge drew a parallel between the Association’s constitutional challenge and the constitutional challenge addressed in this Court’s decision in </w:t>
      </w:r>
      <w:r w:rsidRPr="00816F89">
        <w:rPr>
          <w:rFonts w:cs="Times New Roman"/>
          <w:i/>
        </w:rPr>
        <w:t>Mounted Police</w:t>
      </w:r>
      <w:r w:rsidRPr="00816F89">
        <w:rPr>
          <w:rFonts w:cs="Times New Roman"/>
        </w:rPr>
        <w:t>,</w:t>
      </w:r>
      <w:r w:rsidRPr="00816F89">
        <w:rPr>
          <w:rFonts w:cs="Times New Roman"/>
          <w:i/>
        </w:rPr>
        <w:t xml:space="preserve"> </w:t>
      </w:r>
      <w:r w:rsidRPr="00816F89">
        <w:rPr>
          <w:rFonts w:cs="Times New Roman"/>
        </w:rPr>
        <w:t xml:space="preserve">which also involved a challenge to a legislative exclusion from a general labour relations scheme. In the view of the administrative judge, the Association, as in </w:t>
      </w:r>
      <w:r w:rsidRPr="00816F89">
        <w:rPr>
          <w:rFonts w:cs="Times New Roman"/>
          <w:i/>
        </w:rPr>
        <w:t>Mounted Police</w:t>
      </w:r>
      <w:r w:rsidRPr="00816F89">
        <w:rPr>
          <w:rFonts w:cs="Times New Roman"/>
        </w:rPr>
        <w:t>, was not seeking to impose a positive obligation on the state to enact protective legislation. Rather, the Association was asking the state to refrain from disrupting the balance of power between its members and their employer through the legislative exclusion (paras. 368-78 (CanLII)).</w:t>
      </w:r>
    </w:p>
    <w:p w14:paraId="0F876104" w14:textId="77777777" w:rsidR="00816F89" w:rsidRPr="00816F89" w:rsidRDefault="00816F89" w:rsidP="00816F89">
      <w:pPr>
        <w:pStyle w:val="ParaNoNdepar-AltN"/>
        <w:rPr>
          <w:rFonts w:cs="Times New Roman"/>
          <w:lang w:val="en-US"/>
        </w:rPr>
      </w:pPr>
      <w:r w:rsidRPr="00816F89">
        <w:rPr>
          <w:rFonts w:cs="Times New Roman"/>
        </w:rPr>
        <w:t xml:space="preserve">On judicial review, the Superior Court of Quebec quashed the ALT’s decision (2018 QCCS 4781). In the Superior Court’s view, the Association sought to impose a positive obligation on the state, which the court held must be analyzed under the framework in </w:t>
      </w:r>
      <w:r w:rsidRPr="00816F89">
        <w:rPr>
          <w:rFonts w:cs="Times New Roman"/>
          <w:i/>
        </w:rPr>
        <w:t>Dunmore</w:t>
      </w:r>
      <w:r w:rsidRPr="00816F89">
        <w:rPr>
          <w:rFonts w:cs="Times New Roman"/>
          <w:lang w:val="en-US"/>
        </w:rPr>
        <w:t xml:space="preserve">, </w:t>
      </w:r>
      <w:r w:rsidRPr="00816F89">
        <w:rPr>
          <w:rFonts w:cs="Times New Roman"/>
        </w:rPr>
        <w:t xml:space="preserve">rather than under the framework in </w:t>
      </w:r>
      <w:r w:rsidRPr="00816F89">
        <w:rPr>
          <w:rFonts w:cs="Times New Roman"/>
          <w:i/>
        </w:rPr>
        <w:t>Mounted Police</w:t>
      </w:r>
      <w:r w:rsidRPr="00816F89">
        <w:rPr>
          <w:rFonts w:cs="Times New Roman"/>
        </w:rPr>
        <w:t xml:space="preserve">. The court did not regard the ALT’s error in characterizing the Association’s claim as determinative, since the administrative judge considered the three </w:t>
      </w:r>
      <w:r w:rsidRPr="00816F89">
        <w:rPr>
          <w:rFonts w:cs="Times New Roman"/>
          <w:i/>
        </w:rPr>
        <w:t xml:space="preserve">Dunmore </w:t>
      </w:r>
      <w:r w:rsidRPr="00816F89">
        <w:rPr>
          <w:rFonts w:cs="Times New Roman"/>
        </w:rPr>
        <w:t>factors in reaching her conclusion (paras. 71-83 (CanLII)). Still, the court held that the administrative judge erred in applying that test and ruled that the Association did not establish an infringement of its members’ freedom of association.</w:t>
      </w:r>
    </w:p>
    <w:p w14:paraId="57A18535" w14:textId="77777777" w:rsidR="00816F89" w:rsidRPr="00816F89" w:rsidRDefault="00816F89" w:rsidP="00816F89">
      <w:pPr>
        <w:pStyle w:val="ParaNoNdepar-AltN"/>
        <w:rPr>
          <w:rFonts w:cs="Times New Roman"/>
          <w:lang w:val="en-US"/>
        </w:rPr>
      </w:pPr>
      <w:r w:rsidRPr="00816F89">
        <w:rPr>
          <w:rFonts w:cs="Times New Roman"/>
        </w:rPr>
        <w:t>On appeal, the Court of Appeal of Quebec overturned the Superior Court’s ruling and restored the ALT’s decision, subject to a 12-month suspension of the declaration of inoperability of s. 1(</w:t>
      </w:r>
      <w:r w:rsidRPr="00816F89">
        <w:rPr>
          <w:rFonts w:cs="Times New Roman"/>
          <w:i/>
        </w:rPr>
        <w:t>l</w:t>
      </w:r>
      <w:r w:rsidRPr="00816F89">
        <w:rPr>
          <w:rFonts w:cs="Times New Roman"/>
        </w:rPr>
        <w:t xml:space="preserve">)(1) of the </w:t>
      </w:r>
      <w:r w:rsidRPr="00816F89">
        <w:rPr>
          <w:rFonts w:cs="Times New Roman"/>
          <w:i/>
        </w:rPr>
        <w:t>Labour Code</w:t>
      </w:r>
      <w:r w:rsidRPr="00816F89">
        <w:rPr>
          <w:rFonts w:cs="Times New Roman"/>
        </w:rPr>
        <w:t xml:space="preserve"> (2022 QCCA 180). The Court of Appeal followed </w:t>
      </w:r>
      <w:r w:rsidRPr="00816F89">
        <w:rPr>
          <w:rFonts w:cs="Times New Roman"/>
          <w:i/>
        </w:rPr>
        <w:t xml:space="preserve">Mounted Police </w:t>
      </w:r>
      <w:r w:rsidRPr="00816F89">
        <w:rPr>
          <w:rFonts w:cs="Times New Roman"/>
        </w:rPr>
        <w:t xml:space="preserve">and applied the two-part substantial interference test as the proper framework under s. 2(d). The court noted that this Court’s decision in </w:t>
      </w:r>
      <w:r w:rsidRPr="00816F89">
        <w:rPr>
          <w:rFonts w:cs="Times New Roman"/>
          <w:i/>
        </w:rPr>
        <w:t>Toronto (City) v. Ontario (Attorney General)</w:t>
      </w:r>
      <w:r w:rsidRPr="00816F89">
        <w:rPr>
          <w:rFonts w:cs="Times New Roman"/>
        </w:rPr>
        <w:t>,</w:t>
      </w:r>
      <w:r w:rsidRPr="00816F89">
        <w:rPr>
          <w:rFonts w:cs="Times New Roman"/>
          <w:i/>
        </w:rPr>
        <w:t xml:space="preserve"> </w:t>
      </w:r>
      <w:r w:rsidRPr="00816F89">
        <w:rPr>
          <w:rFonts w:cs="Times New Roman"/>
        </w:rPr>
        <w:t xml:space="preserve">2021 SCC 34, left open whether the </w:t>
      </w:r>
      <w:r w:rsidRPr="00816F89">
        <w:rPr>
          <w:rFonts w:cs="Times New Roman"/>
          <w:i/>
        </w:rPr>
        <w:t xml:space="preserve">Dunmore </w:t>
      </w:r>
      <w:r w:rsidRPr="00816F89">
        <w:rPr>
          <w:rFonts w:cs="Times New Roman"/>
        </w:rPr>
        <w:t>framework continues to apply in the labour relations context (</w:t>
      </w:r>
      <w:r w:rsidRPr="00816F89">
        <w:rPr>
          <w:rFonts w:cs="Times New Roman"/>
          <w:lang w:val="en-US"/>
        </w:rPr>
        <w:t xml:space="preserve">para. 127 </w:t>
      </w:r>
      <w:r w:rsidRPr="00816F89">
        <w:rPr>
          <w:rFonts w:cs="Times New Roman"/>
        </w:rPr>
        <w:t xml:space="preserve">(CanLII)). In the Court of Appeal’s view, on the one hand, if the distinction between positive and negative rights is no longer relevant to the framework for evaluating s. 2(d) claims, then the two-part test in </w:t>
      </w:r>
      <w:r w:rsidRPr="00816F89">
        <w:rPr>
          <w:rFonts w:cs="Times New Roman"/>
          <w:i/>
        </w:rPr>
        <w:t xml:space="preserve">Mounted Police </w:t>
      </w:r>
      <w:r w:rsidRPr="00816F89">
        <w:rPr>
          <w:rFonts w:cs="Times New Roman"/>
        </w:rPr>
        <w:t>applies. If, however, the distinction remains relevant, then the ALT correctly characterized the Association’s claim as a negative rights claim, since the Association seeks freedom from government interference caused by the legislative exclusion (paras. 133-36).</w:t>
      </w:r>
    </w:p>
    <w:p w14:paraId="6A802947" w14:textId="77777777" w:rsidR="00816F89" w:rsidRPr="00816F89" w:rsidRDefault="00816F89" w:rsidP="00816F89">
      <w:pPr>
        <w:pStyle w:val="Title1LevelTitre1Niveau-AltL"/>
        <w:numPr>
          <w:ilvl w:val="0"/>
          <w:numId w:val="8"/>
        </w:numPr>
        <w:rPr>
          <w:rFonts w:cs="Times New Roman"/>
        </w:rPr>
      </w:pPr>
      <w:r w:rsidRPr="00816F89">
        <w:rPr>
          <w:rFonts w:cs="Times New Roman"/>
        </w:rPr>
        <w:t>Analysis</w:t>
      </w:r>
    </w:p>
    <w:p w14:paraId="51BC7FA1" w14:textId="77777777" w:rsidR="00816F89" w:rsidRPr="00816F89" w:rsidRDefault="00816F89" w:rsidP="00816F89">
      <w:pPr>
        <w:pStyle w:val="ParaNoNdepar-AltN"/>
        <w:rPr>
          <w:rFonts w:cs="Times New Roman"/>
          <w:i/>
          <w:lang w:val="en-US"/>
        </w:rPr>
      </w:pPr>
      <w:bookmarkStart w:id="6" w:name="_Toc320021605"/>
      <w:bookmarkStart w:id="7" w:name="_Toc400026538"/>
      <w:r w:rsidRPr="00816F89">
        <w:rPr>
          <w:rFonts w:cs="Times New Roman"/>
          <w:lang w:val="en-US"/>
        </w:rPr>
        <w:t xml:space="preserve">In </w:t>
      </w:r>
      <w:r w:rsidRPr="00816F89">
        <w:rPr>
          <w:rFonts w:cs="Times New Roman"/>
          <w:i/>
          <w:lang w:val="en-US"/>
        </w:rPr>
        <w:t>Toronto (City)</w:t>
      </w:r>
      <w:r w:rsidRPr="00816F89">
        <w:rPr>
          <w:rFonts w:cs="Times New Roman"/>
          <w:lang w:val="en-US"/>
        </w:rPr>
        <w:t xml:space="preserve">, a s. 2(b) freedom of expression case, a majority of this Court refrained from deciding whether </w:t>
      </w:r>
      <w:r w:rsidRPr="00816F89">
        <w:rPr>
          <w:rFonts w:cs="Times New Roman"/>
          <w:i/>
          <w:lang w:val="en-US"/>
        </w:rPr>
        <w:t xml:space="preserve">Dunmore </w:t>
      </w:r>
      <w:r w:rsidRPr="00816F89">
        <w:rPr>
          <w:rFonts w:cs="Times New Roman"/>
          <w:lang w:val="en-US"/>
        </w:rPr>
        <w:t xml:space="preserve">continues to apply to s. 2(d) claims after the Court’s decisions in </w:t>
      </w:r>
      <w:r w:rsidRPr="00816F89">
        <w:rPr>
          <w:rFonts w:cs="Times New Roman"/>
          <w:i/>
          <w:lang w:val="en-US"/>
        </w:rPr>
        <w:t xml:space="preserve">Fraser </w:t>
      </w:r>
      <w:r w:rsidRPr="00816F89">
        <w:rPr>
          <w:rFonts w:cs="Times New Roman"/>
          <w:lang w:val="en-US"/>
        </w:rPr>
        <w:t xml:space="preserve">and </w:t>
      </w:r>
      <w:r w:rsidRPr="00816F89">
        <w:rPr>
          <w:rFonts w:cs="Times New Roman"/>
          <w:i/>
          <w:lang w:val="en-US"/>
        </w:rPr>
        <w:t>Mounted Police</w:t>
      </w:r>
      <w:r w:rsidRPr="00816F89">
        <w:rPr>
          <w:rFonts w:cs="Times New Roman"/>
          <w:lang w:val="en-US"/>
        </w:rPr>
        <w:t xml:space="preserve">. The majority stated that “[w]e need not decide here whether </w:t>
      </w:r>
      <w:r w:rsidRPr="00816F89">
        <w:rPr>
          <w:rFonts w:cs="Times New Roman"/>
          <w:i/>
          <w:lang w:val="en-US"/>
        </w:rPr>
        <w:t>Dunmore</w:t>
      </w:r>
      <w:r w:rsidRPr="00816F89">
        <w:rPr>
          <w:rFonts w:cs="Times New Roman"/>
          <w:lang w:val="en-US"/>
        </w:rPr>
        <w:t xml:space="preserve"> remains applicable to s. 2(</w:t>
      </w:r>
      <w:r w:rsidRPr="00816F89">
        <w:rPr>
          <w:rFonts w:cs="Times New Roman"/>
          <w:i/>
          <w:lang w:val="en-US"/>
        </w:rPr>
        <w:t>d</w:t>
      </w:r>
      <w:r w:rsidRPr="00816F89">
        <w:rPr>
          <w:rFonts w:cs="Times New Roman"/>
          <w:lang w:val="en-US"/>
        </w:rPr>
        <w:t xml:space="preserve">) claims”, which the majority called “an open question” after </w:t>
      </w:r>
      <w:r w:rsidRPr="00816F89">
        <w:rPr>
          <w:rFonts w:cs="Times New Roman"/>
          <w:i/>
          <w:lang w:val="en-US"/>
        </w:rPr>
        <w:t>Fraser</w:t>
      </w:r>
      <w:r w:rsidRPr="00816F89">
        <w:rPr>
          <w:rFonts w:cs="Times New Roman"/>
          <w:lang w:val="en-US"/>
        </w:rPr>
        <w:t xml:space="preserve"> and </w:t>
      </w:r>
      <w:r w:rsidRPr="00816F89">
        <w:rPr>
          <w:rFonts w:cs="Times New Roman"/>
          <w:i/>
          <w:lang w:val="en-US"/>
        </w:rPr>
        <w:t xml:space="preserve">Mounted Police </w:t>
      </w:r>
      <w:r w:rsidRPr="00816F89">
        <w:rPr>
          <w:rFonts w:cs="Times New Roman"/>
          <w:lang w:val="en-US"/>
        </w:rPr>
        <w:t>(</w:t>
      </w:r>
      <w:r w:rsidRPr="00816F89">
        <w:rPr>
          <w:rFonts w:cs="Times New Roman"/>
          <w:i/>
          <w:lang w:val="en-US"/>
        </w:rPr>
        <w:t>Toronto (City)</w:t>
      </w:r>
      <w:r w:rsidRPr="00816F89">
        <w:rPr>
          <w:rFonts w:cs="Times New Roman"/>
          <w:lang w:val="en-US"/>
        </w:rPr>
        <w:t xml:space="preserve">, at para. 21). </w:t>
      </w:r>
    </w:p>
    <w:p w14:paraId="47792079" w14:textId="77777777" w:rsidR="00816F89" w:rsidRPr="00816F89" w:rsidRDefault="00816F89" w:rsidP="00816F89">
      <w:pPr>
        <w:pStyle w:val="ParaNoNdepar-AltN"/>
        <w:rPr>
          <w:rFonts w:cs="Times New Roman"/>
          <w:i/>
          <w:lang w:val="en-US"/>
        </w:rPr>
      </w:pPr>
      <w:r w:rsidRPr="00816F89">
        <w:rPr>
          <w:rFonts w:cs="Times New Roman"/>
          <w:lang w:val="en-US"/>
        </w:rPr>
        <w:t xml:space="preserve">I agree with my colleague Justice Côté that </w:t>
      </w:r>
      <w:r w:rsidRPr="00816F89">
        <w:rPr>
          <w:rFonts w:cs="Times New Roman"/>
          <w:i/>
          <w:lang w:val="en-US"/>
        </w:rPr>
        <w:t xml:space="preserve">Dunmore </w:t>
      </w:r>
      <w:r w:rsidRPr="00816F89">
        <w:rPr>
          <w:rFonts w:cs="Times New Roman"/>
          <w:lang w:val="en-US"/>
        </w:rPr>
        <w:t xml:space="preserve">was not overturned by </w:t>
      </w:r>
      <w:r w:rsidRPr="00816F89">
        <w:rPr>
          <w:rFonts w:cs="Times New Roman"/>
          <w:i/>
          <w:lang w:val="en-US"/>
        </w:rPr>
        <w:t>Fraser</w:t>
      </w:r>
      <w:r w:rsidRPr="00816F89">
        <w:rPr>
          <w:rFonts w:cs="Times New Roman"/>
          <w:lang w:val="en-US"/>
        </w:rPr>
        <w:t xml:space="preserve"> or </w:t>
      </w:r>
      <w:r w:rsidRPr="00816F89">
        <w:rPr>
          <w:rFonts w:cs="Times New Roman"/>
          <w:i/>
          <w:lang w:val="en-US"/>
        </w:rPr>
        <w:t>Mounted Police</w:t>
      </w:r>
      <w:r w:rsidRPr="00816F89">
        <w:rPr>
          <w:rFonts w:cs="Times New Roman"/>
          <w:lang w:val="en-US"/>
        </w:rPr>
        <w:t xml:space="preserve"> and remains good law. At the same time, I respectfully disagree with her on how to interpret </w:t>
      </w:r>
      <w:r w:rsidRPr="00816F89">
        <w:rPr>
          <w:rFonts w:cs="Times New Roman"/>
          <w:i/>
          <w:lang w:val="en-US"/>
        </w:rPr>
        <w:t>Dunmore</w:t>
      </w:r>
      <w:r w:rsidRPr="00816F89">
        <w:rPr>
          <w:rFonts w:cs="Times New Roman"/>
          <w:lang w:val="en-US"/>
        </w:rPr>
        <w:t xml:space="preserve"> given this Court’s subsequent s. 2(d) jurisprudence. </w:t>
      </w:r>
    </w:p>
    <w:p w14:paraId="0CDFABC2" w14:textId="77777777" w:rsidR="00816F89" w:rsidRPr="00816F89" w:rsidRDefault="00816F89" w:rsidP="00816F89">
      <w:pPr>
        <w:pStyle w:val="Title2LevelTitre2Niveau"/>
        <w:numPr>
          <w:ilvl w:val="1"/>
          <w:numId w:val="8"/>
        </w:numPr>
        <w:rPr>
          <w:rFonts w:cs="Times New Roman"/>
        </w:rPr>
      </w:pPr>
      <w:r w:rsidRPr="00816F89">
        <w:rPr>
          <w:rFonts w:cs="Times New Roman"/>
        </w:rPr>
        <w:t>The Framework for Applying Section 2(d) of the Charter</w:t>
      </w:r>
    </w:p>
    <w:p w14:paraId="7BCCF73B" w14:textId="77777777" w:rsidR="00816F89" w:rsidRPr="00816F89" w:rsidRDefault="00816F89" w:rsidP="00816F89">
      <w:pPr>
        <w:pStyle w:val="ParaNoNdepar-AltN"/>
        <w:rPr>
          <w:rFonts w:cs="Times New Roman"/>
        </w:rPr>
      </w:pPr>
      <w:r w:rsidRPr="00816F89">
        <w:rPr>
          <w:rFonts w:cs="Times New Roman"/>
        </w:rPr>
        <w:t xml:space="preserve">The framework for determining whether legislation or government action infringes s. 2(d) of the </w:t>
      </w:r>
      <w:r w:rsidRPr="00816F89">
        <w:rPr>
          <w:rFonts w:cs="Times New Roman"/>
          <w:i/>
        </w:rPr>
        <w:t xml:space="preserve">Charter </w:t>
      </w:r>
      <w:r w:rsidRPr="00816F89">
        <w:rPr>
          <w:rFonts w:cs="Times New Roman"/>
        </w:rPr>
        <w:t xml:space="preserve">was established by this Court in </w:t>
      </w:r>
      <w:r w:rsidRPr="00816F89">
        <w:rPr>
          <w:rFonts w:cs="Times New Roman"/>
          <w:i/>
        </w:rPr>
        <w:t>Dunmore</w:t>
      </w:r>
      <w:r w:rsidRPr="00816F89">
        <w:rPr>
          <w:rFonts w:cs="Times New Roman"/>
        </w:rPr>
        <w:t>.</w:t>
      </w:r>
      <w:r w:rsidRPr="00816F89">
        <w:rPr>
          <w:rFonts w:cs="Times New Roman"/>
          <w:i/>
        </w:rPr>
        <w:t xml:space="preserve"> </w:t>
      </w:r>
      <w:r w:rsidRPr="00816F89">
        <w:rPr>
          <w:rFonts w:cs="Times New Roman"/>
        </w:rPr>
        <w:t>Writing for the majority, Bastarache J. articulated the following two-part test:</w:t>
      </w:r>
    </w:p>
    <w:p w14:paraId="013596C3" w14:textId="77777777" w:rsidR="00816F89" w:rsidRPr="00816F89" w:rsidRDefault="00816F89" w:rsidP="00816F89">
      <w:pPr>
        <w:pStyle w:val="Citation-AltC"/>
        <w:ind w:firstLine="274"/>
      </w:pPr>
      <w:r w:rsidRPr="00816F89">
        <w:t>In order to establish a violation of s. 2(</w:t>
      </w:r>
      <w:r w:rsidRPr="00816F89">
        <w:rPr>
          <w:i/>
        </w:rPr>
        <w:t>d</w:t>
      </w:r>
      <w:r w:rsidRPr="00816F89">
        <w:t>), the appellants must demonstrate, first, that such activities fall within the range of activities protected by s. 2(</w:t>
      </w:r>
      <w:r w:rsidRPr="00816F89">
        <w:rPr>
          <w:i/>
        </w:rPr>
        <w:t>d</w:t>
      </w:r>
      <w:r w:rsidRPr="00816F89">
        <w:t xml:space="preserve">) of the </w:t>
      </w:r>
      <w:r w:rsidRPr="00816F89">
        <w:rPr>
          <w:i/>
        </w:rPr>
        <w:t>Charter</w:t>
      </w:r>
      <w:r w:rsidRPr="00816F89">
        <w:t>, and second, that the impugned legislation has, either in purpose or effect, interfered with these activities . . . . [para. 13]</w:t>
      </w:r>
    </w:p>
    <w:p w14:paraId="7FE561EC" w14:textId="77777777" w:rsidR="00816F89" w:rsidRPr="00816F89" w:rsidRDefault="00816F89" w:rsidP="00816F89">
      <w:pPr>
        <w:pStyle w:val="ParaNoNdepar-AltN"/>
        <w:rPr>
          <w:rFonts w:cs="Times New Roman"/>
        </w:rPr>
      </w:pPr>
      <w:r w:rsidRPr="00816F89">
        <w:rPr>
          <w:rFonts w:cs="Times New Roman"/>
        </w:rPr>
        <w:t xml:space="preserve">The issue in </w:t>
      </w:r>
      <w:r w:rsidRPr="00816F89">
        <w:rPr>
          <w:rFonts w:cs="Times New Roman"/>
          <w:i/>
        </w:rPr>
        <w:t xml:space="preserve">Dunmore </w:t>
      </w:r>
      <w:r w:rsidRPr="00816F89">
        <w:rPr>
          <w:rFonts w:cs="Times New Roman"/>
        </w:rPr>
        <w:t xml:space="preserve">was whether the exclusion of agricultural workers from Ontario’s statutory labour relations regime infringed s. 2(d) of the </w:t>
      </w:r>
      <w:r w:rsidRPr="00816F89">
        <w:rPr>
          <w:rFonts w:cs="Times New Roman"/>
          <w:i/>
        </w:rPr>
        <w:t>Charter</w:t>
      </w:r>
      <w:r w:rsidRPr="00816F89">
        <w:rPr>
          <w:rFonts w:cs="Times New Roman"/>
        </w:rPr>
        <w:t xml:space="preserve">. In that context, this Court considered whether underinclusive legislation could interfere with the exercise of a fundamental freedom. Justice Bastarache stated that although there is no constitutional right to protective legislation, underinclusive legislation could lead to an interference with the exercise of a fundamental freedom “in unique contexts” (para. 22). As he explained, “depending on the circumstances, freedom of association may, for example, prohibit the selective exclusion of a group from whatever protections are necessary to form and maintain an association, even though there is no constitutional right to such statutory protection </w:t>
      </w:r>
      <w:r w:rsidRPr="00816F89">
        <w:rPr>
          <w:rFonts w:cs="Times New Roman"/>
          <w:i/>
          <w:iCs/>
        </w:rPr>
        <w:t>per se</w:t>
      </w:r>
      <w:r w:rsidRPr="00816F89">
        <w:rPr>
          <w:rFonts w:cs="Times New Roman"/>
        </w:rPr>
        <w:t>” (para. 28).</w:t>
      </w:r>
    </w:p>
    <w:p w14:paraId="1DEA8596" w14:textId="77777777" w:rsidR="00816F89" w:rsidRPr="00816F89" w:rsidRDefault="00816F89" w:rsidP="00816F89">
      <w:pPr>
        <w:pStyle w:val="ParaNoNdepar-AltN"/>
        <w:rPr>
          <w:rFonts w:cs="Times New Roman"/>
        </w:rPr>
      </w:pPr>
      <w:r w:rsidRPr="00816F89">
        <w:rPr>
          <w:rFonts w:cs="Times New Roman"/>
        </w:rPr>
        <w:t xml:space="preserve">Justice Bastarache noted three factors that “function to circumscribe, but not to foreclose, the possibility of challenging underinclusion under s. 2 of the </w:t>
      </w:r>
      <w:r w:rsidRPr="00816F89">
        <w:rPr>
          <w:rFonts w:cs="Times New Roman"/>
          <w:i/>
        </w:rPr>
        <w:t>Charter</w:t>
      </w:r>
      <w:r w:rsidRPr="00816F89">
        <w:rPr>
          <w:rFonts w:cs="Times New Roman"/>
        </w:rPr>
        <w:t xml:space="preserve">” (para. 24). First, the claim must be “plausibly” grounded in a fundamental </w:t>
      </w:r>
      <w:r w:rsidRPr="00816F89">
        <w:rPr>
          <w:rFonts w:cs="Times New Roman"/>
          <w:i/>
        </w:rPr>
        <w:t xml:space="preserve">Charter </w:t>
      </w:r>
      <w:r w:rsidRPr="00816F89">
        <w:rPr>
          <w:rFonts w:cs="Times New Roman"/>
        </w:rPr>
        <w:t xml:space="preserve">freedom, rather than in access to a particular statutory regime (para. 24). Second, the evidence must show that the exclusion “permits a </w:t>
      </w:r>
      <w:r w:rsidRPr="00816F89">
        <w:rPr>
          <w:rFonts w:cs="Times New Roman"/>
          <w:u w:val="single"/>
        </w:rPr>
        <w:t>substantial</w:t>
      </w:r>
      <w:r w:rsidRPr="00816F89">
        <w:rPr>
          <w:rFonts w:cs="Times New Roman"/>
        </w:rPr>
        <w:t xml:space="preserve"> interference” with the claimant’s exercise of the fundamental freedom (para. 25 (emphasis in original)). Third, the state must be accountable for the claimant’s inability to exercise the fundamental freedom, in that it “orchestrates, encourages or sustains the violation of fundamental freedoms” (para. 26).</w:t>
      </w:r>
    </w:p>
    <w:p w14:paraId="49138B42" w14:textId="77777777" w:rsidR="00816F89" w:rsidRPr="00816F89" w:rsidRDefault="00816F89" w:rsidP="00816F89">
      <w:pPr>
        <w:pStyle w:val="ParaNoNdepar-AltN"/>
        <w:spacing w:before="240"/>
        <w:rPr>
          <w:rFonts w:cs="Times New Roman"/>
          <w:szCs w:val="24"/>
        </w:rPr>
      </w:pPr>
      <w:r w:rsidRPr="00816F89">
        <w:rPr>
          <w:rFonts w:cs="Times New Roman"/>
          <w:szCs w:val="24"/>
        </w:rPr>
        <w:t xml:space="preserve">My colleague </w:t>
      </w:r>
      <w:r w:rsidRPr="00816F89">
        <w:rPr>
          <w:rFonts w:cs="Times New Roman"/>
          <w:szCs w:val="24"/>
          <w:lang w:val="en-US"/>
        </w:rPr>
        <w:t xml:space="preserve">Justice </w:t>
      </w:r>
      <w:r w:rsidRPr="00816F89">
        <w:rPr>
          <w:rFonts w:cs="Times New Roman"/>
          <w:szCs w:val="24"/>
        </w:rPr>
        <w:t>C</w:t>
      </w:r>
      <w:r w:rsidRPr="00816F89">
        <w:rPr>
          <w:rFonts w:cs="Times New Roman"/>
          <w:szCs w:val="24"/>
          <w:lang w:val="en-US"/>
        </w:rPr>
        <w:t xml:space="preserve">ôté views these three factors as creating a distinct framework for claims seeking positive state intervention to enable the exercise of the fundamental freedom of association. I respectfully disagree. As I will explain, I read this Court’s jurisprudence as establishing only one framework for evaluating alleged infringements of freedom of association under s. 2(d). That framework asks whether activities are protected under s. 2(d) and whether the government action has, in purpose or effect, substantially interfered with those activities. The factors set out in </w:t>
      </w:r>
      <w:r w:rsidRPr="00816F89">
        <w:rPr>
          <w:rFonts w:cs="Times New Roman"/>
          <w:i/>
          <w:szCs w:val="24"/>
          <w:lang w:val="en-US"/>
        </w:rPr>
        <w:t>Dunmore</w:t>
      </w:r>
      <w:r w:rsidRPr="00816F89">
        <w:rPr>
          <w:rFonts w:cs="Times New Roman"/>
          <w:szCs w:val="24"/>
          <w:lang w:val="en-US"/>
        </w:rPr>
        <w:t xml:space="preserve"> are relevant factors when considering whether s. 2(d) has been infringed, but they do not constitute a separate test.</w:t>
      </w:r>
    </w:p>
    <w:p w14:paraId="0DD22C8F" w14:textId="77777777" w:rsidR="00816F89" w:rsidRPr="00816F89" w:rsidRDefault="00816F89" w:rsidP="00816F89">
      <w:pPr>
        <w:pStyle w:val="Title3LevelTitre3Niveau"/>
        <w:numPr>
          <w:ilvl w:val="2"/>
          <w:numId w:val="8"/>
        </w:numPr>
        <w:rPr>
          <w:rFonts w:cs="Times New Roman"/>
        </w:rPr>
      </w:pPr>
      <w:r w:rsidRPr="00816F89">
        <w:rPr>
          <w:rFonts w:cs="Times New Roman"/>
        </w:rPr>
        <w:t>A Review of This Court’s Jurisprudence</w:t>
      </w:r>
    </w:p>
    <w:p w14:paraId="53042BA9" w14:textId="77777777" w:rsidR="00816F89" w:rsidRPr="00816F89" w:rsidRDefault="00816F89" w:rsidP="00816F89">
      <w:pPr>
        <w:pStyle w:val="Title4LevelTitre4Niveau"/>
        <w:numPr>
          <w:ilvl w:val="3"/>
          <w:numId w:val="8"/>
        </w:numPr>
        <w:rPr>
          <w:rFonts w:cs="Times New Roman"/>
        </w:rPr>
      </w:pPr>
      <w:r w:rsidRPr="00816F89">
        <w:rPr>
          <w:rFonts w:cs="Times New Roman"/>
        </w:rPr>
        <w:t>Dunmore (2001)</w:t>
      </w:r>
    </w:p>
    <w:p w14:paraId="620BD7B2" w14:textId="77777777" w:rsidR="00816F89" w:rsidRPr="00816F89" w:rsidRDefault="00816F89" w:rsidP="00816F89">
      <w:pPr>
        <w:pStyle w:val="ParaNoNdepar-AltN"/>
        <w:rPr>
          <w:rFonts w:cs="Times New Roman"/>
          <w:szCs w:val="24"/>
        </w:rPr>
      </w:pPr>
      <w:r w:rsidRPr="00816F89">
        <w:rPr>
          <w:rFonts w:cs="Times New Roman"/>
          <w:szCs w:val="24"/>
        </w:rPr>
        <w:t xml:space="preserve">Justice Bastarache’s analysis in </w:t>
      </w:r>
      <w:r w:rsidRPr="00816F89">
        <w:rPr>
          <w:rFonts w:cs="Times New Roman"/>
          <w:i/>
          <w:szCs w:val="24"/>
        </w:rPr>
        <w:t xml:space="preserve">Dunmore </w:t>
      </w:r>
      <w:r w:rsidRPr="00816F89">
        <w:rPr>
          <w:rFonts w:cs="Times New Roman"/>
          <w:szCs w:val="24"/>
        </w:rPr>
        <w:t xml:space="preserve">itself is instructive for understanding the interaction between the two-part test and what he called factors that “circumscribe, but [do] not . . . foreclose” the possibility of challenging underinclusive legislation under s. 2(d) of the </w:t>
      </w:r>
      <w:r w:rsidRPr="00816F89">
        <w:rPr>
          <w:rFonts w:cs="Times New Roman"/>
          <w:i/>
          <w:szCs w:val="24"/>
        </w:rPr>
        <w:t>Charter</w:t>
      </w:r>
      <w:r w:rsidRPr="00816F89">
        <w:rPr>
          <w:rFonts w:cs="Times New Roman"/>
          <w:szCs w:val="24"/>
        </w:rPr>
        <w:t xml:space="preserve"> (para. 24). In considering whether the legislative exclusion of agricultural workers from Ontario’s labour relations regime infringed s. 2(d), </w:t>
      </w:r>
      <w:r w:rsidRPr="00816F89">
        <w:rPr>
          <w:rFonts w:cs="Times New Roman"/>
        </w:rPr>
        <w:t>Bastarache J. readily concluded that the workers sought to engage in the protected s. 2(d) activity of the freedom to organize. He then considered whether the exclusion substantially interfered with the exercise of this associational activity, either in purpose or effect (paras. 30 and 35). Although Bastarache J. declined to find that the exclusion was intended to infringe the workers’ freedom to organize (at paras. 31-33), he accepted that the effect of the exclusion was to substantially interfere with the workers’ associational freedoms (paras. 34-48). He analyzed the effects of the exclusion by considering the three circumscribing factors discussed earlier in his decision (para. 35).</w:t>
      </w:r>
    </w:p>
    <w:p w14:paraId="7B5EB7AE" w14:textId="77777777" w:rsidR="00816F89" w:rsidRPr="00816F89" w:rsidRDefault="00816F89" w:rsidP="00816F89">
      <w:pPr>
        <w:pStyle w:val="ParaNoNdepar-AltN"/>
        <w:rPr>
          <w:rFonts w:cs="Times New Roman"/>
        </w:rPr>
      </w:pPr>
      <w:r w:rsidRPr="00816F89">
        <w:rPr>
          <w:rFonts w:cs="Times New Roman"/>
        </w:rPr>
        <w:t>In particular, Bastarache J. noted that the agricultural workers did not seek a right to be included in a specific labour relations regime extended to certain citizens. Rather, they challenged their exclusion from a regime designed “not simply [to] enhance”, but to “instantiat[e] the freedom to organize” (paras. 36-38). The record before the Court demonstrated that the workers were unable to organize without the protective regime (paras. 39-42). The legislative exclusion also substantially reinforced private interferences with the workers’ exercise of their freedoms by placing a chilling effect on non-statutory union activity, such that the state was partly responsible for their inability to associate (paras. 43-48).</w:t>
      </w:r>
    </w:p>
    <w:p w14:paraId="7BB97D40" w14:textId="77777777" w:rsidR="00816F89" w:rsidRPr="00816F89" w:rsidRDefault="00816F89" w:rsidP="00816F89">
      <w:pPr>
        <w:pStyle w:val="ParaNoNdepar-AltN"/>
        <w:rPr>
          <w:rFonts w:cs="Times New Roman"/>
        </w:rPr>
      </w:pPr>
      <w:r w:rsidRPr="00816F89">
        <w:rPr>
          <w:rFonts w:cs="Times New Roman"/>
        </w:rPr>
        <w:t xml:space="preserve">Ultimately, Bastarache J. concluded that the legislative exclusion substantially interfered with the agricultural workers’ freedom to organize and was not justified under s. 1 of the </w:t>
      </w:r>
      <w:r w:rsidRPr="00816F89">
        <w:rPr>
          <w:rFonts w:cs="Times New Roman"/>
          <w:i/>
        </w:rPr>
        <w:t xml:space="preserve">Charter </w:t>
      </w:r>
      <w:r w:rsidRPr="00816F89">
        <w:rPr>
          <w:rFonts w:cs="Times New Roman"/>
        </w:rPr>
        <w:t xml:space="preserve">(paras. 48 and 65). By framing his analysis around the two-part test, Bastarache J. showed that the general framework for evaluating s. 2(d) claims examines whether the purpose or effect of the government action substantially interferes with associational activity. Justice Bastarache considered the circumscribing factors in making this assessment. </w:t>
      </w:r>
      <w:r w:rsidRPr="00816F89">
        <w:rPr>
          <w:rFonts w:cs="Times New Roman"/>
          <w:szCs w:val="24"/>
          <w:lang w:val="en-US"/>
        </w:rPr>
        <w:t>As he explained, t</w:t>
      </w:r>
      <w:r w:rsidRPr="00816F89">
        <w:rPr>
          <w:rFonts w:cs="Times New Roman"/>
        </w:rPr>
        <w:t>he “burden imposed by s. 2(</w:t>
      </w:r>
      <w:r w:rsidRPr="00816F89">
        <w:rPr>
          <w:rFonts w:cs="Times New Roman"/>
          <w:i/>
        </w:rPr>
        <w:t>d</w:t>
      </w:r>
      <w:r w:rsidRPr="00816F89">
        <w:rPr>
          <w:rFonts w:cs="Times New Roman"/>
        </w:rPr>
        <w:t>) . . . focuses on the effects of underinclusion on the ability to exercise a fundamental freedom” (para. 28). However, these factors did not constitute a separate test for whether s. 2(d) was infringed.</w:t>
      </w:r>
    </w:p>
    <w:p w14:paraId="160707F3" w14:textId="77777777" w:rsidR="00816F89" w:rsidRPr="00816F89" w:rsidRDefault="00816F89" w:rsidP="00816F89">
      <w:pPr>
        <w:pStyle w:val="Title4LevelTitre4Niveau"/>
        <w:numPr>
          <w:ilvl w:val="3"/>
          <w:numId w:val="8"/>
        </w:numPr>
        <w:rPr>
          <w:rFonts w:cs="Times New Roman"/>
          <w:lang w:val="en-US"/>
        </w:rPr>
      </w:pPr>
      <w:r w:rsidRPr="00816F89">
        <w:rPr>
          <w:rFonts w:cs="Times New Roman"/>
          <w:lang w:val="en-US"/>
        </w:rPr>
        <w:t>Health Services (2007)</w:t>
      </w:r>
    </w:p>
    <w:p w14:paraId="26C8A6F5" w14:textId="77777777" w:rsidR="00816F89" w:rsidRPr="00816F89" w:rsidRDefault="00816F89" w:rsidP="00816F89">
      <w:pPr>
        <w:pStyle w:val="ParaNoNdepar-AltN"/>
        <w:rPr>
          <w:rFonts w:cs="Times New Roman"/>
          <w:lang w:val="en-US"/>
        </w:rPr>
      </w:pPr>
      <w:r w:rsidRPr="00816F89">
        <w:rPr>
          <w:rFonts w:cs="Times New Roman"/>
        </w:rPr>
        <w:t xml:space="preserve">Six years later, in </w:t>
      </w:r>
      <w:r w:rsidRPr="00816F89">
        <w:rPr>
          <w:rFonts w:cs="Times New Roman"/>
          <w:i/>
          <w:lang w:val="en-US"/>
        </w:rPr>
        <w:t>Health Services</w:t>
      </w:r>
      <w:r w:rsidRPr="00816F89">
        <w:rPr>
          <w:rFonts w:cs="Times New Roman"/>
          <w:lang w:val="en-US"/>
        </w:rPr>
        <w:t xml:space="preserve">, this Court built on </w:t>
      </w:r>
      <w:r w:rsidRPr="00816F89">
        <w:rPr>
          <w:rFonts w:cs="Times New Roman"/>
          <w:i/>
          <w:lang w:val="en-US"/>
        </w:rPr>
        <w:t xml:space="preserve">Dunmore </w:t>
      </w:r>
      <w:r w:rsidRPr="00816F89">
        <w:rPr>
          <w:rFonts w:cs="Times New Roman"/>
          <w:lang w:val="en-US"/>
        </w:rPr>
        <w:t xml:space="preserve">and confirmed that the substantial interference test applies to all s. 2(d) challenges (paras. 90-92 and 109). The case did not involve a challenge to underinclusive legislation, but rather to legislation that directly interfered with collective bargaining by invalidating certain provisions of collective agreements and preventing future bargaining on certain matters. Speaking for the majority, McLachlin C.J. and LeBel J. referred to “the requirements set out in </w:t>
      </w:r>
      <w:r w:rsidRPr="00816F89">
        <w:rPr>
          <w:rFonts w:cs="Times New Roman"/>
          <w:i/>
          <w:lang w:val="en-US"/>
        </w:rPr>
        <w:t>Dunmore</w:t>
      </w:r>
      <w:r w:rsidRPr="00816F89">
        <w:rPr>
          <w:rFonts w:cs="Times New Roman"/>
          <w:lang w:val="en-US"/>
        </w:rPr>
        <w:t xml:space="preserve"> for a breach of s. 2(</w:t>
      </w:r>
      <w:r w:rsidRPr="00816F89">
        <w:rPr>
          <w:rFonts w:cs="Times New Roman"/>
          <w:i/>
          <w:lang w:val="en-US"/>
        </w:rPr>
        <w:t>d</w:t>
      </w:r>
      <w:r w:rsidRPr="00816F89">
        <w:rPr>
          <w:rFonts w:cs="Times New Roman"/>
          <w:lang w:val="en-US"/>
        </w:rPr>
        <w:t xml:space="preserve">)” (para. 96) and confirmed that a party alleging a breach of s. 2(d) must show that the government action, either in purpose or effect, involves a substantial interference with the associational right of collective bargaining (para. 90). They also affirmed the principles, first articulated as circumscribing factors in </w:t>
      </w:r>
      <w:r w:rsidRPr="00816F89">
        <w:rPr>
          <w:rFonts w:cs="Times New Roman"/>
          <w:i/>
          <w:lang w:val="en-US"/>
        </w:rPr>
        <w:t>Dunmore</w:t>
      </w:r>
      <w:r w:rsidRPr="00816F89">
        <w:rPr>
          <w:rFonts w:cs="Times New Roman"/>
          <w:lang w:val="en-US"/>
        </w:rPr>
        <w:t xml:space="preserve">, that s. 2(d) does not guarantee access to a particular statutory regime and that a successful claim under s. 2(d) requires a claimant to establish that the government is responsible for the interference with the protected s. 2(d) right (para. 19). In essence, the majority in </w:t>
      </w:r>
      <w:r w:rsidRPr="00816F89">
        <w:rPr>
          <w:rFonts w:cs="Times New Roman"/>
          <w:i/>
          <w:lang w:val="en-US"/>
        </w:rPr>
        <w:t>Health Services</w:t>
      </w:r>
      <w:r w:rsidRPr="00816F89">
        <w:rPr>
          <w:rFonts w:cs="Times New Roman"/>
          <w:lang w:val="en-US"/>
        </w:rPr>
        <w:t xml:space="preserve"> affirmed the three </w:t>
      </w:r>
      <w:r w:rsidRPr="00816F89">
        <w:rPr>
          <w:rFonts w:cs="Times New Roman"/>
          <w:i/>
          <w:lang w:val="en-US"/>
        </w:rPr>
        <w:t xml:space="preserve">Dunmore </w:t>
      </w:r>
      <w:r w:rsidRPr="00816F89">
        <w:rPr>
          <w:rFonts w:cs="Times New Roman"/>
          <w:lang w:val="en-US"/>
        </w:rPr>
        <w:t>factors as general principles and extended them beyond the specific context of underinclusive legislation to all s. 2(d) claims.</w:t>
      </w:r>
    </w:p>
    <w:p w14:paraId="7AB9C8E3" w14:textId="77777777" w:rsidR="00816F89" w:rsidRPr="00816F89" w:rsidRDefault="00816F89" w:rsidP="00816F89">
      <w:pPr>
        <w:pStyle w:val="Title4LevelTitre4Niveau"/>
        <w:numPr>
          <w:ilvl w:val="3"/>
          <w:numId w:val="8"/>
        </w:numPr>
        <w:rPr>
          <w:rFonts w:cs="Times New Roman"/>
          <w:lang w:val="en-US"/>
        </w:rPr>
      </w:pPr>
      <w:r w:rsidRPr="00816F89">
        <w:rPr>
          <w:rFonts w:cs="Times New Roman"/>
          <w:lang w:val="en-US"/>
        </w:rPr>
        <w:t>Fraser (2011)</w:t>
      </w:r>
    </w:p>
    <w:p w14:paraId="445C9C08" w14:textId="77777777" w:rsidR="00816F89" w:rsidRPr="00816F89" w:rsidRDefault="00816F89" w:rsidP="00816F89">
      <w:pPr>
        <w:pStyle w:val="ParaNoNdepar-AltN"/>
        <w:rPr>
          <w:rFonts w:cs="Times New Roman"/>
          <w:lang w:val="en-US"/>
        </w:rPr>
      </w:pPr>
      <w:r w:rsidRPr="00816F89">
        <w:rPr>
          <w:rFonts w:cs="Times New Roman"/>
        </w:rPr>
        <w:t xml:space="preserve">In </w:t>
      </w:r>
      <w:r w:rsidRPr="00816F89">
        <w:rPr>
          <w:rFonts w:cs="Times New Roman"/>
          <w:i/>
          <w:lang w:val="en-US"/>
        </w:rPr>
        <w:t>Fraser</w:t>
      </w:r>
      <w:r w:rsidRPr="00816F89">
        <w:rPr>
          <w:rFonts w:cs="Times New Roman"/>
          <w:lang w:val="en-US"/>
        </w:rPr>
        <w:t xml:space="preserve">, McLachlin C.J. and LeBel J. for the majority reaffirmed the framework in </w:t>
      </w:r>
      <w:r w:rsidRPr="00816F89">
        <w:rPr>
          <w:rFonts w:cs="Times New Roman"/>
          <w:i/>
          <w:lang w:val="en-US"/>
        </w:rPr>
        <w:t xml:space="preserve">Dunmore </w:t>
      </w:r>
      <w:r w:rsidRPr="00816F89">
        <w:rPr>
          <w:rFonts w:cs="Times New Roman"/>
          <w:lang w:val="en-US"/>
        </w:rPr>
        <w:t xml:space="preserve">and </w:t>
      </w:r>
      <w:r w:rsidRPr="00816F89">
        <w:rPr>
          <w:rFonts w:cs="Times New Roman"/>
          <w:i/>
          <w:lang w:val="en-US"/>
        </w:rPr>
        <w:t>Health Services</w:t>
      </w:r>
      <w:r w:rsidRPr="00816F89">
        <w:rPr>
          <w:rFonts w:cs="Times New Roman"/>
          <w:lang w:val="en-US"/>
        </w:rPr>
        <w:t xml:space="preserve">. </w:t>
      </w:r>
      <w:r w:rsidRPr="00816F89">
        <w:rPr>
          <w:rFonts w:cs="Times New Roman"/>
          <w:i/>
          <w:lang w:val="en-US"/>
        </w:rPr>
        <w:t xml:space="preserve">Fraser </w:t>
      </w:r>
      <w:r w:rsidRPr="00816F89">
        <w:rPr>
          <w:rFonts w:cs="Times New Roman"/>
          <w:lang w:val="en-US"/>
        </w:rPr>
        <w:t xml:space="preserve">concerned the constitutionality of a separate labour relations regime in Ontario for agricultural workers introduced in response to </w:t>
      </w:r>
      <w:r w:rsidRPr="00816F89">
        <w:rPr>
          <w:rFonts w:cs="Times New Roman"/>
          <w:i/>
          <w:lang w:val="en-US"/>
        </w:rPr>
        <w:t>Dunmore</w:t>
      </w:r>
      <w:r w:rsidRPr="00816F89">
        <w:rPr>
          <w:rFonts w:cs="Times New Roman"/>
          <w:lang w:val="en-US"/>
        </w:rPr>
        <w:t xml:space="preserve">. The regime protected the rights of agricultural workers to associate and to make collective representations to their employer but did not include other collective bargaining rights available under the general labour relations regime. </w:t>
      </w:r>
    </w:p>
    <w:p w14:paraId="2FDACA94" w14:textId="77777777" w:rsidR="00816F89" w:rsidRPr="00816F89" w:rsidRDefault="00816F89" w:rsidP="00816F89">
      <w:pPr>
        <w:pStyle w:val="ParaNoNdepar-AltN"/>
        <w:rPr>
          <w:rFonts w:cs="Times New Roman"/>
          <w:lang w:val="en-US"/>
        </w:rPr>
      </w:pPr>
      <w:r w:rsidRPr="00816F89">
        <w:rPr>
          <w:rFonts w:cs="Times New Roman"/>
          <w:lang w:val="en-US"/>
        </w:rPr>
        <w:t xml:space="preserve">The majority in </w:t>
      </w:r>
      <w:r w:rsidRPr="00816F89">
        <w:rPr>
          <w:rFonts w:cs="Times New Roman"/>
          <w:i/>
          <w:lang w:val="en-US"/>
        </w:rPr>
        <w:t>Fraser</w:t>
      </w:r>
      <w:r w:rsidRPr="00816F89">
        <w:rPr>
          <w:rFonts w:cs="Times New Roman"/>
          <w:lang w:val="en-US"/>
        </w:rPr>
        <w:t xml:space="preserve"> affirmed that substantial interference can arise from legislative interference or exclusion from a legislative scheme. McLachlin C.J. and LeBel J. wrote that “[i]f it is shown that it is impossible to meaningfully exercise the right to associate due to substantial interference by a law (or absence of laws: see </w:t>
      </w:r>
      <w:r w:rsidRPr="00816F89">
        <w:rPr>
          <w:rFonts w:cs="Times New Roman"/>
          <w:i/>
          <w:lang w:val="en-US"/>
        </w:rPr>
        <w:t>Dunmore</w:t>
      </w:r>
      <w:r w:rsidRPr="00816F89">
        <w:rPr>
          <w:rFonts w:cs="Times New Roman"/>
          <w:lang w:val="en-US"/>
        </w:rPr>
        <w:t>) or by government action, a limit on the exercise of the s. 2(</w:t>
      </w:r>
      <w:r w:rsidRPr="00816F89">
        <w:rPr>
          <w:rFonts w:cs="Times New Roman"/>
          <w:i/>
          <w:lang w:val="en-US"/>
        </w:rPr>
        <w:t>d</w:t>
      </w:r>
      <w:r w:rsidRPr="00816F89">
        <w:rPr>
          <w:rFonts w:cs="Times New Roman"/>
          <w:lang w:val="en-US"/>
        </w:rPr>
        <w:t>) right is established” (para. 47). They also underscored that s. 2(d) does not guarantee access to a particular model for exercising associational freedoms (at para. 45) and that substantial interference must flow from state action rather than from the actions of private employers (para. 73).</w:t>
      </w:r>
    </w:p>
    <w:p w14:paraId="779A6A47" w14:textId="77777777" w:rsidR="00816F89" w:rsidRPr="00816F89" w:rsidRDefault="00816F89" w:rsidP="00816F89">
      <w:pPr>
        <w:pStyle w:val="ParaNoNdepar-AltN"/>
        <w:rPr>
          <w:rFonts w:cs="Times New Roman"/>
          <w:lang w:val="en-US"/>
        </w:rPr>
      </w:pPr>
      <w:r w:rsidRPr="00816F89">
        <w:rPr>
          <w:rFonts w:cs="Times New Roman"/>
          <w:lang w:val="en-US"/>
        </w:rPr>
        <w:t xml:space="preserve">The majority in </w:t>
      </w:r>
      <w:r w:rsidRPr="00816F89">
        <w:rPr>
          <w:rFonts w:cs="Times New Roman"/>
          <w:i/>
          <w:lang w:val="en-US"/>
        </w:rPr>
        <w:t>Fraser</w:t>
      </w:r>
      <w:r w:rsidRPr="00816F89">
        <w:rPr>
          <w:rFonts w:cs="Times New Roman"/>
          <w:lang w:val="en-US"/>
        </w:rPr>
        <w:t xml:space="preserve"> cautioned that a “bright line between freedoms and rights seems . . . impossible to maintain” (para. 67) and highlighted that this Court “has consistently rejected a rigid distinction between ‘positive’ freedoms and ‘negative’ rights in the </w:t>
      </w:r>
      <w:r w:rsidRPr="00816F89">
        <w:rPr>
          <w:rFonts w:cs="Times New Roman"/>
          <w:i/>
          <w:lang w:val="en-US"/>
        </w:rPr>
        <w:t>Charter</w:t>
      </w:r>
      <w:r w:rsidRPr="00816F89">
        <w:rPr>
          <w:rFonts w:cs="Times New Roman"/>
          <w:lang w:val="en-US"/>
        </w:rPr>
        <w:t xml:space="preserve">” (para. 69). In the majority’s view, “[a] purposive protection of freedom of association may require the state to act positively to protect the ability of individuals to engage in fundamentally important collective activities” (para. 70). As an example, the majority noted that “individuals have a right against the state to a process of collective bargaining in good faith, and that this right requires the state to impose statutory obligations on employers” (para. 73, commenting on </w:t>
      </w:r>
      <w:r w:rsidRPr="00816F89">
        <w:rPr>
          <w:rFonts w:cs="Times New Roman"/>
          <w:i/>
          <w:lang w:val="en-US"/>
        </w:rPr>
        <w:t>Health Services</w:t>
      </w:r>
      <w:r w:rsidRPr="00816F89">
        <w:rPr>
          <w:rFonts w:cs="Times New Roman"/>
          <w:lang w:val="en-US"/>
        </w:rPr>
        <w:t>).</w:t>
      </w:r>
    </w:p>
    <w:p w14:paraId="79EC0FD0" w14:textId="30F1C16C" w:rsidR="00816F89" w:rsidRPr="00816F89" w:rsidRDefault="00816F89" w:rsidP="00816F89">
      <w:pPr>
        <w:pStyle w:val="ParaNoNdepar-AltN"/>
        <w:rPr>
          <w:rFonts w:cs="Times New Roman"/>
          <w:lang w:val="en-US"/>
        </w:rPr>
      </w:pPr>
      <w:r w:rsidRPr="00816F89">
        <w:rPr>
          <w:rFonts w:cs="Times New Roman"/>
          <w:lang w:val="en-US"/>
        </w:rPr>
        <w:t xml:space="preserve">Parenthetically, I note that several commentators agree that it is challenging to draw </w:t>
      </w:r>
      <w:r w:rsidRPr="00816F89">
        <w:rPr>
          <w:rFonts w:cs="Times New Roman"/>
        </w:rPr>
        <w:t xml:space="preserve">a bright line between positive freedoms and negative rights in the labour relations context. This is, in part, because the </w:t>
      </w:r>
      <w:r w:rsidRPr="00816F89">
        <w:rPr>
          <w:rFonts w:cs="Times New Roman"/>
          <w:lang w:val="en-US"/>
        </w:rPr>
        <w:t xml:space="preserve">state has “deep and extensive involvement” in regulating the rights and freedoms of workers, “both by protecting, and by tightly circumscribing and restricting” associational activities (S. Barrett and E. Poskanzer, “What </w:t>
      </w:r>
      <w:r w:rsidRPr="00816F89">
        <w:rPr>
          <w:rFonts w:cs="Times New Roman"/>
          <w:i/>
          <w:lang w:val="en-US"/>
        </w:rPr>
        <w:t xml:space="preserve">Fraser </w:t>
      </w:r>
      <w:r w:rsidRPr="00816F89">
        <w:rPr>
          <w:rFonts w:cs="Times New Roman"/>
          <w:lang w:val="en-US"/>
        </w:rPr>
        <w:t xml:space="preserve">Means For Labour Rights in Canada”, in F. Faraday, J. Fudge and E. Tucker, eds., </w:t>
      </w:r>
      <w:r w:rsidRPr="00816F89">
        <w:rPr>
          <w:rFonts w:cs="Times New Roman"/>
          <w:i/>
          <w:lang w:val="en-US"/>
        </w:rPr>
        <w:t>Constitutional Labour Rights in Canada: Farm Workers and the Fraser Case</w:t>
      </w:r>
      <w:r w:rsidRPr="00816F89">
        <w:rPr>
          <w:rFonts w:cs="Times New Roman"/>
          <w:lang w:val="en-US"/>
        </w:rPr>
        <w:t xml:space="preserve"> (2012), 190, at p. 193; see also pp. 196 and 223; see also F. Faraday, “Taking a Mulligan: Freedom of Association” in H. Kislowicz, K.</w:t>
      </w:r>
      <w:r w:rsidR="008B445E">
        <w:rPr>
          <w:rFonts w:cs="Times New Roman"/>
          <w:lang w:val="en-US"/>
        </w:rPr>
        <w:t xml:space="preserve"> </w:t>
      </w:r>
      <w:r w:rsidRPr="00816F89">
        <w:rPr>
          <w:rFonts w:cs="Times New Roman"/>
          <w:lang w:val="en-US"/>
        </w:rPr>
        <w:t xml:space="preserve">A. Froc and R. Moon, eds., </w:t>
      </w:r>
      <w:r w:rsidRPr="00816F89">
        <w:rPr>
          <w:rFonts w:cs="Times New Roman"/>
          <w:i/>
          <w:lang w:val="en-US"/>
        </w:rPr>
        <w:t>Canada’s Surprising Constitution: Unexpected Interpretations of the Constitution Act, 1982</w:t>
      </w:r>
      <w:r w:rsidRPr="00816F89">
        <w:rPr>
          <w:rFonts w:cs="Times New Roman"/>
          <w:lang w:val="en-US"/>
        </w:rPr>
        <w:t xml:space="preserve"> (2024 (forthcoming)), 335, at pp. 349-50). As Professor Judy Fudge has observed, in the labour relations context, while </w:t>
      </w:r>
      <w:r w:rsidRPr="00816F89">
        <w:rPr>
          <w:rFonts w:cs="Times New Roman"/>
        </w:rPr>
        <w:t>the distinction between positive obligations to provide legislative protection and negative duties to avoid legislative interference “initially seems plausible, it is difficult to defend since, in Canada as in most countries, freedom of association in the labour relations context is integrally bound up with statutory protection” (</w:t>
      </w:r>
      <w:r w:rsidRPr="00816F89">
        <w:rPr>
          <w:rFonts w:cs="Times New Roman"/>
          <w:lang w:val="en-US"/>
        </w:rPr>
        <w:t xml:space="preserve">“Freedom of Association”, in E. Mendes and S. Beaulac, eds., </w:t>
      </w:r>
      <w:r w:rsidRPr="00816F89">
        <w:rPr>
          <w:rFonts w:cs="Times New Roman"/>
          <w:i/>
          <w:lang w:val="en-US"/>
        </w:rPr>
        <w:t>Canadian Charter of Rights and Freedoms</w:t>
      </w:r>
      <w:r w:rsidRPr="00816F89">
        <w:rPr>
          <w:rFonts w:cs="Times New Roman"/>
          <w:lang w:val="en-US"/>
        </w:rPr>
        <w:t xml:space="preserve"> (5th ed. 2013), 527, at p. 553; see also J. Cameron, “Due Process, Collective Bargaining, and s. 2(d) of the </w:t>
      </w:r>
      <w:r w:rsidRPr="00816F89">
        <w:rPr>
          <w:rFonts w:cs="Times New Roman"/>
          <w:i/>
          <w:lang w:val="en-US"/>
        </w:rPr>
        <w:t>Charter</w:t>
      </w:r>
      <w:r w:rsidRPr="00816F89">
        <w:rPr>
          <w:rFonts w:cs="Times New Roman"/>
          <w:lang w:val="en-US"/>
        </w:rPr>
        <w:t xml:space="preserve">: A Comment on </w:t>
      </w:r>
      <w:r w:rsidRPr="00816F89">
        <w:rPr>
          <w:rFonts w:cs="Times New Roman"/>
          <w:i/>
          <w:lang w:val="en-US"/>
        </w:rPr>
        <w:t>B.C. Health Services</w:t>
      </w:r>
      <w:r w:rsidRPr="00816F89">
        <w:rPr>
          <w:rFonts w:cs="Times New Roman"/>
          <w:lang w:val="en-US"/>
        </w:rPr>
        <w:t xml:space="preserve">” (2006), 13 </w:t>
      </w:r>
      <w:r w:rsidRPr="00816F89">
        <w:rPr>
          <w:rFonts w:cs="Times New Roman"/>
          <w:i/>
          <w:lang w:val="en-US"/>
        </w:rPr>
        <w:t>C.L.E.L.J.</w:t>
      </w:r>
      <w:r w:rsidRPr="00816F89">
        <w:rPr>
          <w:rFonts w:cs="Times New Roman"/>
          <w:lang w:val="en-US"/>
        </w:rPr>
        <w:t xml:space="preserve"> 233, at p. 256). Since in the labour relations context </w:t>
      </w:r>
      <w:r w:rsidRPr="00816F89">
        <w:rPr>
          <w:rFonts w:cs="Times New Roman"/>
        </w:rPr>
        <w:t>the fundamental freedom of association is exercised mainly through statutory vehicles, one commentator has suggested that “[t]here is no black-and-white line between enabling and enhancing the exercise of a freedom” (</w:t>
      </w:r>
      <w:r w:rsidRPr="00816F89">
        <w:rPr>
          <w:rFonts w:cs="Times New Roman"/>
          <w:lang w:val="en-US"/>
        </w:rPr>
        <w:t>S. M. Barrett, “</w:t>
      </w:r>
      <w:r w:rsidRPr="00816F89">
        <w:rPr>
          <w:rFonts w:cs="Times New Roman"/>
          <w:i/>
          <w:lang w:val="en-US"/>
        </w:rPr>
        <w:t>Dunmore v. Ontario (Attorney General)</w:t>
      </w:r>
      <w:r w:rsidRPr="00816F89">
        <w:rPr>
          <w:rFonts w:cs="Times New Roman"/>
          <w:lang w:val="en-US"/>
        </w:rPr>
        <w:t>:</w:t>
      </w:r>
      <w:r w:rsidRPr="00816F89">
        <w:rPr>
          <w:rFonts w:cs="Times New Roman"/>
          <w:i/>
          <w:lang w:val="en-US"/>
        </w:rPr>
        <w:t xml:space="preserve"> </w:t>
      </w:r>
      <w:r w:rsidRPr="00816F89">
        <w:rPr>
          <w:rFonts w:cs="Times New Roman"/>
          <w:lang w:val="en-US"/>
        </w:rPr>
        <w:t xml:space="preserve">Freedom of Association at the Crossroads” (2003), 10 </w:t>
      </w:r>
      <w:r w:rsidRPr="00816F89">
        <w:rPr>
          <w:rFonts w:cs="Times New Roman"/>
          <w:i/>
          <w:lang w:val="en-US"/>
        </w:rPr>
        <w:t>C.L.E.L.J.</w:t>
      </w:r>
      <w:r w:rsidRPr="00816F89">
        <w:rPr>
          <w:rFonts w:cs="Times New Roman"/>
          <w:lang w:val="en-US"/>
        </w:rPr>
        <w:t xml:space="preserve"> 83, at p. 112).</w:t>
      </w:r>
    </w:p>
    <w:p w14:paraId="70279FA9" w14:textId="77777777" w:rsidR="00816F89" w:rsidRPr="00816F89" w:rsidRDefault="00816F89" w:rsidP="00816F89">
      <w:pPr>
        <w:pStyle w:val="ParaNoNdepar-AltN"/>
        <w:rPr>
          <w:rFonts w:cs="Times New Roman"/>
          <w:lang w:val="en-US"/>
        </w:rPr>
      </w:pPr>
      <w:r w:rsidRPr="00816F89">
        <w:rPr>
          <w:rFonts w:cs="Times New Roman"/>
          <w:lang w:val="en-US"/>
        </w:rPr>
        <w:t xml:space="preserve">Finally, the majority in </w:t>
      </w:r>
      <w:r w:rsidRPr="00816F89">
        <w:rPr>
          <w:rFonts w:cs="Times New Roman"/>
          <w:i/>
          <w:lang w:val="en-US"/>
        </w:rPr>
        <w:t>Fraser</w:t>
      </w:r>
      <w:r w:rsidRPr="00816F89">
        <w:rPr>
          <w:rFonts w:cs="Times New Roman"/>
          <w:lang w:val="en-US"/>
        </w:rPr>
        <w:t xml:space="preserve"> traced a straight line between the approach in that case and the earlier cases of </w:t>
      </w:r>
      <w:r w:rsidRPr="00816F89">
        <w:rPr>
          <w:rFonts w:cs="Times New Roman"/>
          <w:i/>
          <w:lang w:val="en-US"/>
        </w:rPr>
        <w:t>Dunmore</w:t>
      </w:r>
      <w:r w:rsidRPr="00816F89">
        <w:rPr>
          <w:rFonts w:cs="Times New Roman"/>
          <w:lang w:val="en-US"/>
        </w:rPr>
        <w:t xml:space="preserve"> and </w:t>
      </w:r>
      <w:r w:rsidRPr="00816F89">
        <w:rPr>
          <w:rFonts w:cs="Times New Roman"/>
          <w:i/>
          <w:lang w:val="en-US"/>
        </w:rPr>
        <w:t>Health Services</w:t>
      </w:r>
      <w:r w:rsidRPr="00816F89">
        <w:rPr>
          <w:rFonts w:cs="Times New Roman"/>
          <w:lang w:val="en-US"/>
        </w:rPr>
        <w:t xml:space="preserve">. The majority stated that the “decision in </w:t>
      </w:r>
      <w:r w:rsidRPr="00816F89">
        <w:rPr>
          <w:rFonts w:cs="Times New Roman"/>
          <w:i/>
          <w:lang w:val="en-US"/>
        </w:rPr>
        <w:t xml:space="preserve">Health Services </w:t>
      </w:r>
      <w:r w:rsidRPr="00816F89">
        <w:rPr>
          <w:rFonts w:cs="Times New Roman"/>
          <w:lang w:val="en-US"/>
        </w:rPr>
        <w:t xml:space="preserve">follows directly from the principles enunciated in </w:t>
      </w:r>
      <w:r w:rsidRPr="00816F89">
        <w:rPr>
          <w:rFonts w:cs="Times New Roman"/>
          <w:i/>
          <w:lang w:val="en-US"/>
        </w:rPr>
        <w:t>Dunmore</w:t>
      </w:r>
      <w:r w:rsidRPr="00816F89">
        <w:rPr>
          <w:rFonts w:cs="Times New Roman"/>
          <w:lang w:val="en-US"/>
        </w:rPr>
        <w:t>” (para. 38; see also paras. 39 and 62) and affirmed that “</w:t>
      </w:r>
      <w:r w:rsidRPr="00816F89">
        <w:rPr>
          <w:rFonts w:cs="Times New Roman"/>
          <w:i/>
          <w:lang w:val="en-US"/>
        </w:rPr>
        <w:t xml:space="preserve">Health Services </w:t>
      </w:r>
      <w:r w:rsidRPr="00816F89">
        <w:rPr>
          <w:rFonts w:cs="Times New Roman"/>
          <w:lang w:val="en-US"/>
        </w:rPr>
        <w:t xml:space="preserve">applied the principles developed in </w:t>
      </w:r>
      <w:r w:rsidRPr="00816F89">
        <w:rPr>
          <w:rFonts w:cs="Times New Roman"/>
          <w:i/>
          <w:lang w:val="en-US"/>
        </w:rPr>
        <w:t>Dunmore</w:t>
      </w:r>
      <w:r w:rsidRPr="00816F89">
        <w:rPr>
          <w:rFonts w:cs="Times New Roman"/>
          <w:lang w:val="en-US"/>
        </w:rPr>
        <w:t xml:space="preserve">” (para. 43). </w:t>
      </w:r>
      <w:r w:rsidRPr="00816F89">
        <w:rPr>
          <w:rFonts w:cs="Times New Roman"/>
        </w:rPr>
        <w:t xml:space="preserve">The majority also </w:t>
      </w:r>
      <w:r w:rsidRPr="00816F89">
        <w:rPr>
          <w:rFonts w:cs="Times New Roman"/>
          <w:lang w:val="en-US"/>
        </w:rPr>
        <w:t xml:space="preserve">drew parallels between the issues in </w:t>
      </w:r>
      <w:r w:rsidRPr="00816F89">
        <w:rPr>
          <w:rFonts w:cs="Times New Roman"/>
          <w:i/>
          <w:lang w:val="en-US"/>
        </w:rPr>
        <w:t xml:space="preserve">Dunmore </w:t>
      </w:r>
      <w:r w:rsidRPr="00816F89">
        <w:rPr>
          <w:rFonts w:cs="Times New Roman"/>
          <w:lang w:val="en-US"/>
        </w:rPr>
        <w:t xml:space="preserve">and </w:t>
      </w:r>
      <w:r w:rsidRPr="00816F89">
        <w:rPr>
          <w:rFonts w:cs="Times New Roman"/>
          <w:i/>
          <w:lang w:val="en-US"/>
        </w:rPr>
        <w:t>Health Services</w:t>
      </w:r>
      <w:r w:rsidRPr="00816F89">
        <w:rPr>
          <w:rFonts w:cs="Times New Roman"/>
          <w:lang w:val="en-US"/>
        </w:rPr>
        <w:t xml:space="preserve"> and the issue in </w:t>
      </w:r>
      <w:r w:rsidRPr="00816F89">
        <w:rPr>
          <w:rFonts w:cs="Times New Roman"/>
          <w:i/>
          <w:lang w:val="en-US"/>
        </w:rPr>
        <w:t>Fraser</w:t>
      </w:r>
      <w:r w:rsidRPr="00816F89">
        <w:rPr>
          <w:rFonts w:cs="Times New Roman"/>
          <w:lang w:val="en-US"/>
        </w:rPr>
        <w:t>, stating that “[t]he question here, as it was in those cases, is whether the legislative scheme . . . renders association in pursuit of workplace goals impossible, thereby substantially impairing the exercise of the s. 2(</w:t>
      </w:r>
      <w:r w:rsidRPr="00816F89">
        <w:rPr>
          <w:rFonts w:cs="Times New Roman"/>
          <w:i/>
          <w:lang w:val="en-US"/>
        </w:rPr>
        <w:t>d</w:t>
      </w:r>
      <w:r w:rsidRPr="00816F89">
        <w:rPr>
          <w:rFonts w:cs="Times New Roman"/>
          <w:lang w:val="en-US"/>
        </w:rPr>
        <w:t xml:space="preserve">) associational right” (para. 48). Thus, despite the varied framing of the challenged government action in </w:t>
      </w:r>
      <w:r w:rsidRPr="00816F89">
        <w:rPr>
          <w:rFonts w:cs="Times New Roman"/>
          <w:i/>
          <w:lang w:val="en-US"/>
        </w:rPr>
        <w:t>Dunmore</w:t>
      </w:r>
      <w:r w:rsidRPr="00816F89">
        <w:rPr>
          <w:rFonts w:cs="Times New Roman"/>
          <w:lang w:val="en-US"/>
        </w:rPr>
        <w:t xml:space="preserve">, </w:t>
      </w:r>
      <w:r w:rsidRPr="00816F89">
        <w:rPr>
          <w:rFonts w:cs="Times New Roman"/>
          <w:i/>
          <w:lang w:val="en-US"/>
        </w:rPr>
        <w:t>Health Services</w:t>
      </w:r>
      <w:r w:rsidRPr="00816F89">
        <w:rPr>
          <w:rFonts w:cs="Times New Roman"/>
          <w:lang w:val="en-US"/>
        </w:rPr>
        <w:t xml:space="preserve">, and </w:t>
      </w:r>
      <w:r w:rsidRPr="00816F89">
        <w:rPr>
          <w:rFonts w:cs="Times New Roman"/>
          <w:i/>
          <w:lang w:val="en-US"/>
        </w:rPr>
        <w:t xml:space="preserve">Fraser </w:t>
      </w:r>
      <w:r w:rsidRPr="00816F89">
        <w:rPr>
          <w:rFonts w:cs="Times New Roman"/>
          <w:lang w:val="en-US"/>
        </w:rPr>
        <w:t>— underinclusive legislation, legislation directly interfering with association, and insufficiently robust legislation, respectively — in all three cases, this Court applied the same framework of substantial interference.</w:t>
      </w:r>
    </w:p>
    <w:p w14:paraId="3B251566" w14:textId="77777777" w:rsidR="00816F89" w:rsidRPr="00816F89" w:rsidRDefault="00816F89" w:rsidP="00816F89">
      <w:pPr>
        <w:pStyle w:val="Title4LevelTitre4Niveau"/>
        <w:numPr>
          <w:ilvl w:val="3"/>
          <w:numId w:val="8"/>
        </w:numPr>
        <w:rPr>
          <w:rFonts w:cs="Times New Roman"/>
          <w:lang w:val="en-US"/>
        </w:rPr>
      </w:pPr>
      <w:r w:rsidRPr="00816F89">
        <w:rPr>
          <w:rFonts w:cs="Times New Roman"/>
          <w:lang w:val="en-US"/>
        </w:rPr>
        <w:t>Mounted Police (2015)</w:t>
      </w:r>
    </w:p>
    <w:p w14:paraId="18B2BF67" w14:textId="77777777" w:rsidR="00816F89" w:rsidRPr="00816F89" w:rsidRDefault="00816F89" w:rsidP="00816F89">
      <w:pPr>
        <w:pStyle w:val="ParaNoNdepar-AltN"/>
        <w:rPr>
          <w:rFonts w:cs="Times New Roman"/>
        </w:rPr>
      </w:pPr>
      <w:r w:rsidRPr="00816F89">
        <w:rPr>
          <w:rFonts w:cs="Times New Roman"/>
          <w:lang w:val="en-US"/>
        </w:rPr>
        <w:t xml:space="preserve">A few years after </w:t>
      </w:r>
      <w:r w:rsidRPr="00816F89">
        <w:rPr>
          <w:rFonts w:cs="Times New Roman"/>
          <w:i/>
          <w:lang w:val="en-US"/>
        </w:rPr>
        <w:t>Fraser</w:t>
      </w:r>
      <w:r w:rsidRPr="00816F89">
        <w:rPr>
          <w:rFonts w:cs="Times New Roman"/>
          <w:lang w:val="en-US"/>
        </w:rPr>
        <w:t xml:space="preserve">, </w:t>
      </w:r>
      <w:r w:rsidRPr="00816F89">
        <w:rPr>
          <w:rFonts w:cs="Times New Roman"/>
        </w:rPr>
        <w:t xml:space="preserve">this Court in </w:t>
      </w:r>
      <w:r w:rsidRPr="00816F89">
        <w:rPr>
          <w:rFonts w:cs="Times New Roman"/>
          <w:i/>
        </w:rPr>
        <w:t>Mounted Police</w:t>
      </w:r>
      <w:r w:rsidRPr="00816F89">
        <w:rPr>
          <w:rFonts w:cs="Times New Roman"/>
        </w:rPr>
        <w:t xml:space="preserve"> held that legislation excluding members of the Royal Canadian Mounted Police from collective bargaining under the general labour relations scheme for federal public servants, and imposing an alternative labour relations regime, unjustifiably infringed s. 2(d) of the </w:t>
      </w:r>
      <w:r w:rsidRPr="00816F89">
        <w:rPr>
          <w:rFonts w:cs="Times New Roman"/>
          <w:i/>
        </w:rPr>
        <w:t>Charter</w:t>
      </w:r>
      <w:r w:rsidRPr="00816F89">
        <w:rPr>
          <w:rFonts w:cs="Times New Roman"/>
        </w:rPr>
        <w:t>. Writing for the majority, McLachlin C.J. and LeBel J. stated that s. 2(d) “protects associational activity for the purpose of securing the individual against state-enforced isolation and empowering individuals to achieve collectively what they could not achieve individually” (para. 62). The majority reiterated that s. 2(d) does not guarantee access to a specific statutory regime (at para. 67) and affirmed that “the ultimate question to be determined is whether the measures disrupt the balance between employees and employer that s. 2(</w:t>
      </w:r>
      <w:r w:rsidRPr="00816F89">
        <w:rPr>
          <w:rFonts w:cs="Times New Roman"/>
          <w:i/>
        </w:rPr>
        <w:t>d</w:t>
      </w:r>
      <w:r w:rsidRPr="00816F89">
        <w:rPr>
          <w:rFonts w:cs="Times New Roman"/>
        </w:rPr>
        <w:t xml:space="preserve">) seeks to achieve, so as to substantially interfere with meaningful collective bargaining” (para. 72). </w:t>
      </w:r>
      <w:r w:rsidRPr="00816F89">
        <w:rPr>
          <w:rFonts w:cs="Times New Roman"/>
          <w:lang w:val="en-US"/>
        </w:rPr>
        <w:t>The majority</w:t>
      </w:r>
      <w:r w:rsidRPr="00816F89">
        <w:rPr>
          <w:rFonts w:cs="Times New Roman"/>
        </w:rPr>
        <w:t xml:space="preserve"> in </w:t>
      </w:r>
      <w:r w:rsidRPr="00816F89">
        <w:rPr>
          <w:rFonts w:cs="Times New Roman"/>
          <w:i/>
        </w:rPr>
        <w:t>Mounted Police</w:t>
      </w:r>
      <w:r w:rsidRPr="00816F89">
        <w:rPr>
          <w:rFonts w:cs="Times New Roman"/>
        </w:rPr>
        <w:t xml:space="preserve"> also underscored that this Court’s s. 2(d) precedents, from </w:t>
      </w:r>
      <w:r w:rsidRPr="00816F89">
        <w:rPr>
          <w:rFonts w:cs="Times New Roman"/>
          <w:i/>
        </w:rPr>
        <w:t>Dunmore</w:t>
      </w:r>
      <w:r w:rsidRPr="00816F89">
        <w:rPr>
          <w:rFonts w:cs="Times New Roman"/>
        </w:rPr>
        <w:t xml:space="preserve"> to </w:t>
      </w:r>
      <w:r w:rsidRPr="00816F89">
        <w:rPr>
          <w:rFonts w:cs="Times New Roman"/>
          <w:i/>
        </w:rPr>
        <w:t xml:space="preserve">Health Services </w:t>
      </w:r>
      <w:r w:rsidRPr="00816F89">
        <w:rPr>
          <w:rFonts w:cs="Times New Roman"/>
        </w:rPr>
        <w:t xml:space="preserve">to </w:t>
      </w:r>
      <w:r w:rsidRPr="00816F89">
        <w:rPr>
          <w:rFonts w:cs="Times New Roman"/>
          <w:i/>
        </w:rPr>
        <w:t>Fraser</w:t>
      </w:r>
      <w:r w:rsidRPr="00816F89">
        <w:rPr>
          <w:rFonts w:cs="Times New Roman"/>
        </w:rPr>
        <w:t>, should be read and understood as consistent with each other, and that, “[m]ore generally, they must be understood consistently with this Court’s purposive and generous approach to s. 2(</w:t>
      </w:r>
      <w:r w:rsidRPr="00816F89">
        <w:rPr>
          <w:rFonts w:cs="Times New Roman"/>
          <w:i/>
        </w:rPr>
        <w:t>d</w:t>
      </w:r>
      <w:r w:rsidRPr="00816F89">
        <w:rPr>
          <w:rFonts w:cs="Times New Roman"/>
        </w:rPr>
        <w:t>)” (para. 77).</w:t>
      </w:r>
    </w:p>
    <w:p w14:paraId="1C6581A0" w14:textId="77777777" w:rsidR="00816F89" w:rsidRPr="00816F89" w:rsidRDefault="00816F89" w:rsidP="00816F89">
      <w:pPr>
        <w:pStyle w:val="Title4LevelTitre4Niveau"/>
        <w:numPr>
          <w:ilvl w:val="3"/>
          <w:numId w:val="8"/>
        </w:numPr>
        <w:rPr>
          <w:rFonts w:cs="Times New Roman"/>
          <w:lang w:val="en-US"/>
        </w:rPr>
      </w:pPr>
      <w:r w:rsidRPr="00816F89">
        <w:rPr>
          <w:rFonts w:cs="Times New Roman"/>
          <w:lang w:val="en-US"/>
        </w:rPr>
        <w:t>Meredith (2015)</w:t>
      </w:r>
    </w:p>
    <w:p w14:paraId="7D2A9B3B" w14:textId="77777777" w:rsidR="00816F89" w:rsidRPr="00816F89" w:rsidRDefault="00816F89" w:rsidP="00816F89">
      <w:pPr>
        <w:pStyle w:val="ParaNoNdepar-AltN"/>
        <w:rPr>
          <w:rFonts w:cs="Times New Roman"/>
        </w:rPr>
      </w:pPr>
      <w:r w:rsidRPr="00816F89">
        <w:rPr>
          <w:rFonts w:cs="Times New Roman"/>
        </w:rPr>
        <w:t xml:space="preserve">The substantial interference framework for s. 2(d) claims was also set out in the companion case to </w:t>
      </w:r>
      <w:r w:rsidRPr="00816F89">
        <w:rPr>
          <w:rFonts w:cs="Times New Roman"/>
          <w:i/>
        </w:rPr>
        <w:t>Mounted Police</w:t>
      </w:r>
      <w:r w:rsidRPr="00816F89">
        <w:rPr>
          <w:rFonts w:cs="Times New Roman"/>
        </w:rPr>
        <w:t xml:space="preserve">, </w:t>
      </w:r>
      <w:r w:rsidRPr="00816F89">
        <w:rPr>
          <w:rFonts w:cs="Times New Roman"/>
          <w:i/>
          <w:lang w:val="en-US"/>
        </w:rPr>
        <w:t>Meredith v. Canada (Attorney General)</w:t>
      </w:r>
      <w:r w:rsidRPr="00816F89">
        <w:rPr>
          <w:rFonts w:cs="Times New Roman"/>
          <w:lang w:val="en-US"/>
        </w:rPr>
        <w:t>,</w:t>
      </w:r>
      <w:r w:rsidRPr="00816F89">
        <w:rPr>
          <w:rFonts w:cs="Times New Roman"/>
          <w:i/>
          <w:lang w:val="en-US"/>
        </w:rPr>
        <w:t xml:space="preserve"> </w:t>
      </w:r>
      <w:r w:rsidRPr="00816F89">
        <w:rPr>
          <w:rFonts w:cs="Times New Roman"/>
          <w:lang w:val="en-US"/>
        </w:rPr>
        <w:t>2015 SCC 2, [2015] 1 S.C.R. 125, where McLachlin C.J. and LeBel J. for the majority stated that, “[i]n s. 2(</w:t>
      </w:r>
      <w:r w:rsidRPr="00816F89">
        <w:rPr>
          <w:rFonts w:cs="Times New Roman"/>
          <w:i/>
          <w:lang w:val="en-US"/>
        </w:rPr>
        <w:t>d</w:t>
      </w:r>
      <w:r w:rsidRPr="00816F89">
        <w:rPr>
          <w:rFonts w:cs="Times New Roman"/>
          <w:lang w:val="en-US"/>
        </w:rPr>
        <w:t>) cases, the courts must ask whether state action has substantially impaired the employees’ collective pursuit of workplace goals” (para. 24).</w:t>
      </w:r>
    </w:p>
    <w:p w14:paraId="66922AE8" w14:textId="77777777" w:rsidR="00816F89" w:rsidRPr="00816F89" w:rsidRDefault="00816F89" w:rsidP="00816F89">
      <w:pPr>
        <w:pStyle w:val="Title4LevelTitre4Niveau"/>
        <w:numPr>
          <w:ilvl w:val="3"/>
          <w:numId w:val="8"/>
        </w:numPr>
        <w:rPr>
          <w:rFonts w:cs="Times New Roman"/>
        </w:rPr>
      </w:pPr>
      <w:r w:rsidRPr="00816F89">
        <w:rPr>
          <w:rFonts w:cs="Times New Roman"/>
        </w:rPr>
        <w:t>Saskatchewan Federation of Labour (2015)</w:t>
      </w:r>
    </w:p>
    <w:p w14:paraId="1084E585" w14:textId="77777777" w:rsidR="00816F89" w:rsidRPr="00816F89" w:rsidRDefault="00816F89" w:rsidP="00816F89">
      <w:pPr>
        <w:pStyle w:val="ParaNoNdepar-AltN"/>
        <w:rPr>
          <w:rFonts w:cs="Times New Roman"/>
        </w:rPr>
      </w:pPr>
      <w:r w:rsidRPr="00816F89">
        <w:rPr>
          <w:rFonts w:cs="Times New Roman"/>
          <w:lang w:val="en-US"/>
        </w:rPr>
        <w:t xml:space="preserve">Most recently, the </w:t>
      </w:r>
      <w:r w:rsidRPr="00816F89">
        <w:rPr>
          <w:rFonts w:cs="Times New Roman"/>
        </w:rPr>
        <w:t xml:space="preserve">substantial interference framework was applied by Abella J. for the majority in </w:t>
      </w:r>
      <w:r w:rsidRPr="00816F89">
        <w:rPr>
          <w:rFonts w:cs="Times New Roman"/>
          <w:i/>
        </w:rPr>
        <w:t>Saskatchewan Federation of Labour v. Saskatchewan</w:t>
      </w:r>
      <w:r w:rsidRPr="00816F89">
        <w:rPr>
          <w:rFonts w:cs="Times New Roman"/>
        </w:rPr>
        <w:t>, 2015 SCC 4, [2015] 1 S.C.R. 245, which held that a statutory prohibition on the right to strike infringed s. 2(d) (para. 78).</w:t>
      </w:r>
    </w:p>
    <w:p w14:paraId="5565CD9F" w14:textId="77777777" w:rsidR="00816F89" w:rsidRPr="00816F89" w:rsidRDefault="00816F89" w:rsidP="00816F89">
      <w:pPr>
        <w:pStyle w:val="Title4LevelTitre4Niveau"/>
        <w:numPr>
          <w:ilvl w:val="3"/>
          <w:numId w:val="8"/>
        </w:numPr>
        <w:rPr>
          <w:rFonts w:cs="Times New Roman"/>
          <w:lang w:val="en-US"/>
        </w:rPr>
      </w:pPr>
      <w:r w:rsidRPr="00816F89">
        <w:rPr>
          <w:rFonts w:cs="Times New Roman"/>
          <w:lang w:val="en-US"/>
        </w:rPr>
        <w:t>Summary</w:t>
      </w:r>
    </w:p>
    <w:p w14:paraId="3D8E3058" w14:textId="77777777" w:rsidR="00816F89" w:rsidRPr="00816F89" w:rsidRDefault="00816F89" w:rsidP="00816F89">
      <w:pPr>
        <w:pStyle w:val="ParaNoNdepar-AltN"/>
        <w:rPr>
          <w:rFonts w:cs="Times New Roman"/>
          <w:lang w:val="en-US"/>
        </w:rPr>
      </w:pPr>
      <w:r w:rsidRPr="00816F89">
        <w:rPr>
          <w:rFonts w:cs="Times New Roman"/>
          <w:lang w:val="en-US"/>
        </w:rPr>
        <w:t xml:space="preserve">To sum up, this Court’s s. 2(d) jurisprudence reveals that the Court has consistently applied a two-part framework that examines whether activities fall within the scope of s. 2(d) and whether government action has substantially interfered with those activities, in purpose or effect. This Court has also highlighted that its s. 2(d) jurisprudence since </w:t>
      </w:r>
      <w:r w:rsidRPr="00816F89">
        <w:rPr>
          <w:rFonts w:cs="Times New Roman"/>
          <w:i/>
          <w:lang w:val="en-US"/>
        </w:rPr>
        <w:t>Dunmore</w:t>
      </w:r>
      <w:r w:rsidRPr="00816F89">
        <w:rPr>
          <w:rFonts w:cs="Times New Roman"/>
          <w:lang w:val="en-US"/>
        </w:rPr>
        <w:t xml:space="preserve"> should be viewed as a consistent body of case law.</w:t>
      </w:r>
    </w:p>
    <w:p w14:paraId="12E162CF" w14:textId="77777777" w:rsidR="00816F89" w:rsidRPr="00816F89" w:rsidRDefault="00816F89" w:rsidP="00816F89">
      <w:pPr>
        <w:pStyle w:val="ParaNoNdepar-AltN"/>
        <w:rPr>
          <w:rFonts w:cs="Times New Roman"/>
          <w:lang w:val="en-US"/>
        </w:rPr>
      </w:pPr>
      <w:r w:rsidRPr="00816F89">
        <w:rPr>
          <w:rFonts w:cs="Times New Roman"/>
          <w:i/>
          <w:lang w:val="en-US"/>
        </w:rPr>
        <w:t xml:space="preserve">Dunmore </w:t>
      </w:r>
      <w:r w:rsidRPr="00816F89">
        <w:rPr>
          <w:rFonts w:cs="Times New Roman"/>
          <w:lang w:val="en-US"/>
        </w:rPr>
        <w:t xml:space="preserve">was not overturned by this Court’s decisions in </w:t>
      </w:r>
      <w:r w:rsidRPr="00816F89">
        <w:rPr>
          <w:rFonts w:cs="Times New Roman"/>
          <w:i/>
          <w:lang w:val="en-US"/>
        </w:rPr>
        <w:t xml:space="preserve">Mounted Police </w:t>
      </w:r>
      <w:r w:rsidRPr="00816F89">
        <w:rPr>
          <w:rFonts w:cs="Times New Roman"/>
          <w:lang w:val="en-US"/>
        </w:rPr>
        <w:t xml:space="preserve">or </w:t>
      </w:r>
      <w:r w:rsidRPr="00816F89">
        <w:rPr>
          <w:rFonts w:cs="Times New Roman"/>
          <w:i/>
          <w:lang w:val="en-US"/>
        </w:rPr>
        <w:t>Fraser</w:t>
      </w:r>
      <w:r w:rsidRPr="00816F89">
        <w:rPr>
          <w:rFonts w:cs="Times New Roman"/>
          <w:lang w:val="en-US"/>
        </w:rPr>
        <w:t xml:space="preserve">. Nor does this Court’s jurisprudence create two tests, one for claims seeking positive intervention from the state and another for claims seeking negative protection against state interference. Although the </w:t>
      </w:r>
      <w:r w:rsidRPr="00816F89">
        <w:rPr>
          <w:rFonts w:cs="Times New Roman"/>
          <w:i/>
          <w:lang w:val="en-US"/>
        </w:rPr>
        <w:t xml:space="preserve">Dunmore </w:t>
      </w:r>
      <w:r w:rsidRPr="00816F89">
        <w:rPr>
          <w:rFonts w:cs="Times New Roman"/>
          <w:lang w:val="en-US"/>
        </w:rPr>
        <w:t xml:space="preserve">factors have not been identified and analyzed each time the Court has been asked to determine whether legislation or government action infringed s. 2(d) of the </w:t>
      </w:r>
      <w:r w:rsidRPr="00816F89">
        <w:rPr>
          <w:rFonts w:cs="Times New Roman"/>
          <w:i/>
          <w:lang w:val="en-US"/>
        </w:rPr>
        <w:t>Charter</w:t>
      </w:r>
      <w:r w:rsidRPr="00816F89">
        <w:rPr>
          <w:rFonts w:cs="Times New Roman"/>
          <w:lang w:val="en-US"/>
        </w:rPr>
        <w:t xml:space="preserve">, the underlying principles have been consistently reaffirmed. These principles, or </w:t>
      </w:r>
      <w:r w:rsidRPr="00816F89">
        <w:rPr>
          <w:rFonts w:cs="Times New Roman"/>
          <w:i/>
          <w:lang w:val="en-US"/>
        </w:rPr>
        <w:t>Dunmore</w:t>
      </w:r>
      <w:r w:rsidRPr="00816F89">
        <w:rPr>
          <w:rFonts w:cs="Times New Roman"/>
          <w:lang w:val="en-US"/>
        </w:rPr>
        <w:t xml:space="preserve"> factors, circumscribe the possibility of successfully challenging underinclusive legislation, but they do not constitute a separate test. </w:t>
      </w:r>
      <w:r w:rsidRPr="00816F89">
        <w:rPr>
          <w:rFonts w:cs="Times New Roman"/>
          <w:szCs w:val="24"/>
          <w:lang w:val="en-US"/>
        </w:rPr>
        <w:t>Rather, they provide guidance to ensure the analysis is focused on determining whether legislation or government action substantially interferes in purpose or effect with the claimant’s ability to engage in activities within the scope of s. 2(d).</w:t>
      </w:r>
    </w:p>
    <w:p w14:paraId="6B985392" w14:textId="77777777" w:rsidR="00816F89" w:rsidRPr="00816F89" w:rsidRDefault="00816F89" w:rsidP="00816F89">
      <w:pPr>
        <w:pStyle w:val="ParaNoNdepar-AltN"/>
        <w:rPr>
          <w:rFonts w:cs="Times New Roman"/>
          <w:lang w:val="en-US"/>
        </w:rPr>
      </w:pPr>
      <w:r w:rsidRPr="00816F89">
        <w:rPr>
          <w:rFonts w:cs="Times New Roman"/>
          <w:lang w:val="en-US"/>
        </w:rPr>
        <w:t xml:space="preserve">It is not always necessary to consider each </w:t>
      </w:r>
      <w:r w:rsidRPr="00816F89">
        <w:rPr>
          <w:rFonts w:cs="Times New Roman"/>
          <w:i/>
          <w:lang w:val="en-US"/>
        </w:rPr>
        <w:t xml:space="preserve">Dunmore </w:t>
      </w:r>
      <w:r w:rsidRPr="00816F89">
        <w:rPr>
          <w:rFonts w:cs="Times New Roman"/>
          <w:lang w:val="en-US"/>
        </w:rPr>
        <w:t xml:space="preserve">factor expressly. Sometimes, the state’s responsibility in causing the substantial interference is self-evident. Consider, for example, legislation that prohibits a type of associational activity, such as a ban on striking. The </w:t>
      </w:r>
      <w:r w:rsidRPr="00816F89">
        <w:rPr>
          <w:rFonts w:cs="Times New Roman"/>
          <w:i/>
          <w:lang w:val="en-US"/>
        </w:rPr>
        <w:t xml:space="preserve">Dunmore </w:t>
      </w:r>
      <w:r w:rsidRPr="00816F89">
        <w:rPr>
          <w:rFonts w:cs="Times New Roman"/>
          <w:lang w:val="en-US"/>
        </w:rPr>
        <w:t xml:space="preserve">factor of ensuring that the interference is attributable to the state rather than a private actor is still relevant, but it is so self-evident that the interference is attributable to the state that it need not be discussed expressly. In other cases, as Bastarache J. cautioned in </w:t>
      </w:r>
      <w:r w:rsidRPr="00816F89">
        <w:rPr>
          <w:rFonts w:cs="Times New Roman"/>
          <w:i/>
          <w:lang w:val="en-US"/>
        </w:rPr>
        <w:t>Dunmore</w:t>
      </w:r>
      <w:r w:rsidRPr="00816F89">
        <w:rPr>
          <w:rFonts w:cs="Times New Roman"/>
          <w:lang w:val="en-US"/>
        </w:rPr>
        <w:t>, a court must be careful in evaluating the evidence to disentangle the effects of the impugned legislation or government action from external elements and determine whether the legislation or government action “substantially orchestrates, encourages or sustains the violation” (para. 26).</w:t>
      </w:r>
    </w:p>
    <w:p w14:paraId="4DCB06F8" w14:textId="77777777" w:rsidR="00816F89" w:rsidRPr="00816F89" w:rsidRDefault="00816F89" w:rsidP="00816F89">
      <w:pPr>
        <w:pStyle w:val="ParaNoNdepar-AltN"/>
        <w:rPr>
          <w:rFonts w:cs="Times New Roman"/>
        </w:rPr>
      </w:pPr>
      <w:r w:rsidRPr="00816F89">
        <w:rPr>
          <w:rFonts w:cs="Times New Roman"/>
        </w:rPr>
        <w:t xml:space="preserve">Nor does </w:t>
      </w:r>
      <w:r w:rsidRPr="00816F89">
        <w:rPr>
          <w:rFonts w:cs="Times New Roman"/>
          <w:i/>
        </w:rPr>
        <w:t xml:space="preserve">Dunmore </w:t>
      </w:r>
      <w:r w:rsidRPr="00816F89">
        <w:rPr>
          <w:rFonts w:cs="Times New Roman"/>
        </w:rPr>
        <w:t xml:space="preserve">establish a higher threshold for establishing an infringement of s. 2(d) in claims seeking state intervention. In all cases, the threshold for proving an infringement of s. 2(d) is substantial interference. This threshold was first explained in </w:t>
      </w:r>
      <w:r w:rsidRPr="00816F89">
        <w:rPr>
          <w:rFonts w:cs="Times New Roman"/>
          <w:i/>
        </w:rPr>
        <w:t>Dunmore</w:t>
      </w:r>
      <w:r w:rsidRPr="00816F89">
        <w:rPr>
          <w:rFonts w:cs="Times New Roman"/>
        </w:rPr>
        <w:t xml:space="preserve"> (at para. 25) and has been consistently applied in this Court’s subsequent s. 2(d) jurisprudence (</w:t>
      </w:r>
      <w:r w:rsidRPr="00816F89">
        <w:rPr>
          <w:rFonts w:cs="Times New Roman"/>
          <w:i/>
        </w:rPr>
        <w:t>Health Services</w:t>
      </w:r>
      <w:r w:rsidRPr="00816F89">
        <w:rPr>
          <w:rFonts w:cs="Times New Roman"/>
        </w:rPr>
        <w:t xml:space="preserve">, at paras. 19 and 90; </w:t>
      </w:r>
      <w:r w:rsidRPr="00816F89">
        <w:rPr>
          <w:rFonts w:cs="Times New Roman"/>
          <w:i/>
        </w:rPr>
        <w:t>Fraser</w:t>
      </w:r>
      <w:r w:rsidRPr="00816F89">
        <w:rPr>
          <w:rFonts w:cs="Times New Roman"/>
        </w:rPr>
        <w:t xml:space="preserve">, at paras. 2 and 47; </w:t>
      </w:r>
      <w:r w:rsidRPr="00816F89">
        <w:rPr>
          <w:rFonts w:cs="Times New Roman"/>
          <w:i/>
        </w:rPr>
        <w:t>Mounted Police</w:t>
      </w:r>
      <w:r w:rsidRPr="00816F89">
        <w:rPr>
          <w:rFonts w:cs="Times New Roman"/>
        </w:rPr>
        <w:t xml:space="preserve">, at para. 72; </w:t>
      </w:r>
      <w:r w:rsidRPr="00816F89">
        <w:rPr>
          <w:rFonts w:cs="Times New Roman"/>
          <w:i/>
        </w:rPr>
        <w:t>Meredith</w:t>
      </w:r>
      <w:r w:rsidRPr="00816F89">
        <w:rPr>
          <w:rFonts w:cs="Times New Roman"/>
        </w:rPr>
        <w:t xml:space="preserve">, at paras. 4 and 24-25; </w:t>
      </w:r>
      <w:r w:rsidRPr="00816F89">
        <w:rPr>
          <w:rFonts w:cs="Times New Roman"/>
          <w:i/>
        </w:rPr>
        <w:t>Saskatchewan Federation of Labour</w:t>
      </w:r>
      <w:r w:rsidRPr="00816F89">
        <w:rPr>
          <w:rFonts w:cs="Times New Roman"/>
        </w:rPr>
        <w:t>, at paras. 2 and 25).</w:t>
      </w:r>
    </w:p>
    <w:p w14:paraId="00D7268C" w14:textId="77777777" w:rsidR="00816F89" w:rsidRPr="00816F89" w:rsidRDefault="00816F89" w:rsidP="00816F89">
      <w:pPr>
        <w:pStyle w:val="ParaNoNdepar-AltN"/>
        <w:rPr>
          <w:rFonts w:cs="Times New Roman"/>
        </w:rPr>
      </w:pPr>
      <w:r w:rsidRPr="00816F89">
        <w:rPr>
          <w:rFonts w:cs="Times New Roman"/>
        </w:rPr>
        <w:t xml:space="preserve">It may be harder for a claimant to meet their burden of proof when challenging underinclusive legislation or when seeking state intervention since, as noted above, the effects of underinclusive legislation can be hard to disentangle from other factors. As this Court noted in </w:t>
      </w:r>
      <w:r w:rsidRPr="00816F89">
        <w:rPr>
          <w:rFonts w:cs="Times New Roman"/>
          <w:i/>
        </w:rPr>
        <w:t>Dunmore</w:t>
      </w:r>
      <w:r w:rsidRPr="00816F89">
        <w:rPr>
          <w:rFonts w:cs="Times New Roman"/>
        </w:rPr>
        <w:t>, it will be in “unique contexts” that underinclusive legislation amounts to substantial interference (para. 22). In all cases, however, the threshold to establish an infringement of s. 2(d) remains substantial interference. A claimant alleging that underinclusive legislation infringes s. 2(d) need not meet an elevated threshold.</w:t>
      </w:r>
    </w:p>
    <w:p w14:paraId="58EE8327" w14:textId="77777777" w:rsidR="00816F89" w:rsidRPr="00816F89" w:rsidRDefault="00816F89" w:rsidP="00816F89">
      <w:pPr>
        <w:pStyle w:val="Title3LevelTitre3Niveau"/>
        <w:numPr>
          <w:ilvl w:val="2"/>
          <w:numId w:val="8"/>
        </w:numPr>
        <w:rPr>
          <w:rFonts w:cs="Times New Roman"/>
          <w:lang w:val="en-US"/>
        </w:rPr>
      </w:pPr>
      <w:r w:rsidRPr="00816F89">
        <w:rPr>
          <w:rFonts w:cs="Times New Roman"/>
          <w:lang w:val="en-US"/>
        </w:rPr>
        <w:t xml:space="preserve">Section 2(b) and Section 2(d) of the </w:t>
      </w:r>
      <w:r w:rsidRPr="00816F89">
        <w:rPr>
          <w:rFonts w:cs="Times New Roman"/>
          <w:i/>
          <w:lang w:val="en-US"/>
        </w:rPr>
        <w:t>Charter</w:t>
      </w:r>
      <w:r w:rsidRPr="00816F89">
        <w:rPr>
          <w:rFonts w:cs="Times New Roman"/>
          <w:lang w:val="en-US"/>
        </w:rPr>
        <w:t xml:space="preserve"> Have Different Frameworks</w:t>
      </w:r>
    </w:p>
    <w:p w14:paraId="512A5525" w14:textId="77777777" w:rsidR="00816F89" w:rsidRPr="00816F89" w:rsidRDefault="00816F89" w:rsidP="00816F89">
      <w:pPr>
        <w:pStyle w:val="ParaNoNdepar-AltN"/>
        <w:rPr>
          <w:rFonts w:cs="Times New Roman"/>
          <w:lang w:val="en-US"/>
        </w:rPr>
      </w:pPr>
      <w:r w:rsidRPr="00816F89">
        <w:rPr>
          <w:rFonts w:cs="Times New Roman"/>
          <w:lang w:val="en-US"/>
        </w:rPr>
        <w:t xml:space="preserve">As noted above, the majority of this Court in </w:t>
      </w:r>
      <w:r w:rsidRPr="00816F89">
        <w:rPr>
          <w:rFonts w:cs="Times New Roman"/>
          <w:i/>
          <w:lang w:val="en-US"/>
        </w:rPr>
        <w:t>Toronto (City)</w:t>
      </w:r>
      <w:r w:rsidRPr="00816F89">
        <w:rPr>
          <w:rFonts w:cs="Times New Roman"/>
          <w:lang w:val="en-US"/>
        </w:rPr>
        <w:t xml:space="preserve">, at para. 21, a case involving freedom of expression under s. 2(b) of the </w:t>
      </w:r>
      <w:r w:rsidRPr="00816F89">
        <w:rPr>
          <w:rFonts w:cs="Times New Roman"/>
          <w:i/>
          <w:lang w:val="en-US"/>
        </w:rPr>
        <w:t>Charter</w:t>
      </w:r>
      <w:r w:rsidRPr="00816F89">
        <w:rPr>
          <w:rFonts w:cs="Times New Roman"/>
          <w:lang w:val="en-US"/>
        </w:rPr>
        <w:t xml:space="preserve">, had declined to consider and left open whether the </w:t>
      </w:r>
      <w:r w:rsidRPr="00816F89">
        <w:rPr>
          <w:rFonts w:cs="Times New Roman"/>
          <w:i/>
          <w:lang w:val="en-US"/>
        </w:rPr>
        <w:t>Dunmore</w:t>
      </w:r>
      <w:r w:rsidRPr="00816F89">
        <w:rPr>
          <w:rFonts w:cs="Times New Roman"/>
          <w:lang w:val="en-US"/>
        </w:rPr>
        <w:t xml:space="preserve"> approach to s. 2(d) “remains applicable” after this Court’s decisions in </w:t>
      </w:r>
      <w:r w:rsidRPr="00816F89">
        <w:rPr>
          <w:rFonts w:cs="Times New Roman"/>
          <w:i/>
          <w:lang w:val="en-US"/>
        </w:rPr>
        <w:t>Fraser</w:t>
      </w:r>
      <w:r w:rsidRPr="00816F89">
        <w:rPr>
          <w:rFonts w:cs="Times New Roman"/>
          <w:lang w:val="en-US"/>
        </w:rPr>
        <w:t xml:space="preserve"> and </w:t>
      </w:r>
      <w:r w:rsidRPr="00816F89">
        <w:rPr>
          <w:rFonts w:cs="Times New Roman"/>
          <w:i/>
          <w:lang w:val="en-US"/>
        </w:rPr>
        <w:t>Mounted Police</w:t>
      </w:r>
      <w:r w:rsidRPr="00816F89">
        <w:rPr>
          <w:rFonts w:cs="Times New Roman"/>
          <w:lang w:val="en-US"/>
        </w:rPr>
        <w:t xml:space="preserve">. I have addressed why this Court’s s. 2(d) jurisprudence already confirms that </w:t>
      </w:r>
      <w:r w:rsidRPr="00816F89">
        <w:rPr>
          <w:rFonts w:cs="Times New Roman"/>
          <w:i/>
          <w:lang w:val="en-US"/>
        </w:rPr>
        <w:t>Dunmore</w:t>
      </w:r>
      <w:r w:rsidRPr="00816F89">
        <w:rPr>
          <w:rFonts w:cs="Times New Roman"/>
          <w:lang w:val="en-US"/>
        </w:rPr>
        <w:t xml:space="preserve"> remains good law and how this Court built on </w:t>
      </w:r>
      <w:r w:rsidRPr="00816F89">
        <w:rPr>
          <w:rFonts w:cs="Times New Roman"/>
          <w:i/>
          <w:lang w:val="en-US"/>
        </w:rPr>
        <w:t>Dunmore</w:t>
      </w:r>
      <w:r w:rsidRPr="00816F89">
        <w:rPr>
          <w:rFonts w:cs="Times New Roman"/>
          <w:lang w:val="en-US"/>
        </w:rPr>
        <w:t xml:space="preserve"> in </w:t>
      </w:r>
      <w:r w:rsidRPr="00816F89">
        <w:rPr>
          <w:rFonts w:cs="Times New Roman"/>
          <w:i/>
          <w:lang w:val="en-US"/>
        </w:rPr>
        <w:t>Fraser</w:t>
      </w:r>
      <w:r w:rsidRPr="00816F89">
        <w:rPr>
          <w:rFonts w:cs="Times New Roman"/>
          <w:lang w:val="en-US"/>
        </w:rPr>
        <w:t xml:space="preserve"> and </w:t>
      </w:r>
      <w:r w:rsidRPr="00816F89">
        <w:rPr>
          <w:rFonts w:cs="Times New Roman"/>
          <w:i/>
          <w:lang w:val="en-US"/>
        </w:rPr>
        <w:t>Mounted Police</w:t>
      </w:r>
      <w:r w:rsidRPr="00816F89">
        <w:rPr>
          <w:rFonts w:cs="Times New Roman"/>
          <w:lang w:val="en-US"/>
        </w:rPr>
        <w:t xml:space="preserve">. </w:t>
      </w:r>
    </w:p>
    <w:p w14:paraId="601159E9" w14:textId="77777777" w:rsidR="00816F89" w:rsidRPr="00816F89" w:rsidRDefault="00816F89" w:rsidP="00816F89">
      <w:pPr>
        <w:pStyle w:val="ParaNoNdepar-AltN"/>
        <w:rPr>
          <w:rFonts w:cs="Times New Roman"/>
          <w:lang w:val="en-US"/>
        </w:rPr>
      </w:pPr>
      <w:r w:rsidRPr="00816F89">
        <w:rPr>
          <w:rFonts w:cs="Times New Roman"/>
          <w:lang w:val="en-US"/>
        </w:rPr>
        <w:t xml:space="preserve">It is also useful to highlight briefly the different evolution of the frameworks under ss. 2(b) and 2(d) of the </w:t>
      </w:r>
      <w:r w:rsidRPr="00816F89">
        <w:rPr>
          <w:rFonts w:cs="Times New Roman"/>
          <w:i/>
          <w:lang w:val="en-US"/>
        </w:rPr>
        <w:t>Charter</w:t>
      </w:r>
      <w:r w:rsidRPr="00816F89">
        <w:rPr>
          <w:rFonts w:cs="Times New Roman"/>
          <w:lang w:val="en-US"/>
        </w:rPr>
        <w:t xml:space="preserve"> to explain why the distinction between positive freedoms and negative rights is not relevant in determining the framework for s. 2(d) claims, even though it has been recently affirmed in </w:t>
      </w:r>
      <w:r w:rsidRPr="00816F89">
        <w:rPr>
          <w:rFonts w:cs="Times New Roman"/>
          <w:i/>
          <w:lang w:val="en-US"/>
        </w:rPr>
        <w:t>Toronto (City)</w:t>
      </w:r>
      <w:r w:rsidRPr="00816F89">
        <w:rPr>
          <w:rFonts w:cs="Times New Roman"/>
          <w:lang w:val="en-US"/>
        </w:rPr>
        <w:t xml:space="preserve"> in the context of s. 2(b).</w:t>
      </w:r>
    </w:p>
    <w:p w14:paraId="14B327F3" w14:textId="77777777" w:rsidR="00816F89" w:rsidRPr="00816F89" w:rsidRDefault="00816F89" w:rsidP="00816F89">
      <w:pPr>
        <w:pStyle w:val="ParaNoNdepar-AltN"/>
        <w:rPr>
          <w:rFonts w:cs="Times New Roman"/>
          <w:i/>
          <w:lang w:val="en-US"/>
        </w:rPr>
      </w:pPr>
      <w:r w:rsidRPr="00816F89">
        <w:rPr>
          <w:rFonts w:cs="Times New Roman"/>
          <w:lang w:val="en-US"/>
        </w:rPr>
        <w:t xml:space="preserve">At issue in </w:t>
      </w:r>
      <w:r w:rsidRPr="00816F89">
        <w:rPr>
          <w:rFonts w:cs="Times New Roman"/>
          <w:i/>
          <w:lang w:val="en-US"/>
        </w:rPr>
        <w:t xml:space="preserve">Toronto (City) </w:t>
      </w:r>
      <w:r w:rsidRPr="00816F89">
        <w:rPr>
          <w:rFonts w:cs="Times New Roman"/>
          <w:lang w:val="en-US"/>
        </w:rPr>
        <w:t xml:space="preserve">was whether legislation that reduced the number of wards in an ongoing municipal election infringed the electoral candidates’ right to freedom of expression under s. 2(b) of the </w:t>
      </w:r>
      <w:r w:rsidRPr="00816F89">
        <w:rPr>
          <w:rFonts w:cs="Times New Roman"/>
          <w:i/>
          <w:lang w:val="en-US"/>
        </w:rPr>
        <w:t>Charter</w:t>
      </w:r>
      <w:r w:rsidRPr="00816F89">
        <w:rPr>
          <w:rFonts w:cs="Times New Roman"/>
          <w:lang w:val="en-US"/>
        </w:rPr>
        <w:t xml:space="preserve">. A majority of this Court affirmed the distinction between the tests for positive freedoms and negative rights claims in the context of s. 2(b), citing the Court’s earlier decision in </w:t>
      </w:r>
      <w:r w:rsidRPr="00816F89">
        <w:rPr>
          <w:rFonts w:cs="Times New Roman"/>
          <w:i/>
          <w:lang w:val="en-US"/>
        </w:rPr>
        <w:t>Baier v. Alberta</w:t>
      </w:r>
      <w:r w:rsidRPr="00816F89">
        <w:rPr>
          <w:rFonts w:cs="Times New Roman"/>
          <w:lang w:val="en-US"/>
        </w:rPr>
        <w:t xml:space="preserve">, 2007 SCC 31, [2007] 2 S.C.R. 673, which had also applied the three </w:t>
      </w:r>
      <w:r w:rsidRPr="00816F89">
        <w:rPr>
          <w:rFonts w:cs="Times New Roman"/>
          <w:i/>
          <w:lang w:val="en-US"/>
        </w:rPr>
        <w:t xml:space="preserve">Dunmore </w:t>
      </w:r>
      <w:r w:rsidRPr="00816F89">
        <w:rPr>
          <w:rFonts w:cs="Times New Roman"/>
          <w:lang w:val="en-US"/>
        </w:rPr>
        <w:t>factors under s. 2(b) (</w:t>
      </w:r>
      <w:r w:rsidRPr="00816F89">
        <w:rPr>
          <w:rFonts w:cs="Times New Roman"/>
          <w:i/>
          <w:lang w:val="en-US"/>
        </w:rPr>
        <w:t>Baier</w:t>
      </w:r>
      <w:r w:rsidRPr="00816F89">
        <w:rPr>
          <w:rFonts w:cs="Times New Roman"/>
          <w:lang w:val="en-US"/>
        </w:rPr>
        <w:t xml:space="preserve">, at para. 30). In </w:t>
      </w:r>
      <w:r w:rsidRPr="00816F89">
        <w:rPr>
          <w:rFonts w:cs="Times New Roman"/>
          <w:i/>
          <w:lang w:val="en-US"/>
        </w:rPr>
        <w:t>Toronto (City)</w:t>
      </w:r>
      <w:r w:rsidRPr="00816F89">
        <w:rPr>
          <w:rFonts w:cs="Times New Roman"/>
          <w:lang w:val="en-US"/>
        </w:rPr>
        <w:t xml:space="preserve">, the majority refined the framework for positive freedoms claims involving freedom of expression, distilling the framework to the single question of whether the “claim [is] </w:t>
      </w:r>
      <w:r w:rsidRPr="00816F89">
        <w:rPr>
          <w:rFonts w:eastAsiaTheme="minorHAnsi" w:cs="Times New Roman"/>
        </w:rPr>
        <w:t>grounded in the fundamental</w:t>
      </w:r>
      <w:r w:rsidRPr="00816F89">
        <w:rPr>
          <w:rFonts w:eastAsiaTheme="minorHAnsi" w:cs="Times New Roman"/>
          <w:i/>
          <w:iCs/>
        </w:rPr>
        <w:t xml:space="preserve"> Charter</w:t>
      </w:r>
      <w:r w:rsidRPr="00816F89">
        <w:rPr>
          <w:rFonts w:eastAsiaTheme="minorHAnsi" w:cs="Times New Roman"/>
        </w:rPr>
        <w:t xml:space="preserve"> freedom of expression, such that, by denying access to a statutory platform or by otherwise failing to act, the government has either substantially interfered with freedom of expression, or had the purpose of interfering with freedom of expression” (para. 25).</w:t>
      </w:r>
    </w:p>
    <w:p w14:paraId="381042C2" w14:textId="77777777" w:rsidR="00816F89" w:rsidRPr="00816F89" w:rsidRDefault="00816F89" w:rsidP="00816F89">
      <w:pPr>
        <w:pStyle w:val="ParaNoNdepar-AltN"/>
        <w:rPr>
          <w:rFonts w:cs="Times New Roman"/>
          <w:i/>
          <w:lang w:val="en-US"/>
        </w:rPr>
      </w:pPr>
      <w:r w:rsidRPr="00816F89">
        <w:rPr>
          <w:rFonts w:cs="Times New Roman"/>
          <w:lang w:val="en-US"/>
        </w:rPr>
        <w:t xml:space="preserve">As a result, in the context of claims under s. 2(b) of the </w:t>
      </w:r>
      <w:r w:rsidRPr="00816F89">
        <w:rPr>
          <w:rFonts w:cs="Times New Roman"/>
          <w:i/>
          <w:lang w:val="en-US"/>
        </w:rPr>
        <w:t>Charter</w:t>
      </w:r>
      <w:r w:rsidRPr="00816F89">
        <w:rPr>
          <w:rFonts w:cs="Times New Roman"/>
          <w:lang w:val="en-US"/>
        </w:rPr>
        <w:t xml:space="preserve">, the threshold for proving positive freedom claims is </w:t>
      </w:r>
      <w:r w:rsidRPr="00816F89">
        <w:rPr>
          <w:rFonts w:cs="Times New Roman"/>
          <w:i/>
          <w:lang w:val="en-US"/>
        </w:rPr>
        <w:t>substantial</w:t>
      </w:r>
      <w:r w:rsidRPr="00816F89">
        <w:rPr>
          <w:rFonts w:cs="Times New Roman"/>
          <w:lang w:val="en-US"/>
        </w:rPr>
        <w:t xml:space="preserve"> interference with freedom of expression (</w:t>
      </w:r>
      <w:r w:rsidRPr="00816F89">
        <w:rPr>
          <w:rFonts w:cs="Times New Roman"/>
          <w:i/>
          <w:lang w:val="en-US"/>
        </w:rPr>
        <w:t>Toronto (City)</w:t>
      </w:r>
      <w:r w:rsidRPr="00816F89">
        <w:rPr>
          <w:rFonts w:cs="Times New Roman"/>
          <w:lang w:val="en-US"/>
        </w:rPr>
        <w:t xml:space="preserve">, at para. 25). However, the threshold for negative rights claims involving freedom of expression, as explained in </w:t>
      </w:r>
      <w:r w:rsidRPr="00816F89">
        <w:rPr>
          <w:rFonts w:cs="Times New Roman"/>
          <w:i/>
          <w:lang w:val="en-US"/>
        </w:rPr>
        <w:t>Irwin Toy Ltd. v. Quebec (Attorney General)</w:t>
      </w:r>
      <w:r w:rsidRPr="00816F89">
        <w:rPr>
          <w:rFonts w:cs="Times New Roman"/>
          <w:lang w:val="en-US"/>
        </w:rPr>
        <w:t xml:space="preserve">, [1989] 1 S.C.R. 927, is whether the purpose or effect of the government action merely </w:t>
      </w:r>
      <w:r w:rsidRPr="00816F89">
        <w:rPr>
          <w:rFonts w:cs="Times New Roman"/>
          <w:i/>
          <w:lang w:val="en-US"/>
        </w:rPr>
        <w:t>restricts</w:t>
      </w:r>
      <w:r w:rsidRPr="00816F89">
        <w:rPr>
          <w:rFonts w:cs="Times New Roman"/>
          <w:lang w:val="en-US"/>
        </w:rPr>
        <w:t xml:space="preserve"> freedom of expression (</w:t>
      </w:r>
      <w:r w:rsidRPr="00816F89">
        <w:rPr>
          <w:rFonts w:cs="Times New Roman"/>
          <w:i/>
          <w:lang w:val="en-US"/>
        </w:rPr>
        <w:t>Toronto (City)</w:t>
      </w:r>
      <w:r w:rsidRPr="00816F89">
        <w:rPr>
          <w:rFonts w:cs="Times New Roman"/>
          <w:lang w:val="en-US"/>
        </w:rPr>
        <w:t xml:space="preserve">, at para. 24, citing </w:t>
      </w:r>
      <w:r w:rsidRPr="00816F89">
        <w:rPr>
          <w:rFonts w:cs="Times New Roman"/>
          <w:i/>
          <w:lang w:val="en-US"/>
        </w:rPr>
        <w:t>Irwin Toy</w:t>
      </w:r>
      <w:r w:rsidRPr="00816F89">
        <w:rPr>
          <w:rFonts w:cs="Times New Roman"/>
          <w:lang w:val="en-US"/>
        </w:rPr>
        <w:t>, at p. 971, and</w:t>
      </w:r>
      <w:r w:rsidRPr="00816F89">
        <w:rPr>
          <w:rFonts w:cs="Times New Roman"/>
          <w:i/>
          <w:lang w:val="en-US"/>
        </w:rPr>
        <w:t xml:space="preserve"> Baier</w:t>
      </w:r>
      <w:r w:rsidRPr="00816F89">
        <w:rPr>
          <w:rFonts w:cs="Times New Roman"/>
          <w:lang w:val="en-US"/>
        </w:rPr>
        <w:t>, at paras. 27-28 and 45).</w:t>
      </w:r>
    </w:p>
    <w:p w14:paraId="62DDF021" w14:textId="77777777" w:rsidR="00816F89" w:rsidRPr="00816F89" w:rsidRDefault="00816F89" w:rsidP="00816F89">
      <w:pPr>
        <w:pStyle w:val="ParaNoNdepar-AltN"/>
        <w:rPr>
          <w:rFonts w:cs="Times New Roman"/>
        </w:rPr>
      </w:pPr>
      <w:r w:rsidRPr="00816F89">
        <w:rPr>
          <w:rFonts w:cs="Times New Roman"/>
          <w:lang w:val="en-US"/>
        </w:rPr>
        <w:t xml:space="preserve">In the freedom of association context, by contrast, the threshold for both “positive” and “negative” freedom of association claims is the same: substantial interference (see </w:t>
      </w:r>
      <w:r w:rsidRPr="00816F89">
        <w:rPr>
          <w:rFonts w:cs="Times New Roman"/>
          <w:i/>
        </w:rPr>
        <w:t>Dunmore</w:t>
      </w:r>
      <w:r w:rsidRPr="00816F89">
        <w:rPr>
          <w:rFonts w:cs="Times New Roman"/>
        </w:rPr>
        <w:t xml:space="preserve">, at para. 25; </w:t>
      </w:r>
      <w:r w:rsidRPr="00816F89">
        <w:rPr>
          <w:rFonts w:cs="Times New Roman"/>
          <w:i/>
        </w:rPr>
        <w:t>Health Services</w:t>
      </w:r>
      <w:r w:rsidRPr="00816F89">
        <w:rPr>
          <w:rFonts w:cs="Times New Roman"/>
        </w:rPr>
        <w:t xml:space="preserve">, at paras. 19 and 90; </w:t>
      </w:r>
      <w:r w:rsidRPr="00816F89">
        <w:rPr>
          <w:rFonts w:cs="Times New Roman"/>
          <w:i/>
        </w:rPr>
        <w:t>Fraser</w:t>
      </w:r>
      <w:r w:rsidRPr="00816F89">
        <w:rPr>
          <w:rFonts w:cs="Times New Roman"/>
        </w:rPr>
        <w:t xml:space="preserve">, at paras. 2 and 47; </w:t>
      </w:r>
      <w:r w:rsidRPr="00816F89">
        <w:rPr>
          <w:rFonts w:cs="Times New Roman"/>
          <w:i/>
        </w:rPr>
        <w:t>Mounted Police</w:t>
      </w:r>
      <w:r w:rsidRPr="00816F89">
        <w:rPr>
          <w:rFonts w:cs="Times New Roman"/>
        </w:rPr>
        <w:t xml:space="preserve">, at para. 72; </w:t>
      </w:r>
      <w:r w:rsidRPr="00816F89">
        <w:rPr>
          <w:rFonts w:cs="Times New Roman"/>
          <w:i/>
        </w:rPr>
        <w:t>Meredith</w:t>
      </w:r>
      <w:r w:rsidRPr="00816F89">
        <w:rPr>
          <w:rFonts w:cs="Times New Roman"/>
        </w:rPr>
        <w:t xml:space="preserve">, at paras. 4 and 24-25; </w:t>
      </w:r>
      <w:r w:rsidRPr="00816F89">
        <w:rPr>
          <w:rFonts w:cs="Times New Roman"/>
          <w:i/>
        </w:rPr>
        <w:t>Saskatchewan Federation of Labour</w:t>
      </w:r>
      <w:r w:rsidRPr="00816F89">
        <w:rPr>
          <w:rFonts w:cs="Times New Roman"/>
        </w:rPr>
        <w:t xml:space="preserve">, at paras. 2 and 25). </w:t>
      </w:r>
      <w:r w:rsidRPr="00816F89">
        <w:rPr>
          <w:rFonts w:cs="Times New Roman"/>
          <w:lang w:val="en-US"/>
        </w:rPr>
        <w:t xml:space="preserve">There is not a more stringent threshold for positive rights claims under s. 2(d). For freedom of association claims, the “elevated threshold in the second </w:t>
      </w:r>
      <w:r w:rsidRPr="00816F89">
        <w:rPr>
          <w:rFonts w:cs="Times New Roman"/>
          <w:i/>
          <w:lang w:val="en-US"/>
        </w:rPr>
        <w:t xml:space="preserve">Dunmore </w:t>
      </w:r>
      <w:r w:rsidRPr="00816F89">
        <w:rPr>
          <w:rFonts w:cs="Times New Roman"/>
          <w:lang w:val="en-US"/>
        </w:rPr>
        <w:t>factor” (</w:t>
      </w:r>
      <w:r w:rsidRPr="00816F89">
        <w:rPr>
          <w:rFonts w:cs="Times New Roman"/>
          <w:i/>
          <w:lang w:val="en-US"/>
        </w:rPr>
        <w:t>Toronto (City)</w:t>
      </w:r>
      <w:r w:rsidRPr="00816F89">
        <w:rPr>
          <w:rFonts w:cs="Times New Roman"/>
          <w:lang w:val="en-US"/>
        </w:rPr>
        <w:t>, at para. 25) of substantial interference already applies to all claims involving both positive and negative duties (Fudge, at pp. 545-46 and 550).</w:t>
      </w:r>
    </w:p>
    <w:p w14:paraId="77521227" w14:textId="77777777" w:rsidR="00816F89" w:rsidRPr="00816F89" w:rsidRDefault="00816F89" w:rsidP="00816F89">
      <w:pPr>
        <w:pStyle w:val="ParaNoNdepar-AltN"/>
        <w:rPr>
          <w:rFonts w:cs="Times New Roman"/>
          <w:lang w:val="en-US"/>
        </w:rPr>
      </w:pPr>
      <w:r w:rsidRPr="00816F89">
        <w:rPr>
          <w:rFonts w:cs="Times New Roman"/>
          <w:lang w:val="en-US"/>
        </w:rPr>
        <w:t>Academic commentators have also noted that the</w:t>
      </w:r>
      <w:r w:rsidRPr="00816F89">
        <w:rPr>
          <w:rFonts w:cs="Times New Roman"/>
        </w:rPr>
        <w:t xml:space="preserve"> standard of breach for a s. 2(d) claim “is strict, and bears little resemblance to the analogous tes[t] for expressive . . . freedom under section 2(b)” </w:t>
      </w:r>
      <w:r w:rsidRPr="00816F89">
        <w:rPr>
          <w:rFonts w:cs="Times New Roman"/>
          <w:lang w:val="en-US"/>
        </w:rPr>
        <w:t xml:space="preserve">(J. Cameron and N. Des Rosiers, “The Right to Protest, Freedom of Expression, and Freedom of Association”, in P. Oliver, P. Macklem and N. Des Rosiers, eds., </w:t>
      </w:r>
      <w:r w:rsidRPr="00816F89">
        <w:rPr>
          <w:rFonts w:cs="Times New Roman"/>
          <w:i/>
          <w:lang w:val="en-US"/>
        </w:rPr>
        <w:t>The Oxford Handbook of the Canadian Constitution</w:t>
      </w:r>
      <w:r w:rsidRPr="00816F89">
        <w:rPr>
          <w:rFonts w:cs="Times New Roman"/>
          <w:lang w:val="en-US"/>
        </w:rPr>
        <w:t xml:space="preserve"> (2017), 737, at p. 749; see also Faraday, at p. 353).</w:t>
      </w:r>
    </w:p>
    <w:p w14:paraId="228F5F27" w14:textId="77777777" w:rsidR="00816F89" w:rsidRPr="00816F89" w:rsidRDefault="00816F89" w:rsidP="00816F89">
      <w:pPr>
        <w:pStyle w:val="ParaNoNdepar-AltN"/>
        <w:rPr>
          <w:rFonts w:cs="Times New Roman"/>
          <w:lang w:val="en-US"/>
        </w:rPr>
      </w:pPr>
      <w:r w:rsidRPr="00816F89">
        <w:rPr>
          <w:rFonts w:cs="Times New Roman"/>
          <w:lang w:val="en-US"/>
        </w:rPr>
        <w:t>In summary, the frameworks under ss. 2(b) and 2(d) have evolved differently in this Court’s jurisprudence. This helps explain why the distinction between positive freedoms and negative rights is not relevant in determining the applicable framework for s. 2(d) claims, even though it has been recently affirmed in the s. 2(b) context.</w:t>
      </w:r>
    </w:p>
    <w:bookmarkEnd w:id="6"/>
    <w:bookmarkEnd w:id="7"/>
    <w:p w14:paraId="71420DBE" w14:textId="77777777" w:rsidR="00816F89" w:rsidRPr="00816F89" w:rsidRDefault="00816F89" w:rsidP="00816F89">
      <w:pPr>
        <w:pStyle w:val="Title2LevelTitre2Niveau"/>
        <w:numPr>
          <w:ilvl w:val="1"/>
          <w:numId w:val="8"/>
        </w:numPr>
        <w:rPr>
          <w:rFonts w:cs="Times New Roman"/>
        </w:rPr>
      </w:pPr>
      <w:r w:rsidRPr="00816F89">
        <w:rPr>
          <w:rFonts w:cs="Times New Roman"/>
        </w:rPr>
        <w:t>Application</w:t>
      </w:r>
    </w:p>
    <w:p w14:paraId="0E16232B" w14:textId="77777777" w:rsidR="00816F89" w:rsidRPr="00816F89" w:rsidRDefault="00816F89" w:rsidP="00816F89">
      <w:pPr>
        <w:pStyle w:val="ParaNoNdepar-AltN"/>
        <w:rPr>
          <w:rFonts w:cs="Times New Roman"/>
        </w:rPr>
      </w:pPr>
      <w:r w:rsidRPr="00816F89">
        <w:rPr>
          <w:rFonts w:cs="Times New Roman"/>
          <w:lang w:val="en-US"/>
        </w:rPr>
        <w:t xml:space="preserve">Having set out the proper framework under s. 2(d) of the </w:t>
      </w:r>
      <w:r w:rsidRPr="00816F89">
        <w:rPr>
          <w:rFonts w:cs="Times New Roman"/>
          <w:i/>
          <w:lang w:val="en-US"/>
        </w:rPr>
        <w:t>Charter</w:t>
      </w:r>
      <w:r w:rsidRPr="00816F89">
        <w:rPr>
          <w:rFonts w:cs="Times New Roman"/>
          <w:lang w:val="en-US"/>
        </w:rPr>
        <w:t>, I now apply that framework to the Association’s claims here.</w:t>
      </w:r>
      <w:r w:rsidRPr="00816F89">
        <w:rPr>
          <w:rFonts w:cs="Times New Roman"/>
        </w:rPr>
        <w:t xml:space="preserve"> In doing so, I agree with my colleague Justice Côté’s</w:t>
      </w:r>
      <w:r w:rsidRPr="00816F89">
        <w:rPr>
          <w:rFonts w:cs="Times New Roman"/>
          <w:lang w:val="en-US"/>
        </w:rPr>
        <w:t xml:space="preserve"> comments on the standard of review and apply the standard of correctness to the questions of law and mixed fact and law at issue in these appeals (paras. 94-97).</w:t>
      </w:r>
    </w:p>
    <w:p w14:paraId="024FE6E4" w14:textId="77777777" w:rsidR="00816F89" w:rsidRPr="00816F89" w:rsidRDefault="00816F89" w:rsidP="00816F89">
      <w:pPr>
        <w:pStyle w:val="Title3LevelTitre3Niveau"/>
        <w:numPr>
          <w:ilvl w:val="2"/>
          <w:numId w:val="8"/>
        </w:numPr>
        <w:rPr>
          <w:rFonts w:cs="Times New Roman"/>
        </w:rPr>
      </w:pPr>
      <w:r w:rsidRPr="00816F89">
        <w:rPr>
          <w:rFonts w:cs="Times New Roman"/>
        </w:rPr>
        <w:t xml:space="preserve">The Association’s Claim Involves Activities Protected Under Section 2(d) </w:t>
      </w:r>
    </w:p>
    <w:p w14:paraId="4E596A21" w14:textId="77777777" w:rsidR="00816F89" w:rsidRPr="00816F89" w:rsidRDefault="00816F89" w:rsidP="00816F89">
      <w:pPr>
        <w:pStyle w:val="ParaNoNdepar-AltN"/>
        <w:rPr>
          <w:rFonts w:cs="Times New Roman"/>
        </w:rPr>
      </w:pPr>
      <w:r w:rsidRPr="00816F89">
        <w:rPr>
          <w:rFonts w:cs="Times New Roman"/>
        </w:rPr>
        <w:t xml:space="preserve">At the first step of the s. 2(d) framework, the Court must determine whether the activities that the members of the Association seek to engage in fall within the scope of s. 2(d) of the </w:t>
      </w:r>
      <w:r w:rsidRPr="00816F89">
        <w:rPr>
          <w:rFonts w:cs="Times New Roman"/>
          <w:i/>
        </w:rPr>
        <w:t>Charter</w:t>
      </w:r>
      <w:r w:rsidRPr="00816F89">
        <w:rPr>
          <w:rFonts w:cs="Times New Roman"/>
        </w:rPr>
        <w:t xml:space="preserve">. In addressing this issue, the Court must consider whether the Association can “plausibly ground [its] action in a fundamental </w:t>
      </w:r>
      <w:r w:rsidRPr="00816F89">
        <w:rPr>
          <w:rFonts w:cs="Times New Roman"/>
          <w:i/>
        </w:rPr>
        <w:t>Charter</w:t>
      </w:r>
      <w:r w:rsidRPr="00816F89">
        <w:rPr>
          <w:rFonts w:cs="Times New Roman"/>
        </w:rPr>
        <w:t xml:space="preserve"> freedom” (</w:t>
      </w:r>
      <w:r w:rsidRPr="00816F89">
        <w:rPr>
          <w:rFonts w:cs="Times New Roman"/>
          <w:i/>
        </w:rPr>
        <w:t>Dunmore</w:t>
      </w:r>
      <w:r w:rsidRPr="00816F89">
        <w:rPr>
          <w:rFonts w:cs="Times New Roman"/>
        </w:rPr>
        <w:t>, at para. 24).</w:t>
      </w:r>
    </w:p>
    <w:p w14:paraId="574961C2" w14:textId="77777777" w:rsidR="00816F89" w:rsidRPr="00816F89" w:rsidRDefault="00816F89" w:rsidP="00816F89">
      <w:pPr>
        <w:pStyle w:val="ParaNoNdepar-AltN"/>
        <w:rPr>
          <w:rFonts w:cs="Times New Roman"/>
        </w:rPr>
      </w:pPr>
      <w:r w:rsidRPr="00816F89">
        <w:rPr>
          <w:rFonts w:cs="Times New Roman"/>
        </w:rPr>
        <w:t xml:space="preserve">The Association argues that its members’ statutory exclusion from the protections of the </w:t>
      </w:r>
      <w:r w:rsidRPr="00816F89">
        <w:rPr>
          <w:rFonts w:cs="Times New Roman"/>
          <w:i/>
        </w:rPr>
        <w:t>Labour Code</w:t>
      </w:r>
      <w:r w:rsidRPr="00816F89">
        <w:rPr>
          <w:rFonts w:cs="Times New Roman"/>
        </w:rPr>
        <w:t xml:space="preserve"> prevents them from engaging in a process of meaningful collective bargaining with their employer, with constitutional protection for the Association, sufficient independence from the employer, and the right to recourses if the employer does not negotiate in good faith. The </w:t>
      </w:r>
      <w:r w:rsidRPr="00816F89">
        <w:rPr>
          <w:rFonts w:cs="Times New Roman"/>
          <w:lang w:val="en-US"/>
        </w:rPr>
        <w:t xml:space="preserve">Association’s claim involves activities protected under s. 2(d) of the </w:t>
      </w:r>
      <w:r w:rsidRPr="00816F89">
        <w:rPr>
          <w:rFonts w:cs="Times New Roman"/>
          <w:i/>
          <w:lang w:val="en-US"/>
        </w:rPr>
        <w:t>Charter</w:t>
      </w:r>
      <w:r w:rsidRPr="00816F89">
        <w:rPr>
          <w:rFonts w:cs="Times New Roman"/>
          <w:lang w:val="en-US"/>
        </w:rPr>
        <w:t>, which includes the right to form an association with sufficient independence from the employer, to make collective representations to the employer, and to have those representations considered in good faith (</w:t>
      </w:r>
      <w:r w:rsidRPr="00816F89">
        <w:rPr>
          <w:rFonts w:cs="Times New Roman"/>
          <w:i/>
          <w:lang w:val="en-US"/>
        </w:rPr>
        <w:t>Saskatchewan Federation of Labour</w:t>
      </w:r>
      <w:r w:rsidRPr="00816F89">
        <w:rPr>
          <w:rFonts w:cs="Times New Roman"/>
          <w:lang w:val="en-US"/>
        </w:rPr>
        <w:t xml:space="preserve">, at para. 29; </w:t>
      </w:r>
      <w:r w:rsidRPr="00816F89">
        <w:rPr>
          <w:rFonts w:cs="Times New Roman"/>
          <w:i/>
          <w:lang w:val="en-US"/>
        </w:rPr>
        <w:t>Mounted Police</w:t>
      </w:r>
      <w:r w:rsidRPr="00816F89">
        <w:rPr>
          <w:rFonts w:cs="Times New Roman"/>
          <w:lang w:val="en-US"/>
        </w:rPr>
        <w:t>, at para. 81; see also Faraday, at p. 348</w:t>
      </w:r>
      <w:r w:rsidRPr="00816F89">
        <w:rPr>
          <w:rFonts w:cs="Times New Roman"/>
        </w:rPr>
        <w:t>).</w:t>
      </w:r>
    </w:p>
    <w:p w14:paraId="3538444A" w14:textId="77777777" w:rsidR="00816F89" w:rsidRPr="00816F89" w:rsidRDefault="00816F89" w:rsidP="00816F89">
      <w:pPr>
        <w:pStyle w:val="ParaNoNdepar-AltN"/>
        <w:rPr>
          <w:rFonts w:cs="Times New Roman"/>
        </w:rPr>
      </w:pPr>
      <w:r w:rsidRPr="00816F89">
        <w:rPr>
          <w:rFonts w:cs="Times New Roman"/>
        </w:rPr>
        <w:t xml:space="preserve">As a remedy, the Association asks this Court to declare the legislative exclusion of no force or effect in the context of its request for association certification. </w:t>
      </w:r>
      <w:bookmarkStart w:id="8" w:name="_Hlk164169753"/>
      <w:r w:rsidRPr="00816F89">
        <w:rPr>
          <w:rFonts w:cs="Times New Roman"/>
        </w:rPr>
        <w:t xml:space="preserve">Unlike my colleague Justice Côté (at paras. 155-59), in my view the specific remedy the Association seeks is not a sufficient basis to dismiss the s. 2(d) claim because the Association can “plausibly ground [its] action in a fundamental </w:t>
      </w:r>
      <w:r w:rsidRPr="00816F89">
        <w:rPr>
          <w:rFonts w:cs="Times New Roman"/>
          <w:i/>
        </w:rPr>
        <w:t>Charter</w:t>
      </w:r>
      <w:r w:rsidRPr="00816F89">
        <w:rPr>
          <w:rFonts w:cs="Times New Roman"/>
        </w:rPr>
        <w:t xml:space="preserve"> freedom” (</w:t>
      </w:r>
      <w:r w:rsidRPr="00816F89">
        <w:rPr>
          <w:rFonts w:cs="Times New Roman"/>
          <w:i/>
        </w:rPr>
        <w:t>Dunmore</w:t>
      </w:r>
      <w:r w:rsidRPr="00816F89">
        <w:rPr>
          <w:rFonts w:cs="Times New Roman"/>
        </w:rPr>
        <w:t>, at para. 24).</w:t>
      </w:r>
      <w:bookmarkEnd w:id="8"/>
      <w:r w:rsidRPr="00816F89">
        <w:rPr>
          <w:rFonts w:cs="Times New Roman"/>
        </w:rPr>
        <w:t xml:space="preserve"> This is because the Association’s claim is made to allow its members to exercise their right to a meaningful collective bargaining process, which, as previously noted, exists independently of the </w:t>
      </w:r>
      <w:r w:rsidRPr="00816F89">
        <w:rPr>
          <w:rFonts w:cs="Times New Roman"/>
          <w:i/>
        </w:rPr>
        <w:t>Labour Code</w:t>
      </w:r>
      <w:r w:rsidRPr="00816F89">
        <w:rPr>
          <w:rFonts w:cs="Times New Roman"/>
        </w:rPr>
        <w:t xml:space="preserve"> as part of the associational activities protected</w:t>
      </w:r>
      <w:r w:rsidRPr="00816F89">
        <w:rPr>
          <w:rFonts w:cs="Times New Roman"/>
          <w:i/>
        </w:rPr>
        <w:t xml:space="preserve"> </w:t>
      </w:r>
      <w:r w:rsidRPr="00816F89">
        <w:rPr>
          <w:rFonts w:cs="Times New Roman"/>
        </w:rPr>
        <w:t>under s. 2(d). The Association’s members are not merely seeking access to a statutory regime.</w:t>
      </w:r>
    </w:p>
    <w:p w14:paraId="4AA0AB8A" w14:textId="77777777" w:rsidR="00816F89" w:rsidRPr="00816F89" w:rsidRDefault="00816F89" w:rsidP="00816F89">
      <w:pPr>
        <w:pStyle w:val="ParaNoNdepar-AltN"/>
        <w:rPr>
          <w:rFonts w:cs="Times New Roman"/>
        </w:rPr>
      </w:pPr>
      <w:r w:rsidRPr="00816F89">
        <w:rPr>
          <w:rFonts w:cs="Times New Roman"/>
        </w:rPr>
        <w:t>It is of limited utility to focus on the remedy sought for another reason. Even if the Court were to determine that the legislative exclusion infringes the freedom of association of the Association’s members, the Court could leave to the legislature the discretion to determine how to give proper effect to the members’ s. 2(d) rights (</w:t>
      </w:r>
      <w:r w:rsidRPr="00816F89">
        <w:rPr>
          <w:rFonts w:cs="Times New Roman"/>
          <w:lang w:val="en-US"/>
        </w:rPr>
        <w:t xml:space="preserve">Fudge, at p. 532; A. Bogg and K. Ewing, “A (Muted) Voice at Work? Collective Bargaining in the Supreme Court of Canada” (2012), 33 </w:t>
      </w:r>
      <w:r w:rsidRPr="00816F89">
        <w:rPr>
          <w:rFonts w:cs="Times New Roman"/>
          <w:i/>
          <w:lang w:val="en-US"/>
        </w:rPr>
        <w:t>Comp. Lab. L. &amp; Pol’y J.</w:t>
      </w:r>
      <w:r w:rsidRPr="00816F89">
        <w:rPr>
          <w:rFonts w:cs="Times New Roman"/>
          <w:lang w:val="en-US"/>
        </w:rPr>
        <w:t xml:space="preserve"> 379, at pp. 399-400). For example, although this Court in </w:t>
      </w:r>
      <w:r w:rsidRPr="00816F89">
        <w:rPr>
          <w:rFonts w:cs="Times New Roman"/>
          <w:i/>
          <w:lang w:val="en-US"/>
        </w:rPr>
        <w:t>Mounted Police</w:t>
      </w:r>
      <w:r w:rsidRPr="00816F89">
        <w:rPr>
          <w:rFonts w:cs="Times New Roman"/>
          <w:lang w:val="en-US"/>
        </w:rPr>
        <w:t xml:space="preserve"> concluded that the exclusion of RCMP members from the general labour relations regime substantially interfered with the freedom of association, the Court stated that Parliament was not obligated to include the RCMP in the general labour relations scheme and “remain[ed] free to enact any labour relations model it considers appropriate to the RCMP workforce, within the constitutional limits imposed by the guarantee enshrined in s. 2(</w:t>
      </w:r>
      <w:r w:rsidRPr="00816F89">
        <w:rPr>
          <w:rFonts w:cs="Times New Roman"/>
          <w:i/>
          <w:lang w:val="en-US"/>
        </w:rPr>
        <w:t>d</w:t>
      </w:r>
      <w:r w:rsidRPr="00816F89">
        <w:rPr>
          <w:rFonts w:cs="Times New Roman"/>
          <w:lang w:val="en-US"/>
        </w:rPr>
        <w:t>)” (para. 156).</w:t>
      </w:r>
    </w:p>
    <w:p w14:paraId="10E1B31D" w14:textId="77777777" w:rsidR="00816F89" w:rsidRPr="00816F89" w:rsidRDefault="00816F89" w:rsidP="00816F89">
      <w:pPr>
        <w:pStyle w:val="Title3LevelTitre3Niveau"/>
        <w:numPr>
          <w:ilvl w:val="2"/>
          <w:numId w:val="8"/>
        </w:numPr>
        <w:rPr>
          <w:rFonts w:cs="Times New Roman"/>
        </w:rPr>
      </w:pPr>
      <w:r w:rsidRPr="00816F89">
        <w:rPr>
          <w:rFonts w:cs="Times New Roman"/>
        </w:rPr>
        <w:t>The Legislative Exclusion Does Not Substantially Interfere With the Members of the Association’s Section 2(d) Activities</w:t>
      </w:r>
    </w:p>
    <w:p w14:paraId="3DA11B2E" w14:textId="77777777" w:rsidR="00816F89" w:rsidRPr="00816F89" w:rsidRDefault="00816F89" w:rsidP="00816F89">
      <w:pPr>
        <w:pStyle w:val="ParaNoNdepar-AltN"/>
        <w:rPr>
          <w:rFonts w:cs="Times New Roman"/>
        </w:rPr>
      </w:pPr>
      <w:r w:rsidRPr="00816F89">
        <w:rPr>
          <w:rFonts w:cs="Times New Roman"/>
        </w:rPr>
        <w:t>At the second step of the analysis, the Court must determine whether the legislative exclusion, in purpose or effect, substantially interferes with the protected s. 2(d) activities of the Association’s members. In addressing this issue, the Court must consider whether the state is responsible for the members’ inability to exercise their fundamental freedoms under s. 2(d).</w:t>
      </w:r>
    </w:p>
    <w:p w14:paraId="689C7DAA" w14:textId="77777777" w:rsidR="00816F89" w:rsidRPr="00816F89" w:rsidRDefault="00816F89" w:rsidP="00816F89">
      <w:pPr>
        <w:pStyle w:val="ParaNoNdepar-AltN"/>
        <w:rPr>
          <w:rFonts w:cs="Times New Roman"/>
        </w:rPr>
      </w:pPr>
      <w:r w:rsidRPr="00816F89">
        <w:rPr>
          <w:rFonts w:cs="Times New Roman"/>
        </w:rPr>
        <w:t xml:space="preserve">In my view, the purpose of the legislative exclusion is not to interfere with managers’ associational rights. As my colleague Justice Côté explains, the legislature’s purposes in excluding managers from the definition of “employee” under the </w:t>
      </w:r>
      <w:r w:rsidRPr="00816F89">
        <w:rPr>
          <w:rFonts w:cs="Times New Roman"/>
          <w:i/>
        </w:rPr>
        <w:t xml:space="preserve">Labour Code </w:t>
      </w:r>
      <w:r w:rsidRPr="00816F89">
        <w:rPr>
          <w:rFonts w:cs="Times New Roman"/>
        </w:rPr>
        <w:t xml:space="preserve">were to distinguish between management and operations in organizational hierarchies; to avoid placing managers in a situation of conflict of interest between their role as employees in collective bargaining and their role as representatives of the employer in their employment responsibilities; and to give employers confidence that managers would represent their interests, while protecting the distinctive common interests of employees </w:t>
      </w:r>
      <w:r w:rsidRPr="00816F89">
        <w:rPr>
          <w:rFonts w:cs="Times New Roman"/>
          <w:szCs w:val="24"/>
        </w:rPr>
        <w:t>(paras. 168-69).</w:t>
      </w:r>
    </w:p>
    <w:p w14:paraId="568DC74F" w14:textId="77777777" w:rsidR="00816F89" w:rsidRPr="00816F89" w:rsidRDefault="00816F89" w:rsidP="00816F89">
      <w:pPr>
        <w:pStyle w:val="ParaNoNdepar-AltN"/>
        <w:rPr>
          <w:rFonts w:cs="Times New Roman"/>
          <w:lang w:val="en-US"/>
        </w:rPr>
      </w:pPr>
      <w:r w:rsidRPr="00816F89">
        <w:rPr>
          <w:rFonts w:cs="Times New Roman"/>
        </w:rPr>
        <w:t xml:space="preserve">The Association has also failed to show, on the record before this Court, that the effect of the legislative exclusion is to substantially interfere with its members’ rights to meaningful collective bargaining. The operations supervisors managed to group together to form the Association. The Montréal division of the Association was voluntarily recognized by the Société as the representative association of the operations supervisors. The Société and the Montréal division of the Association have successfully concluded a memorandum of understanding providing a framework for collaboration and consultation on working conditions and related issues. </w:t>
      </w:r>
      <w:r w:rsidRPr="00816F89">
        <w:rPr>
          <w:rFonts w:cs="Times New Roman"/>
          <w:lang w:val="en-US"/>
        </w:rPr>
        <w:t>Under this framework, the Société and the Association have agreed to meet on request to discuss workplace concerns in order to find [</w:t>
      </w:r>
      <w:r w:rsidRPr="00816F89">
        <w:rPr>
          <w:rFonts w:cs="Times New Roman"/>
          <w:smallCaps/>
          <w:lang w:val="en-US"/>
        </w:rPr>
        <w:t>translation</w:t>
      </w:r>
      <w:r w:rsidRPr="00816F89">
        <w:rPr>
          <w:rFonts w:cs="Times New Roman"/>
          <w:lang w:val="en-US"/>
        </w:rPr>
        <w:t>] “win-win solutions” (cl. 1(b</w:t>
      </w:r>
      <w:r w:rsidRPr="00816F89">
        <w:rPr>
          <w:rFonts w:cs="Times New Roman"/>
        </w:rPr>
        <w:t xml:space="preserve">), reproduced in </w:t>
      </w:r>
      <w:r w:rsidRPr="00816F89">
        <w:rPr>
          <w:rFonts w:cs="Times New Roman"/>
          <w:lang w:val="en-US"/>
        </w:rPr>
        <w:t xml:space="preserve">A.R., vol. </w:t>
      </w:r>
      <w:r w:rsidRPr="00816F89">
        <w:rPr>
          <w:rFonts w:cs="Times New Roman"/>
        </w:rPr>
        <w:t>V, at p. 1). They have committed [</w:t>
      </w:r>
      <w:r w:rsidRPr="00816F89">
        <w:rPr>
          <w:rFonts w:cs="Times New Roman"/>
          <w:smallCaps/>
          <w:lang w:val="en-US"/>
        </w:rPr>
        <w:t>translation</w:t>
      </w:r>
      <w:r w:rsidRPr="00816F89">
        <w:rPr>
          <w:rFonts w:cs="Times New Roman"/>
        </w:rPr>
        <w:t xml:space="preserve">] “to act in a spirit of cooperation and collaboration in their relations with each other” (cl. 2(c)). </w:t>
      </w:r>
      <w:r w:rsidRPr="00816F89">
        <w:rPr>
          <w:rFonts w:cs="Times New Roman"/>
          <w:lang w:val="en-US"/>
        </w:rPr>
        <w:t>The Société has also agreed for the Casino de Montréal to consult the Association before setting or changing the working conditions of operations supervisors in the gaming sector (cl. 2(b)).</w:t>
      </w:r>
    </w:p>
    <w:p w14:paraId="182418C3" w14:textId="77777777" w:rsidR="00816F89" w:rsidRPr="00816F89" w:rsidRDefault="00816F89" w:rsidP="00816F89">
      <w:pPr>
        <w:pStyle w:val="ParaNoNdepar-AltN"/>
        <w:rPr>
          <w:rFonts w:cs="Times New Roman"/>
          <w:lang w:val="en-US"/>
        </w:rPr>
      </w:pPr>
      <w:r w:rsidRPr="00816F89">
        <w:rPr>
          <w:rFonts w:cs="Times New Roman"/>
        </w:rPr>
        <w:t>The framework also provides that t</w:t>
      </w:r>
      <w:r w:rsidRPr="00816F89">
        <w:rPr>
          <w:rFonts w:cs="Times New Roman"/>
          <w:lang w:val="en-US"/>
        </w:rPr>
        <w:t>he Société will collect union dues on behalf of the Association from its members. And the Société has agreed to release union representatives, with pay, for meetings with representatives of the Casino de Montréal and for Association meetings. The Société has also agreed to release union representatives, with pay, for union-related activities, with their pay later billed to the Association (cl. 4; see Justice Côté’s reasons, at paras. 174-78).</w:t>
      </w:r>
    </w:p>
    <w:p w14:paraId="3BD6BC5E" w14:textId="77777777" w:rsidR="00816F89" w:rsidRPr="00816F89" w:rsidRDefault="00816F89" w:rsidP="00816F89">
      <w:pPr>
        <w:pStyle w:val="ParaNoNdepar-AltN"/>
        <w:rPr>
          <w:rFonts w:cs="Times New Roman"/>
          <w:lang w:val="en-US"/>
        </w:rPr>
      </w:pPr>
      <w:r w:rsidRPr="00816F89">
        <w:rPr>
          <w:rFonts w:cs="Times New Roman"/>
          <w:lang w:val="en-US"/>
        </w:rPr>
        <w:t xml:space="preserve">The terms of the memorandum of understanding demonstrate that the Association’s members are able to associate and collectively bargain with their employer. Contrary to the conclusions of the ALT and the Court of Appeal, the voluntary nature of the Société’s recognition of the Association and the consultation framework is not in itself a substantial interference with the right to meaningful collective bargaining. As observed by this Court in </w:t>
      </w:r>
      <w:r w:rsidRPr="00816F89">
        <w:rPr>
          <w:rFonts w:cs="Times New Roman"/>
          <w:i/>
          <w:lang w:val="en-US"/>
        </w:rPr>
        <w:t>Mounted Police</w:t>
      </w:r>
      <w:r w:rsidRPr="00816F89">
        <w:rPr>
          <w:rFonts w:cs="Times New Roman"/>
          <w:lang w:val="en-US"/>
        </w:rPr>
        <w:t xml:space="preserve">, “nothing in the </w:t>
      </w:r>
      <w:r w:rsidRPr="00816F89">
        <w:rPr>
          <w:rFonts w:cs="Times New Roman"/>
          <w:i/>
          <w:lang w:val="en-US"/>
        </w:rPr>
        <w:t xml:space="preserve">Charter </w:t>
      </w:r>
      <w:r w:rsidRPr="00816F89">
        <w:rPr>
          <w:rFonts w:cs="Times New Roman"/>
          <w:lang w:val="en-US"/>
        </w:rPr>
        <w:t xml:space="preserve">prevents an employee association from engaging willingly with an employer in different, less adversarial and more cooperative ways” (para. 97). </w:t>
      </w:r>
    </w:p>
    <w:p w14:paraId="38053F96" w14:textId="77777777" w:rsidR="00816F89" w:rsidRPr="00816F89" w:rsidRDefault="00816F89" w:rsidP="00816F89">
      <w:pPr>
        <w:pStyle w:val="ParaNoNdepar-AltN"/>
        <w:rPr>
          <w:rFonts w:cs="Times New Roman"/>
          <w:lang w:val="en-US"/>
        </w:rPr>
      </w:pPr>
      <w:r w:rsidRPr="00816F89">
        <w:rPr>
          <w:rFonts w:cs="Times New Roman"/>
        </w:rPr>
        <w:t xml:space="preserve">The Société, as a government corporation, must respect the Canadian </w:t>
      </w:r>
      <w:r w:rsidRPr="00816F89">
        <w:rPr>
          <w:rFonts w:cs="Times New Roman"/>
          <w:i/>
        </w:rPr>
        <w:t>Charter</w:t>
      </w:r>
      <w:r w:rsidRPr="00816F89">
        <w:rPr>
          <w:rFonts w:cs="Times New Roman"/>
        </w:rPr>
        <w:t xml:space="preserve">. It must also respect the Quebec </w:t>
      </w:r>
      <w:r w:rsidRPr="00816F89">
        <w:rPr>
          <w:rFonts w:cs="Times New Roman"/>
          <w:i/>
        </w:rPr>
        <w:t>Charter</w:t>
      </w:r>
      <w:r w:rsidRPr="00816F89">
        <w:rPr>
          <w:rFonts w:cs="Times New Roman"/>
        </w:rPr>
        <w:t>. Although the record shows that the Société has neglected to properly respect the memorandum of understanding at times, the Association can seek remedies in court for any substantial interference with its members’ right to meaningful collective bargaining, including their right to strike, which is protected under s. 2(d) even without an enabling legislative framework (</w:t>
      </w:r>
      <w:r w:rsidRPr="00816F89">
        <w:rPr>
          <w:rFonts w:cs="Times New Roman"/>
          <w:i/>
        </w:rPr>
        <w:t>Saskatchewan Federation of Labour</w:t>
      </w:r>
      <w:r w:rsidRPr="00816F89">
        <w:rPr>
          <w:rFonts w:cs="Times New Roman"/>
        </w:rPr>
        <w:t>, at para. 61). In my respectful view, without evidence on the record that these remedies are inadequate, the Court of Appeal and the ALT could not conclude that the lack of access to a specialized dispute resolution mechanism or legislative protection of the right to strike causes a substantial interference with the members’ freedom of association. The right to meaningful collective bargaining does not guarantee access to a particular model of labour relations (</w:t>
      </w:r>
      <w:r w:rsidRPr="00816F89">
        <w:rPr>
          <w:rFonts w:cs="Times New Roman"/>
          <w:i/>
        </w:rPr>
        <w:t>Mounted Police</w:t>
      </w:r>
      <w:r w:rsidRPr="00816F89">
        <w:rPr>
          <w:rFonts w:cs="Times New Roman"/>
        </w:rPr>
        <w:t>, at para. 67).</w:t>
      </w:r>
    </w:p>
    <w:p w14:paraId="3C652460" w14:textId="77777777" w:rsidR="00816F89" w:rsidRPr="00816F89" w:rsidRDefault="00816F89" w:rsidP="00816F89">
      <w:pPr>
        <w:pStyle w:val="ParaNoNdepar-AltN"/>
        <w:rPr>
          <w:rFonts w:cs="Times New Roman"/>
          <w:lang w:val="en-US"/>
        </w:rPr>
      </w:pPr>
      <w:r w:rsidRPr="00816F89">
        <w:rPr>
          <w:rFonts w:cs="Times New Roman"/>
        </w:rPr>
        <w:t xml:space="preserve">Nor does the record show that the Société’s failure to respect the memorandum of understanding or negotiate in good faith with the Association flows from the legislative exclusion. Unlike in </w:t>
      </w:r>
      <w:r w:rsidRPr="00816F89">
        <w:rPr>
          <w:rFonts w:cs="Times New Roman"/>
          <w:i/>
        </w:rPr>
        <w:t>Dunmore</w:t>
      </w:r>
      <w:r w:rsidRPr="00816F89">
        <w:rPr>
          <w:rFonts w:cs="Times New Roman"/>
        </w:rPr>
        <w:t>, there is no evidence that the legislative exclusion orchestrates, encourages, or sustains a violation of the fundamental freedoms of the Association’s members.</w:t>
      </w:r>
    </w:p>
    <w:p w14:paraId="0F314A46" w14:textId="77777777" w:rsidR="00816F89" w:rsidRPr="00816F89" w:rsidRDefault="00816F89" w:rsidP="00816F89">
      <w:pPr>
        <w:pStyle w:val="ParaNoNdepar-AltN"/>
        <w:rPr>
          <w:rFonts w:cs="Times New Roman"/>
          <w:u w:val="single"/>
          <w:lang w:val="en-US"/>
        </w:rPr>
      </w:pPr>
      <w:r w:rsidRPr="00816F89">
        <w:rPr>
          <w:rFonts w:cs="Times New Roman"/>
          <w:lang w:val="en-US"/>
        </w:rPr>
        <w:t xml:space="preserve">Although my colleague </w:t>
      </w:r>
      <w:r w:rsidRPr="00816F89">
        <w:rPr>
          <w:rFonts w:cs="Times New Roman"/>
        </w:rPr>
        <w:t>Justice Côté</w:t>
      </w:r>
      <w:r w:rsidRPr="00816F89">
        <w:rPr>
          <w:rFonts w:cs="Times New Roman"/>
          <w:lang w:val="en-US"/>
        </w:rPr>
        <w:t xml:space="preserve"> reaches this conclusion partly by underscoring the absence of any “special vulnerability” of the operations supervisors (at paras. 129 and 131; see also paras. 130 and 133), I limit my conclusions strictly to the record, which fails to show a connection between the legislative exclusion and the Société’s actions. </w:t>
      </w:r>
      <w:r w:rsidRPr="00816F89">
        <w:rPr>
          <w:rFonts w:cs="Times New Roman"/>
          <w:szCs w:val="24"/>
        </w:rPr>
        <w:t xml:space="preserve">Proof of additional vulnerability is not required if the evidence shows a causal link between the underinclusive legislation and the alleged s. 2(d) violation (see </w:t>
      </w:r>
      <w:r w:rsidRPr="00816F89">
        <w:rPr>
          <w:rFonts w:cs="Times New Roman"/>
          <w:lang w:val="en-US"/>
        </w:rPr>
        <w:t xml:space="preserve">Barrett, at </w:t>
      </w:r>
      <w:r w:rsidRPr="00816F89">
        <w:rPr>
          <w:rFonts w:cs="Times New Roman"/>
          <w:szCs w:val="24"/>
        </w:rPr>
        <w:t xml:space="preserve">pp. 110-11). It is well recognized that </w:t>
      </w:r>
      <w:r w:rsidRPr="00816F89">
        <w:rPr>
          <w:rFonts w:cs="Times New Roman"/>
        </w:rPr>
        <w:t>freedom of association “specifically addresses power imbalances in society” (</w:t>
      </w:r>
      <w:r w:rsidRPr="00816F89">
        <w:rPr>
          <w:rFonts w:cs="Times New Roman"/>
          <w:lang w:val="en-US"/>
        </w:rPr>
        <w:t xml:space="preserve">Faraday, at p. 342). </w:t>
      </w:r>
      <w:r w:rsidRPr="00816F89">
        <w:rPr>
          <w:rFonts w:cs="Times New Roman"/>
          <w:szCs w:val="24"/>
        </w:rPr>
        <w:t xml:space="preserve">Moreover, as the majority observed in </w:t>
      </w:r>
      <w:r w:rsidRPr="00816F89">
        <w:rPr>
          <w:rFonts w:cs="Times New Roman"/>
          <w:i/>
          <w:szCs w:val="24"/>
        </w:rPr>
        <w:t>Mounted Police</w:t>
      </w:r>
      <w:r w:rsidRPr="00816F89">
        <w:rPr>
          <w:rFonts w:cs="Times New Roman"/>
          <w:szCs w:val="24"/>
        </w:rPr>
        <w:t>, “[t]he guarantee entrenched in s. 2(</w:t>
      </w:r>
      <w:r w:rsidRPr="00816F89">
        <w:rPr>
          <w:rFonts w:cs="Times New Roman"/>
          <w:i/>
          <w:szCs w:val="24"/>
        </w:rPr>
        <w:t>d</w:t>
      </w:r>
      <w:r w:rsidRPr="00816F89">
        <w:rPr>
          <w:rFonts w:cs="Times New Roman"/>
          <w:szCs w:val="24"/>
        </w:rPr>
        <w:t xml:space="preserve">) of the </w:t>
      </w:r>
      <w:r w:rsidRPr="00816F89">
        <w:rPr>
          <w:rFonts w:cs="Times New Roman"/>
          <w:i/>
          <w:szCs w:val="24"/>
        </w:rPr>
        <w:t xml:space="preserve">Charter </w:t>
      </w:r>
      <w:r w:rsidRPr="00816F89">
        <w:rPr>
          <w:rFonts w:cs="Times New Roman"/>
          <w:szCs w:val="24"/>
        </w:rPr>
        <w:t>cannot be indifferent to power imbalances in the labour relations context. To sanction such indifference would be to ignore ‘the historical origins of the concepts enshrined’ in s. 2(</w:t>
      </w:r>
      <w:r w:rsidRPr="00816F89">
        <w:rPr>
          <w:rFonts w:cs="Times New Roman"/>
          <w:i/>
          <w:szCs w:val="24"/>
        </w:rPr>
        <w:t>d</w:t>
      </w:r>
      <w:r w:rsidRPr="00816F89">
        <w:rPr>
          <w:rFonts w:cs="Times New Roman"/>
          <w:szCs w:val="24"/>
        </w:rPr>
        <w:t xml:space="preserve">)” (para. 80, quoting </w:t>
      </w:r>
      <w:r w:rsidRPr="00816F89">
        <w:rPr>
          <w:rFonts w:cs="Times New Roman"/>
          <w:i/>
          <w:szCs w:val="24"/>
          <w:lang w:val="en-US"/>
        </w:rPr>
        <w:t>R. v. Big M Drug Mart Ltd.</w:t>
      </w:r>
      <w:r w:rsidRPr="00816F89">
        <w:rPr>
          <w:rFonts w:cs="Times New Roman"/>
          <w:szCs w:val="24"/>
          <w:lang w:val="en-US"/>
        </w:rPr>
        <w:t>,</w:t>
      </w:r>
      <w:r w:rsidRPr="00816F89">
        <w:rPr>
          <w:rFonts w:cs="Times New Roman"/>
          <w:i/>
          <w:szCs w:val="24"/>
          <w:lang w:val="en-US"/>
        </w:rPr>
        <w:t xml:space="preserve"> </w:t>
      </w:r>
      <w:r w:rsidRPr="00816F89">
        <w:rPr>
          <w:rFonts w:cs="Times New Roman"/>
          <w:szCs w:val="24"/>
          <w:lang w:val="en-US"/>
        </w:rPr>
        <w:t xml:space="preserve">[1985] 1 S.C.R. 295, </w:t>
      </w:r>
      <w:r w:rsidRPr="00816F89">
        <w:rPr>
          <w:rFonts w:cs="Times New Roman"/>
          <w:szCs w:val="24"/>
        </w:rPr>
        <w:t>at p. 344).</w:t>
      </w:r>
    </w:p>
    <w:p w14:paraId="70FB1946" w14:textId="77777777" w:rsidR="00816F89" w:rsidRPr="00816F89" w:rsidRDefault="00816F89" w:rsidP="00816F89">
      <w:pPr>
        <w:pStyle w:val="Title1LevelTitre1Niveau-AltL"/>
        <w:numPr>
          <w:ilvl w:val="0"/>
          <w:numId w:val="8"/>
        </w:numPr>
        <w:rPr>
          <w:rFonts w:cs="Times New Roman"/>
        </w:rPr>
      </w:pPr>
      <w:bookmarkStart w:id="9" w:name="_Toc320021607"/>
      <w:bookmarkStart w:id="10" w:name="_Toc400026540"/>
      <w:r w:rsidRPr="00816F89">
        <w:rPr>
          <w:rFonts w:cs="Times New Roman"/>
        </w:rPr>
        <w:t>Conclusion</w:t>
      </w:r>
      <w:bookmarkEnd w:id="9"/>
      <w:bookmarkEnd w:id="10"/>
    </w:p>
    <w:p w14:paraId="6C0574F5" w14:textId="77777777" w:rsidR="00816F89" w:rsidRPr="00816F89" w:rsidRDefault="00816F89" w:rsidP="00816F89">
      <w:pPr>
        <w:pStyle w:val="ParaNoNdepar-AltN"/>
        <w:rPr>
          <w:rFonts w:cs="Times New Roman"/>
        </w:rPr>
      </w:pPr>
      <w:r w:rsidRPr="00816F89">
        <w:rPr>
          <w:rFonts w:cs="Times New Roman"/>
        </w:rPr>
        <w:t xml:space="preserve">Applying the two-part substantial interference test that applies to all s. 2(d) claims, I conclude that the </w:t>
      </w:r>
      <w:r w:rsidRPr="00816F89">
        <w:rPr>
          <w:rFonts w:cs="Times New Roman"/>
          <w:lang w:val="en-US"/>
        </w:rPr>
        <w:t xml:space="preserve">Association has not shown that the legislative exclusion of first-level managers from Quebec’s general collective labour relations regime infringes its members’ freedom of association under s. 2(d) of the Canadian </w:t>
      </w:r>
      <w:r w:rsidRPr="00816F89">
        <w:rPr>
          <w:rFonts w:cs="Times New Roman"/>
          <w:i/>
          <w:lang w:val="en-US"/>
        </w:rPr>
        <w:t>Charter</w:t>
      </w:r>
      <w:r w:rsidRPr="00816F89">
        <w:rPr>
          <w:rFonts w:cs="Times New Roman"/>
          <w:lang w:val="en-US"/>
        </w:rPr>
        <w:t xml:space="preserve"> or s. 3 of the Quebec </w:t>
      </w:r>
      <w:r w:rsidRPr="00816F89">
        <w:rPr>
          <w:rFonts w:cs="Times New Roman"/>
          <w:i/>
          <w:lang w:val="en-US"/>
        </w:rPr>
        <w:t>Charter</w:t>
      </w:r>
      <w:r w:rsidRPr="00816F89">
        <w:rPr>
          <w:rFonts w:cs="Times New Roman"/>
          <w:lang w:val="en-US"/>
        </w:rPr>
        <w:t>. I would allow the appeals with costs, set aside the Court of Appeal’s judgment, quash the ALT’s decision, and declare that s. 1(</w:t>
      </w:r>
      <w:r w:rsidRPr="00816F89">
        <w:rPr>
          <w:rFonts w:cs="Times New Roman"/>
          <w:i/>
          <w:lang w:val="en-US"/>
        </w:rPr>
        <w:t>l</w:t>
      </w:r>
      <w:r w:rsidRPr="00816F89">
        <w:rPr>
          <w:rFonts w:cs="Times New Roman"/>
          <w:lang w:val="en-US"/>
        </w:rPr>
        <w:t xml:space="preserve">)(1) of the </w:t>
      </w:r>
      <w:r w:rsidRPr="00816F89">
        <w:rPr>
          <w:rFonts w:cs="Times New Roman"/>
          <w:i/>
          <w:lang w:val="en-US"/>
        </w:rPr>
        <w:t xml:space="preserve">Labour Code </w:t>
      </w:r>
      <w:r w:rsidRPr="00816F89">
        <w:rPr>
          <w:rFonts w:cs="Times New Roman"/>
          <w:lang w:val="en-US"/>
        </w:rPr>
        <w:t>applies to the Association in its application for accreditation.</w:t>
      </w:r>
    </w:p>
    <w:p w14:paraId="4AD83EB1" w14:textId="77777777" w:rsidR="00816F89" w:rsidRPr="00816F89" w:rsidRDefault="00816F89" w:rsidP="00816F89">
      <w:pPr>
        <w:tabs>
          <w:tab w:val="left" w:pos="1134"/>
        </w:tabs>
        <w:spacing w:after="480" w:line="480" w:lineRule="auto"/>
        <w:jc w:val="both"/>
        <w:rPr>
          <w:lang w:val="en-US"/>
        </w:rPr>
      </w:pPr>
      <w:r w:rsidRPr="00816F89">
        <w:rPr>
          <w:lang w:val="fr-CA"/>
        </w:rPr>
        <w:tab/>
      </w:r>
      <w:r w:rsidRPr="00816F89">
        <w:rPr>
          <w:lang w:val="en-US"/>
        </w:rPr>
        <w:t>English version of the reasons of Wagner C.J. and Côté J. delivered by</w:t>
      </w:r>
    </w:p>
    <w:p w14:paraId="63814293" w14:textId="77777777" w:rsidR="00816F89" w:rsidRPr="00816F89" w:rsidRDefault="00816F89" w:rsidP="00E25F90">
      <w:pPr>
        <w:pStyle w:val="JudgeJuge"/>
        <w:tabs>
          <w:tab w:val="clear" w:pos="1260"/>
          <w:tab w:val="left" w:pos="1134"/>
        </w:tabs>
        <w:spacing w:before="240"/>
      </w:pPr>
      <w:r w:rsidRPr="00816F89">
        <w:tab/>
        <w:t xml:space="preserve">Côté J. — </w:t>
      </w:r>
    </w:p>
    <w:tbl>
      <w:tblPr>
        <w:tblStyle w:val="TableGrid1"/>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851"/>
      </w:tblGrid>
      <w:tr w:rsidR="00816F89" w:rsidRPr="00816F89" w14:paraId="7C64035E" w14:textId="77777777" w:rsidTr="003253B3">
        <w:trPr>
          <w:trHeight w:val="432"/>
        </w:trPr>
        <w:tc>
          <w:tcPr>
            <w:tcW w:w="9356" w:type="dxa"/>
            <w:gridSpan w:val="2"/>
          </w:tcPr>
          <w:p w14:paraId="70E3EC8C" w14:textId="77777777" w:rsidR="00816F89" w:rsidRPr="00816F89" w:rsidRDefault="00816F89" w:rsidP="003253B3">
            <w:pPr>
              <w:tabs>
                <w:tab w:val="center" w:pos="4050"/>
              </w:tabs>
              <w:ind w:right="283"/>
              <w:rPr>
                <w:b/>
                <w:szCs w:val="24"/>
              </w:rPr>
            </w:pPr>
            <w:r w:rsidRPr="00816F89">
              <w:rPr>
                <w:b/>
                <w:szCs w:val="24"/>
              </w:rPr>
              <w:tab/>
              <w:t>TABLE OF CONTENTS</w:t>
            </w:r>
          </w:p>
          <w:p w14:paraId="72F6AD51" w14:textId="77777777" w:rsidR="00816F89" w:rsidRPr="00816F89" w:rsidRDefault="00816F89" w:rsidP="003253B3">
            <w:pPr>
              <w:tabs>
                <w:tab w:val="center" w:pos="4050"/>
              </w:tabs>
              <w:ind w:right="283"/>
              <w:rPr>
                <w:b/>
                <w:szCs w:val="24"/>
              </w:rPr>
            </w:pPr>
          </w:p>
        </w:tc>
      </w:tr>
      <w:tr w:rsidR="00816F89" w:rsidRPr="00816F89" w14:paraId="37BBDE64" w14:textId="77777777" w:rsidTr="003253B3">
        <w:trPr>
          <w:trHeight w:val="432"/>
        </w:trPr>
        <w:tc>
          <w:tcPr>
            <w:tcW w:w="9356" w:type="dxa"/>
            <w:gridSpan w:val="2"/>
          </w:tcPr>
          <w:p w14:paraId="23E23299" w14:textId="77777777" w:rsidR="00816F89" w:rsidRPr="00816F89" w:rsidRDefault="00816F89" w:rsidP="003253B3">
            <w:pPr>
              <w:tabs>
                <w:tab w:val="center" w:pos="4050"/>
              </w:tabs>
              <w:ind w:right="283"/>
              <w:jc w:val="right"/>
              <w:rPr>
                <w:szCs w:val="24"/>
              </w:rPr>
            </w:pPr>
            <w:r w:rsidRPr="00816F89">
              <w:rPr>
                <w:szCs w:val="24"/>
              </w:rPr>
              <w:t>Paragraph</w:t>
            </w:r>
          </w:p>
        </w:tc>
      </w:tr>
      <w:tr w:rsidR="00816F89" w:rsidRPr="00816F89" w14:paraId="07C1BF36" w14:textId="77777777" w:rsidTr="003253B3">
        <w:trPr>
          <w:trHeight w:val="432"/>
        </w:trPr>
        <w:tc>
          <w:tcPr>
            <w:tcW w:w="8505" w:type="dxa"/>
          </w:tcPr>
          <w:p w14:paraId="3D4F6EC1" w14:textId="77777777" w:rsidR="00816F89" w:rsidRPr="00816F89" w:rsidRDefault="00816F89" w:rsidP="003253B3">
            <w:pPr>
              <w:tabs>
                <w:tab w:val="left" w:pos="480"/>
                <w:tab w:val="right" w:leader="dot" w:pos="8270"/>
              </w:tabs>
              <w:spacing w:after="100"/>
              <w:ind w:right="283"/>
              <w:rPr>
                <w:noProof/>
                <w:szCs w:val="24"/>
              </w:rPr>
            </w:pPr>
            <w:r w:rsidRPr="00816F89">
              <w:rPr>
                <w:noProof/>
                <w:szCs w:val="24"/>
              </w:rPr>
              <w:t>I.</w:t>
            </w:r>
            <w:r w:rsidRPr="00816F89">
              <w:rPr>
                <w:noProof/>
                <w:szCs w:val="24"/>
              </w:rPr>
              <w:tab/>
            </w:r>
            <w:r w:rsidRPr="00816F89">
              <w:rPr>
                <w:noProof/>
                <w:szCs w:val="24"/>
                <w:u w:val="single"/>
              </w:rPr>
              <w:t>Introduction</w:t>
            </w:r>
          </w:p>
        </w:tc>
        <w:tc>
          <w:tcPr>
            <w:tcW w:w="851" w:type="dxa"/>
          </w:tcPr>
          <w:p w14:paraId="2B58C672" w14:textId="77777777" w:rsidR="00816F89" w:rsidRPr="00816F89" w:rsidRDefault="00816F89" w:rsidP="00E25F90">
            <w:pPr>
              <w:tabs>
                <w:tab w:val="left" w:pos="480"/>
                <w:tab w:val="right" w:leader="dot" w:pos="8270"/>
              </w:tabs>
              <w:spacing w:after="100"/>
              <w:ind w:right="283"/>
              <w:jc w:val="right"/>
              <w:rPr>
                <w:szCs w:val="24"/>
              </w:rPr>
            </w:pPr>
            <w:r w:rsidRPr="00816F89">
              <w:rPr>
                <w:szCs w:val="24"/>
              </w:rPr>
              <w:t>59</w:t>
            </w:r>
          </w:p>
        </w:tc>
      </w:tr>
      <w:tr w:rsidR="00816F89" w:rsidRPr="00816F89" w14:paraId="2FDAB490" w14:textId="77777777" w:rsidTr="003253B3">
        <w:trPr>
          <w:trHeight w:val="432"/>
        </w:trPr>
        <w:tc>
          <w:tcPr>
            <w:tcW w:w="8505" w:type="dxa"/>
          </w:tcPr>
          <w:p w14:paraId="2ED12C25" w14:textId="77777777" w:rsidR="00816F89" w:rsidRPr="00816F89" w:rsidRDefault="00816F89" w:rsidP="003253B3">
            <w:pPr>
              <w:tabs>
                <w:tab w:val="left" w:pos="480"/>
                <w:tab w:val="right" w:leader="dot" w:pos="8270"/>
              </w:tabs>
              <w:spacing w:after="100"/>
              <w:ind w:right="283"/>
              <w:rPr>
                <w:noProof/>
                <w:szCs w:val="24"/>
              </w:rPr>
            </w:pPr>
            <w:r w:rsidRPr="00816F89">
              <w:rPr>
                <w:noProof/>
                <w:szCs w:val="24"/>
              </w:rPr>
              <w:t>II.</w:t>
            </w:r>
            <w:r w:rsidRPr="00816F89">
              <w:rPr>
                <w:noProof/>
                <w:szCs w:val="24"/>
              </w:rPr>
              <w:tab/>
            </w:r>
            <w:r w:rsidRPr="00816F89">
              <w:rPr>
                <w:noProof/>
                <w:szCs w:val="24"/>
                <w:u w:val="single"/>
              </w:rPr>
              <w:t>Background</w:t>
            </w:r>
          </w:p>
        </w:tc>
        <w:tc>
          <w:tcPr>
            <w:tcW w:w="851" w:type="dxa"/>
          </w:tcPr>
          <w:p w14:paraId="299763C1" w14:textId="77777777" w:rsidR="00816F89" w:rsidRPr="00816F89" w:rsidRDefault="00816F89" w:rsidP="00E25F90">
            <w:pPr>
              <w:tabs>
                <w:tab w:val="left" w:pos="480"/>
                <w:tab w:val="right" w:leader="dot" w:pos="8270"/>
              </w:tabs>
              <w:spacing w:after="100"/>
              <w:ind w:right="283"/>
              <w:jc w:val="right"/>
              <w:rPr>
                <w:szCs w:val="24"/>
              </w:rPr>
            </w:pPr>
            <w:r w:rsidRPr="00816F89">
              <w:rPr>
                <w:szCs w:val="24"/>
              </w:rPr>
              <w:t>64</w:t>
            </w:r>
          </w:p>
        </w:tc>
      </w:tr>
      <w:tr w:rsidR="00816F89" w:rsidRPr="00816F89" w14:paraId="64CA75BB" w14:textId="77777777" w:rsidTr="003253B3">
        <w:trPr>
          <w:trHeight w:val="432"/>
        </w:trPr>
        <w:tc>
          <w:tcPr>
            <w:tcW w:w="8505" w:type="dxa"/>
          </w:tcPr>
          <w:p w14:paraId="744DBCCB" w14:textId="77777777" w:rsidR="00816F89" w:rsidRPr="00816F89" w:rsidRDefault="00816F89" w:rsidP="003253B3">
            <w:pPr>
              <w:tabs>
                <w:tab w:val="left" w:pos="480"/>
                <w:tab w:val="right" w:leader="dot" w:pos="8270"/>
              </w:tabs>
              <w:spacing w:after="100"/>
              <w:ind w:right="283"/>
              <w:rPr>
                <w:noProof/>
                <w:szCs w:val="24"/>
              </w:rPr>
            </w:pPr>
            <w:r w:rsidRPr="00816F89">
              <w:rPr>
                <w:noProof/>
                <w:szCs w:val="24"/>
              </w:rPr>
              <w:t>III.</w:t>
            </w:r>
            <w:r w:rsidRPr="00816F89">
              <w:rPr>
                <w:noProof/>
                <w:szCs w:val="24"/>
              </w:rPr>
              <w:tab/>
            </w:r>
            <w:r w:rsidRPr="00816F89">
              <w:rPr>
                <w:noProof/>
                <w:szCs w:val="24"/>
                <w:u w:val="single"/>
              </w:rPr>
              <w:t>Judicial History</w:t>
            </w:r>
          </w:p>
        </w:tc>
        <w:tc>
          <w:tcPr>
            <w:tcW w:w="851" w:type="dxa"/>
          </w:tcPr>
          <w:p w14:paraId="6550B8B2" w14:textId="77777777" w:rsidR="00816F89" w:rsidRPr="00816F89" w:rsidRDefault="00816F89" w:rsidP="00E25F90">
            <w:pPr>
              <w:tabs>
                <w:tab w:val="left" w:pos="480"/>
                <w:tab w:val="right" w:leader="dot" w:pos="8270"/>
              </w:tabs>
              <w:spacing w:after="100"/>
              <w:ind w:right="283"/>
              <w:jc w:val="right"/>
              <w:rPr>
                <w:szCs w:val="24"/>
              </w:rPr>
            </w:pPr>
            <w:r w:rsidRPr="00816F89">
              <w:rPr>
                <w:szCs w:val="24"/>
              </w:rPr>
              <w:t>71</w:t>
            </w:r>
          </w:p>
        </w:tc>
      </w:tr>
      <w:tr w:rsidR="00816F89" w:rsidRPr="00816F89" w14:paraId="56B1FAFA" w14:textId="77777777" w:rsidTr="003253B3">
        <w:trPr>
          <w:trHeight w:val="432"/>
        </w:trPr>
        <w:tc>
          <w:tcPr>
            <w:tcW w:w="8505" w:type="dxa"/>
          </w:tcPr>
          <w:p w14:paraId="46136472" w14:textId="77777777" w:rsidR="00816F89" w:rsidRPr="00816F89" w:rsidRDefault="00816F89" w:rsidP="003253B3">
            <w:pPr>
              <w:tabs>
                <w:tab w:val="left" w:pos="480"/>
                <w:tab w:val="right" w:leader="dot" w:pos="8270"/>
              </w:tabs>
              <w:spacing w:after="100"/>
              <w:ind w:left="475" w:right="283" w:hanging="475"/>
              <w:rPr>
                <w:noProof/>
                <w:szCs w:val="24"/>
              </w:rPr>
            </w:pPr>
            <w:r w:rsidRPr="00816F89">
              <w:rPr>
                <w:noProof/>
                <w:szCs w:val="24"/>
              </w:rPr>
              <w:t>A.</w:t>
            </w:r>
            <w:r w:rsidRPr="00816F89">
              <w:rPr>
                <w:noProof/>
                <w:szCs w:val="24"/>
              </w:rPr>
              <w:tab/>
            </w:r>
            <w:r w:rsidRPr="00816F89">
              <w:rPr>
                <w:i/>
              </w:rPr>
              <w:t>Administrative Labour Tribunal, 2016 QCTAT 6870 (Administrative Judge</w:t>
            </w:r>
            <w:r w:rsidRPr="00816F89">
              <w:rPr>
                <w:i/>
                <w:noProof/>
                <w:szCs w:val="24"/>
              </w:rPr>
              <w:t xml:space="preserve"> </w:t>
            </w:r>
            <w:r w:rsidRPr="00816F89">
              <w:rPr>
                <w:i/>
              </w:rPr>
              <w:t>Zaïkoff)</w:t>
            </w:r>
          </w:p>
        </w:tc>
        <w:tc>
          <w:tcPr>
            <w:tcW w:w="851" w:type="dxa"/>
          </w:tcPr>
          <w:p w14:paraId="71013743" w14:textId="77777777" w:rsidR="00816F89" w:rsidRPr="00816F89" w:rsidRDefault="00816F89" w:rsidP="00E25F90">
            <w:pPr>
              <w:tabs>
                <w:tab w:val="left" w:pos="480"/>
                <w:tab w:val="right" w:leader="dot" w:pos="8270"/>
              </w:tabs>
              <w:spacing w:after="100"/>
              <w:ind w:right="283"/>
              <w:jc w:val="right"/>
              <w:rPr>
                <w:szCs w:val="24"/>
              </w:rPr>
            </w:pPr>
            <w:r w:rsidRPr="00816F89">
              <w:rPr>
                <w:szCs w:val="24"/>
              </w:rPr>
              <w:t>71</w:t>
            </w:r>
          </w:p>
        </w:tc>
      </w:tr>
      <w:tr w:rsidR="00816F89" w:rsidRPr="00816F89" w14:paraId="3D119682" w14:textId="77777777" w:rsidTr="003253B3">
        <w:trPr>
          <w:trHeight w:val="432"/>
        </w:trPr>
        <w:tc>
          <w:tcPr>
            <w:tcW w:w="8505" w:type="dxa"/>
          </w:tcPr>
          <w:p w14:paraId="04F6298F" w14:textId="77777777" w:rsidR="00816F89" w:rsidRPr="00816F89" w:rsidRDefault="00816F89" w:rsidP="003253B3">
            <w:pPr>
              <w:tabs>
                <w:tab w:val="left" w:pos="480"/>
                <w:tab w:val="right" w:leader="dot" w:pos="8270"/>
              </w:tabs>
              <w:spacing w:after="100"/>
              <w:ind w:right="283"/>
              <w:rPr>
                <w:noProof/>
                <w:szCs w:val="24"/>
              </w:rPr>
            </w:pPr>
            <w:r w:rsidRPr="00816F89">
              <w:rPr>
                <w:noProof/>
                <w:szCs w:val="24"/>
              </w:rPr>
              <w:t>B.</w:t>
            </w:r>
            <w:r w:rsidRPr="00816F89">
              <w:rPr>
                <w:noProof/>
                <w:szCs w:val="24"/>
              </w:rPr>
              <w:tab/>
            </w:r>
            <w:r w:rsidRPr="00816F89">
              <w:rPr>
                <w:i/>
              </w:rPr>
              <w:t>Quebec Superior Court, 2018 QCCS 4781 (Lamarche J.)</w:t>
            </w:r>
          </w:p>
        </w:tc>
        <w:tc>
          <w:tcPr>
            <w:tcW w:w="851" w:type="dxa"/>
          </w:tcPr>
          <w:p w14:paraId="72A4F32A" w14:textId="77777777" w:rsidR="00816F89" w:rsidRPr="00816F89" w:rsidRDefault="00816F89" w:rsidP="00E25F90">
            <w:pPr>
              <w:tabs>
                <w:tab w:val="left" w:pos="480"/>
                <w:tab w:val="right" w:leader="dot" w:pos="8270"/>
              </w:tabs>
              <w:spacing w:after="100"/>
              <w:ind w:right="283"/>
              <w:jc w:val="right"/>
              <w:rPr>
                <w:szCs w:val="24"/>
              </w:rPr>
            </w:pPr>
            <w:r w:rsidRPr="00816F89">
              <w:rPr>
                <w:szCs w:val="24"/>
              </w:rPr>
              <w:t>79</w:t>
            </w:r>
          </w:p>
        </w:tc>
      </w:tr>
      <w:tr w:rsidR="00816F89" w:rsidRPr="00816F89" w14:paraId="21929CBF" w14:textId="77777777" w:rsidTr="003253B3">
        <w:trPr>
          <w:trHeight w:val="432"/>
        </w:trPr>
        <w:tc>
          <w:tcPr>
            <w:tcW w:w="8505" w:type="dxa"/>
          </w:tcPr>
          <w:p w14:paraId="66C7C3A1" w14:textId="77777777" w:rsidR="00816F89" w:rsidRPr="00816F89" w:rsidRDefault="00816F89" w:rsidP="003253B3">
            <w:pPr>
              <w:tabs>
                <w:tab w:val="left" w:pos="480"/>
                <w:tab w:val="right" w:leader="dot" w:pos="8270"/>
              </w:tabs>
              <w:spacing w:after="100"/>
              <w:ind w:right="283"/>
              <w:rPr>
                <w:noProof/>
                <w:szCs w:val="24"/>
              </w:rPr>
            </w:pPr>
            <w:r w:rsidRPr="00816F89">
              <w:rPr>
                <w:noProof/>
                <w:szCs w:val="24"/>
              </w:rPr>
              <w:t>C.</w:t>
            </w:r>
            <w:r w:rsidRPr="00816F89">
              <w:rPr>
                <w:noProof/>
                <w:szCs w:val="24"/>
              </w:rPr>
              <w:tab/>
            </w:r>
            <w:r w:rsidRPr="00816F89">
              <w:rPr>
                <w:i/>
              </w:rPr>
              <w:t>Quebec Court of Appeal, 2022 QCCA 180 (Gagnon, Hogue and Beaupré JJ.A.)</w:t>
            </w:r>
          </w:p>
        </w:tc>
        <w:tc>
          <w:tcPr>
            <w:tcW w:w="851" w:type="dxa"/>
          </w:tcPr>
          <w:p w14:paraId="18A8DF7E" w14:textId="77777777" w:rsidR="00816F89" w:rsidRPr="00816F89" w:rsidRDefault="00816F89" w:rsidP="00E25F90">
            <w:pPr>
              <w:tabs>
                <w:tab w:val="left" w:pos="480"/>
                <w:tab w:val="right" w:leader="dot" w:pos="8270"/>
              </w:tabs>
              <w:spacing w:after="100"/>
              <w:ind w:right="283"/>
              <w:jc w:val="right"/>
              <w:rPr>
                <w:szCs w:val="24"/>
              </w:rPr>
            </w:pPr>
            <w:r w:rsidRPr="00816F89">
              <w:rPr>
                <w:szCs w:val="24"/>
              </w:rPr>
              <w:t>85</w:t>
            </w:r>
          </w:p>
        </w:tc>
      </w:tr>
      <w:tr w:rsidR="00816F89" w:rsidRPr="00816F89" w14:paraId="479F0104" w14:textId="77777777" w:rsidTr="003253B3">
        <w:trPr>
          <w:trHeight w:val="432"/>
        </w:trPr>
        <w:tc>
          <w:tcPr>
            <w:tcW w:w="8505" w:type="dxa"/>
          </w:tcPr>
          <w:p w14:paraId="1094192A" w14:textId="77777777" w:rsidR="00816F89" w:rsidRPr="00816F89" w:rsidRDefault="00816F89" w:rsidP="003253B3">
            <w:pPr>
              <w:tabs>
                <w:tab w:val="left" w:pos="480"/>
                <w:tab w:val="right" w:leader="dot" w:pos="8270"/>
              </w:tabs>
              <w:spacing w:after="100"/>
              <w:ind w:right="283"/>
              <w:rPr>
                <w:noProof/>
                <w:szCs w:val="24"/>
              </w:rPr>
            </w:pPr>
            <w:r w:rsidRPr="00816F89">
              <w:rPr>
                <w:noProof/>
                <w:szCs w:val="24"/>
              </w:rPr>
              <w:t>IV.</w:t>
            </w:r>
            <w:r w:rsidRPr="00816F89">
              <w:rPr>
                <w:noProof/>
                <w:szCs w:val="24"/>
              </w:rPr>
              <w:tab/>
            </w:r>
            <w:r w:rsidRPr="00816F89">
              <w:rPr>
                <w:noProof/>
                <w:szCs w:val="24"/>
                <w:u w:val="single"/>
              </w:rPr>
              <w:t>Issues</w:t>
            </w:r>
          </w:p>
        </w:tc>
        <w:tc>
          <w:tcPr>
            <w:tcW w:w="851" w:type="dxa"/>
          </w:tcPr>
          <w:p w14:paraId="1C962891" w14:textId="77777777" w:rsidR="00816F89" w:rsidRPr="00816F89" w:rsidRDefault="00816F89" w:rsidP="00E25F90">
            <w:pPr>
              <w:tabs>
                <w:tab w:val="left" w:pos="480"/>
                <w:tab w:val="right" w:leader="dot" w:pos="8270"/>
              </w:tabs>
              <w:spacing w:after="100"/>
              <w:ind w:right="283"/>
              <w:jc w:val="right"/>
              <w:rPr>
                <w:szCs w:val="24"/>
              </w:rPr>
            </w:pPr>
            <w:r w:rsidRPr="00816F89">
              <w:rPr>
                <w:szCs w:val="24"/>
              </w:rPr>
              <w:t>91</w:t>
            </w:r>
          </w:p>
        </w:tc>
      </w:tr>
      <w:tr w:rsidR="00816F89" w:rsidRPr="00816F89" w14:paraId="00F4EFC4" w14:textId="77777777" w:rsidTr="003253B3">
        <w:trPr>
          <w:trHeight w:val="432"/>
        </w:trPr>
        <w:tc>
          <w:tcPr>
            <w:tcW w:w="8505" w:type="dxa"/>
          </w:tcPr>
          <w:p w14:paraId="39F6D517" w14:textId="77777777" w:rsidR="00816F89" w:rsidRPr="00816F89" w:rsidRDefault="00816F89" w:rsidP="003253B3">
            <w:pPr>
              <w:tabs>
                <w:tab w:val="left" w:pos="480"/>
                <w:tab w:val="right" w:leader="dot" w:pos="8270"/>
              </w:tabs>
              <w:spacing w:after="100"/>
              <w:ind w:right="283"/>
              <w:rPr>
                <w:noProof/>
                <w:szCs w:val="24"/>
              </w:rPr>
            </w:pPr>
            <w:r w:rsidRPr="00816F89">
              <w:rPr>
                <w:noProof/>
                <w:szCs w:val="24"/>
              </w:rPr>
              <w:t>V.</w:t>
            </w:r>
            <w:r w:rsidRPr="00816F89">
              <w:rPr>
                <w:noProof/>
                <w:szCs w:val="24"/>
              </w:rPr>
              <w:tab/>
            </w:r>
            <w:r w:rsidRPr="00816F89">
              <w:rPr>
                <w:noProof/>
                <w:szCs w:val="24"/>
                <w:u w:val="single"/>
              </w:rPr>
              <w:t>Analysis</w:t>
            </w:r>
          </w:p>
        </w:tc>
        <w:tc>
          <w:tcPr>
            <w:tcW w:w="851" w:type="dxa"/>
          </w:tcPr>
          <w:p w14:paraId="4D5996A4" w14:textId="77777777" w:rsidR="00816F89" w:rsidRPr="00816F89" w:rsidRDefault="00816F89" w:rsidP="00E25F90">
            <w:pPr>
              <w:tabs>
                <w:tab w:val="left" w:pos="480"/>
                <w:tab w:val="right" w:leader="dot" w:pos="8270"/>
              </w:tabs>
              <w:spacing w:after="100"/>
              <w:ind w:right="283"/>
              <w:jc w:val="right"/>
              <w:rPr>
                <w:szCs w:val="24"/>
              </w:rPr>
            </w:pPr>
            <w:r w:rsidRPr="00816F89">
              <w:rPr>
                <w:szCs w:val="24"/>
              </w:rPr>
              <w:t>92</w:t>
            </w:r>
          </w:p>
        </w:tc>
      </w:tr>
      <w:tr w:rsidR="00816F89" w:rsidRPr="00816F89" w14:paraId="7F5CA3E9" w14:textId="77777777" w:rsidTr="003253B3">
        <w:trPr>
          <w:trHeight w:val="432"/>
        </w:trPr>
        <w:tc>
          <w:tcPr>
            <w:tcW w:w="8505" w:type="dxa"/>
          </w:tcPr>
          <w:p w14:paraId="4F9EF20B" w14:textId="77777777" w:rsidR="00816F89" w:rsidRPr="00816F89" w:rsidRDefault="00816F89" w:rsidP="003253B3">
            <w:pPr>
              <w:tabs>
                <w:tab w:val="left" w:pos="480"/>
                <w:tab w:val="right" w:leader="dot" w:pos="8270"/>
              </w:tabs>
              <w:spacing w:after="100"/>
              <w:ind w:right="283"/>
              <w:rPr>
                <w:noProof/>
                <w:szCs w:val="24"/>
              </w:rPr>
            </w:pPr>
            <w:r w:rsidRPr="00816F89">
              <w:rPr>
                <w:noProof/>
                <w:szCs w:val="24"/>
              </w:rPr>
              <w:t>A.</w:t>
            </w:r>
            <w:r w:rsidRPr="00816F89">
              <w:rPr>
                <w:noProof/>
                <w:szCs w:val="24"/>
              </w:rPr>
              <w:tab/>
            </w:r>
            <w:r w:rsidRPr="00816F89">
              <w:rPr>
                <w:i/>
              </w:rPr>
              <w:t>Applicable Standard of Review</w:t>
            </w:r>
          </w:p>
        </w:tc>
        <w:tc>
          <w:tcPr>
            <w:tcW w:w="851" w:type="dxa"/>
          </w:tcPr>
          <w:p w14:paraId="1FB8608C" w14:textId="77777777" w:rsidR="00816F89" w:rsidRPr="00816F89" w:rsidRDefault="00816F89" w:rsidP="00E25F90">
            <w:pPr>
              <w:tabs>
                <w:tab w:val="left" w:pos="480"/>
                <w:tab w:val="right" w:leader="dot" w:pos="8270"/>
              </w:tabs>
              <w:spacing w:after="100"/>
              <w:ind w:right="283"/>
              <w:jc w:val="right"/>
              <w:rPr>
                <w:szCs w:val="24"/>
              </w:rPr>
            </w:pPr>
            <w:r w:rsidRPr="00816F89">
              <w:rPr>
                <w:szCs w:val="24"/>
              </w:rPr>
              <w:t>92</w:t>
            </w:r>
          </w:p>
        </w:tc>
      </w:tr>
      <w:tr w:rsidR="00816F89" w:rsidRPr="00816F89" w14:paraId="30F12D6B" w14:textId="77777777" w:rsidTr="003253B3">
        <w:trPr>
          <w:trHeight w:val="432"/>
        </w:trPr>
        <w:tc>
          <w:tcPr>
            <w:tcW w:w="8505" w:type="dxa"/>
          </w:tcPr>
          <w:p w14:paraId="200925AC" w14:textId="77777777" w:rsidR="00816F89" w:rsidRPr="00816F89" w:rsidRDefault="00816F89" w:rsidP="003253B3">
            <w:pPr>
              <w:tabs>
                <w:tab w:val="left" w:pos="480"/>
                <w:tab w:val="right" w:leader="dot" w:pos="8270"/>
              </w:tabs>
              <w:spacing w:after="100"/>
              <w:ind w:right="283"/>
              <w:rPr>
                <w:noProof/>
                <w:szCs w:val="24"/>
              </w:rPr>
            </w:pPr>
            <w:r w:rsidRPr="00816F89">
              <w:rPr>
                <w:noProof/>
                <w:szCs w:val="24"/>
              </w:rPr>
              <w:t>B.</w:t>
            </w:r>
            <w:r w:rsidRPr="00816F89">
              <w:rPr>
                <w:noProof/>
                <w:szCs w:val="24"/>
              </w:rPr>
              <w:tab/>
            </w:r>
            <w:r w:rsidRPr="00816F89">
              <w:rPr>
                <w:i/>
              </w:rPr>
              <w:t>Content of Freedom of Association</w:t>
            </w:r>
          </w:p>
        </w:tc>
        <w:tc>
          <w:tcPr>
            <w:tcW w:w="851" w:type="dxa"/>
          </w:tcPr>
          <w:p w14:paraId="19F6ED10" w14:textId="77777777" w:rsidR="00816F89" w:rsidRPr="00816F89" w:rsidRDefault="00816F89" w:rsidP="00E25F90">
            <w:pPr>
              <w:tabs>
                <w:tab w:val="left" w:pos="480"/>
                <w:tab w:val="right" w:leader="dot" w:pos="8270"/>
              </w:tabs>
              <w:spacing w:after="100"/>
              <w:ind w:right="283"/>
              <w:jc w:val="right"/>
              <w:rPr>
                <w:szCs w:val="24"/>
              </w:rPr>
            </w:pPr>
            <w:r w:rsidRPr="00816F89">
              <w:rPr>
                <w:szCs w:val="24"/>
              </w:rPr>
              <w:t>98</w:t>
            </w:r>
          </w:p>
        </w:tc>
      </w:tr>
      <w:tr w:rsidR="00816F89" w:rsidRPr="00816F89" w14:paraId="4ECAA9DD" w14:textId="77777777" w:rsidTr="003253B3">
        <w:trPr>
          <w:trHeight w:val="432"/>
        </w:trPr>
        <w:tc>
          <w:tcPr>
            <w:tcW w:w="8505" w:type="dxa"/>
          </w:tcPr>
          <w:p w14:paraId="2F683AF6" w14:textId="77777777" w:rsidR="00816F89" w:rsidRPr="00816F89" w:rsidRDefault="00816F89" w:rsidP="003253B3">
            <w:pPr>
              <w:tabs>
                <w:tab w:val="left" w:pos="480"/>
                <w:tab w:val="right" w:leader="dot" w:pos="8270"/>
              </w:tabs>
              <w:spacing w:after="100"/>
              <w:ind w:right="283"/>
              <w:rPr>
                <w:noProof/>
                <w:szCs w:val="24"/>
              </w:rPr>
            </w:pPr>
            <w:r w:rsidRPr="00816F89">
              <w:rPr>
                <w:noProof/>
                <w:szCs w:val="24"/>
              </w:rPr>
              <w:t>C.</w:t>
            </w:r>
            <w:r w:rsidRPr="00816F89">
              <w:rPr>
                <w:noProof/>
                <w:szCs w:val="24"/>
              </w:rPr>
              <w:tab/>
            </w:r>
            <w:r w:rsidRPr="00816F89">
              <w:rPr>
                <w:i/>
              </w:rPr>
              <w:t>The Association Is Seeking Positive State Action</w:t>
            </w:r>
          </w:p>
        </w:tc>
        <w:tc>
          <w:tcPr>
            <w:tcW w:w="851" w:type="dxa"/>
          </w:tcPr>
          <w:p w14:paraId="4CAAC815" w14:textId="77777777" w:rsidR="00816F89" w:rsidRPr="00816F89" w:rsidRDefault="00816F89" w:rsidP="00E25F90">
            <w:pPr>
              <w:tabs>
                <w:tab w:val="left" w:pos="480"/>
                <w:tab w:val="right" w:leader="dot" w:pos="8270"/>
              </w:tabs>
              <w:spacing w:after="100"/>
              <w:ind w:right="283"/>
              <w:jc w:val="right"/>
              <w:rPr>
                <w:szCs w:val="24"/>
              </w:rPr>
            </w:pPr>
            <w:r w:rsidRPr="00816F89">
              <w:rPr>
                <w:szCs w:val="24"/>
              </w:rPr>
              <w:t>122</w:t>
            </w:r>
          </w:p>
        </w:tc>
      </w:tr>
      <w:tr w:rsidR="00816F89" w:rsidRPr="00816F89" w14:paraId="446A476F" w14:textId="77777777" w:rsidTr="003253B3">
        <w:trPr>
          <w:trHeight w:val="432"/>
        </w:trPr>
        <w:tc>
          <w:tcPr>
            <w:tcW w:w="8505" w:type="dxa"/>
          </w:tcPr>
          <w:p w14:paraId="4FE37420" w14:textId="77777777" w:rsidR="00816F89" w:rsidRPr="00816F89" w:rsidRDefault="00816F89" w:rsidP="003253B3">
            <w:pPr>
              <w:tabs>
                <w:tab w:val="left" w:pos="480"/>
                <w:tab w:val="right" w:leader="dot" w:pos="8270"/>
              </w:tabs>
              <w:spacing w:after="100"/>
              <w:ind w:right="283"/>
              <w:rPr>
                <w:noProof/>
                <w:szCs w:val="24"/>
              </w:rPr>
            </w:pPr>
            <w:r w:rsidRPr="00816F89">
              <w:rPr>
                <w:noProof/>
                <w:szCs w:val="24"/>
              </w:rPr>
              <w:t>D.</w:t>
            </w:r>
            <w:r w:rsidRPr="00816F89">
              <w:rPr>
                <w:noProof/>
                <w:szCs w:val="24"/>
              </w:rPr>
              <w:tab/>
            </w:r>
            <w:r w:rsidRPr="00816F89">
              <w:rPr>
                <w:i/>
              </w:rPr>
              <w:t>Section 2(d) Framework</w:t>
            </w:r>
          </w:p>
        </w:tc>
        <w:tc>
          <w:tcPr>
            <w:tcW w:w="851" w:type="dxa"/>
          </w:tcPr>
          <w:p w14:paraId="63EADE98" w14:textId="77777777" w:rsidR="00816F89" w:rsidRPr="00816F89" w:rsidRDefault="00816F89" w:rsidP="00E25F90">
            <w:pPr>
              <w:tabs>
                <w:tab w:val="left" w:pos="480"/>
                <w:tab w:val="right" w:leader="dot" w:pos="8270"/>
              </w:tabs>
              <w:spacing w:after="100"/>
              <w:ind w:right="283"/>
              <w:jc w:val="right"/>
              <w:rPr>
                <w:szCs w:val="24"/>
              </w:rPr>
            </w:pPr>
            <w:r w:rsidRPr="00816F89">
              <w:rPr>
                <w:szCs w:val="24"/>
              </w:rPr>
              <w:t>133</w:t>
            </w:r>
          </w:p>
        </w:tc>
      </w:tr>
      <w:tr w:rsidR="00816F89" w:rsidRPr="00816F89" w14:paraId="099EE7E9" w14:textId="77777777" w:rsidTr="003253B3">
        <w:trPr>
          <w:trHeight w:val="432"/>
        </w:trPr>
        <w:tc>
          <w:tcPr>
            <w:tcW w:w="8505" w:type="dxa"/>
          </w:tcPr>
          <w:p w14:paraId="3C433B7A" w14:textId="77777777" w:rsidR="00816F89" w:rsidRPr="00816F89" w:rsidRDefault="00816F89" w:rsidP="003253B3">
            <w:pPr>
              <w:tabs>
                <w:tab w:val="left" w:pos="480"/>
                <w:tab w:val="right" w:leader="dot" w:pos="8270"/>
              </w:tabs>
              <w:spacing w:after="100"/>
              <w:ind w:left="475" w:right="283" w:hanging="475"/>
              <w:rPr>
                <w:noProof/>
                <w:szCs w:val="24"/>
              </w:rPr>
            </w:pPr>
            <w:r w:rsidRPr="00816F89">
              <w:rPr>
                <w:noProof/>
                <w:szCs w:val="24"/>
              </w:rPr>
              <w:t>E.</w:t>
            </w:r>
            <w:r w:rsidRPr="00816F89">
              <w:rPr>
                <w:noProof/>
                <w:szCs w:val="24"/>
              </w:rPr>
              <w:tab/>
            </w:r>
            <w:r w:rsidRPr="00816F89">
              <w:rPr>
                <w:i/>
                <w:noProof/>
                <w:szCs w:val="24"/>
              </w:rPr>
              <w:t>Does the Exclusion of the Association’s Members From the L.C. Regime Infringe Freedom of Association?</w:t>
            </w:r>
          </w:p>
        </w:tc>
        <w:tc>
          <w:tcPr>
            <w:tcW w:w="851" w:type="dxa"/>
          </w:tcPr>
          <w:p w14:paraId="7A4D7C1A" w14:textId="77777777" w:rsidR="00816F89" w:rsidRPr="00816F89" w:rsidRDefault="00816F89" w:rsidP="00E25F90">
            <w:pPr>
              <w:tabs>
                <w:tab w:val="left" w:pos="480"/>
                <w:tab w:val="right" w:leader="dot" w:pos="8270"/>
              </w:tabs>
              <w:spacing w:after="100"/>
              <w:ind w:right="283"/>
              <w:jc w:val="right"/>
              <w:rPr>
                <w:szCs w:val="24"/>
              </w:rPr>
            </w:pPr>
            <w:r w:rsidRPr="00816F89">
              <w:rPr>
                <w:szCs w:val="24"/>
              </w:rPr>
              <w:t>154</w:t>
            </w:r>
          </w:p>
        </w:tc>
      </w:tr>
      <w:tr w:rsidR="00816F89" w:rsidRPr="00816F89" w14:paraId="6869535F" w14:textId="77777777" w:rsidTr="003253B3">
        <w:trPr>
          <w:trHeight w:val="432"/>
        </w:trPr>
        <w:tc>
          <w:tcPr>
            <w:tcW w:w="8505" w:type="dxa"/>
          </w:tcPr>
          <w:p w14:paraId="30338FDD" w14:textId="77777777" w:rsidR="00816F89" w:rsidRPr="00816F89" w:rsidRDefault="00816F89" w:rsidP="003253B3">
            <w:pPr>
              <w:tabs>
                <w:tab w:val="left" w:pos="1100"/>
                <w:tab w:val="right" w:leader="dot" w:pos="8270"/>
              </w:tabs>
              <w:spacing w:after="100"/>
              <w:ind w:left="1051" w:right="283" w:hanging="576"/>
              <w:rPr>
                <w:noProof/>
                <w:szCs w:val="24"/>
              </w:rPr>
            </w:pPr>
            <w:r w:rsidRPr="00816F89">
              <w:rPr>
                <w:noProof/>
                <w:szCs w:val="24"/>
                <w14:scene3d>
                  <w14:camera w14:prst="orthographicFront"/>
                  <w14:lightRig w14:rig="threePt" w14:dir="t">
                    <w14:rot w14:lat="0" w14:lon="0" w14:rev="0"/>
                  </w14:lightRig>
                </w14:scene3d>
              </w:rPr>
              <w:t>(1)</w:t>
            </w:r>
            <w:r w:rsidRPr="00816F89">
              <w:rPr>
                <w:noProof/>
                <w:szCs w:val="24"/>
              </w:rPr>
              <w:tab/>
            </w:r>
            <w:r w:rsidRPr="00816F89">
              <w:rPr>
                <w:u w:val="single"/>
              </w:rPr>
              <w:t xml:space="preserve">The Association and Its Members Are Seeking Access to a Particular Labour Relations Regime, the </w:t>
            </w:r>
            <w:r w:rsidRPr="00816F89">
              <w:rPr>
                <w:i/>
                <w:u w:val="single"/>
              </w:rPr>
              <w:t>L.C.</w:t>
            </w:r>
          </w:p>
        </w:tc>
        <w:tc>
          <w:tcPr>
            <w:tcW w:w="851" w:type="dxa"/>
          </w:tcPr>
          <w:p w14:paraId="4522F04B" w14:textId="77777777" w:rsidR="00816F89" w:rsidRPr="00816F89" w:rsidRDefault="00816F89" w:rsidP="00E25F90">
            <w:pPr>
              <w:tabs>
                <w:tab w:val="left" w:pos="480"/>
                <w:tab w:val="right" w:leader="dot" w:pos="8270"/>
              </w:tabs>
              <w:spacing w:after="100"/>
              <w:ind w:right="283"/>
              <w:jc w:val="right"/>
              <w:rPr>
                <w:szCs w:val="24"/>
              </w:rPr>
            </w:pPr>
            <w:r w:rsidRPr="00816F89">
              <w:rPr>
                <w:szCs w:val="24"/>
              </w:rPr>
              <w:t>154</w:t>
            </w:r>
          </w:p>
        </w:tc>
      </w:tr>
      <w:tr w:rsidR="00816F89" w:rsidRPr="00816F89" w14:paraId="5BCA3048" w14:textId="77777777" w:rsidTr="003253B3">
        <w:trPr>
          <w:trHeight w:val="432"/>
        </w:trPr>
        <w:tc>
          <w:tcPr>
            <w:tcW w:w="8505" w:type="dxa"/>
          </w:tcPr>
          <w:p w14:paraId="2BB05375" w14:textId="77777777" w:rsidR="00816F89" w:rsidRPr="00816F89" w:rsidRDefault="00816F89" w:rsidP="003253B3">
            <w:pPr>
              <w:tabs>
                <w:tab w:val="left" w:pos="1100"/>
                <w:tab w:val="right" w:leader="dot" w:pos="8270"/>
              </w:tabs>
              <w:spacing w:after="100"/>
              <w:ind w:left="1051" w:right="283" w:hanging="576"/>
              <w:rPr>
                <w:noProof/>
                <w:szCs w:val="24"/>
              </w:rPr>
            </w:pPr>
            <w:r w:rsidRPr="00816F89">
              <w:rPr>
                <w:noProof/>
                <w:szCs w:val="24"/>
                <w14:scene3d>
                  <w14:camera w14:prst="orthographicFront"/>
                  <w14:lightRig w14:rig="threePt" w14:dir="t">
                    <w14:rot w14:lat="0" w14:lon="0" w14:rev="0"/>
                  </w14:lightRig>
                </w14:scene3d>
              </w:rPr>
              <w:t>(2)</w:t>
            </w:r>
            <w:r w:rsidRPr="00816F89">
              <w:rPr>
                <w:noProof/>
                <w:szCs w:val="24"/>
              </w:rPr>
              <w:tab/>
            </w:r>
            <w:r w:rsidRPr="00816F89">
              <w:rPr>
                <w:u w:val="single"/>
              </w:rPr>
              <w:t>The Exclusion in Section 1(</w:t>
            </w:r>
            <w:r w:rsidRPr="00816F89">
              <w:rPr>
                <w:i/>
                <w:u w:val="single"/>
              </w:rPr>
              <w:t>l</w:t>
            </w:r>
            <w:r w:rsidRPr="00816F89">
              <w:rPr>
                <w:u w:val="single"/>
              </w:rPr>
              <w:t xml:space="preserve">)(1) </w:t>
            </w:r>
            <w:r w:rsidRPr="00816F89">
              <w:rPr>
                <w:i/>
                <w:u w:val="single"/>
              </w:rPr>
              <w:t>L.C.</w:t>
            </w:r>
            <w:r w:rsidRPr="00816F89">
              <w:rPr>
                <w:u w:val="single"/>
              </w:rPr>
              <w:t xml:space="preserve"> Does Not Have the Purpose or Effect of Substantially Interfering With the Freedom of Association of the Association’s Members</w:t>
            </w:r>
          </w:p>
        </w:tc>
        <w:tc>
          <w:tcPr>
            <w:tcW w:w="851" w:type="dxa"/>
          </w:tcPr>
          <w:p w14:paraId="267E7138" w14:textId="77777777" w:rsidR="00816F89" w:rsidRPr="00816F89" w:rsidRDefault="00816F89" w:rsidP="00E25F90">
            <w:pPr>
              <w:tabs>
                <w:tab w:val="left" w:pos="480"/>
                <w:tab w:val="right" w:leader="dot" w:pos="8270"/>
              </w:tabs>
              <w:spacing w:after="100"/>
              <w:ind w:right="283"/>
              <w:jc w:val="right"/>
              <w:rPr>
                <w:szCs w:val="24"/>
              </w:rPr>
            </w:pPr>
            <w:r w:rsidRPr="00816F89">
              <w:rPr>
                <w:szCs w:val="24"/>
              </w:rPr>
              <w:t>160</w:t>
            </w:r>
          </w:p>
        </w:tc>
      </w:tr>
      <w:tr w:rsidR="00816F89" w:rsidRPr="00816F89" w14:paraId="3795F2E0" w14:textId="77777777" w:rsidTr="003253B3">
        <w:trPr>
          <w:trHeight w:val="432"/>
        </w:trPr>
        <w:tc>
          <w:tcPr>
            <w:tcW w:w="8505" w:type="dxa"/>
            <w:hideMark/>
          </w:tcPr>
          <w:p w14:paraId="76AB2A2C" w14:textId="77777777" w:rsidR="00816F89" w:rsidRPr="00816F89" w:rsidRDefault="00816F89" w:rsidP="003253B3">
            <w:pPr>
              <w:tabs>
                <w:tab w:val="left" w:pos="1134"/>
                <w:tab w:val="right" w:leader="dot" w:pos="8270"/>
              </w:tabs>
              <w:spacing w:after="100"/>
              <w:ind w:left="1051" w:right="283" w:hanging="576"/>
              <w:jc w:val="both"/>
              <w:rPr>
                <w:noProof/>
                <w:szCs w:val="24"/>
              </w:rPr>
            </w:pPr>
            <w:r w:rsidRPr="00816F89">
              <w:rPr>
                <w:noProof/>
                <w:szCs w:val="24"/>
                <w14:scene3d>
                  <w14:camera w14:prst="orthographicFront"/>
                  <w14:lightRig w14:rig="threePt" w14:dir="t">
                    <w14:rot w14:lat="0" w14:lon="0" w14:rev="0"/>
                  </w14:lightRig>
                </w14:scene3d>
              </w:rPr>
              <w:t>(a)</w:t>
            </w:r>
            <w:r w:rsidRPr="00816F89">
              <w:rPr>
                <w:noProof/>
                <w:szCs w:val="24"/>
              </w:rPr>
              <w:tab/>
            </w:r>
            <w:r w:rsidRPr="00816F89">
              <w:rPr>
                <w:i/>
              </w:rPr>
              <w:t>The Purpose of the Exclusion in Section 1(l)(1) L.C. Is Not To Substantially Interfere With the Freedom of Association of the OSs as First</w:t>
            </w:r>
            <w:r w:rsidRPr="00816F89">
              <w:rPr>
                <w:i/>
              </w:rPr>
              <w:noBreakHyphen/>
              <w:t>Level Managers</w:t>
            </w:r>
          </w:p>
        </w:tc>
        <w:tc>
          <w:tcPr>
            <w:tcW w:w="851" w:type="dxa"/>
          </w:tcPr>
          <w:p w14:paraId="1F7DC908" w14:textId="77777777" w:rsidR="00816F89" w:rsidRPr="00816F89" w:rsidRDefault="00816F89" w:rsidP="00E25F90">
            <w:pPr>
              <w:tabs>
                <w:tab w:val="left" w:pos="480"/>
                <w:tab w:val="right" w:leader="dot" w:pos="8270"/>
              </w:tabs>
              <w:spacing w:after="100"/>
              <w:ind w:right="283"/>
              <w:jc w:val="right"/>
            </w:pPr>
            <w:r w:rsidRPr="00816F89">
              <w:t>161</w:t>
            </w:r>
          </w:p>
        </w:tc>
      </w:tr>
      <w:tr w:rsidR="00816F89" w:rsidRPr="00816F89" w14:paraId="6F94B8CA" w14:textId="77777777" w:rsidTr="003253B3">
        <w:trPr>
          <w:trHeight w:val="432"/>
        </w:trPr>
        <w:tc>
          <w:tcPr>
            <w:tcW w:w="8505" w:type="dxa"/>
          </w:tcPr>
          <w:p w14:paraId="0E935358" w14:textId="77777777" w:rsidR="00816F89" w:rsidRPr="00816F89" w:rsidRDefault="00816F89" w:rsidP="0020246B">
            <w:pPr>
              <w:tabs>
                <w:tab w:val="left" w:pos="8270"/>
              </w:tabs>
              <w:spacing w:after="100"/>
              <w:ind w:left="1051" w:right="283" w:hanging="576"/>
              <w:jc w:val="both"/>
              <w:rPr>
                <w:noProof/>
                <w:szCs w:val="24"/>
                <w14:scene3d>
                  <w14:camera w14:prst="orthographicFront"/>
                  <w14:lightRig w14:rig="threePt" w14:dir="t">
                    <w14:rot w14:lat="0" w14:lon="0" w14:rev="0"/>
                  </w14:lightRig>
                </w14:scene3d>
              </w:rPr>
            </w:pPr>
            <w:r w:rsidRPr="00816F89">
              <w:rPr>
                <w:noProof/>
                <w:szCs w:val="24"/>
                <w14:scene3d>
                  <w14:camera w14:prst="orthographicFront"/>
                  <w14:lightRig w14:rig="threePt" w14:dir="t">
                    <w14:rot w14:lat="0" w14:lon="0" w14:rev="0"/>
                  </w14:lightRig>
                </w14:scene3d>
              </w:rPr>
              <w:t>(b)</w:t>
            </w:r>
            <w:r w:rsidRPr="00816F89">
              <w:rPr>
                <w:noProof/>
                <w:szCs w:val="24"/>
              </w:rPr>
              <w:tab/>
            </w:r>
            <w:r w:rsidRPr="00816F89">
              <w:rPr>
                <w:i/>
              </w:rPr>
              <w:t>The Legislative Exclusion Does Not Have the Effect of Substantially Interfering With Freedom of Association</w:t>
            </w:r>
          </w:p>
        </w:tc>
        <w:tc>
          <w:tcPr>
            <w:tcW w:w="851" w:type="dxa"/>
          </w:tcPr>
          <w:p w14:paraId="44F113E3" w14:textId="77777777" w:rsidR="00816F89" w:rsidRPr="00816F89" w:rsidRDefault="00816F89" w:rsidP="00E25F90">
            <w:pPr>
              <w:tabs>
                <w:tab w:val="left" w:pos="480"/>
                <w:tab w:val="right" w:leader="dot" w:pos="8270"/>
              </w:tabs>
              <w:spacing w:after="100"/>
              <w:ind w:right="283"/>
              <w:jc w:val="right"/>
            </w:pPr>
            <w:r w:rsidRPr="00816F89">
              <w:t>172</w:t>
            </w:r>
          </w:p>
        </w:tc>
      </w:tr>
      <w:tr w:rsidR="00816F89" w:rsidRPr="00816F89" w14:paraId="5EBE9421" w14:textId="77777777" w:rsidTr="003253B3">
        <w:trPr>
          <w:trHeight w:val="432"/>
        </w:trPr>
        <w:tc>
          <w:tcPr>
            <w:tcW w:w="8505" w:type="dxa"/>
          </w:tcPr>
          <w:p w14:paraId="3782089B" w14:textId="77777777" w:rsidR="00816F89" w:rsidRPr="00816F89" w:rsidRDefault="00816F89" w:rsidP="003253B3">
            <w:pPr>
              <w:tabs>
                <w:tab w:val="left" w:pos="1100"/>
                <w:tab w:val="right" w:leader="dot" w:pos="8270"/>
              </w:tabs>
              <w:spacing w:after="100"/>
              <w:ind w:left="1051" w:right="283" w:hanging="576"/>
              <w:rPr>
                <w:noProof/>
                <w:szCs w:val="24"/>
              </w:rPr>
            </w:pPr>
            <w:r w:rsidRPr="00816F89">
              <w:rPr>
                <w:noProof/>
                <w:szCs w:val="24"/>
                <w14:scene3d>
                  <w14:camera w14:prst="orthographicFront"/>
                  <w14:lightRig w14:rig="threePt" w14:dir="t">
                    <w14:rot w14:lat="0" w14:lon="0" w14:rev="0"/>
                  </w14:lightRig>
                </w14:scene3d>
              </w:rPr>
              <w:t>(3)</w:t>
            </w:r>
            <w:r w:rsidRPr="00816F89">
              <w:rPr>
                <w:noProof/>
                <w:szCs w:val="24"/>
              </w:rPr>
              <w:tab/>
            </w:r>
            <w:r w:rsidRPr="00816F89">
              <w:rPr>
                <w:u w:val="single"/>
              </w:rPr>
              <w:t xml:space="preserve">On the Assumption That There Is Substantial Interference, the State Cannot Be Held Accountable for the Interference at the Third Step of the </w:t>
            </w:r>
            <w:r w:rsidRPr="00816F89">
              <w:rPr>
                <w:i/>
                <w:u w:val="single"/>
              </w:rPr>
              <w:t>Dunmore</w:t>
            </w:r>
            <w:r w:rsidRPr="00816F89">
              <w:rPr>
                <w:u w:val="single"/>
              </w:rPr>
              <w:t xml:space="preserve"> Framework</w:t>
            </w:r>
          </w:p>
        </w:tc>
        <w:tc>
          <w:tcPr>
            <w:tcW w:w="851" w:type="dxa"/>
          </w:tcPr>
          <w:p w14:paraId="1290F974" w14:textId="77777777" w:rsidR="00816F89" w:rsidRPr="00816F89" w:rsidRDefault="00816F89" w:rsidP="00E25F90">
            <w:pPr>
              <w:tabs>
                <w:tab w:val="left" w:pos="480"/>
                <w:tab w:val="right" w:leader="dot" w:pos="8270"/>
              </w:tabs>
              <w:spacing w:after="100"/>
              <w:ind w:right="283"/>
              <w:jc w:val="right"/>
              <w:rPr>
                <w:szCs w:val="24"/>
              </w:rPr>
            </w:pPr>
            <w:r w:rsidRPr="00816F89">
              <w:rPr>
                <w:szCs w:val="24"/>
              </w:rPr>
              <w:t>186</w:t>
            </w:r>
          </w:p>
        </w:tc>
      </w:tr>
      <w:tr w:rsidR="00816F89" w:rsidRPr="00816F89" w14:paraId="57472A70" w14:textId="77777777" w:rsidTr="003253B3">
        <w:trPr>
          <w:trHeight w:val="432"/>
        </w:trPr>
        <w:tc>
          <w:tcPr>
            <w:tcW w:w="8505" w:type="dxa"/>
          </w:tcPr>
          <w:p w14:paraId="5045B0A5" w14:textId="77777777" w:rsidR="00816F89" w:rsidRPr="00816F89" w:rsidRDefault="00816F89" w:rsidP="003253B3">
            <w:pPr>
              <w:tabs>
                <w:tab w:val="left" w:pos="480"/>
                <w:tab w:val="right" w:leader="dot" w:pos="8270"/>
              </w:tabs>
              <w:spacing w:after="100"/>
              <w:ind w:right="283"/>
              <w:rPr>
                <w:noProof/>
                <w:szCs w:val="24"/>
              </w:rPr>
            </w:pPr>
            <w:r w:rsidRPr="00816F89">
              <w:rPr>
                <w:noProof/>
                <w:szCs w:val="24"/>
              </w:rPr>
              <w:t>VI.</w:t>
            </w:r>
            <w:r w:rsidRPr="00816F89">
              <w:rPr>
                <w:noProof/>
                <w:szCs w:val="24"/>
              </w:rPr>
              <w:tab/>
            </w:r>
            <w:r w:rsidRPr="00816F89">
              <w:rPr>
                <w:noProof/>
                <w:szCs w:val="24"/>
                <w:u w:val="single"/>
              </w:rPr>
              <w:t>Disposition</w:t>
            </w:r>
          </w:p>
        </w:tc>
        <w:tc>
          <w:tcPr>
            <w:tcW w:w="851" w:type="dxa"/>
          </w:tcPr>
          <w:p w14:paraId="1C96910C" w14:textId="77777777" w:rsidR="00816F89" w:rsidRPr="00816F89" w:rsidRDefault="00816F89" w:rsidP="00E25F90">
            <w:pPr>
              <w:tabs>
                <w:tab w:val="left" w:pos="480"/>
                <w:tab w:val="right" w:leader="dot" w:pos="8270"/>
              </w:tabs>
              <w:spacing w:after="100"/>
              <w:ind w:right="283"/>
              <w:jc w:val="right"/>
              <w:rPr>
                <w:szCs w:val="24"/>
              </w:rPr>
            </w:pPr>
            <w:r w:rsidRPr="00816F89">
              <w:rPr>
                <w:szCs w:val="24"/>
              </w:rPr>
              <w:t>198</w:t>
            </w:r>
          </w:p>
        </w:tc>
      </w:tr>
      <w:tr w:rsidR="00816F89" w:rsidRPr="00816F89" w14:paraId="3870454B" w14:textId="77777777" w:rsidTr="003253B3">
        <w:trPr>
          <w:trHeight w:val="432"/>
        </w:trPr>
        <w:tc>
          <w:tcPr>
            <w:tcW w:w="8505" w:type="dxa"/>
          </w:tcPr>
          <w:p w14:paraId="6033E38D" w14:textId="77777777" w:rsidR="00816F89" w:rsidRPr="00816F89" w:rsidRDefault="00816F89" w:rsidP="003253B3">
            <w:pPr>
              <w:tabs>
                <w:tab w:val="left" w:pos="480"/>
                <w:tab w:val="right" w:leader="dot" w:pos="8270"/>
              </w:tabs>
              <w:spacing w:after="100"/>
              <w:ind w:right="283"/>
              <w:rPr>
                <w:noProof/>
                <w:szCs w:val="24"/>
              </w:rPr>
            </w:pPr>
            <w:r w:rsidRPr="00816F89">
              <w:rPr>
                <w:noProof/>
                <w:szCs w:val="24"/>
              </w:rPr>
              <w:t>Appendix — Relevant Constitutional and Statutory Provisions</w:t>
            </w:r>
          </w:p>
        </w:tc>
        <w:tc>
          <w:tcPr>
            <w:tcW w:w="851" w:type="dxa"/>
          </w:tcPr>
          <w:p w14:paraId="41AD8265" w14:textId="77777777" w:rsidR="00816F89" w:rsidRPr="00816F89" w:rsidRDefault="00816F89" w:rsidP="00E25F90">
            <w:pPr>
              <w:tabs>
                <w:tab w:val="left" w:pos="480"/>
                <w:tab w:val="right" w:leader="dot" w:pos="8270"/>
              </w:tabs>
              <w:spacing w:after="100"/>
              <w:ind w:right="283"/>
              <w:jc w:val="right"/>
              <w:rPr>
                <w:szCs w:val="24"/>
              </w:rPr>
            </w:pPr>
          </w:p>
        </w:tc>
      </w:tr>
    </w:tbl>
    <w:p w14:paraId="461F179A" w14:textId="77777777" w:rsidR="00816F89" w:rsidRPr="007960F7" w:rsidRDefault="00816F89" w:rsidP="007960F7">
      <w:pPr>
        <w:pStyle w:val="Title1LevelTitre1Niveau-AltL"/>
        <w:numPr>
          <w:ilvl w:val="0"/>
          <w:numId w:val="32"/>
        </w:numPr>
        <w:jc w:val="both"/>
        <w:rPr>
          <w:rFonts w:cs="Times New Roman"/>
        </w:rPr>
      </w:pPr>
      <w:bookmarkStart w:id="11" w:name="_Toc162942337"/>
      <w:r w:rsidRPr="007960F7">
        <w:rPr>
          <w:rFonts w:cs="Times New Roman"/>
        </w:rPr>
        <w:t>Introduction</w:t>
      </w:r>
      <w:bookmarkEnd w:id="11"/>
    </w:p>
    <w:p w14:paraId="31D9421E" w14:textId="77777777" w:rsidR="00816F89" w:rsidRPr="00816F89" w:rsidRDefault="00816F89" w:rsidP="00816F89">
      <w:pPr>
        <w:pStyle w:val="ParaNoNdepar-AltN"/>
        <w:rPr>
          <w:rFonts w:cs="Times New Roman"/>
        </w:rPr>
      </w:pPr>
      <w:r w:rsidRPr="00816F89">
        <w:rPr>
          <w:rFonts w:cs="Times New Roman"/>
        </w:rPr>
        <w:t xml:space="preserve">The </w:t>
      </w:r>
      <w:r w:rsidRPr="00816F89">
        <w:rPr>
          <w:rFonts w:cs="Times New Roman"/>
          <w:i/>
        </w:rPr>
        <w:t>Labour Code</w:t>
      </w:r>
      <w:r w:rsidRPr="00816F89">
        <w:rPr>
          <w:rFonts w:cs="Times New Roman"/>
        </w:rPr>
        <w:t>, CQLR, c. C</w:t>
      </w:r>
      <w:r w:rsidRPr="00816F89">
        <w:rPr>
          <w:rFonts w:cs="Times New Roman"/>
        </w:rPr>
        <w:noBreakHyphen/>
        <w:t>27 (“</w:t>
      </w:r>
      <w:r w:rsidRPr="00816F89">
        <w:rPr>
          <w:rFonts w:cs="Times New Roman"/>
          <w:i/>
        </w:rPr>
        <w:t>L.C.</w:t>
      </w:r>
      <w:r w:rsidRPr="00816F89">
        <w:rPr>
          <w:rFonts w:cs="Times New Roman"/>
        </w:rPr>
        <w:t>”), governs the organization</w:t>
      </w:r>
      <w:r w:rsidRPr="00816F89" w:rsidDel="00994EE5">
        <w:rPr>
          <w:rFonts w:cs="Times New Roman"/>
        </w:rPr>
        <w:t xml:space="preserve"> </w:t>
      </w:r>
      <w:r w:rsidRPr="00816F89">
        <w:rPr>
          <w:rFonts w:cs="Times New Roman"/>
        </w:rPr>
        <w:t>of most collective labour relations in Quebec. Section 1(</w:t>
      </w:r>
      <w:r w:rsidRPr="00816F89">
        <w:rPr>
          <w:rFonts w:cs="Times New Roman"/>
          <w:i/>
          <w:iCs/>
        </w:rPr>
        <w:t>l</w:t>
      </w:r>
      <w:r w:rsidRPr="00816F89">
        <w:rPr>
          <w:rFonts w:cs="Times New Roman"/>
          <w:iCs/>
        </w:rPr>
        <w:t>)(</w:t>
      </w:r>
      <w:r w:rsidRPr="00816F89">
        <w:rPr>
          <w:rFonts w:cs="Times New Roman"/>
        </w:rPr>
        <w:t xml:space="preserve">1) </w:t>
      </w:r>
      <w:r w:rsidRPr="00816F89">
        <w:rPr>
          <w:rFonts w:cs="Times New Roman"/>
          <w:i/>
        </w:rPr>
        <w:t>L.C.</w:t>
      </w:r>
      <w:r w:rsidRPr="00816F89">
        <w:rPr>
          <w:rFonts w:cs="Times New Roman"/>
        </w:rPr>
        <w:t xml:space="preserve"> excludes from the scope of the </w:t>
      </w:r>
      <w:r w:rsidRPr="00816F89">
        <w:rPr>
          <w:rFonts w:cs="Times New Roman"/>
          <w:i/>
        </w:rPr>
        <w:t>L.C.</w:t>
      </w:r>
      <w:r w:rsidRPr="00816F89">
        <w:rPr>
          <w:rFonts w:cs="Times New Roman"/>
        </w:rPr>
        <w:t xml:space="preserve"> any person who, in the opinion of the Administrative Labour Tribunal (“ALT”), “is employed as manager, superintendent, foreman or representative of the employer in his relations with his employees”.</w:t>
      </w:r>
    </w:p>
    <w:p w14:paraId="76CA4433" w14:textId="77777777" w:rsidR="00816F89" w:rsidRPr="00816F89" w:rsidRDefault="00816F89" w:rsidP="00816F89">
      <w:pPr>
        <w:pStyle w:val="ParaNoNdepar-AltN"/>
        <w:spacing w:before="0"/>
        <w:rPr>
          <w:rFonts w:cs="Times New Roman"/>
        </w:rPr>
      </w:pPr>
      <w:r w:rsidRPr="00816F89">
        <w:rPr>
          <w:rFonts w:cs="Times New Roman"/>
        </w:rPr>
        <w:t xml:space="preserve">On May 5, 1995, a labour commissioner concluded that the gaming table supervisors working for Société des casinos du Québec inc. (“Société”) were line managers at Casino de Montréal, which excluded them from the scope of the </w:t>
      </w:r>
      <w:r w:rsidRPr="00816F89">
        <w:rPr>
          <w:rFonts w:cs="Times New Roman"/>
          <w:i/>
        </w:rPr>
        <w:t>L.C.</w:t>
      </w:r>
      <w:r w:rsidRPr="00816F89">
        <w:rPr>
          <w:rFonts w:cs="Times New Roman"/>
        </w:rPr>
        <w:t xml:space="preserve"> because of the exclusion set out in s. 1(</w:t>
      </w:r>
      <w:r w:rsidRPr="00816F89">
        <w:rPr>
          <w:rFonts w:cs="Times New Roman"/>
          <w:i/>
          <w:iCs/>
        </w:rPr>
        <w:t>l</w:t>
      </w:r>
      <w:r w:rsidRPr="00816F89">
        <w:rPr>
          <w:rFonts w:cs="Times New Roman"/>
          <w:iCs/>
        </w:rPr>
        <w:t>)</w:t>
      </w:r>
      <w:r w:rsidRPr="00816F89">
        <w:rPr>
          <w:rFonts w:cs="Times New Roman"/>
        </w:rPr>
        <w:t xml:space="preserve">(1) of this statute. </w:t>
      </w:r>
      <w:r w:rsidRPr="00816F89">
        <w:rPr>
          <w:rFonts w:cs="Times New Roman"/>
          <w:lang w:val="fr-CA"/>
        </w:rPr>
        <w:t>On September 21, 1995, that decision was upheld on appeal by the Labour Court (</w:t>
      </w:r>
      <w:r w:rsidRPr="00816F89">
        <w:rPr>
          <w:rFonts w:cs="Times New Roman"/>
          <w:i/>
          <w:lang w:val="fr-CA"/>
        </w:rPr>
        <w:t>Syndicat canadien de la fonction publique, section locale 3939 v. Société des casinos du Québec inc.</w:t>
      </w:r>
      <w:r w:rsidRPr="00816F89">
        <w:rPr>
          <w:rFonts w:cs="Times New Roman"/>
          <w:lang w:val="fr-CA"/>
        </w:rPr>
        <w:t xml:space="preserve">, 1995 CanLII 15922). </w:t>
      </w:r>
      <w:r w:rsidRPr="00816F89">
        <w:rPr>
          <w:rFonts w:cs="Times New Roman"/>
        </w:rPr>
        <w:t>In 2005, in the context of a restructuring, the position of table supervisor was abolished and the duties of that position were assigned to the newly created position of “operations supervisor” (“OS”). The higher supervisory level was also eliminated. The OSs therefore inherited greater supervisory responsibilities with respect to the croupiers.</w:t>
      </w:r>
    </w:p>
    <w:p w14:paraId="48A7476C" w14:textId="77777777" w:rsidR="00816F89" w:rsidRPr="00816F89" w:rsidRDefault="00816F89" w:rsidP="00816F89">
      <w:pPr>
        <w:pStyle w:val="ParaNoNdepar-AltN"/>
        <w:spacing w:before="0"/>
        <w:rPr>
          <w:rFonts w:cs="Times New Roman"/>
        </w:rPr>
      </w:pPr>
      <w:r w:rsidRPr="00816F89">
        <w:rPr>
          <w:rFonts w:cs="Times New Roman"/>
        </w:rPr>
        <w:t xml:space="preserve">The proceeding brought by the Association des cadres de la Société des casinos du Québec (“Association”) concerns the constitutionality of the exclusion of these employees from the </w:t>
      </w:r>
      <w:r w:rsidRPr="00816F89">
        <w:rPr>
          <w:rFonts w:cs="Times New Roman"/>
          <w:i/>
        </w:rPr>
        <w:t>L.C.</w:t>
      </w:r>
      <w:r w:rsidRPr="00816F89">
        <w:rPr>
          <w:rFonts w:cs="Times New Roman"/>
        </w:rPr>
        <w:t xml:space="preserve"> regime. The Association argues that the legislative exclusion in s. 1(</w:t>
      </w:r>
      <w:r w:rsidRPr="00816F89">
        <w:rPr>
          <w:rFonts w:cs="Times New Roman"/>
          <w:i/>
          <w:iCs/>
        </w:rPr>
        <w:t>l</w:t>
      </w:r>
      <w:r w:rsidRPr="00816F89">
        <w:rPr>
          <w:rFonts w:cs="Times New Roman"/>
          <w:iCs/>
        </w:rPr>
        <w:t>)(</w:t>
      </w:r>
      <w:r w:rsidRPr="00816F89">
        <w:rPr>
          <w:rFonts w:cs="Times New Roman"/>
        </w:rPr>
        <w:t xml:space="preserve">1) </w:t>
      </w:r>
      <w:r w:rsidRPr="00816F89">
        <w:rPr>
          <w:rFonts w:cs="Times New Roman"/>
          <w:i/>
        </w:rPr>
        <w:t>L.C.</w:t>
      </w:r>
      <w:r w:rsidRPr="00816F89">
        <w:rPr>
          <w:rFonts w:cs="Times New Roman"/>
        </w:rPr>
        <w:t xml:space="preserve"> infringes the freedom of association guaranteed by s. 2(d) of the </w:t>
      </w:r>
      <w:r w:rsidRPr="00816F89">
        <w:rPr>
          <w:rFonts w:cs="Times New Roman"/>
          <w:i/>
        </w:rPr>
        <w:t>Canadian Charter of Rights and Freedoms</w:t>
      </w:r>
      <w:r w:rsidRPr="00816F89">
        <w:rPr>
          <w:rFonts w:cs="Times New Roman"/>
        </w:rPr>
        <w:t xml:space="preserve"> (“</w:t>
      </w:r>
      <w:r w:rsidRPr="00816F89">
        <w:rPr>
          <w:rFonts w:cs="Times New Roman"/>
          <w:i/>
          <w:iCs/>
        </w:rPr>
        <w:t>Canadian Charter</w:t>
      </w:r>
      <w:r w:rsidRPr="00816F89">
        <w:rPr>
          <w:rFonts w:cs="Times New Roman"/>
        </w:rPr>
        <w:t xml:space="preserve">”) and s. 3 of the </w:t>
      </w:r>
      <w:r w:rsidRPr="00816F89">
        <w:rPr>
          <w:rFonts w:cs="Times New Roman"/>
          <w:i/>
        </w:rPr>
        <w:t>Charter of human rights and freedoms</w:t>
      </w:r>
      <w:r w:rsidRPr="00816F89">
        <w:rPr>
          <w:rFonts w:cs="Times New Roman"/>
        </w:rPr>
        <w:t xml:space="preserve">, </w:t>
      </w:r>
      <w:r w:rsidRPr="00816F89">
        <w:rPr>
          <w:rFonts w:cs="Times New Roman"/>
          <w:lang w:val="en-US"/>
        </w:rPr>
        <w:t>CQLR, c. C</w:t>
      </w:r>
      <w:r w:rsidRPr="00816F89">
        <w:rPr>
          <w:rFonts w:cs="Times New Roman"/>
          <w:lang w:val="en-US"/>
        </w:rPr>
        <w:noBreakHyphen/>
        <w:t>12</w:t>
      </w:r>
      <w:r w:rsidRPr="00816F89">
        <w:rPr>
          <w:rFonts w:cs="Times New Roman"/>
        </w:rPr>
        <w:t xml:space="preserve"> (“</w:t>
      </w:r>
      <w:r w:rsidRPr="00816F89">
        <w:rPr>
          <w:rFonts w:cs="Times New Roman"/>
          <w:i/>
          <w:iCs/>
        </w:rPr>
        <w:t>Quebec Charter</w:t>
      </w:r>
      <w:r w:rsidRPr="00816F89">
        <w:rPr>
          <w:rFonts w:cs="Times New Roman"/>
        </w:rPr>
        <w:t xml:space="preserve">”), in a manner that cannot be justified under s. 1 of the </w:t>
      </w:r>
      <w:r w:rsidRPr="00816F89">
        <w:rPr>
          <w:rFonts w:cs="Times New Roman"/>
          <w:i/>
          <w:iCs/>
        </w:rPr>
        <w:t xml:space="preserve">Canadian Charter </w:t>
      </w:r>
      <w:r w:rsidRPr="00816F89">
        <w:rPr>
          <w:rFonts w:cs="Times New Roman"/>
        </w:rPr>
        <w:t xml:space="preserve">and s. 9.1 of the </w:t>
      </w:r>
      <w:r w:rsidRPr="00816F89">
        <w:rPr>
          <w:rFonts w:cs="Times New Roman"/>
          <w:i/>
          <w:iCs/>
        </w:rPr>
        <w:t>Quebec Charter</w:t>
      </w:r>
      <w:r w:rsidRPr="00816F89">
        <w:rPr>
          <w:rFonts w:cs="Times New Roman"/>
        </w:rPr>
        <w:t>.</w:t>
      </w:r>
    </w:p>
    <w:p w14:paraId="546BCD7B" w14:textId="77777777" w:rsidR="00816F89" w:rsidRPr="00816F89" w:rsidRDefault="00816F89" w:rsidP="00816F89">
      <w:pPr>
        <w:pStyle w:val="ParaNoNdepar-AltN"/>
        <w:spacing w:before="0"/>
        <w:rPr>
          <w:rFonts w:cs="Times New Roman"/>
        </w:rPr>
      </w:pPr>
      <w:r w:rsidRPr="00816F89">
        <w:rPr>
          <w:rFonts w:cs="Times New Roman"/>
        </w:rPr>
        <w:t xml:space="preserve">These appeals provide the Court with an opportunity to clarify the status of the framework established in </w:t>
      </w:r>
      <w:r w:rsidRPr="00816F89">
        <w:rPr>
          <w:rFonts w:cs="Times New Roman"/>
          <w:i/>
          <w:lang w:val="en-US"/>
        </w:rPr>
        <w:t>Dunmore v. Ontario (Attorney General)</w:t>
      </w:r>
      <w:r w:rsidRPr="00816F89">
        <w:rPr>
          <w:rFonts w:cs="Times New Roman"/>
          <w:lang w:val="en-US"/>
        </w:rPr>
        <w:t>, 2001 SCC 94, [2001] 3 S.C.R. 1016</w:t>
      </w:r>
      <w:r w:rsidRPr="00816F89">
        <w:rPr>
          <w:rFonts w:cs="Times New Roman"/>
        </w:rPr>
        <w:t xml:space="preserve">. As the Court noted in </w:t>
      </w:r>
      <w:r w:rsidRPr="00816F89">
        <w:rPr>
          <w:rFonts w:cs="Times New Roman"/>
          <w:i/>
          <w:lang w:val="en-US"/>
        </w:rPr>
        <w:t>Toronto (City) v. Ontario (Attorney General)</w:t>
      </w:r>
      <w:r w:rsidRPr="00816F89">
        <w:rPr>
          <w:rFonts w:cs="Times New Roman"/>
          <w:lang w:val="en-US"/>
        </w:rPr>
        <w:t>, 2021 SCC 34</w:t>
      </w:r>
      <w:r w:rsidRPr="00816F89">
        <w:rPr>
          <w:rFonts w:cs="Times New Roman"/>
        </w:rPr>
        <w:t xml:space="preserve">, at para. 21, </w:t>
      </w:r>
      <w:r w:rsidRPr="00816F89">
        <w:rPr>
          <w:rFonts w:cs="Times New Roman"/>
          <w:i/>
        </w:rPr>
        <w:t>Dunmore</w:t>
      </w:r>
      <w:r w:rsidRPr="00816F89">
        <w:rPr>
          <w:rFonts w:cs="Times New Roman"/>
        </w:rPr>
        <w:t xml:space="preserve"> was discussed in </w:t>
      </w:r>
      <w:r w:rsidRPr="00816F89">
        <w:rPr>
          <w:rFonts w:cs="Times New Roman"/>
          <w:i/>
          <w:lang w:val="en-US"/>
        </w:rPr>
        <w:t>Ontario (Attorney General) v. Fraser</w:t>
      </w:r>
      <w:r w:rsidRPr="00816F89">
        <w:rPr>
          <w:rFonts w:cs="Times New Roman"/>
          <w:lang w:val="en-US"/>
        </w:rPr>
        <w:t>, 2011 SCC 20, [2011] 2 S.C.R. 3</w:t>
      </w:r>
      <w:r w:rsidRPr="00816F89">
        <w:rPr>
          <w:rFonts w:cs="Times New Roman"/>
        </w:rPr>
        <w:t xml:space="preserve">, and </w:t>
      </w:r>
      <w:r w:rsidRPr="00816F89">
        <w:rPr>
          <w:rFonts w:cs="Times New Roman"/>
          <w:i/>
          <w:lang w:val="en-US"/>
        </w:rPr>
        <w:t>Mounted Police Association of Ontario v. Canada (Attorney General)</w:t>
      </w:r>
      <w:r w:rsidRPr="00816F89">
        <w:rPr>
          <w:rFonts w:cs="Times New Roman"/>
          <w:lang w:val="en-US"/>
        </w:rPr>
        <w:t>, 2015 SCC 1, [2015] 1 S.C.R. 3</w:t>
      </w:r>
      <w:r w:rsidRPr="00816F89">
        <w:rPr>
          <w:rFonts w:cs="Times New Roman"/>
        </w:rPr>
        <w:t xml:space="preserve"> (“</w:t>
      </w:r>
      <w:r w:rsidRPr="00816F89">
        <w:rPr>
          <w:rFonts w:cs="Times New Roman"/>
          <w:i/>
          <w:iCs/>
        </w:rPr>
        <w:t>MPAO</w:t>
      </w:r>
      <w:r w:rsidRPr="00816F89">
        <w:rPr>
          <w:rFonts w:cs="Times New Roman"/>
        </w:rPr>
        <w:t xml:space="preserve">”), without being overturned. In my opinion, and for the reasons set out below, the </w:t>
      </w:r>
      <w:r w:rsidRPr="00816F89">
        <w:rPr>
          <w:rFonts w:cs="Times New Roman"/>
          <w:i/>
        </w:rPr>
        <w:t>Dunmore</w:t>
      </w:r>
      <w:r w:rsidRPr="00816F89">
        <w:rPr>
          <w:rFonts w:cs="Times New Roman"/>
        </w:rPr>
        <w:t xml:space="preserve"> framework remains applicable to constitutional challenges to the exclusion of workers from a labour relations regime.</w:t>
      </w:r>
    </w:p>
    <w:p w14:paraId="46B6B9F4" w14:textId="77777777" w:rsidR="00816F89" w:rsidRPr="00816F89" w:rsidRDefault="00816F89" w:rsidP="00816F89">
      <w:pPr>
        <w:pStyle w:val="ParaNoNdepar-AltN"/>
        <w:spacing w:before="0"/>
        <w:rPr>
          <w:rFonts w:cs="Times New Roman"/>
        </w:rPr>
      </w:pPr>
      <w:r w:rsidRPr="00816F89">
        <w:rPr>
          <w:rFonts w:cs="Times New Roman"/>
        </w:rPr>
        <w:t xml:space="preserve">Applying this framework to the facts of this case, I arrive at the conclusion that the impugned legislative exclusion does not limit the freedom of association guaranteed by the </w:t>
      </w:r>
      <w:r w:rsidRPr="00816F89">
        <w:rPr>
          <w:rFonts w:cs="Times New Roman"/>
          <w:iCs/>
        </w:rPr>
        <w:t xml:space="preserve">Canadian </w:t>
      </w:r>
      <w:r w:rsidRPr="00816F89">
        <w:rPr>
          <w:rFonts w:cs="Times New Roman"/>
        </w:rPr>
        <w:t xml:space="preserve">and </w:t>
      </w:r>
      <w:r w:rsidRPr="00816F89">
        <w:rPr>
          <w:rFonts w:cs="Times New Roman"/>
          <w:iCs/>
        </w:rPr>
        <w:t>Quebec charters</w:t>
      </w:r>
      <w:r w:rsidRPr="00816F89">
        <w:rPr>
          <w:rFonts w:cs="Times New Roman"/>
        </w:rPr>
        <w:t>.</w:t>
      </w:r>
    </w:p>
    <w:p w14:paraId="6B08B069" w14:textId="77777777" w:rsidR="00816F89" w:rsidRPr="00816F89" w:rsidRDefault="00816F89" w:rsidP="00816F89">
      <w:pPr>
        <w:pStyle w:val="Title1LevelTitre1Niveau-AltL"/>
        <w:numPr>
          <w:ilvl w:val="0"/>
          <w:numId w:val="8"/>
        </w:numPr>
        <w:spacing w:before="0"/>
        <w:jc w:val="both"/>
        <w:rPr>
          <w:rFonts w:cs="Times New Roman"/>
        </w:rPr>
      </w:pPr>
      <w:bookmarkStart w:id="12" w:name="_Toc162942338"/>
      <w:r w:rsidRPr="00816F89">
        <w:rPr>
          <w:rFonts w:cs="Times New Roman"/>
        </w:rPr>
        <w:t>Background</w:t>
      </w:r>
      <w:bookmarkEnd w:id="12"/>
    </w:p>
    <w:p w14:paraId="4764A621" w14:textId="77777777" w:rsidR="00816F89" w:rsidRPr="00816F89" w:rsidRDefault="00816F89" w:rsidP="00816F89">
      <w:pPr>
        <w:pStyle w:val="ParaNoNdepar-AltN"/>
        <w:rPr>
          <w:rFonts w:cs="Times New Roman"/>
        </w:rPr>
      </w:pPr>
      <w:r w:rsidRPr="00816F89">
        <w:rPr>
          <w:rFonts w:cs="Times New Roman"/>
        </w:rPr>
        <w:t>The Société, a subsidiary of the Société des loteries du Québec (“Loto</w:t>
      </w:r>
      <w:r w:rsidRPr="00816F89">
        <w:rPr>
          <w:rFonts w:cs="Times New Roman"/>
        </w:rPr>
        <w:noBreakHyphen/>
        <w:t xml:space="preserve">Québec”), manages four casinos in Quebec. The Association, created in 1997 under the </w:t>
      </w:r>
      <w:r w:rsidRPr="00816F89">
        <w:rPr>
          <w:rFonts w:cs="Times New Roman"/>
          <w:i/>
        </w:rPr>
        <w:t>Professional Syndicates Act</w:t>
      </w:r>
      <w:r w:rsidRPr="00816F89">
        <w:rPr>
          <w:rFonts w:cs="Times New Roman"/>
        </w:rPr>
        <w:t>, R.S.Q., c. S</w:t>
      </w:r>
      <w:r w:rsidRPr="00816F89">
        <w:rPr>
          <w:rFonts w:cs="Times New Roman"/>
        </w:rPr>
        <w:noBreakHyphen/>
        <w:t xml:space="preserve">40 (now </w:t>
      </w:r>
      <w:r w:rsidRPr="00816F89">
        <w:rPr>
          <w:rFonts w:cs="Times New Roman"/>
          <w:lang w:val="en-US"/>
        </w:rPr>
        <w:t>CQLR, c. S</w:t>
      </w:r>
      <w:r w:rsidRPr="00816F89">
        <w:rPr>
          <w:rFonts w:cs="Times New Roman"/>
          <w:lang w:val="en-US"/>
        </w:rPr>
        <w:noBreakHyphen/>
        <w:t xml:space="preserve">40), </w:t>
      </w:r>
      <w:r w:rsidRPr="00816F89">
        <w:rPr>
          <w:rFonts w:cs="Times New Roman"/>
        </w:rPr>
        <w:t>represents certain OSs. The OSs supervise the work of the croupiers, who are unionized employees, and also oversee the operations of the gaming sector, which includes the gaming tables, the slot machines, keno (a type of bingo) and the poker rooms. The OSs are the employers’ eyes and ears on the floor.</w:t>
      </w:r>
    </w:p>
    <w:p w14:paraId="7B460EBC" w14:textId="77777777" w:rsidR="00816F89" w:rsidRPr="00816F89" w:rsidRDefault="00816F89" w:rsidP="00816F89">
      <w:pPr>
        <w:pStyle w:val="ParaNoNdepar-AltN"/>
        <w:spacing w:before="0"/>
        <w:rPr>
          <w:rFonts w:cs="Times New Roman"/>
        </w:rPr>
      </w:pPr>
      <w:r w:rsidRPr="00816F89">
        <w:rPr>
          <w:rFonts w:cs="Times New Roman"/>
        </w:rPr>
        <w:t>On September 19, 2001, following negotiations, the Association and the Société entered into a memorandum of understanding (“Memorandum”) that was meant to govern certain aspects of collective labour relations between the table supervisors (later replaced by the OSs) and the Société. During the years after the Memorandum was entered into, numerous disputes arose concerning its application and the negotiation of certain conditions of employment.</w:t>
      </w:r>
    </w:p>
    <w:p w14:paraId="49B03ED4" w14:textId="77777777" w:rsidR="00816F89" w:rsidRPr="00816F89" w:rsidRDefault="00816F89" w:rsidP="00816F89">
      <w:pPr>
        <w:pStyle w:val="ParaNoNdepar-AltN"/>
        <w:spacing w:before="0"/>
        <w:rPr>
          <w:rFonts w:cs="Times New Roman"/>
        </w:rPr>
      </w:pPr>
      <w:r w:rsidRPr="00816F89">
        <w:rPr>
          <w:rFonts w:cs="Times New Roman"/>
          <w:lang w:val="fr-CA"/>
        </w:rPr>
        <w:t xml:space="preserve">On March 18, 2003, the Association, together with the Confédération nationale des cadres du Québec, the Association des cadres supérieurs de la santé et des services sociaux and the Association des directeurs et directrices de succursale de la Société des alcools du Québec, filed a complaint with the International Labour Organization’s Committee on Freedom of Association. </w:t>
      </w:r>
      <w:r w:rsidRPr="00816F89">
        <w:rPr>
          <w:rFonts w:cs="Times New Roman"/>
        </w:rPr>
        <w:t>In that complaint, the Association challenged the exclusion in s. 1(</w:t>
      </w:r>
      <w:r w:rsidRPr="00816F89">
        <w:rPr>
          <w:rFonts w:cs="Times New Roman"/>
          <w:i/>
          <w:iCs/>
        </w:rPr>
        <w:t>l</w:t>
      </w:r>
      <w:r w:rsidRPr="00816F89">
        <w:rPr>
          <w:rFonts w:cs="Times New Roman"/>
          <w:iCs/>
        </w:rPr>
        <w:t>)(</w:t>
      </w:r>
      <w:r w:rsidRPr="00816F89">
        <w:rPr>
          <w:rFonts w:cs="Times New Roman"/>
        </w:rPr>
        <w:t xml:space="preserve">1) </w:t>
      </w:r>
      <w:r w:rsidRPr="00816F89">
        <w:rPr>
          <w:rFonts w:cs="Times New Roman"/>
          <w:i/>
        </w:rPr>
        <w:t>L.C.</w:t>
      </w:r>
      <w:r w:rsidRPr="00816F89">
        <w:rPr>
          <w:rFonts w:cs="Times New Roman"/>
        </w:rPr>
        <w:t xml:space="preserve"> under the International Labour Organization’s</w:t>
      </w:r>
      <w:r w:rsidRPr="00816F89">
        <w:rPr>
          <w:rFonts w:cs="Times New Roman"/>
          <w:iCs/>
        </w:rPr>
        <w:t xml:space="preserve"> </w:t>
      </w:r>
      <w:r w:rsidRPr="00816F89">
        <w:rPr>
          <w:rFonts w:cs="Times New Roman"/>
          <w:i/>
        </w:rPr>
        <w:t>Convention (No. 87) concerning freedom of association and protection of the right to organize</w:t>
      </w:r>
      <w:r w:rsidRPr="00816F89">
        <w:rPr>
          <w:rFonts w:cs="Times New Roman"/>
        </w:rPr>
        <w:t xml:space="preserve">, 68 U.N.T.S. 17, and </w:t>
      </w:r>
      <w:r w:rsidRPr="00816F89">
        <w:rPr>
          <w:rFonts w:cs="Times New Roman"/>
          <w:i/>
        </w:rPr>
        <w:t>Convention (No. 98) concerning the application of the principles of the right to organise and to bargain collectively</w:t>
      </w:r>
      <w:r w:rsidRPr="00816F89">
        <w:rPr>
          <w:rFonts w:cs="Times New Roman"/>
        </w:rPr>
        <w:t>, 96 U.N.T.S. 257.</w:t>
      </w:r>
    </w:p>
    <w:p w14:paraId="096720AA" w14:textId="77777777" w:rsidR="00816F89" w:rsidRPr="00816F89" w:rsidRDefault="00816F89" w:rsidP="00816F89">
      <w:pPr>
        <w:pStyle w:val="ParaNoNdepar-AltN"/>
        <w:spacing w:before="0"/>
        <w:rPr>
          <w:rFonts w:cs="Times New Roman"/>
        </w:rPr>
      </w:pPr>
      <w:r w:rsidRPr="00816F89">
        <w:rPr>
          <w:rFonts w:cs="Times New Roman"/>
        </w:rPr>
        <w:t>In its report, the Committee concluded that the exclusion in s. 1(</w:t>
      </w:r>
      <w:r w:rsidRPr="00816F89">
        <w:rPr>
          <w:rFonts w:cs="Times New Roman"/>
          <w:i/>
          <w:iCs/>
        </w:rPr>
        <w:t>l</w:t>
      </w:r>
      <w:r w:rsidRPr="00816F89">
        <w:rPr>
          <w:rFonts w:cs="Times New Roman"/>
          <w:iCs/>
        </w:rPr>
        <w:t>)(</w:t>
      </w:r>
      <w:r w:rsidRPr="00816F89">
        <w:rPr>
          <w:rFonts w:cs="Times New Roman"/>
        </w:rPr>
        <w:t xml:space="preserve">1) </w:t>
      </w:r>
      <w:r w:rsidRPr="00816F89">
        <w:rPr>
          <w:rFonts w:cs="Times New Roman"/>
          <w:i/>
        </w:rPr>
        <w:t>L.C.</w:t>
      </w:r>
      <w:r w:rsidRPr="00816F89">
        <w:rPr>
          <w:rFonts w:cs="Times New Roman"/>
        </w:rPr>
        <w:t xml:space="preserve"> prevented managerial personnel from unionizing, although they were able to “form associations, which enjoy significant prerogatives” (</w:t>
      </w:r>
      <w:r w:rsidRPr="00816F89">
        <w:rPr>
          <w:rFonts w:cs="Times New Roman"/>
          <w:lang w:val="en-US"/>
        </w:rPr>
        <w:t>Report No. 335 (2004), vol. LXXXVII, Series B, No. 3, at para. 459)</w:t>
      </w:r>
      <w:r w:rsidRPr="00816F89">
        <w:rPr>
          <w:rFonts w:cs="Times New Roman"/>
        </w:rPr>
        <w:t xml:space="preserve">. The Committee recommended that the </w:t>
      </w:r>
      <w:r w:rsidRPr="00816F89">
        <w:rPr>
          <w:rFonts w:cs="Times New Roman"/>
          <w:i/>
        </w:rPr>
        <w:t>L.C.</w:t>
      </w:r>
      <w:r w:rsidRPr="00816F89">
        <w:rPr>
          <w:rFonts w:cs="Times New Roman"/>
        </w:rPr>
        <w:t xml:space="preserve"> be amended “so that managerial personnel enjoy the right to benefit from the general provisions of collective labour law and form associations that enjoy the same rights, prerogatives and means of redress as other workers’ associations” (para. 463).</w:t>
      </w:r>
    </w:p>
    <w:p w14:paraId="545CBE79" w14:textId="77777777" w:rsidR="00816F89" w:rsidRPr="00816F89" w:rsidRDefault="00816F89" w:rsidP="00816F89">
      <w:pPr>
        <w:pStyle w:val="ParaNoNdepar-AltN"/>
        <w:spacing w:before="0"/>
        <w:rPr>
          <w:rFonts w:cs="Times New Roman"/>
        </w:rPr>
      </w:pPr>
      <w:r w:rsidRPr="00816F89">
        <w:rPr>
          <w:rFonts w:cs="Times New Roman"/>
        </w:rPr>
        <w:t>On September 5, 2007, in response to the Committee’s report, the Quebec government proposed a good governance guide that was to apply [</w:t>
      </w:r>
      <w:r w:rsidRPr="00816F89">
        <w:rPr>
          <w:rFonts w:cs="Times New Roman"/>
          <w:smallCaps/>
        </w:rPr>
        <w:t>translation</w:t>
      </w:r>
      <w:r w:rsidRPr="00816F89">
        <w:rPr>
          <w:rFonts w:cs="Times New Roman"/>
        </w:rPr>
        <w:t>] “to managerial personnel in the public and parapublic sectors (public service, education, and health and social services) represented by an association recognized by government order or ministerial order” (A.R., vol. VI, at p. 273). The guide suggested, among other things, that there be an agreement setting out the process for consulting the associations when the state, the employer, wished to modify their members’ conditions of employment. The guide also contained suggestions about what form that process should take, and it proposed that disputes relating to compliance with the agreed consultation process be referred to the appropriate departmental authority. It should be noted that the guide did not apply to state</w:t>
      </w:r>
      <w:r w:rsidRPr="00816F89">
        <w:rPr>
          <w:rFonts w:cs="Times New Roman"/>
        </w:rPr>
        <w:noBreakHyphen/>
        <w:t>owned enterprises and therefore had no impact on collective labour relations at the Société.</w:t>
      </w:r>
    </w:p>
    <w:p w14:paraId="050401F3" w14:textId="77777777" w:rsidR="00816F89" w:rsidRPr="00816F89" w:rsidRDefault="00816F89" w:rsidP="00816F89">
      <w:pPr>
        <w:pStyle w:val="ParaNoNdepar-AltN"/>
        <w:spacing w:before="0"/>
        <w:rPr>
          <w:rFonts w:cs="Times New Roman"/>
        </w:rPr>
      </w:pPr>
      <w:r w:rsidRPr="00816F89">
        <w:rPr>
          <w:rFonts w:cs="Times New Roman"/>
        </w:rPr>
        <w:t>In 2009, the Association filed a petition with the Commission des relations du travail (now the ALT</w:t>
      </w:r>
      <w:r w:rsidRPr="00E92BC4">
        <w:rPr>
          <w:rStyle w:val="Hyperlink"/>
          <w:vertAlign w:val="superscript"/>
        </w:rPr>
        <w:footnoteReference w:id="2"/>
      </w:r>
      <w:r w:rsidRPr="00816F89">
        <w:rPr>
          <w:rFonts w:cs="Times New Roman"/>
        </w:rPr>
        <w:t xml:space="preserve">) seeking certification under the </w:t>
      </w:r>
      <w:r w:rsidRPr="00816F89">
        <w:rPr>
          <w:rFonts w:cs="Times New Roman"/>
          <w:i/>
        </w:rPr>
        <w:t>L.C.</w:t>
      </w:r>
      <w:r w:rsidRPr="00816F89">
        <w:rPr>
          <w:rFonts w:cs="Times New Roman"/>
        </w:rPr>
        <w:t xml:space="preserve"> Through its petition, the Association applied to represent the OSs in all divisions of the gaming sector of Casino de Montréal. At the time of the hearings, the Association represented 250 OSs assigned to the gaming tables at Casino de Montréal and Casino du Lac</w:t>
      </w:r>
      <w:r w:rsidRPr="00816F89">
        <w:rPr>
          <w:rFonts w:cs="Times New Roman"/>
        </w:rPr>
        <w:noBreakHyphen/>
        <w:t>Leamy, that is, 70 percent of the Société’s gaming table OSs. The Association’s membership also included OSs from divisions other than gaming tables.</w:t>
      </w:r>
    </w:p>
    <w:p w14:paraId="05CB8087" w14:textId="77777777" w:rsidR="00816F89" w:rsidRPr="00816F89" w:rsidRDefault="00816F89" w:rsidP="00816F89">
      <w:pPr>
        <w:pStyle w:val="ParaNoNdepar-AltN"/>
        <w:rPr>
          <w:rFonts w:cs="Times New Roman"/>
        </w:rPr>
      </w:pPr>
      <w:r w:rsidRPr="00816F89">
        <w:rPr>
          <w:rFonts w:cs="Times New Roman"/>
        </w:rPr>
        <w:t>In response to the Association’s petition for certification, the Société raised an exception to dismiss based on the exclusion set out in s. 1(</w:t>
      </w:r>
      <w:r w:rsidRPr="00816F89">
        <w:rPr>
          <w:rFonts w:cs="Times New Roman"/>
          <w:i/>
          <w:iCs/>
        </w:rPr>
        <w:t>l</w:t>
      </w:r>
      <w:r w:rsidRPr="00816F89">
        <w:rPr>
          <w:rFonts w:cs="Times New Roman"/>
          <w:iCs/>
        </w:rPr>
        <w:t>)(</w:t>
      </w:r>
      <w:r w:rsidRPr="00816F89">
        <w:rPr>
          <w:rFonts w:cs="Times New Roman"/>
        </w:rPr>
        <w:t xml:space="preserve">1) </w:t>
      </w:r>
      <w:r w:rsidRPr="00816F89">
        <w:rPr>
          <w:rFonts w:cs="Times New Roman"/>
          <w:i/>
        </w:rPr>
        <w:t>L.C.</w:t>
      </w:r>
      <w:r w:rsidRPr="00816F89">
        <w:rPr>
          <w:rFonts w:cs="Times New Roman"/>
        </w:rPr>
        <w:t xml:space="preserve"> It is important to note that this is the context in which the Association contends that this provision is unconstitutional.</w:t>
      </w:r>
    </w:p>
    <w:p w14:paraId="6B0E65D3" w14:textId="77777777" w:rsidR="00816F89" w:rsidRPr="00816F89" w:rsidRDefault="00816F89" w:rsidP="00816F89">
      <w:pPr>
        <w:pStyle w:val="Title1LevelTitre1Niveau-AltL"/>
        <w:numPr>
          <w:ilvl w:val="0"/>
          <w:numId w:val="8"/>
        </w:numPr>
        <w:spacing w:before="0"/>
        <w:jc w:val="both"/>
        <w:rPr>
          <w:rFonts w:cs="Times New Roman"/>
        </w:rPr>
      </w:pPr>
      <w:bookmarkStart w:id="13" w:name="_Toc162942339"/>
      <w:r w:rsidRPr="00816F89">
        <w:rPr>
          <w:rFonts w:cs="Times New Roman"/>
        </w:rPr>
        <w:t>Judicial History</w:t>
      </w:r>
      <w:bookmarkEnd w:id="13"/>
    </w:p>
    <w:p w14:paraId="226544FE" w14:textId="77777777" w:rsidR="00816F89" w:rsidRPr="00816F89" w:rsidRDefault="00816F89" w:rsidP="00816F89">
      <w:pPr>
        <w:pStyle w:val="Title2LevelTitre2Niveau"/>
        <w:numPr>
          <w:ilvl w:val="1"/>
          <w:numId w:val="8"/>
        </w:numPr>
        <w:spacing w:before="0"/>
        <w:jc w:val="both"/>
        <w:rPr>
          <w:rFonts w:cs="Times New Roman"/>
        </w:rPr>
      </w:pPr>
      <w:bookmarkStart w:id="14" w:name="_Toc162942340"/>
      <w:r w:rsidRPr="00816F89">
        <w:rPr>
          <w:rFonts w:cs="Times New Roman"/>
        </w:rPr>
        <w:t>Administrative Labour Tribunal, 2016 QCTAT 6870 (Administrative Judge Zaïkoff)</w:t>
      </w:r>
      <w:bookmarkEnd w:id="14"/>
    </w:p>
    <w:p w14:paraId="22148922" w14:textId="77777777" w:rsidR="00816F89" w:rsidRPr="00816F89" w:rsidRDefault="00816F89" w:rsidP="00816F89">
      <w:pPr>
        <w:pStyle w:val="ParaNoNdepar-AltN"/>
        <w:spacing w:before="0"/>
        <w:rPr>
          <w:rFonts w:cs="Times New Roman"/>
        </w:rPr>
      </w:pPr>
      <w:r w:rsidRPr="00816F89">
        <w:rPr>
          <w:rFonts w:cs="Times New Roman"/>
        </w:rPr>
        <w:t>The administrative judge was of the view that s. 1(</w:t>
      </w:r>
      <w:r w:rsidRPr="00816F89">
        <w:rPr>
          <w:rFonts w:cs="Times New Roman"/>
          <w:i/>
          <w:iCs/>
        </w:rPr>
        <w:t>l</w:t>
      </w:r>
      <w:r w:rsidRPr="00816F89">
        <w:rPr>
          <w:rFonts w:cs="Times New Roman"/>
          <w:iCs/>
        </w:rPr>
        <w:t>)(</w:t>
      </w:r>
      <w:r w:rsidRPr="00816F89">
        <w:rPr>
          <w:rFonts w:cs="Times New Roman"/>
        </w:rPr>
        <w:t xml:space="preserve">1) </w:t>
      </w:r>
      <w:r w:rsidRPr="00816F89">
        <w:rPr>
          <w:rFonts w:cs="Times New Roman"/>
          <w:i/>
        </w:rPr>
        <w:t>L.C.</w:t>
      </w:r>
      <w:r w:rsidRPr="00816F89">
        <w:rPr>
          <w:rFonts w:cs="Times New Roman"/>
        </w:rPr>
        <w:t xml:space="preserve"> unjustifiably infringed the freedom of association of the persons covered by the Association’s petition for certification. She accordingly declared the provision to be of no force or effect for the purposes of the petition.</w:t>
      </w:r>
    </w:p>
    <w:p w14:paraId="08DDB46C" w14:textId="77777777" w:rsidR="00816F89" w:rsidRPr="00816F89" w:rsidRDefault="00816F89" w:rsidP="00816F89">
      <w:pPr>
        <w:pStyle w:val="ParaNoNdepar-AltN"/>
        <w:spacing w:before="0"/>
        <w:rPr>
          <w:rFonts w:cs="Times New Roman"/>
        </w:rPr>
      </w:pPr>
      <w:r w:rsidRPr="00816F89">
        <w:rPr>
          <w:rFonts w:cs="Times New Roman"/>
        </w:rPr>
        <w:t xml:space="preserve">The administrative judge found that the Association was not seeking positive state action. In her opinion, the purpose of the petition was only to ensure that the Association’s members were not deprived of adequate protection in their relations with the Société so that they were not impeded from exercising their freedom of association. Consequently, the administrative judge did not apply the framework established by our Court in </w:t>
      </w:r>
      <w:r w:rsidRPr="00816F89">
        <w:rPr>
          <w:rFonts w:cs="Times New Roman"/>
          <w:i/>
        </w:rPr>
        <w:t>Dunmore</w:t>
      </w:r>
      <w:r w:rsidRPr="00816F89">
        <w:rPr>
          <w:rFonts w:cs="Times New Roman"/>
        </w:rPr>
        <w:t xml:space="preserve"> and </w:t>
      </w:r>
      <w:r w:rsidRPr="00816F89">
        <w:rPr>
          <w:rFonts w:cs="Times New Roman"/>
          <w:bCs/>
          <w:i/>
          <w:lang w:val="en-US"/>
        </w:rPr>
        <w:t>Baier v. Alberta</w:t>
      </w:r>
      <w:r w:rsidRPr="00816F89">
        <w:rPr>
          <w:rFonts w:cs="Times New Roman"/>
          <w:bCs/>
          <w:lang w:val="en-US"/>
        </w:rPr>
        <w:t>, 2007 SCC 31, [2007] 2 S.C.R. 673</w:t>
      </w:r>
      <w:r w:rsidRPr="00816F89">
        <w:rPr>
          <w:rFonts w:cs="Times New Roman"/>
        </w:rPr>
        <w:t>.</w:t>
      </w:r>
    </w:p>
    <w:p w14:paraId="3C5F4942" w14:textId="77777777" w:rsidR="00816F89" w:rsidRPr="00816F89" w:rsidRDefault="00816F89" w:rsidP="00816F89">
      <w:pPr>
        <w:pStyle w:val="ParaNoNdepar-AltN"/>
        <w:spacing w:before="0"/>
        <w:rPr>
          <w:rFonts w:cs="Times New Roman"/>
        </w:rPr>
      </w:pPr>
      <w:r w:rsidRPr="00816F89">
        <w:rPr>
          <w:rFonts w:cs="Times New Roman"/>
        </w:rPr>
        <w:t>The administrative judge held that the legislative exclusion had the effect of substantially interfering with the freedom of association of the Association’s members. First, the judge was of the view that the legislative exclusion deprived the Association’s members of protection from meddling or interference by the employer in the recognition of the Association’s representative character. Second, she found that there was a power imbalance between the first</w:t>
      </w:r>
      <w:r w:rsidRPr="00816F89">
        <w:rPr>
          <w:rFonts w:cs="Times New Roman"/>
        </w:rPr>
        <w:noBreakHyphen/>
        <w:t>level managers and the executive that affected collective bargaining. Indeed, in her opinion, the managers felt caught [</w:t>
      </w:r>
      <w:r w:rsidRPr="00816F89">
        <w:rPr>
          <w:rFonts w:cs="Times New Roman"/>
          <w:smallCaps/>
        </w:rPr>
        <w:t>translation</w:t>
      </w:r>
      <w:r w:rsidRPr="00816F89">
        <w:rPr>
          <w:rFonts w:cs="Times New Roman"/>
        </w:rPr>
        <w:t>] “between ‘a rock and a hard place’” (para. 315 (CanLII)) and lacked resources like those of the Société, which was closely linked to the state apparatus. Third, the judge concluded from her review of the evidence that the Société was not open to discussing a number of subjects related to labour relations, such as the inclusion of conditions of employment in the Memorandum, the determination of the members represented by the Association, the conditions of employment affecting wages, and staff movement. Fourth, the legislative exclusion deprived the Association’s members of effective legal recourses for sanctioning non</w:t>
      </w:r>
      <w:r w:rsidRPr="00816F89">
        <w:rPr>
          <w:rFonts w:cs="Times New Roman"/>
        </w:rPr>
        <w:noBreakHyphen/>
        <w:t>compliance with the Memorandum or for resolving difficulties in its interpretation and application. Having recourse to the ordinary courts was not comparable, from the standpoint of accessibility and speed, to having recourse to a specialized tribunal, nor did it make it possible to obtain the remedies required in the collective labour relations context. Finally, the administrative judge was of the opinion that, in practice, the legislative exclusion took away the right to strike of the first</w:t>
      </w:r>
      <w:r w:rsidRPr="00816F89">
        <w:rPr>
          <w:rFonts w:cs="Times New Roman"/>
        </w:rPr>
        <w:noBreakHyphen/>
        <w:t>level managers who were the Association’s members. Indeed, outside of legislation governing this right, employees cannot cease to perform their work without facing disciplinary action.</w:t>
      </w:r>
    </w:p>
    <w:p w14:paraId="2E8A4165" w14:textId="77777777" w:rsidR="00816F89" w:rsidRPr="00816F89" w:rsidRDefault="00816F89" w:rsidP="00816F89">
      <w:pPr>
        <w:pStyle w:val="ParaNoNdepar-AltN"/>
        <w:spacing w:before="0"/>
        <w:rPr>
          <w:rFonts w:cs="Times New Roman"/>
        </w:rPr>
      </w:pPr>
      <w:r w:rsidRPr="00816F89">
        <w:rPr>
          <w:rFonts w:cs="Times New Roman"/>
        </w:rPr>
        <w:t>The administrative judge attributed responsibility for this interference to the state because, in her view, the exclusion of first</w:t>
      </w:r>
      <w:r w:rsidRPr="00816F89">
        <w:rPr>
          <w:rFonts w:cs="Times New Roman"/>
        </w:rPr>
        <w:noBreakHyphen/>
        <w:t>level managers was contrary to the state’s international commitments, as the International Labour Organization’s Committee on Freedom of Association had concluded.</w:t>
      </w:r>
    </w:p>
    <w:p w14:paraId="08FB800F" w14:textId="77777777" w:rsidR="00816F89" w:rsidRPr="00816F89" w:rsidRDefault="00816F89" w:rsidP="00816F89">
      <w:pPr>
        <w:pStyle w:val="ParaNoNdepar-AltN"/>
        <w:spacing w:before="0"/>
        <w:rPr>
          <w:rFonts w:cs="Times New Roman"/>
        </w:rPr>
      </w:pPr>
      <w:r w:rsidRPr="00816F89">
        <w:rPr>
          <w:rFonts w:cs="Times New Roman"/>
        </w:rPr>
        <w:t xml:space="preserve">If the Association had been seeking positive state action, the administrative judge would have found that the requirements in </w:t>
      </w:r>
      <w:r w:rsidRPr="00816F89">
        <w:rPr>
          <w:rFonts w:cs="Times New Roman"/>
          <w:i/>
        </w:rPr>
        <w:t>Baier</w:t>
      </w:r>
      <w:r w:rsidRPr="00816F89">
        <w:rPr>
          <w:rFonts w:cs="Times New Roman"/>
        </w:rPr>
        <w:t xml:space="preserve"> were met, because the Association was not trying to gain access to a particular statutory regime. The Association had shown that, in the absence of another statutory regime, the exclusion of its members from the </w:t>
      </w:r>
      <w:r w:rsidRPr="00816F89">
        <w:rPr>
          <w:rFonts w:cs="Times New Roman"/>
          <w:i/>
        </w:rPr>
        <w:t>L.C.</w:t>
      </w:r>
      <w:r w:rsidRPr="00816F89">
        <w:rPr>
          <w:rFonts w:cs="Times New Roman"/>
        </w:rPr>
        <w:t xml:space="preserve"> regime substantially interfered with their freedom of association.</w:t>
      </w:r>
    </w:p>
    <w:p w14:paraId="336C740D" w14:textId="77777777" w:rsidR="00816F89" w:rsidRPr="00816F89" w:rsidRDefault="00816F89" w:rsidP="00816F89">
      <w:pPr>
        <w:pStyle w:val="ParaNoNdepar-AltN"/>
        <w:spacing w:before="0"/>
        <w:rPr>
          <w:rFonts w:cs="Times New Roman"/>
        </w:rPr>
      </w:pPr>
      <w:r w:rsidRPr="00816F89">
        <w:rPr>
          <w:rFonts w:cs="Times New Roman"/>
        </w:rPr>
        <w:t>In this regard, the administrative judge found from the evidence that Casino de Montréal was not giving full effect to the Association’s recognition as the OSs’ representative association. For example, Casino de Montréal had established a joint work schedule committee to which non</w:t>
      </w:r>
      <w:r w:rsidRPr="00816F89">
        <w:rPr>
          <w:rFonts w:cs="Times New Roman"/>
        </w:rPr>
        <w:noBreakHyphen/>
        <w:t>members were invited, which made membership in the Association less useful. The Association was not asked to participate in the work on the pension plan, group insurance or the guide on conditions of employment. Similarly, Casino de Montréal refused to consider any issue related to the Memorandum and to [</w:t>
      </w:r>
      <w:r w:rsidRPr="00816F89">
        <w:rPr>
          <w:rFonts w:cs="Times New Roman"/>
          <w:smallCaps/>
        </w:rPr>
        <w:t>translation</w:t>
      </w:r>
      <w:r w:rsidRPr="00816F89">
        <w:rPr>
          <w:rFonts w:cs="Times New Roman"/>
        </w:rPr>
        <w:t>] “the question of deduction of dues, the increase in leave for representatives and the inclusion of conditions of employment in the Memorandum” (para. 400). Decision makers at various levels failed to respond to some of the Association’s requests and hardly provided it with any follow</w:t>
      </w:r>
      <w:r w:rsidRPr="00816F89">
        <w:rPr>
          <w:rFonts w:cs="Times New Roman"/>
        </w:rPr>
        <w:noBreakHyphen/>
        <w:t>up. Casino de Montréal did not undertake to bargain with the Association but only to consult it and, for that matter, such consultation did not always occur.</w:t>
      </w:r>
    </w:p>
    <w:p w14:paraId="62ACDDD4" w14:textId="77777777" w:rsidR="00816F89" w:rsidRPr="00816F89" w:rsidRDefault="00816F89" w:rsidP="00816F89">
      <w:pPr>
        <w:pStyle w:val="ParaNoNdepar-AltN"/>
        <w:spacing w:before="0"/>
        <w:rPr>
          <w:rFonts w:cs="Times New Roman"/>
        </w:rPr>
      </w:pPr>
      <w:r w:rsidRPr="00816F89">
        <w:rPr>
          <w:rFonts w:cs="Times New Roman"/>
        </w:rPr>
        <w:t xml:space="preserve">This infringement of freedom of association was not justified under s. 1 of the </w:t>
      </w:r>
      <w:r w:rsidRPr="00816F89">
        <w:rPr>
          <w:rFonts w:cs="Times New Roman"/>
          <w:i/>
          <w:iCs/>
        </w:rPr>
        <w:t>Canadian Charter</w:t>
      </w:r>
      <w:r w:rsidRPr="00816F89">
        <w:rPr>
          <w:rFonts w:cs="Times New Roman"/>
        </w:rPr>
        <w:t xml:space="preserve"> or under s. 9.1 of the </w:t>
      </w:r>
      <w:r w:rsidRPr="00816F89">
        <w:rPr>
          <w:rFonts w:cs="Times New Roman"/>
          <w:i/>
          <w:iCs/>
        </w:rPr>
        <w:t>Quebec Charter</w:t>
      </w:r>
      <w:r w:rsidRPr="00816F89">
        <w:rPr>
          <w:rFonts w:cs="Times New Roman"/>
        </w:rPr>
        <w:t xml:space="preserve">. The objective identified by the government was not pressing and substantial, because it had not been shown that the exclusion of managers arose from the </w:t>
      </w:r>
      <w:r w:rsidRPr="00816F89">
        <w:rPr>
          <w:rFonts w:cs="Times New Roman"/>
          <w:i/>
          <w:lang w:val="en-US"/>
        </w:rPr>
        <w:t>National Labor Relations Act</w:t>
      </w:r>
      <w:r w:rsidRPr="00816F89">
        <w:rPr>
          <w:rFonts w:cs="Times New Roman"/>
          <w:lang w:val="en-US"/>
        </w:rPr>
        <w:t>, Pub. L. No. 74</w:t>
      </w:r>
      <w:r w:rsidRPr="00816F89">
        <w:rPr>
          <w:rFonts w:cs="Times New Roman"/>
          <w:lang w:val="en-US"/>
        </w:rPr>
        <w:noBreakHyphen/>
        <w:t>198, 49 Stat. 449 (1935)</w:t>
      </w:r>
      <w:r w:rsidRPr="00816F89">
        <w:rPr>
          <w:rFonts w:cs="Times New Roman"/>
        </w:rPr>
        <w:t xml:space="preserve"> (also known as the “</w:t>
      </w:r>
      <w:r w:rsidRPr="00816F89">
        <w:rPr>
          <w:rFonts w:cs="Times New Roman"/>
          <w:i/>
          <w:iCs/>
        </w:rPr>
        <w:t>Wagner Act</w:t>
      </w:r>
      <w:r w:rsidRPr="00816F89">
        <w:rPr>
          <w:rFonts w:cs="Times New Roman"/>
        </w:rPr>
        <w:t xml:space="preserve">”), which had been the inspiration for the </w:t>
      </w:r>
      <w:r w:rsidRPr="00816F89">
        <w:rPr>
          <w:rFonts w:cs="Times New Roman"/>
          <w:i/>
        </w:rPr>
        <w:t>L.C.</w:t>
      </w:r>
      <w:r w:rsidRPr="00816F89">
        <w:rPr>
          <w:rFonts w:cs="Times New Roman"/>
        </w:rPr>
        <w:t xml:space="preserve"> Indeed, the </w:t>
      </w:r>
      <w:r w:rsidRPr="00816F89">
        <w:rPr>
          <w:rFonts w:cs="Times New Roman"/>
          <w:i/>
        </w:rPr>
        <w:t>Canada Labour Code</w:t>
      </w:r>
      <w:r w:rsidRPr="00816F89">
        <w:rPr>
          <w:rFonts w:cs="Times New Roman"/>
        </w:rPr>
        <w:t>, R.S.C. 1985, c. L</w:t>
      </w:r>
      <w:r w:rsidRPr="00816F89">
        <w:rPr>
          <w:rFonts w:cs="Times New Roman"/>
        </w:rPr>
        <w:noBreakHyphen/>
        <w:t xml:space="preserve">2, and other statutes based on the </w:t>
      </w:r>
      <w:r w:rsidRPr="00816F89">
        <w:rPr>
          <w:rFonts w:cs="Times New Roman"/>
          <w:i/>
        </w:rPr>
        <w:t>Wagner</w:t>
      </w:r>
      <w:r w:rsidRPr="00816F89">
        <w:rPr>
          <w:rFonts w:cs="Times New Roman"/>
        </w:rPr>
        <w:t xml:space="preserve"> model in the rest of Canada permitted the unionization of first</w:t>
      </w:r>
      <w:r w:rsidRPr="00816F89">
        <w:rPr>
          <w:rFonts w:cs="Times New Roman"/>
        </w:rPr>
        <w:noBreakHyphen/>
        <w:t>level managers.</w:t>
      </w:r>
    </w:p>
    <w:p w14:paraId="1CC6F651" w14:textId="77777777" w:rsidR="00816F89" w:rsidRPr="00816F89" w:rsidRDefault="00816F89" w:rsidP="00816F89">
      <w:pPr>
        <w:pStyle w:val="ParaNoNdepar-AltN"/>
        <w:spacing w:before="0"/>
        <w:rPr>
          <w:rFonts w:cs="Times New Roman"/>
        </w:rPr>
      </w:pPr>
      <w:r w:rsidRPr="00816F89">
        <w:rPr>
          <w:rFonts w:cs="Times New Roman"/>
        </w:rPr>
        <w:t>Even if the objective had been pressing and substantial, the means for achieving it were not proportionate. There was no rational connection between the exclusion and the objective identified by the government. The total exclusion of managers was not rationally connected to the concern for maintaining the managers’ duty of loyalty, ensuring that there were no conflicts of interest and preventing interference. Finally, the impairment of freedom of association was not minimal because the legislative exclusion was a total one despite the fact that other models, in Quebec as well as in Canada and at the international level, permitted the unionization of first</w:t>
      </w:r>
      <w:r w:rsidRPr="00816F89">
        <w:rPr>
          <w:rFonts w:cs="Times New Roman"/>
        </w:rPr>
        <w:noBreakHyphen/>
        <w:t>level managers.</w:t>
      </w:r>
    </w:p>
    <w:p w14:paraId="17E45546" w14:textId="77777777" w:rsidR="00816F89" w:rsidRPr="00816F89" w:rsidRDefault="00816F89" w:rsidP="00816F89">
      <w:pPr>
        <w:pStyle w:val="Title2LevelTitre2Niveau"/>
        <w:numPr>
          <w:ilvl w:val="1"/>
          <w:numId w:val="8"/>
        </w:numPr>
        <w:spacing w:before="0"/>
        <w:jc w:val="both"/>
        <w:rPr>
          <w:rFonts w:cs="Times New Roman"/>
        </w:rPr>
      </w:pPr>
      <w:bookmarkStart w:id="15" w:name="_Toc162942341"/>
      <w:r w:rsidRPr="00816F89">
        <w:rPr>
          <w:rFonts w:cs="Times New Roman"/>
        </w:rPr>
        <w:t>Quebec Superior Court, 2018 QCCS 4781 (Lamarche J.)</w:t>
      </w:r>
      <w:bookmarkEnd w:id="15"/>
    </w:p>
    <w:p w14:paraId="2DA81BB9" w14:textId="77777777" w:rsidR="00816F89" w:rsidRPr="00816F89" w:rsidRDefault="00816F89" w:rsidP="00816F89">
      <w:pPr>
        <w:pStyle w:val="ParaNoNdepar-AltN"/>
        <w:spacing w:before="0"/>
        <w:rPr>
          <w:rFonts w:cs="Times New Roman"/>
        </w:rPr>
      </w:pPr>
      <w:r w:rsidRPr="00816F89">
        <w:rPr>
          <w:rFonts w:cs="Times New Roman"/>
        </w:rPr>
        <w:t>The Superior Court allowed the application for judicial review, quashed the ALT’s decision and declared the exclusion in s. 1(</w:t>
      </w:r>
      <w:r w:rsidRPr="00816F89">
        <w:rPr>
          <w:rFonts w:cs="Times New Roman"/>
          <w:i/>
        </w:rPr>
        <w:t>l</w:t>
      </w:r>
      <w:r w:rsidRPr="00816F89">
        <w:rPr>
          <w:rFonts w:cs="Times New Roman"/>
        </w:rPr>
        <w:t xml:space="preserve">)(1) </w:t>
      </w:r>
      <w:r w:rsidRPr="00816F89">
        <w:rPr>
          <w:rFonts w:cs="Times New Roman"/>
          <w:i/>
        </w:rPr>
        <w:t>L.C.</w:t>
      </w:r>
      <w:r w:rsidRPr="00816F89">
        <w:rPr>
          <w:rFonts w:cs="Times New Roman"/>
        </w:rPr>
        <w:t xml:space="preserve"> to be constitutionally applicable, valid and operative.</w:t>
      </w:r>
    </w:p>
    <w:p w14:paraId="253C5203" w14:textId="77777777" w:rsidR="00816F89" w:rsidRPr="00816F89" w:rsidRDefault="00816F89" w:rsidP="00816F89">
      <w:pPr>
        <w:pStyle w:val="ParaNoNdepar-AltN"/>
        <w:spacing w:before="0"/>
        <w:rPr>
          <w:rFonts w:cs="Times New Roman"/>
        </w:rPr>
      </w:pPr>
      <w:r w:rsidRPr="00816F89">
        <w:rPr>
          <w:rFonts w:cs="Times New Roman"/>
        </w:rPr>
        <w:t>The trial judge first found that the standard of correctness applied because the issue was the constitutionality of s. 1(</w:t>
      </w:r>
      <w:r w:rsidRPr="00816F89">
        <w:rPr>
          <w:rFonts w:cs="Times New Roman"/>
          <w:i/>
        </w:rPr>
        <w:t>l</w:t>
      </w:r>
      <w:r w:rsidRPr="00816F89">
        <w:rPr>
          <w:rFonts w:cs="Times New Roman"/>
        </w:rPr>
        <w:t xml:space="preserve">)(1) </w:t>
      </w:r>
      <w:r w:rsidRPr="00816F89">
        <w:rPr>
          <w:rFonts w:cs="Times New Roman"/>
          <w:i/>
        </w:rPr>
        <w:t>L.C.</w:t>
      </w:r>
      <w:r w:rsidRPr="00816F89">
        <w:rPr>
          <w:rFonts w:cs="Times New Roman"/>
        </w:rPr>
        <w:t xml:space="preserve"> However, the court acknowledged that it owed deference to the ALT’s findings of fact.</w:t>
      </w:r>
    </w:p>
    <w:p w14:paraId="162313B6" w14:textId="77777777" w:rsidR="00816F89" w:rsidRPr="00816F89" w:rsidRDefault="00816F89" w:rsidP="00816F89">
      <w:pPr>
        <w:pStyle w:val="ParaNoNdepar-AltN"/>
        <w:spacing w:before="0"/>
        <w:rPr>
          <w:rFonts w:cs="Times New Roman"/>
        </w:rPr>
      </w:pPr>
      <w:r w:rsidRPr="00816F89">
        <w:rPr>
          <w:rFonts w:cs="Times New Roman"/>
        </w:rPr>
        <w:t xml:space="preserve">The Superior Court then held that the Association was seeking positive state action so that its members would be subject to the </w:t>
      </w:r>
      <w:r w:rsidRPr="00816F89">
        <w:rPr>
          <w:rFonts w:cs="Times New Roman"/>
          <w:i/>
        </w:rPr>
        <w:t>L.C.</w:t>
      </w:r>
      <w:r w:rsidRPr="00816F89">
        <w:rPr>
          <w:rFonts w:cs="Times New Roman"/>
        </w:rPr>
        <w:t xml:space="preserve"> regime, and it therefore applied the </w:t>
      </w:r>
      <w:r w:rsidRPr="00816F89">
        <w:rPr>
          <w:rFonts w:cs="Times New Roman"/>
          <w:i/>
        </w:rPr>
        <w:t>Dunmore</w:t>
      </w:r>
      <w:r w:rsidRPr="00816F89">
        <w:rPr>
          <w:rFonts w:cs="Times New Roman"/>
        </w:rPr>
        <w:t xml:space="preserve"> framework, which it called the [</w:t>
      </w:r>
      <w:r w:rsidRPr="00816F89">
        <w:rPr>
          <w:rFonts w:cs="Times New Roman"/>
          <w:smallCaps/>
        </w:rPr>
        <w:t>translation</w:t>
      </w:r>
      <w:r w:rsidRPr="00816F89">
        <w:rPr>
          <w:rFonts w:cs="Times New Roman"/>
        </w:rPr>
        <w:t>] “</w:t>
      </w:r>
      <w:r w:rsidRPr="00816F89">
        <w:rPr>
          <w:rFonts w:cs="Times New Roman"/>
          <w:i/>
        </w:rPr>
        <w:t>Dunmore</w:t>
      </w:r>
      <w:r w:rsidRPr="00816F89">
        <w:rPr>
          <w:rFonts w:cs="Times New Roman"/>
        </w:rPr>
        <w:t xml:space="preserve"> test” (para. 82 (CanLII)). In its view, the ALT had erred in concluding otherwise.</w:t>
      </w:r>
    </w:p>
    <w:p w14:paraId="5AB7DFB1" w14:textId="77777777" w:rsidR="00816F89" w:rsidRPr="00816F89" w:rsidRDefault="00816F89" w:rsidP="00816F89">
      <w:pPr>
        <w:pStyle w:val="ParaNoNdepar-AltN"/>
        <w:spacing w:before="0"/>
        <w:rPr>
          <w:rFonts w:cs="Times New Roman"/>
        </w:rPr>
      </w:pPr>
      <w:r w:rsidRPr="00816F89">
        <w:rPr>
          <w:rFonts w:cs="Times New Roman"/>
        </w:rPr>
        <w:t>At the first step of this framework, the Superior Court found that the Association was not seeking access to a particular statutory regime. Rather, it was seeking to [</w:t>
      </w:r>
      <w:r w:rsidRPr="00816F89">
        <w:rPr>
          <w:rFonts w:cs="Times New Roman"/>
          <w:smallCaps/>
        </w:rPr>
        <w:t>translation</w:t>
      </w:r>
      <w:r w:rsidRPr="00816F89">
        <w:rPr>
          <w:rFonts w:cs="Times New Roman"/>
        </w:rPr>
        <w:t>] “exercise its right to a process of meaningful collective bargaining” (para. 100).</w:t>
      </w:r>
    </w:p>
    <w:p w14:paraId="5B0D7A71" w14:textId="77777777" w:rsidR="00816F89" w:rsidRPr="00816F89" w:rsidRDefault="00816F89" w:rsidP="00816F89">
      <w:pPr>
        <w:pStyle w:val="ParaNoNdepar-AltN"/>
        <w:spacing w:before="0"/>
        <w:rPr>
          <w:rFonts w:cs="Times New Roman"/>
        </w:rPr>
      </w:pPr>
      <w:r w:rsidRPr="00816F89">
        <w:rPr>
          <w:rFonts w:cs="Times New Roman"/>
        </w:rPr>
        <w:t xml:space="preserve">At the second step of the </w:t>
      </w:r>
      <w:r w:rsidRPr="00816F89">
        <w:rPr>
          <w:rFonts w:cs="Times New Roman"/>
          <w:i/>
        </w:rPr>
        <w:t>Dunmore</w:t>
      </w:r>
      <w:r w:rsidRPr="00816F89">
        <w:rPr>
          <w:rFonts w:cs="Times New Roman"/>
        </w:rPr>
        <w:t xml:space="preserve"> framework, the Superior Court was of the view that the purpose of the legislative exclusion was not to deprive the members of their freedom of association, which included the right to meaningful collective bargaining with respect to their conditions of employment. The exclusion was based on the </w:t>
      </w:r>
      <w:r w:rsidRPr="00816F89">
        <w:rPr>
          <w:rFonts w:cs="Times New Roman"/>
          <w:i/>
        </w:rPr>
        <w:t>Wagner</w:t>
      </w:r>
      <w:r w:rsidRPr="00816F89">
        <w:rPr>
          <w:rFonts w:cs="Times New Roman"/>
        </w:rPr>
        <w:t xml:space="preserve"> model and was intended to [</w:t>
      </w:r>
      <w:r w:rsidRPr="00816F89">
        <w:rPr>
          <w:rFonts w:cs="Times New Roman"/>
          <w:smallCaps/>
        </w:rPr>
        <w:t>translation</w:t>
      </w:r>
      <w:r w:rsidRPr="00816F89">
        <w:rPr>
          <w:rFonts w:cs="Times New Roman"/>
        </w:rPr>
        <w:t>] “create a community of interest for non</w:t>
      </w:r>
      <w:r w:rsidRPr="00816F89">
        <w:rPr>
          <w:rFonts w:cs="Times New Roman"/>
        </w:rPr>
        <w:noBreakHyphen/>
        <w:t>managerial employees and to facilitate their unionization while ensuring that the employer is able to trust its managers” (para. 123; see also paras. 124</w:t>
      </w:r>
      <w:r w:rsidRPr="00816F89">
        <w:rPr>
          <w:rFonts w:cs="Times New Roman"/>
        </w:rPr>
        <w:noBreakHyphen/>
        <w:t xml:space="preserve">30). With regard to the effects of the exclusion, the Superior Court criticized the ALT for having compared the situation of the Association’s OS members to the situation of employees whose rights and obligations were set out in the </w:t>
      </w:r>
      <w:r w:rsidRPr="00816F89">
        <w:rPr>
          <w:rFonts w:cs="Times New Roman"/>
          <w:i/>
        </w:rPr>
        <w:t>L.C.</w:t>
      </w:r>
      <w:r w:rsidRPr="00816F89">
        <w:rPr>
          <w:rFonts w:cs="Times New Roman"/>
        </w:rPr>
        <w:t xml:space="preserve"> That error had led the ALT to conclude that a difference between the </w:t>
      </w:r>
      <w:r w:rsidRPr="00816F89">
        <w:rPr>
          <w:rFonts w:cs="Times New Roman"/>
          <w:i/>
        </w:rPr>
        <w:t>L.C.</w:t>
      </w:r>
      <w:r w:rsidRPr="00816F89">
        <w:rPr>
          <w:rFonts w:cs="Times New Roman"/>
        </w:rPr>
        <w:t>’s protections and the situation of the OSs amounted to substantial interference with their freedom of association.</w:t>
      </w:r>
    </w:p>
    <w:p w14:paraId="2F1F2588" w14:textId="77777777" w:rsidR="00816F89" w:rsidRPr="00816F89" w:rsidRDefault="00816F89" w:rsidP="00816F89">
      <w:pPr>
        <w:pStyle w:val="ParaNoNdepar-AltN"/>
        <w:spacing w:before="0"/>
        <w:rPr>
          <w:rFonts w:cs="Times New Roman"/>
        </w:rPr>
      </w:pPr>
      <w:r w:rsidRPr="00816F89">
        <w:rPr>
          <w:rFonts w:cs="Times New Roman"/>
        </w:rPr>
        <w:t xml:space="preserve">The Superior Court nevertheless recognized that the freedom of association of the Association’s OS members was substantially interfered with in some respects. The evidence showed that the Société unilaterally changed the conditions of employment of the Association’s OS members, without consulting it or providing any advance notice. By doing so, the Société undermined the meaningful bargaining process. The evidence also showed that the Société had no real intention of continuing to bargain on certain subjects. However, the ALT had been wrong in attributing responsibility for this interference to the state, as the interference resulted instead from the Société’s conduct. The Association’s claim therefore failed at the third step of the </w:t>
      </w:r>
      <w:r w:rsidRPr="00816F89">
        <w:rPr>
          <w:rFonts w:cs="Times New Roman"/>
          <w:i/>
          <w:iCs/>
        </w:rPr>
        <w:t>Dunmore</w:t>
      </w:r>
      <w:r w:rsidRPr="00816F89">
        <w:rPr>
          <w:rFonts w:cs="Times New Roman"/>
        </w:rPr>
        <w:t xml:space="preserve"> framework.</w:t>
      </w:r>
    </w:p>
    <w:p w14:paraId="58EF9C22" w14:textId="77777777" w:rsidR="00816F89" w:rsidRPr="00816F89" w:rsidRDefault="00816F89" w:rsidP="00816F89">
      <w:pPr>
        <w:pStyle w:val="Title2LevelTitre2Niveau"/>
        <w:numPr>
          <w:ilvl w:val="1"/>
          <w:numId w:val="8"/>
        </w:numPr>
        <w:spacing w:before="0"/>
        <w:jc w:val="both"/>
        <w:rPr>
          <w:rFonts w:cs="Times New Roman"/>
        </w:rPr>
      </w:pPr>
      <w:bookmarkStart w:id="16" w:name="_Toc162942342"/>
      <w:r w:rsidRPr="00816F89">
        <w:rPr>
          <w:rFonts w:cs="Times New Roman"/>
        </w:rPr>
        <w:t>Quebec Court of Appeal, 2022 QCCA 180 (Gagnon, Hogue and Beaupré JJ.A.)</w:t>
      </w:r>
      <w:bookmarkEnd w:id="16"/>
    </w:p>
    <w:p w14:paraId="7B45BA5C" w14:textId="77777777" w:rsidR="00816F89" w:rsidRPr="00816F89" w:rsidRDefault="00816F89" w:rsidP="00816F89">
      <w:pPr>
        <w:pStyle w:val="ParaNoNdepar-AltN"/>
        <w:spacing w:before="0"/>
        <w:rPr>
          <w:rFonts w:cs="Times New Roman"/>
        </w:rPr>
      </w:pPr>
      <w:r w:rsidRPr="00816F89">
        <w:rPr>
          <w:rFonts w:cs="Times New Roman"/>
        </w:rPr>
        <w:t>The Court of Appeal allowed the appeal, set aside the Superior Court’s judgment, dismissed the application for judicial review and restored the ALT’s decision, although it added a conclusion ordering the suspension, for a period of 12 months from the date of its judgment, of the [</w:t>
      </w:r>
      <w:r w:rsidRPr="00816F89">
        <w:rPr>
          <w:rFonts w:cs="Times New Roman"/>
          <w:smallCaps/>
        </w:rPr>
        <w:t>translation</w:t>
      </w:r>
      <w:r w:rsidRPr="00816F89">
        <w:rPr>
          <w:rFonts w:cs="Times New Roman"/>
        </w:rPr>
        <w:t>] “effects of the ALT’s declaration regarding the inoperative nature of the exclusion set out in s. [1(</w:t>
      </w:r>
      <w:r w:rsidRPr="00816F89">
        <w:rPr>
          <w:rFonts w:cs="Times New Roman"/>
          <w:i/>
          <w:iCs/>
        </w:rPr>
        <w:t>l</w:t>
      </w:r>
      <w:r w:rsidRPr="00816F89">
        <w:rPr>
          <w:rFonts w:cs="Times New Roman"/>
        </w:rPr>
        <w:t xml:space="preserve">)(1) </w:t>
      </w:r>
      <w:r w:rsidRPr="00816F89">
        <w:rPr>
          <w:rFonts w:cs="Times New Roman"/>
          <w:i/>
          <w:iCs/>
        </w:rPr>
        <w:t>L.C.</w:t>
      </w:r>
      <w:r w:rsidRPr="00816F89">
        <w:rPr>
          <w:rFonts w:cs="Times New Roman"/>
        </w:rPr>
        <w:t>]” (para. 194 (CanLII)).</w:t>
      </w:r>
    </w:p>
    <w:p w14:paraId="3D0B5ED9" w14:textId="77777777" w:rsidR="00816F89" w:rsidRPr="00816F89" w:rsidRDefault="00816F89" w:rsidP="00816F89">
      <w:pPr>
        <w:pStyle w:val="ParaNoNdepar-AltN"/>
        <w:spacing w:before="0"/>
        <w:rPr>
          <w:rFonts w:cs="Times New Roman"/>
        </w:rPr>
      </w:pPr>
      <w:r w:rsidRPr="00816F89">
        <w:rPr>
          <w:rFonts w:cs="Times New Roman"/>
        </w:rPr>
        <w:t xml:space="preserve">The Court of Appeal found that the applicable framework was the one applied in </w:t>
      </w:r>
      <w:r w:rsidRPr="00816F89">
        <w:rPr>
          <w:rFonts w:cs="Times New Roman"/>
          <w:i/>
        </w:rPr>
        <w:t>MPAO</w:t>
      </w:r>
      <w:r w:rsidRPr="00816F89">
        <w:rPr>
          <w:rFonts w:cs="Times New Roman"/>
        </w:rPr>
        <w:t>, which it called the [</w:t>
      </w:r>
      <w:r w:rsidRPr="00816F89">
        <w:rPr>
          <w:rFonts w:cs="Times New Roman"/>
          <w:smallCaps/>
        </w:rPr>
        <w:t>translation</w:t>
      </w:r>
      <w:r w:rsidRPr="00816F89">
        <w:rPr>
          <w:rFonts w:cs="Times New Roman"/>
        </w:rPr>
        <w:t>] “substantial interference” test (para. 137). The Court of Appeal characterized the Association’s petition not as a claim for positive state action, but rather as a claim not to be subject to the exclusion in s. 1(</w:t>
      </w:r>
      <w:r w:rsidRPr="00816F89">
        <w:rPr>
          <w:rFonts w:cs="Times New Roman"/>
          <w:i/>
          <w:iCs/>
        </w:rPr>
        <w:t>l</w:t>
      </w:r>
      <w:r w:rsidRPr="00816F89">
        <w:rPr>
          <w:rFonts w:cs="Times New Roman"/>
        </w:rPr>
        <w:t xml:space="preserve">)(1) </w:t>
      </w:r>
      <w:r w:rsidRPr="00816F89">
        <w:rPr>
          <w:rFonts w:cs="Times New Roman"/>
          <w:i/>
          <w:iCs/>
        </w:rPr>
        <w:t>L.C.</w:t>
      </w:r>
    </w:p>
    <w:p w14:paraId="78427562" w14:textId="77777777" w:rsidR="00816F89" w:rsidRPr="00816F89" w:rsidRDefault="00816F89" w:rsidP="00816F89">
      <w:pPr>
        <w:pStyle w:val="ParaNoNdepar-AltN"/>
        <w:spacing w:before="0"/>
        <w:rPr>
          <w:rFonts w:cs="Times New Roman"/>
        </w:rPr>
      </w:pPr>
      <w:r w:rsidRPr="00816F89">
        <w:rPr>
          <w:rFonts w:cs="Times New Roman"/>
        </w:rPr>
        <w:t>The Court of Appeal was of the view that the Superior Court had erred in failing to show deference to the ALT’s findings regarding the effects of the legislative exclusion on the OSs. Those findings were within the ALT’s specialized expertise and were based on its overall assessment of the evidence; they should have been upheld. As a result, the Court of Appeal concluded that there was substantial interference with the freedom of association of the Association’s OS members.</w:t>
      </w:r>
    </w:p>
    <w:p w14:paraId="289E268A" w14:textId="77777777" w:rsidR="00816F89" w:rsidRPr="00816F89" w:rsidRDefault="00816F89" w:rsidP="00816F89">
      <w:pPr>
        <w:pStyle w:val="ParaNoNdepar-AltN"/>
        <w:spacing w:before="0"/>
        <w:rPr>
          <w:rFonts w:cs="Times New Roman"/>
        </w:rPr>
      </w:pPr>
      <w:r w:rsidRPr="00816F89">
        <w:rPr>
          <w:rFonts w:cs="Times New Roman"/>
        </w:rPr>
        <w:t xml:space="preserve">Although the Court of Appeal did not think it necessary to do so given its finding that the </w:t>
      </w:r>
      <w:r w:rsidRPr="00816F89">
        <w:rPr>
          <w:rFonts w:cs="Times New Roman"/>
          <w:i/>
        </w:rPr>
        <w:t>Dunmore</w:t>
      </w:r>
      <w:r w:rsidRPr="00816F89">
        <w:rPr>
          <w:rFonts w:cs="Times New Roman"/>
        </w:rPr>
        <w:t xml:space="preserve"> framework was inapplicable, it expressed its disagreement with the Superior Court’s conclusion that the Société and not the state was responsible for the substantial interference. The Société was a subsidiary of Loto</w:t>
      </w:r>
      <w:r w:rsidRPr="00816F89">
        <w:rPr>
          <w:rFonts w:cs="Times New Roman"/>
        </w:rPr>
        <w:noBreakHyphen/>
        <w:t>Québec, which was a state</w:t>
      </w:r>
      <w:r w:rsidRPr="00816F89">
        <w:rPr>
          <w:rFonts w:cs="Times New Roman"/>
        </w:rPr>
        <w:noBreakHyphen/>
        <w:t>owned enterprise, and the total exclusion of first</w:t>
      </w:r>
      <w:r w:rsidRPr="00816F89">
        <w:rPr>
          <w:rFonts w:cs="Times New Roman"/>
        </w:rPr>
        <w:noBreakHyphen/>
        <w:t xml:space="preserve">level managers from the scope of the </w:t>
      </w:r>
      <w:r w:rsidRPr="00816F89">
        <w:rPr>
          <w:rFonts w:cs="Times New Roman"/>
          <w:i/>
          <w:iCs/>
        </w:rPr>
        <w:t>L.C.</w:t>
      </w:r>
      <w:r w:rsidRPr="00816F89">
        <w:rPr>
          <w:rFonts w:cs="Times New Roman"/>
          <w:iCs/>
        </w:rPr>
        <w:t xml:space="preserve"> </w:t>
      </w:r>
      <w:r w:rsidRPr="00816F89">
        <w:rPr>
          <w:rFonts w:cs="Times New Roman"/>
        </w:rPr>
        <w:t>constituted state action.</w:t>
      </w:r>
    </w:p>
    <w:p w14:paraId="56395260" w14:textId="77777777" w:rsidR="00816F89" w:rsidRPr="00816F89" w:rsidRDefault="00816F89" w:rsidP="00816F89">
      <w:pPr>
        <w:pStyle w:val="ParaNoNdepar-AltN"/>
        <w:spacing w:before="0"/>
        <w:rPr>
          <w:rFonts w:cs="Times New Roman"/>
        </w:rPr>
      </w:pPr>
      <w:r w:rsidRPr="00816F89">
        <w:rPr>
          <w:rFonts w:cs="Times New Roman"/>
        </w:rPr>
        <w:t>At the stage of justification of the infringement, the Court of Appeal agreed with the ALT that the minimal impairment requirement was not met, since there were other statutory regimes in force in Canada that were more permissive with respect to the unionization of managers.</w:t>
      </w:r>
    </w:p>
    <w:p w14:paraId="701A0955"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Although the ALT had not made a general declaration that the exclusion in s. 1(</w:t>
      </w:r>
      <w:r w:rsidRPr="00816F89">
        <w:rPr>
          <w:rFonts w:cs="Times New Roman"/>
          <w:i/>
          <w:iCs/>
        </w:rPr>
        <w:t>l</w:t>
      </w:r>
      <w:r w:rsidRPr="00816F89">
        <w:rPr>
          <w:rFonts w:cs="Times New Roman"/>
        </w:rPr>
        <w:t xml:space="preserve">)(1) </w:t>
      </w:r>
      <w:r w:rsidRPr="00816F89">
        <w:rPr>
          <w:rFonts w:cs="Times New Roman"/>
          <w:i/>
          <w:iCs/>
        </w:rPr>
        <w:t>L.C.</w:t>
      </w:r>
      <w:r w:rsidRPr="00816F89">
        <w:rPr>
          <w:rFonts w:cs="Times New Roman"/>
        </w:rPr>
        <w:t xml:space="preserve"> was of no force or effect, the Court of Appeal nonetheless thought it appropriate to suspend the effects of its own decision restoring the ALT’s decision, given the impact that the ALT’s decision would have on the organization of collective labour relations for managers in Quebec.</w:t>
      </w:r>
      <w:bookmarkStart w:id="17" w:name="_Toc141041574"/>
    </w:p>
    <w:p w14:paraId="31E507A1" w14:textId="77777777" w:rsidR="00816F89" w:rsidRPr="00816F89" w:rsidRDefault="00816F89" w:rsidP="00816F89">
      <w:pPr>
        <w:pStyle w:val="Title1LevelTitre1Niveau-AltL"/>
        <w:numPr>
          <w:ilvl w:val="0"/>
          <w:numId w:val="8"/>
        </w:numPr>
        <w:spacing w:before="0"/>
        <w:jc w:val="both"/>
        <w:rPr>
          <w:rFonts w:cs="Times New Roman"/>
        </w:rPr>
      </w:pPr>
      <w:bookmarkStart w:id="18" w:name="_Toc162942343"/>
      <w:r w:rsidRPr="00816F89">
        <w:rPr>
          <w:rFonts w:cs="Times New Roman"/>
        </w:rPr>
        <w:t>Issues</w:t>
      </w:r>
      <w:bookmarkEnd w:id="17"/>
      <w:bookmarkEnd w:id="18"/>
    </w:p>
    <w:p w14:paraId="3A6267CE"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These appeals raise the following questions:</w:t>
      </w:r>
    </w:p>
    <w:p w14:paraId="6C352C24" w14:textId="77777777" w:rsidR="00816F89" w:rsidRPr="00816F89" w:rsidRDefault="00816F89" w:rsidP="00816F89">
      <w:pPr>
        <w:pStyle w:val="Citation-AltC"/>
        <w:numPr>
          <w:ilvl w:val="0"/>
          <w:numId w:val="30"/>
        </w:numPr>
        <w:spacing w:before="480" w:after="480" w:line="480" w:lineRule="auto"/>
        <w:ind w:hanging="720"/>
        <w:contextualSpacing w:val="0"/>
        <w:rPr>
          <w:rFonts w:eastAsiaTheme="minorEastAsia"/>
        </w:rPr>
      </w:pPr>
      <w:r w:rsidRPr="00816F89">
        <w:t>Did the Court of Appeal err in holding that the Superior Court owed deference to the findings of fact and findings of mixed fact and law made by the ALT in the context of analyzing a constitutional question?</w:t>
      </w:r>
    </w:p>
    <w:p w14:paraId="4EEB46E8" w14:textId="77777777" w:rsidR="00816F89" w:rsidRPr="00816F89" w:rsidRDefault="00816F89" w:rsidP="00816F89">
      <w:pPr>
        <w:pStyle w:val="Citation-AltC"/>
        <w:numPr>
          <w:ilvl w:val="0"/>
          <w:numId w:val="30"/>
        </w:numPr>
        <w:spacing w:before="480" w:after="480" w:line="480" w:lineRule="auto"/>
        <w:ind w:hanging="896"/>
        <w:contextualSpacing w:val="0"/>
        <w:rPr>
          <w:rFonts w:eastAsiaTheme="minorEastAsia"/>
        </w:rPr>
      </w:pPr>
      <w:r w:rsidRPr="00816F89">
        <w:t>Does the exclusion of managers provided for in s. 1(</w:t>
      </w:r>
      <w:r w:rsidRPr="00816F89">
        <w:rPr>
          <w:i/>
        </w:rPr>
        <w:t>l</w:t>
      </w:r>
      <w:r w:rsidRPr="00816F89">
        <w:t xml:space="preserve">)(1) </w:t>
      </w:r>
      <w:r w:rsidRPr="00816F89">
        <w:rPr>
          <w:i/>
          <w:iCs/>
        </w:rPr>
        <w:t>L.C.</w:t>
      </w:r>
      <w:r w:rsidRPr="00816F89">
        <w:t xml:space="preserve"> infringe the freedom of association of the Association’s OS members guaranteed by s. 2(d) of the </w:t>
      </w:r>
      <w:r w:rsidRPr="00816F89">
        <w:rPr>
          <w:i/>
        </w:rPr>
        <w:t>Canadian Charter</w:t>
      </w:r>
      <w:r w:rsidRPr="00816F89">
        <w:t xml:space="preserve"> and s. 3 of the </w:t>
      </w:r>
      <w:r w:rsidRPr="00816F89">
        <w:rPr>
          <w:i/>
        </w:rPr>
        <w:t>Quebec Charter</w:t>
      </w:r>
      <w:r w:rsidRPr="00816F89">
        <w:t xml:space="preserve">? If so, is this infringement justified under s. 1 of the </w:t>
      </w:r>
      <w:r w:rsidRPr="00816F89">
        <w:rPr>
          <w:i/>
          <w:iCs/>
        </w:rPr>
        <w:t>Canadian Charter</w:t>
      </w:r>
      <w:r w:rsidRPr="00816F89">
        <w:t xml:space="preserve"> and s. 9.1 of the </w:t>
      </w:r>
      <w:r w:rsidRPr="00816F89">
        <w:rPr>
          <w:i/>
          <w:iCs/>
        </w:rPr>
        <w:t>Quebec Charter</w:t>
      </w:r>
      <w:r w:rsidRPr="00816F89">
        <w:t>?</w:t>
      </w:r>
    </w:p>
    <w:p w14:paraId="330C066D" w14:textId="77777777" w:rsidR="00816F89" w:rsidRPr="00816F89" w:rsidRDefault="00816F89" w:rsidP="00816F89">
      <w:pPr>
        <w:pStyle w:val="Citation-AltC"/>
        <w:numPr>
          <w:ilvl w:val="0"/>
          <w:numId w:val="30"/>
        </w:numPr>
        <w:spacing w:after="480" w:line="480" w:lineRule="auto"/>
        <w:ind w:left="1887" w:hanging="893"/>
        <w:contextualSpacing w:val="0"/>
      </w:pPr>
      <w:r w:rsidRPr="00816F89">
        <w:t>If s. 1(</w:t>
      </w:r>
      <w:r w:rsidRPr="00816F89">
        <w:rPr>
          <w:i/>
        </w:rPr>
        <w:t>l</w:t>
      </w:r>
      <w:r w:rsidRPr="00816F89">
        <w:t xml:space="preserve">)(1) </w:t>
      </w:r>
      <w:r w:rsidRPr="00816F89">
        <w:rPr>
          <w:i/>
          <w:iCs/>
        </w:rPr>
        <w:t>L.C.</w:t>
      </w:r>
      <w:r w:rsidRPr="00816F89">
        <w:t xml:space="preserve"> is declared unconstitutional, should the declaration be suspended and, if so, for how long?</w:t>
      </w:r>
    </w:p>
    <w:p w14:paraId="6F5F5CC2" w14:textId="77777777" w:rsidR="00816F89" w:rsidRPr="00816F89" w:rsidRDefault="00816F89" w:rsidP="00816F89">
      <w:pPr>
        <w:pStyle w:val="Title1LevelTitre1Niveau-AltL"/>
        <w:numPr>
          <w:ilvl w:val="0"/>
          <w:numId w:val="8"/>
        </w:numPr>
        <w:spacing w:before="0"/>
        <w:jc w:val="both"/>
        <w:rPr>
          <w:rFonts w:cs="Times New Roman"/>
        </w:rPr>
      </w:pPr>
      <w:bookmarkStart w:id="19" w:name="_Toc141041575"/>
      <w:bookmarkStart w:id="20" w:name="_Toc162942344"/>
      <w:r w:rsidRPr="00816F89">
        <w:rPr>
          <w:rFonts w:cs="Times New Roman"/>
        </w:rPr>
        <w:t>Analysis</w:t>
      </w:r>
      <w:bookmarkEnd w:id="19"/>
      <w:bookmarkEnd w:id="20"/>
    </w:p>
    <w:p w14:paraId="38768486" w14:textId="77777777" w:rsidR="00816F89" w:rsidRPr="00816F89" w:rsidRDefault="00816F89" w:rsidP="00816F89">
      <w:pPr>
        <w:pStyle w:val="Title2LevelTitre2Niveau"/>
        <w:numPr>
          <w:ilvl w:val="1"/>
          <w:numId w:val="8"/>
        </w:numPr>
        <w:spacing w:before="0"/>
        <w:jc w:val="both"/>
        <w:rPr>
          <w:rFonts w:cs="Times New Roman"/>
        </w:rPr>
      </w:pPr>
      <w:bookmarkStart w:id="21" w:name="_Toc141041576"/>
      <w:bookmarkStart w:id="22" w:name="_Toc162942345"/>
      <w:r w:rsidRPr="00816F89">
        <w:rPr>
          <w:rFonts w:cs="Times New Roman"/>
        </w:rPr>
        <w:t>Applicable Standard of Review</w:t>
      </w:r>
      <w:bookmarkEnd w:id="21"/>
      <w:bookmarkEnd w:id="22"/>
    </w:p>
    <w:p w14:paraId="35C6E0DF" w14:textId="77777777" w:rsidR="00816F89" w:rsidRPr="00816F89" w:rsidRDefault="00816F89" w:rsidP="00816F89">
      <w:pPr>
        <w:pStyle w:val="ParaNoNdepar-AltN"/>
        <w:tabs>
          <w:tab w:val="clear" w:pos="1152"/>
          <w:tab w:val="left" w:pos="1166"/>
        </w:tabs>
        <w:spacing w:before="0"/>
        <w:rPr>
          <w:rFonts w:cs="Times New Roman"/>
          <w:szCs w:val="24"/>
        </w:rPr>
      </w:pPr>
      <w:r w:rsidRPr="00816F89">
        <w:rPr>
          <w:rFonts w:cs="Times New Roman"/>
        </w:rPr>
        <w:t xml:space="preserve">In </w:t>
      </w:r>
      <w:r w:rsidRPr="00816F89">
        <w:rPr>
          <w:rFonts w:cs="Times New Roman"/>
          <w:i/>
          <w:lang w:val="en-US"/>
        </w:rPr>
        <w:t>Canada (Minister of Citizenship and Immigration) v. Vavilov</w:t>
      </w:r>
      <w:r w:rsidRPr="00816F89">
        <w:rPr>
          <w:rFonts w:cs="Times New Roman"/>
          <w:lang w:val="en-US"/>
        </w:rPr>
        <w:t>, 2019 SCC 65, [2019] 4 S.C.R. 653</w:t>
      </w:r>
      <w:r w:rsidRPr="00816F89">
        <w:rPr>
          <w:rFonts w:cs="Times New Roman"/>
        </w:rPr>
        <w:t>, our Court established a presumption that the standard of reasonableness applies to the judicial review of an administrative decision maker’s decision (paras. 16 and 23</w:t>
      </w:r>
      <w:r w:rsidRPr="00816F89">
        <w:rPr>
          <w:rFonts w:cs="Times New Roman"/>
        </w:rPr>
        <w:noBreakHyphen/>
        <w:t>32). This presumption can be rebutted when the rule of law requires a consistent, determinate and final answer from the courts, which is the case with constitutional questions:</w:t>
      </w:r>
    </w:p>
    <w:p w14:paraId="29AD9CD6" w14:textId="77777777" w:rsidR="00816F89" w:rsidRPr="00816F89" w:rsidRDefault="00816F89" w:rsidP="00816F89">
      <w:pPr>
        <w:pStyle w:val="Citation-AltC"/>
        <w:tabs>
          <w:tab w:val="left" w:pos="1440"/>
        </w:tabs>
        <w:spacing w:after="240"/>
        <w:contextualSpacing w:val="0"/>
      </w:pPr>
      <w:r w:rsidRPr="00816F89">
        <w:tab/>
        <w:t>The Constitution — both written and unwritten — dictates the limits of all state action. Legislatures and administrative decision makers are bound by the Constitution and must comply with it. A legislature cannot alter the scope of its own constitutional powers through statute. Nor can it alter the constitutional limits of executive power by delegating authority to an administrative body. In other words, although a legislature may choose what powers it delegates to an administrative body, it cannot delegate powers that it does not constitutionally have. The constitutional authority to act must have determinate, defined and consistent limits, which necessitates the application of the correctness standard.</w:t>
      </w:r>
    </w:p>
    <w:p w14:paraId="04667EB5" w14:textId="77777777" w:rsidR="00816F89" w:rsidRPr="00816F89" w:rsidRDefault="00816F89" w:rsidP="00816F89">
      <w:pPr>
        <w:pStyle w:val="Citation-AltC"/>
        <w:ind w:hanging="360"/>
        <w:contextualSpacing w:val="0"/>
      </w:pPr>
      <w:r w:rsidRPr="00816F89">
        <w:tab/>
        <w:t>(</w:t>
      </w:r>
      <w:r w:rsidRPr="00816F89">
        <w:rPr>
          <w:i/>
        </w:rPr>
        <w:t>Vavilov</w:t>
      </w:r>
      <w:r w:rsidRPr="00816F89">
        <w:t>, at para. 56; see also paras. 53 and 55.)</w:t>
      </w:r>
    </w:p>
    <w:p w14:paraId="6B17ABBC"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The parties agree that the standard of correctness applies to the findings of law made by the ALT in the context of analyzing the constitutional question before it. Their disagreement concerns the standard that should apply to findings of mixed fact and law and findings of fact made in connection with a constitutional question.</w:t>
      </w:r>
    </w:p>
    <w:p w14:paraId="06243E2A"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In my view, the standard of correctness applies to the former type of findings. “Mixed” findings are those that determine “whether the facts satisfy the applicable legal tests” (</w:t>
      </w:r>
      <w:r w:rsidRPr="00816F89">
        <w:rPr>
          <w:rFonts w:cs="Times New Roman"/>
          <w:i/>
          <w:lang w:val="en-US"/>
        </w:rPr>
        <w:t>Westcoast Energy Inc. v. Canada (National Energy Board)</w:t>
      </w:r>
      <w:r w:rsidRPr="00816F89">
        <w:rPr>
          <w:rFonts w:cs="Times New Roman"/>
          <w:lang w:val="en-US"/>
        </w:rPr>
        <w:t>, [1998] 1 S.C.R. 322</w:t>
      </w:r>
      <w:r w:rsidRPr="00816F89">
        <w:rPr>
          <w:rFonts w:cs="Times New Roman"/>
        </w:rPr>
        <w:t xml:space="preserve">, at para. 38). In this case, determining whether the exclusion from the </w:t>
      </w:r>
      <w:r w:rsidRPr="00816F89">
        <w:rPr>
          <w:rFonts w:cs="Times New Roman"/>
          <w:i/>
          <w:iCs/>
        </w:rPr>
        <w:t>L.C.</w:t>
      </w:r>
      <w:r w:rsidRPr="00816F89">
        <w:rPr>
          <w:rFonts w:cs="Times New Roman"/>
          <w:iCs/>
        </w:rPr>
        <w:t xml:space="preserve"> </w:t>
      </w:r>
      <w:r w:rsidRPr="00816F89">
        <w:rPr>
          <w:rFonts w:cs="Times New Roman"/>
        </w:rPr>
        <w:t>regime constitutes substantial interference with the freedom of association of the Association’s members is not a simple question of fact. Such an inquiry involves weighing “the constitutional significance” of the findings of fact made on the basis of the members’ situation by reference to freedom of association (</w:t>
      </w:r>
      <w:r w:rsidRPr="00816F89">
        <w:rPr>
          <w:rFonts w:cs="Times New Roman"/>
          <w:i/>
        </w:rPr>
        <w:t>Westcoast Energy</w:t>
      </w:r>
      <w:r w:rsidRPr="00816F89">
        <w:rPr>
          <w:rFonts w:cs="Times New Roman"/>
        </w:rPr>
        <w:t>, at para. 39). To some extent, this amounts to defining the constitutional standard of “substantial interference”.</w:t>
      </w:r>
    </w:p>
    <w:p w14:paraId="37719645" w14:textId="77777777" w:rsidR="00816F89" w:rsidRPr="00816F89" w:rsidRDefault="00816F89" w:rsidP="00816F89">
      <w:pPr>
        <w:pStyle w:val="ParaNoNdepar-AltN"/>
        <w:tabs>
          <w:tab w:val="clear" w:pos="1152"/>
          <w:tab w:val="left" w:pos="1166"/>
        </w:tabs>
        <w:spacing w:before="0"/>
        <w:rPr>
          <w:rFonts w:cs="Times New Roman"/>
          <w:szCs w:val="24"/>
        </w:rPr>
      </w:pPr>
      <w:r w:rsidRPr="00816F89">
        <w:rPr>
          <w:rFonts w:cs="Times New Roman"/>
        </w:rPr>
        <w:t>The definition of this standard requires a determinate and final answer (</w:t>
      </w:r>
      <w:r w:rsidRPr="00816F89">
        <w:rPr>
          <w:rFonts w:cs="Times New Roman"/>
          <w:i/>
        </w:rPr>
        <w:t>Vavilov</w:t>
      </w:r>
      <w:r w:rsidRPr="00816F89">
        <w:rPr>
          <w:rFonts w:cs="Times New Roman"/>
        </w:rPr>
        <w:t xml:space="preserve">, at paras. 53 and 55). In </w:t>
      </w:r>
      <w:r w:rsidRPr="00816F89">
        <w:rPr>
          <w:rFonts w:cs="Times New Roman"/>
          <w:i/>
        </w:rPr>
        <w:t>Westcoast Energy</w:t>
      </w:r>
      <w:r w:rsidRPr="00816F89">
        <w:rPr>
          <w:rFonts w:cs="Times New Roman"/>
        </w:rPr>
        <w:t xml:space="preserve">, cited with approval in </w:t>
      </w:r>
      <w:r w:rsidRPr="00816F89">
        <w:rPr>
          <w:rFonts w:cs="Times New Roman"/>
          <w:i/>
        </w:rPr>
        <w:t>Vavilov</w:t>
      </w:r>
      <w:r w:rsidRPr="00816F89">
        <w:rPr>
          <w:rFonts w:cs="Times New Roman"/>
        </w:rPr>
        <w:t>, at para. 55, our Court noted that no deference is owed in respect of questions of mixed fact and law that arise in connection with a constitutional question because it is important that constitutional questions be answered correctly (paras. 39</w:t>
      </w:r>
      <w:r w:rsidRPr="00816F89">
        <w:rPr>
          <w:rFonts w:cs="Times New Roman"/>
        </w:rPr>
        <w:noBreakHyphen/>
        <w:t>40).</w:t>
      </w:r>
    </w:p>
    <w:p w14:paraId="1B9E93B6"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It follows that the Superior Court did not owe deference to the ALT’s findings of law and findings of mixed fact and law, but only to the findings of fact made by that tribunal.</w:t>
      </w:r>
    </w:p>
    <w:p w14:paraId="2D955AE6"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A reviewing court must show deference to findings of pure fact that can be isolated from the constitutional analysis (</w:t>
      </w:r>
      <w:r w:rsidRPr="00816F89">
        <w:rPr>
          <w:rFonts w:cs="Times New Roman"/>
          <w:i/>
          <w:lang w:val="en-US"/>
        </w:rPr>
        <w:t>Consolidated Fastfrate Inc. v. Western Canada Council of Teamsters</w:t>
      </w:r>
      <w:r w:rsidRPr="00816F89">
        <w:rPr>
          <w:rFonts w:cs="Times New Roman"/>
          <w:lang w:val="en-US"/>
        </w:rPr>
        <w:t>, 2009 SCC 53, [2009] 3 S.C.R. 407</w:t>
      </w:r>
      <w:r w:rsidRPr="00816F89">
        <w:rPr>
          <w:rFonts w:cs="Times New Roman"/>
        </w:rPr>
        <w:t>, at para. 26). Such deference to findings of this kind is based on considerations related to “judicial efficiency, the importance of preserving certainty and public confidence, and the relatively advantageous position of the first instance decision maker” (</w:t>
      </w:r>
      <w:r w:rsidRPr="00816F89">
        <w:rPr>
          <w:rFonts w:cs="Times New Roman"/>
          <w:i/>
        </w:rPr>
        <w:t>Vavilov</w:t>
      </w:r>
      <w:r w:rsidRPr="00816F89">
        <w:rPr>
          <w:rFonts w:cs="Times New Roman"/>
        </w:rPr>
        <w:t>, at para. 125). The rule of law does not require that there be a determinate and final answer to questions of pure fact, as they will vary from case to case.</w:t>
      </w:r>
    </w:p>
    <w:p w14:paraId="55CD02B8" w14:textId="77777777" w:rsidR="00816F89" w:rsidRPr="00816F89" w:rsidRDefault="00816F89" w:rsidP="00816F89">
      <w:pPr>
        <w:pStyle w:val="Title2LevelTitre2Niveau"/>
        <w:numPr>
          <w:ilvl w:val="1"/>
          <w:numId w:val="8"/>
        </w:numPr>
        <w:spacing w:before="0"/>
        <w:jc w:val="both"/>
        <w:rPr>
          <w:rFonts w:cs="Times New Roman"/>
        </w:rPr>
      </w:pPr>
      <w:bookmarkStart w:id="23" w:name="_Toc141041577"/>
      <w:bookmarkStart w:id="24" w:name="_Toc162942346"/>
      <w:r w:rsidRPr="00816F89">
        <w:rPr>
          <w:rFonts w:cs="Times New Roman"/>
        </w:rPr>
        <w:t>Content of Freedom of Association</w:t>
      </w:r>
      <w:bookmarkEnd w:id="23"/>
      <w:bookmarkEnd w:id="24"/>
    </w:p>
    <w:p w14:paraId="34EE2C87"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Before any further discussion of the Association’s claim, it is appropriate to provide an overview of our Court’s jurisprudence on the freedom of association guaranteed by s. 2(d) of the </w:t>
      </w:r>
      <w:r w:rsidRPr="00816F89">
        <w:rPr>
          <w:rFonts w:cs="Times New Roman"/>
          <w:i/>
        </w:rPr>
        <w:t>Canadian Charter</w:t>
      </w:r>
      <w:r w:rsidRPr="00816F89">
        <w:rPr>
          <w:rFonts w:cs="Times New Roman"/>
        </w:rPr>
        <w:t xml:space="preserve"> and s. 3 of the </w:t>
      </w:r>
      <w:r w:rsidRPr="00816F89">
        <w:rPr>
          <w:rFonts w:cs="Times New Roman"/>
          <w:i/>
        </w:rPr>
        <w:t>Quebec Charter</w:t>
      </w:r>
      <w:r w:rsidRPr="00816F89">
        <w:rPr>
          <w:rFonts w:cs="Times New Roman"/>
        </w:rPr>
        <w:t>.</w:t>
      </w:r>
    </w:p>
    <w:p w14:paraId="302F0F29"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Historically, our Court interpreted freedom of association in a restrictive manner. In what is now known as the “1987 trilogy” in labour law, the Court held that freedom of association did not include the right to bargain collectively or the right to strike (</w:t>
      </w:r>
      <w:r w:rsidRPr="00816F89">
        <w:rPr>
          <w:rFonts w:cs="Times New Roman"/>
          <w:i/>
          <w:lang w:val="en-US"/>
        </w:rPr>
        <w:t>Reference re Public Service Employee Relations Act (Alta.)</w:t>
      </w:r>
      <w:r w:rsidRPr="00816F89">
        <w:rPr>
          <w:rFonts w:cs="Times New Roman"/>
          <w:lang w:val="en-US"/>
        </w:rPr>
        <w:t>, [1987] 1 S.C.R. 313</w:t>
      </w:r>
      <w:r w:rsidRPr="00816F89">
        <w:rPr>
          <w:rFonts w:cs="Times New Roman"/>
        </w:rPr>
        <w:t xml:space="preserve"> (“</w:t>
      </w:r>
      <w:r w:rsidRPr="00816F89">
        <w:rPr>
          <w:rFonts w:cs="Times New Roman"/>
          <w:i/>
        </w:rPr>
        <w:t>Alberta Reference</w:t>
      </w:r>
      <w:r w:rsidRPr="00816F89">
        <w:rPr>
          <w:rFonts w:cs="Times New Roman"/>
        </w:rPr>
        <w:t xml:space="preserve">”); </w:t>
      </w:r>
      <w:r w:rsidRPr="00816F89">
        <w:rPr>
          <w:rFonts w:cs="Times New Roman"/>
          <w:i/>
          <w:lang w:val="en-US"/>
        </w:rPr>
        <w:t>PSAC v. Canada</w:t>
      </w:r>
      <w:r w:rsidRPr="00816F89">
        <w:rPr>
          <w:rFonts w:cs="Times New Roman"/>
          <w:lang w:val="en-US"/>
        </w:rPr>
        <w:t>, [1987] 1 S.C.R. 424</w:t>
      </w:r>
      <w:r w:rsidRPr="00816F89">
        <w:rPr>
          <w:rFonts w:cs="Times New Roman"/>
        </w:rPr>
        <w:t xml:space="preserve">; </w:t>
      </w:r>
      <w:r w:rsidRPr="00816F89">
        <w:rPr>
          <w:rFonts w:cs="Times New Roman"/>
          <w:i/>
          <w:lang w:val="en-US"/>
        </w:rPr>
        <w:t>RWDSU v. Saskatchewan</w:t>
      </w:r>
      <w:r w:rsidRPr="00816F89">
        <w:rPr>
          <w:rFonts w:cs="Times New Roman"/>
          <w:lang w:val="en-US"/>
        </w:rPr>
        <w:t>, [1987] 1 S.C.R. 460</w:t>
      </w:r>
      <w:r w:rsidRPr="00816F89">
        <w:rPr>
          <w:rFonts w:cs="Times New Roman"/>
        </w:rPr>
        <w:t xml:space="preserve">; see also </w:t>
      </w:r>
      <w:r w:rsidRPr="00816F89">
        <w:rPr>
          <w:rFonts w:cs="Times New Roman"/>
          <w:i/>
          <w:lang w:val="en-US"/>
        </w:rPr>
        <w:t>Professional Institute of the Public Service of Canada v. Northwest Territories (Commissioner)</w:t>
      </w:r>
      <w:r w:rsidRPr="00816F89">
        <w:rPr>
          <w:rFonts w:cs="Times New Roman"/>
          <w:lang w:val="en-US"/>
        </w:rPr>
        <w:t>, [1990] 2 S.C.R. 367</w:t>
      </w:r>
      <w:r w:rsidRPr="00816F89">
        <w:rPr>
          <w:rFonts w:cs="Times New Roman"/>
        </w:rPr>
        <w:t>, and, in a non</w:t>
      </w:r>
      <w:r w:rsidRPr="00816F89">
        <w:rPr>
          <w:rFonts w:cs="Times New Roman"/>
        </w:rPr>
        <w:noBreakHyphen/>
        <w:t xml:space="preserve">labour relations context, </w:t>
      </w:r>
      <w:r w:rsidRPr="00816F89">
        <w:rPr>
          <w:rFonts w:cs="Times New Roman"/>
          <w:i/>
          <w:lang w:val="en-US"/>
        </w:rPr>
        <w:t>Canadian Egg Marketing Agency v. Richardson</w:t>
      </w:r>
      <w:r w:rsidRPr="00816F89">
        <w:rPr>
          <w:rFonts w:cs="Times New Roman"/>
          <w:lang w:val="en-US"/>
        </w:rPr>
        <w:t>, [1998] 3 S.C.R. 157</w:t>
      </w:r>
      <w:r w:rsidRPr="00816F89">
        <w:rPr>
          <w:rFonts w:cs="Times New Roman"/>
        </w:rPr>
        <w:t>, decisions that confirmed the restrictive interpretation of the majority in the trilogy). For several decades, the predominant interpretation of freedom of association encompassed only the right to form associations and the collective exercise of individual freedoms.</w:t>
      </w:r>
    </w:p>
    <w:p w14:paraId="186562C0"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This restrictive interpretation of freedom of association greatly influenced the outcome of the appeal in </w:t>
      </w:r>
      <w:r w:rsidRPr="00816F89">
        <w:rPr>
          <w:rFonts w:cs="Times New Roman"/>
          <w:i/>
          <w:lang w:val="en-US"/>
        </w:rPr>
        <w:t>Delisle v. Canada (Deputy Attorney General)</w:t>
      </w:r>
      <w:r w:rsidRPr="00816F89">
        <w:rPr>
          <w:rFonts w:cs="Times New Roman"/>
          <w:lang w:val="en-US"/>
        </w:rPr>
        <w:t>, [1999] 2 S.C.R. 989</w:t>
      </w:r>
      <w:r w:rsidRPr="00816F89">
        <w:rPr>
          <w:rFonts w:cs="Times New Roman"/>
        </w:rPr>
        <w:t xml:space="preserve">. In that case, which was similar to this one, the Court was considering a challenge to the exclusion of members of the Royal Canadian Mounted Police (“RCMP”) from the regime of the </w:t>
      </w:r>
      <w:r w:rsidRPr="00816F89">
        <w:rPr>
          <w:rFonts w:cs="Times New Roman"/>
          <w:i/>
        </w:rPr>
        <w:t>Public Service Staff Relations Act</w:t>
      </w:r>
      <w:r w:rsidRPr="00816F89">
        <w:rPr>
          <w:rFonts w:cs="Times New Roman"/>
        </w:rPr>
        <w:t>, R.S.C. 1985, c. P</w:t>
      </w:r>
      <w:r w:rsidRPr="00816F89">
        <w:rPr>
          <w:rFonts w:cs="Times New Roman"/>
        </w:rPr>
        <w:noBreakHyphen/>
        <w:t>35 (“</w:t>
      </w:r>
      <w:r w:rsidRPr="00816F89">
        <w:rPr>
          <w:rFonts w:cs="Times New Roman"/>
          <w:i/>
        </w:rPr>
        <w:t>PSSRA</w:t>
      </w:r>
      <w:r w:rsidRPr="00816F89">
        <w:rPr>
          <w:rFonts w:cs="Times New Roman"/>
        </w:rPr>
        <w:t xml:space="preserve">”). Writing for the majority, Bastarache J. found that the exclusion of RCMP members from the </w:t>
      </w:r>
      <w:r w:rsidRPr="00816F89">
        <w:rPr>
          <w:rFonts w:cs="Times New Roman"/>
          <w:i/>
          <w:iCs/>
        </w:rPr>
        <w:t>PSSRA</w:t>
      </w:r>
      <w:r w:rsidRPr="00816F89">
        <w:rPr>
          <w:rFonts w:cs="Times New Roman"/>
        </w:rPr>
        <w:t xml:space="preserve"> regime did not infringe s. 2(d). In doing so, he noted that freedom of association did not impose “a positive obligation” on the state to include RCMP officers in a particular regime (para. 33).</w:t>
      </w:r>
    </w:p>
    <w:p w14:paraId="048A24D6"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A few years later, in 2001, our Court rendered its decision in </w:t>
      </w:r>
      <w:r w:rsidRPr="00816F89">
        <w:rPr>
          <w:rFonts w:cs="Times New Roman"/>
          <w:i/>
        </w:rPr>
        <w:t>Dunmore</w:t>
      </w:r>
      <w:r w:rsidRPr="00816F89">
        <w:rPr>
          <w:rFonts w:cs="Times New Roman"/>
        </w:rPr>
        <w:t xml:space="preserve">. That decision marked the turning point toward a new era in the interpretation of s. 2(d). This new era had been foreshadowed by </w:t>
      </w:r>
      <w:r w:rsidRPr="00816F89">
        <w:rPr>
          <w:rFonts w:cs="Times New Roman"/>
          <w:i/>
          <w:lang w:val="en-US"/>
        </w:rPr>
        <w:t>Lavigne v. Ontario Public Service Employees Union</w:t>
      </w:r>
      <w:r w:rsidRPr="00816F89">
        <w:rPr>
          <w:rFonts w:cs="Times New Roman"/>
          <w:lang w:val="en-US"/>
        </w:rPr>
        <w:t>, [1991] 2 S.C.R. 211</w:t>
      </w:r>
      <w:r w:rsidRPr="00816F89">
        <w:rPr>
          <w:rFonts w:cs="Times New Roman"/>
        </w:rPr>
        <w:t xml:space="preserve">, and </w:t>
      </w:r>
      <w:r w:rsidRPr="00816F89">
        <w:rPr>
          <w:rFonts w:cs="Times New Roman"/>
          <w:i/>
          <w:lang w:val="en-US"/>
        </w:rPr>
        <w:t>R. v. Advance Cutting &amp; Coring Ltd.</w:t>
      </w:r>
      <w:r w:rsidRPr="00816F89">
        <w:rPr>
          <w:rFonts w:cs="Times New Roman"/>
          <w:lang w:val="en-US"/>
        </w:rPr>
        <w:t>, 2001 SCC 70, [2001] 3 S.C.R. 209</w:t>
      </w:r>
      <w:r w:rsidRPr="00816F89">
        <w:rPr>
          <w:rFonts w:cs="Times New Roman"/>
        </w:rPr>
        <w:t xml:space="preserve">, in which our Court, in considering the freedom </w:t>
      </w:r>
      <w:r w:rsidRPr="00816F89">
        <w:rPr>
          <w:rFonts w:cs="Times New Roman"/>
          <w:i/>
        </w:rPr>
        <w:t>not</w:t>
      </w:r>
      <w:r w:rsidRPr="00816F89">
        <w:rPr>
          <w:rFonts w:cs="Times New Roman"/>
        </w:rPr>
        <w:t xml:space="preserve"> to associate, had endorsed a purposive interpretation of s. 2(d).</w:t>
      </w:r>
    </w:p>
    <w:p w14:paraId="42B3EB5A"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Like </w:t>
      </w:r>
      <w:r w:rsidRPr="00816F89">
        <w:rPr>
          <w:rFonts w:cs="Times New Roman"/>
          <w:i/>
          <w:iCs/>
        </w:rPr>
        <w:t>Delisle</w:t>
      </w:r>
      <w:r w:rsidRPr="00816F89">
        <w:rPr>
          <w:rFonts w:cs="Times New Roman"/>
        </w:rPr>
        <w:t xml:space="preserve">, </w:t>
      </w:r>
      <w:r w:rsidRPr="00816F89">
        <w:rPr>
          <w:rFonts w:cs="Times New Roman"/>
          <w:i/>
          <w:iCs/>
        </w:rPr>
        <w:t>Dunmore</w:t>
      </w:r>
      <w:r w:rsidRPr="00816F89">
        <w:rPr>
          <w:rFonts w:cs="Times New Roman"/>
        </w:rPr>
        <w:t xml:space="preserve"> concerned the constitutionality of a legislative exclusion, this time the exclusion of Ontario’s agricultural workers from the collective bargaining regime created by the </w:t>
      </w:r>
      <w:r w:rsidRPr="00816F89">
        <w:rPr>
          <w:rFonts w:cs="Times New Roman"/>
          <w:i/>
          <w:iCs/>
        </w:rPr>
        <w:t>Labour Relations Act, 1995</w:t>
      </w:r>
      <w:r w:rsidRPr="00816F89">
        <w:rPr>
          <w:rFonts w:cs="Times New Roman"/>
        </w:rPr>
        <w:t xml:space="preserve">, S.O. 1995, c. 1, Sch. A. That exclusion resulted from the repeal of the </w:t>
      </w:r>
      <w:r w:rsidRPr="00816F89">
        <w:rPr>
          <w:rFonts w:cs="Times New Roman"/>
          <w:i/>
        </w:rPr>
        <w:t>Agricultural Labour Relations Act, 1994</w:t>
      </w:r>
      <w:r w:rsidRPr="00816F89">
        <w:rPr>
          <w:rFonts w:cs="Times New Roman"/>
        </w:rPr>
        <w:t xml:space="preserve">, S.O. 1994, c. 6 (see the </w:t>
      </w:r>
      <w:r w:rsidRPr="00816F89">
        <w:rPr>
          <w:rFonts w:cs="Times New Roman"/>
          <w:i/>
          <w:iCs/>
        </w:rPr>
        <w:t>Labour Relations and Employment Statute Law Amendment Act, 1995</w:t>
      </w:r>
      <w:r w:rsidRPr="00816F89">
        <w:rPr>
          <w:rFonts w:cs="Times New Roman"/>
        </w:rPr>
        <w:t>, S.O. 1995, c. 1, s. 80), the only collective labour relations regime that had until then applied to the province’s agricultural workers.</w:t>
      </w:r>
    </w:p>
    <w:p w14:paraId="0B58ABB9"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In his analysis of s. 2(d), Bastarache J., writing for the majority, first determined that the state may be obliged in certain circumstances to take positive action to safeguard the exercise of freedom of association (</w:t>
      </w:r>
      <w:r w:rsidRPr="00816F89">
        <w:rPr>
          <w:rFonts w:cs="Times New Roman"/>
          <w:i/>
        </w:rPr>
        <w:t>Dunmore</w:t>
      </w:r>
      <w:r w:rsidRPr="00816F89">
        <w:rPr>
          <w:rFonts w:cs="Times New Roman"/>
        </w:rPr>
        <w:t>, at paras. 19</w:t>
      </w:r>
      <w:r w:rsidRPr="00816F89">
        <w:rPr>
          <w:rFonts w:cs="Times New Roman"/>
        </w:rPr>
        <w:noBreakHyphen/>
        <w:t>29). He then held that the “effective” exercise of freedom of association “may require not only the exercise in association of the constitutional rights and freedoms (such as freedom of assembly) and lawful rights of individuals, but the exercise of certain collective activities, such as making majority representations to one’s employer” (para. 30). This results in the well</w:t>
      </w:r>
      <w:r w:rsidRPr="00816F89">
        <w:rPr>
          <w:rFonts w:cs="Times New Roman"/>
        </w:rPr>
        <w:noBreakHyphen/>
        <w:t xml:space="preserve">established rule that any legislation that has the purpose or effect of substantially interfering with the ability of workers to engage in associational activities and to act in common to reach shared goals infringes s. 2(d) of the </w:t>
      </w:r>
      <w:r w:rsidRPr="00816F89">
        <w:rPr>
          <w:rFonts w:cs="Times New Roman"/>
          <w:i/>
        </w:rPr>
        <w:t>Canadian Charter</w:t>
      </w:r>
      <w:r w:rsidRPr="00816F89">
        <w:rPr>
          <w:rFonts w:cs="Times New Roman"/>
        </w:rPr>
        <w:t>.</w:t>
      </w:r>
    </w:p>
    <w:p w14:paraId="63C08B62"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In </w:t>
      </w:r>
      <w:r w:rsidRPr="00816F89">
        <w:rPr>
          <w:rFonts w:cs="Times New Roman"/>
          <w:i/>
        </w:rPr>
        <w:t>Dunmore</w:t>
      </w:r>
      <w:r w:rsidRPr="00816F89">
        <w:rPr>
          <w:rFonts w:cs="Times New Roman"/>
        </w:rPr>
        <w:t xml:space="preserve">, Bastarache J. found that Ontario’s agricultural workers “are substantially incapable of exercising their fundamental freedom to organize without the protective regime” (para. 35). He noted that the situation was different from the one in </w:t>
      </w:r>
      <w:r w:rsidRPr="00816F89">
        <w:rPr>
          <w:rFonts w:cs="Times New Roman"/>
          <w:i/>
        </w:rPr>
        <w:t>Delisle</w:t>
      </w:r>
      <w:r w:rsidRPr="00816F89">
        <w:rPr>
          <w:rFonts w:cs="Times New Roman"/>
        </w:rPr>
        <w:t xml:space="preserve"> because the RCMP officers in that case had been able to organize and negotiate their working conditions outside of the union certification regime (para. 25). For that reason, Bastarache J. determined that the exclusion of agricultural workers from Ontario’s general collective relations regime substantially interfered with their freedom of association (at para. 48) and that the interference could not be justified under s. 1 (paras. 49</w:t>
      </w:r>
      <w:r w:rsidRPr="00816F89">
        <w:rPr>
          <w:rFonts w:cs="Times New Roman"/>
        </w:rPr>
        <w:noBreakHyphen/>
        <w:t>65).</w:t>
      </w:r>
    </w:p>
    <w:p w14:paraId="6CB00AC3"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As a remedy, Bastarache J. declared the provision excluding agricultural workers from the general regime unconstitutional but suspended the effects of the declaration for 18 months, emphasizing that the legislature was under no obligation to fully include the workers in the general regime (paras. 66</w:t>
      </w:r>
      <w:r w:rsidRPr="00816F89">
        <w:rPr>
          <w:rFonts w:cs="Times New Roman"/>
        </w:rPr>
        <w:noBreakHyphen/>
        <w:t>68). Indeed, because of its “non</w:t>
      </w:r>
      <w:r w:rsidRPr="00816F89">
        <w:rPr>
          <w:rFonts w:cs="Times New Roman"/>
        </w:rPr>
        <w:noBreakHyphen/>
        <w:t>statutory character”, freedom of association does not guarantee “access to a particular statutory regime” (para. 24).</w:t>
      </w:r>
    </w:p>
    <w:p w14:paraId="3899C4B7"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Six years later, in </w:t>
      </w:r>
      <w:r w:rsidRPr="00816F89">
        <w:rPr>
          <w:rFonts w:cs="Times New Roman"/>
          <w:i/>
          <w:lang w:val="en-US"/>
        </w:rPr>
        <w:t>Health Services and Support — Facilities Subsector Bargaining Assn. v. British Columbia</w:t>
      </w:r>
      <w:r w:rsidRPr="00816F89">
        <w:rPr>
          <w:rFonts w:cs="Times New Roman"/>
          <w:lang w:val="en-US"/>
        </w:rPr>
        <w:t>, 2007 SCC 27, [2007] 2 S.C.R. 391</w:t>
      </w:r>
      <w:r w:rsidRPr="00816F89">
        <w:rPr>
          <w:rFonts w:cs="Times New Roman"/>
        </w:rPr>
        <w:t xml:space="preserve">, our Court completely broke away from the trilogy and overruled the cases composing it (see </w:t>
      </w:r>
      <w:r w:rsidRPr="00816F89">
        <w:rPr>
          <w:rFonts w:cs="Times New Roman"/>
          <w:i/>
        </w:rPr>
        <w:t>Alberta Reference</w:t>
      </w:r>
      <w:r w:rsidRPr="00816F89">
        <w:rPr>
          <w:rFonts w:cs="Times New Roman"/>
        </w:rPr>
        <w:t xml:space="preserve">; </w:t>
      </w:r>
      <w:r w:rsidRPr="00816F89">
        <w:rPr>
          <w:rFonts w:cs="Times New Roman"/>
          <w:i/>
        </w:rPr>
        <w:t>PSAC</w:t>
      </w:r>
      <w:r w:rsidRPr="00816F89">
        <w:rPr>
          <w:rFonts w:cs="Times New Roman"/>
        </w:rPr>
        <w:t xml:space="preserve">; </w:t>
      </w:r>
      <w:r w:rsidRPr="00816F89">
        <w:rPr>
          <w:rFonts w:cs="Times New Roman"/>
          <w:i/>
          <w:iCs/>
        </w:rPr>
        <w:t>RWDSU</w:t>
      </w:r>
      <w:r w:rsidRPr="00816F89">
        <w:rPr>
          <w:rFonts w:cs="Times New Roman"/>
        </w:rPr>
        <w:t xml:space="preserve">) because of the evolution in the jurisprudence signalled by </w:t>
      </w:r>
      <w:r w:rsidRPr="00816F89">
        <w:rPr>
          <w:rFonts w:cs="Times New Roman"/>
          <w:i/>
        </w:rPr>
        <w:t>Dunmore</w:t>
      </w:r>
      <w:r w:rsidRPr="00816F89">
        <w:rPr>
          <w:rFonts w:cs="Times New Roman"/>
        </w:rPr>
        <w:t xml:space="preserve">. It was recognized in </w:t>
      </w:r>
      <w:r w:rsidRPr="00816F89">
        <w:rPr>
          <w:rFonts w:cs="Times New Roman"/>
          <w:i/>
        </w:rPr>
        <w:t>Health Services</w:t>
      </w:r>
      <w:r w:rsidRPr="00816F89">
        <w:rPr>
          <w:rFonts w:cs="Times New Roman"/>
        </w:rPr>
        <w:t xml:space="preserve"> that freedom of association “does not apply solely to individual action carried out in common, but also to associational activities themselves” (para. 89). Writing for the majority, McLachlin C.J. and LeBel J. found that s. 2(d) protects “the right of employees to associate for the purpose of advancing workplace goals through a process of collective bargaining” (para. 87).</w:t>
      </w:r>
    </w:p>
    <w:p w14:paraId="7E1C6D47"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This right to participate in a process of collective bargaining means that freedom of association requires the existence of a process that permits employees “to unite, to present demands to . . . employers collectively and to engage in discussions in an attempt to achieve workplace</w:t>
      </w:r>
      <w:r w:rsidRPr="00816F89">
        <w:rPr>
          <w:rFonts w:cs="Times New Roman"/>
        </w:rPr>
        <w:noBreakHyphen/>
        <w:t>related goals” (para. 89) and that imposes corresponding duties on the employer, particularly the duty to consult employees and to bargain in good faith (paras. 90 and 97).</w:t>
      </w:r>
    </w:p>
    <w:p w14:paraId="239943F7"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However, s. 2(d) does not protect “all aspects of the associational activity of collective bargaining”; it protects only against “substantial interference” with this activity (para. 90, citing </w:t>
      </w:r>
      <w:r w:rsidRPr="00816F89">
        <w:rPr>
          <w:rFonts w:cs="Times New Roman"/>
          <w:i/>
        </w:rPr>
        <w:t>Dunmore</w:t>
      </w:r>
      <w:r w:rsidRPr="00816F89">
        <w:rPr>
          <w:rFonts w:cs="Times New Roman"/>
        </w:rPr>
        <w:t xml:space="preserve">, at para. 23). Furthermore, like Bastarache J. in </w:t>
      </w:r>
      <w:r w:rsidRPr="00816F89">
        <w:rPr>
          <w:rFonts w:cs="Times New Roman"/>
          <w:i/>
        </w:rPr>
        <w:t>Dunmore</w:t>
      </w:r>
      <w:r w:rsidRPr="00816F89">
        <w:rPr>
          <w:rFonts w:cs="Times New Roman"/>
        </w:rPr>
        <w:t>, McLachlin C.J. and LeBel J. made a point of stating that the right to participate in a process of collective bargaining guarantees neither “a certain substantive . . . outcome” nor “the right . . . to a particular model of labour relations” (para. 91).</w:t>
      </w:r>
    </w:p>
    <w:p w14:paraId="49D12848"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In </w:t>
      </w:r>
      <w:r w:rsidRPr="00816F89">
        <w:rPr>
          <w:rFonts w:cs="Times New Roman"/>
          <w:i/>
          <w:iCs/>
        </w:rPr>
        <w:t>Fraser</w:t>
      </w:r>
      <w:r w:rsidRPr="00816F89">
        <w:rPr>
          <w:rFonts w:cs="Times New Roman"/>
          <w:iCs/>
        </w:rPr>
        <w:t>, rendered in 2011,</w:t>
      </w:r>
      <w:r w:rsidRPr="00816F89">
        <w:rPr>
          <w:rFonts w:cs="Times New Roman"/>
        </w:rPr>
        <w:t xml:space="preserve"> the Court was again called upon to determine the constitutionality of the labour relations regime applicable to Ontario’s agricultural workers. Relying on the “logic of </w:t>
      </w:r>
      <w:r w:rsidRPr="00816F89">
        <w:rPr>
          <w:rFonts w:cs="Times New Roman"/>
          <w:i/>
        </w:rPr>
        <w:t>Dunmore</w:t>
      </w:r>
      <w:r w:rsidRPr="00816F89">
        <w:rPr>
          <w:rFonts w:cs="Times New Roman"/>
        </w:rPr>
        <w:t xml:space="preserve"> and </w:t>
      </w:r>
      <w:r w:rsidRPr="00816F89">
        <w:rPr>
          <w:rFonts w:cs="Times New Roman"/>
          <w:i/>
        </w:rPr>
        <w:t>Health Services</w:t>
      </w:r>
      <w:r w:rsidRPr="00816F89">
        <w:rPr>
          <w:rFonts w:cs="Times New Roman"/>
        </w:rPr>
        <w:t xml:space="preserve">” (para. 46), McLachlin C.J. and LeBel J., for the majority, held that s. 2(d) of the </w:t>
      </w:r>
      <w:r w:rsidRPr="00816F89">
        <w:rPr>
          <w:rFonts w:cs="Times New Roman"/>
          <w:i/>
          <w:iCs/>
        </w:rPr>
        <w:t>Canadian Charter</w:t>
      </w:r>
      <w:r w:rsidRPr="00816F89">
        <w:rPr>
          <w:rFonts w:cs="Times New Roman"/>
        </w:rPr>
        <w:t xml:space="preserve"> was not infringed by the </w:t>
      </w:r>
      <w:r w:rsidRPr="00816F89">
        <w:rPr>
          <w:rFonts w:cs="Times New Roman"/>
          <w:i/>
          <w:iCs/>
        </w:rPr>
        <w:t>Agricultural Employees Protection Act, 2002</w:t>
      </w:r>
      <w:r w:rsidRPr="00816F89">
        <w:rPr>
          <w:rFonts w:cs="Times New Roman"/>
        </w:rPr>
        <w:t xml:space="preserve">, S.O. 2002, c. 16, enacted in response to </w:t>
      </w:r>
      <w:r w:rsidRPr="00816F89">
        <w:rPr>
          <w:rFonts w:cs="Times New Roman"/>
          <w:i/>
          <w:iCs/>
        </w:rPr>
        <w:t>Dunmore</w:t>
      </w:r>
      <w:r w:rsidRPr="00816F89">
        <w:rPr>
          <w:rFonts w:cs="Times New Roman"/>
        </w:rPr>
        <w:t>.</w:t>
      </w:r>
    </w:p>
    <w:p w14:paraId="78032BEB"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McLachlin C.J. and LeBel J. reaffirmed in </w:t>
      </w:r>
      <w:r w:rsidRPr="00816F89">
        <w:rPr>
          <w:rFonts w:cs="Times New Roman"/>
          <w:i/>
        </w:rPr>
        <w:t>Fraser</w:t>
      </w:r>
      <w:r w:rsidRPr="00816F89">
        <w:rPr>
          <w:rFonts w:cs="Times New Roman"/>
        </w:rPr>
        <w:t xml:space="preserve"> that freedom of association protects the right to a “meaningful” process of collective bargaining, which includes the duty to consult and to bargain in good faith (paras. 33 and 40). However, and more relevantly for our purposes, the majority strongly reiterated that freedom of association protects “associational activity” itself, “not a particular process or result” (para. 47; see also para. 45, citing </w:t>
      </w:r>
      <w:r w:rsidRPr="00816F89">
        <w:rPr>
          <w:rFonts w:cs="Times New Roman"/>
          <w:i/>
        </w:rPr>
        <w:t>Health Services</w:t>
      </w:r>
      <w:r w:rsidRPr="00816F89">
        <w:rPr>
          <w:rFonts w:cs="Times New Roman"/>
        </w:rPr>
        <w:t>, at para. 91).</w:t>
      </w:r>
    </w:p>
    <w:p w14:paraId="2CB8C770" w14:textId="77777777" w:rsidR="00816F89" w:rsidRPr="00816F89" w:rsidRDefault="00816F89" w:rsidP="00816F89">
      <w:pPr>
        <w:pStyle w:val="ParaNoNdepar-AltN"/>
        <w:spacing w:before="0"/>
        <w:rPr>
          <w:rFonts w:cs="Times New Roman"/>
        </w:rPr>
      </w:pPr>
      <w:r w:rsidRPr="00816F89">
        <w:rPr>
          <w:rFonts w:cs="Times New Roman"/>
        </w:rPr>
        <w:t>In light of these principles, the majority concluded that the particular regime established for agricultural workers was constitutional because it gave them the right to associate, to join an association and to contribute to it by participating in its activities, as well as the right to make, through their association, representations to their employer with respect to their working conditions.</w:t>
      </w:r>
    </w:p>
    <w:p w14:paraId="47C7F146"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In 2015, our Court decided a second trilogy of cases, </w:t>
      </w:r>
      <w:r w:rsidRPr="00816F89">
        <w:rPr>
          <w:rFonts w:cs="Times New Roman"/>
          <w:i/>
        </w:rPr>
        <w:t>MPAO</w:t>
      </w:r>
      <w:r w:rsidRPr="00816F89">
        <w:rPr>
          <w:rFonts w:cs="Times New Roman"/>
        </w:rPr>
        <w:t xml:space="preserve">, </w:t>
      </w:r>
      <w:r w:rsidRPr="00816F89">
        <w:rPr>
          <w:rFonts w:cs="Times New Roman"/>
          <w:i/>
          <w:lang w:val="en-US"/>
        </w:rPr>
        <w:t>Meredith v. Canada (Attorney General)</w:t>
      </w:r>
      <w:r w:rsidRPr="00816F89">
        <w:rPr>
          <w:rFonts w:cs="Times New Roman"/>
          <w:lang w:val="en-US"/>
        </w:rPr>
        <w:t>, 2015 SCC 2, [2015] 1 S.C.R. 125</w:t>
      </w:r>
      <w:r w:rsidRPr="00816F89">
        <w:rPr>
          <w:rFonts w:cs="Times New Roman"/>
        </w:rPr>
        <w:t xml:space="preserve">, and </w:t>
      </w:r>
      <w:r w:rsidRPr="00816F89">
        <w:rPr>
          <w:rFonts w:cs="Times New Roman"/>
          <w:i/>
          <w:lang w:val="en-US"/>
        </w:rPr>
        <w:t>Saskatchewan Federation of Labour v. Saskatchewan</w:t>
      </w:r>
      <w:r w:rsidRPr="00816F89">
        <w:rPr>
          <w:rFonts w:cs="Times New Roman"/>
          <w:lang w:val="en-US"/>
        </w:rPr>
        <w:t>, 2015 SCC 4, [2015] 1 S.C.R. 245</w:t>
      </w:r>
      <w:r w:rsidRPr="00816F89">
        <w:rPr>
          <w:rFonts w:cs="Times New Roman"/>
        </w:rPr>
        <w:t>. These decisions affirmed “the central holdings” in the earlier cases to the effect that freedom of association guarantees the right to participate in a meaningful process of collective bargaining, not the right to a substantive outcome or access to a particular labour relations regime (</w:t>
      </w:r>
      <w:r w:rsidRPr="00816F89">
        <w:rPr>
          <w:rFonts w:cs="Times New Roman"/>
          <w:i/>
        </w:rPr>
        <w:t>MPAO</w:t>
      </w:r>
      <w:r w:rsidRPr="00816F89">
        <w:rPr>
          <w:rFonts w:cs="Times New Roman"/>
        </w:rPr>
        <w:t>, at para. 67).</w:t>
      </w:r>
    </w:p>
    <w:p w14:paraId="5C7FDF3F" w14:textId="77777777" w:rsidR="00816F89" w:rsidRPr="00816F89" w:rsidRDefault="00816F89" w:rsidP="00816F89">
      <w:pPr>
        <w:pStyle w:val="ParaNoNdepar-AltN"/>
        <w:rPr>
          <w:rFonts w:cs="Times New Roman"/>
        </w:rPr>
      </w:pPr>
      <w:r w:rsidRPr="00816F89">
        <w:rPr>
          <w:rFonts w:cs="Times New Roman"/>
        </w:rPr>
        <w:t xml:space="preserve">In </w:t>
      </w:r>
      <w:r w:rsidRPr="00816F89">
        <w:rPr>
          <w:rFonts w:cs="Times New Roman"/>
          <w:i/>
        </w:rPr>
        <w:t>MPAO</w:t>
      </w:r>
      <w:r w:rsidRPr="00816F89">
        <w:rPr>
          <w:rFonts w:cs="Times New Roman"/>
        </w:rPr>
        <w:t xml:space="preserve">, our Court considered the constitutionality of the entire labour relations regime applicable to RCMP members. Federal regulations imposed on them a form of representation they had not chosen, the Staff Relations Representative Program, and prohibited them from bargaining through an independent union or an employee association. They were also excluded from the collective bargaining regime in the </w:t>
      </w:r>
      <w:r w:rsidRPr="00816F89">
        <w:rPr>
          <w:rFonts w:cs="Times New Roman"/>
          <w:i/>
        </w:rPr>
        <w:t>Public Service Labour Relations Act</w:t>
      </w:r>
      <w:r w:rsidRPr="00816F89">
        <w:rPr>
          <w:rFonts w:cs="Times New Roman"/>
        </w:rPr>
        <w:t xml:space="preserve">, as enacted by </w:t>
      </w:r>
      <w:r w:rsidRPr="00816F89">
        <w:rPr>
          <w:rFonts w:cs="Times New Roman"/>
          <w:i/>
        </w:rPr>
        <w:t>Public Service Modernization Act</w:t>
      </w:r>
      <w:r w:rsidRPr="00816F89">
        <w:rPr>
          <w:rFonts w:cs="Times New Roman"/>
        </w:rPr>
        <w:t>, S.C. 2003, c. 22, s. 2 (“</w:t>
      </w:r>
      <w:r w:rsidRPr="00816F89">
        <w:rPr>
          <w:rFonts w:cs="Times New Roman"/>
          <w:i/>
        </w:rPr>
        <w:t>PSLRA</w:t>
      </w:r>
      <w:r w:rsidRPr="00816F89">
        <w:rPr>
          <w:rFonts w:cs="Times New Roman"/>
        </w:rPr>
        <w:t xml:space="preserve">”, now titled </w:t>
      </w:r>
      <w:r w:rsidRPr="00816F89">
        <w:rPr>
          <w:rFonts w:cs="Times New Roman"/>
          <w:i/>
        </w:rPr>
        <w:t>Federal Public Sector Labour Relations Act</w:t>
      </w:r>
      <w:r w:rsidRPr="00816F89">
        <w:rPr>
          <w:rFonts w:cs="Times New Roman"/>
        </w:rPr>
        <w:t xml:space="preserve">). The Court therefore had to revisit in part its decision in </w:t>
      </w:r>
      <w:r w:rsidRPr="00816F89">
        <w:rPr>
          <w:rFonts w:cs="Times New Roman"/>
          <w:i/>
        </w:rPr>
        <w:t>Delisle</w:t>
      </w:r>
      <w:r w:rsidRPr="00816F89">
        <w:rPr>
          <w:rFonts w:cs="Times New Roman"/>
        </w:rPr>
        <w:t xml:space="preserve">. It is important to specify that in </w:t>
      </w:r>
      <w:r w:rsidRPr="00816F89">
        <w:rPr>
          <w:rFonts w:cs="Times New Roman"/>
          <w:i/>
        </w:rPr>
        <w:t>Delisle</w:t>
      </w:r>
      <w:r w:rsidRPr="00816F89">
        <w:rPr>
          <w:rFonts w:cs="Times New Roman"/>
        </w:rPr>
        <w:t>, only the exclusion of RCMP members was directly challenged, not the constitutionality of the imposed regime as a whole.</w:t>
      </w:r>
    </w:p>
    <w:p w14:paraId="30A46568"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Before considering the constitutionality of the regime imposed on RCMP members, McLachlin C.J. and LeBel J., for the majority, emphasized the shift in the case law toward a purposive, generous and contextual interpretation of freedom of association. In their view, s. 2(d) protects three classes of activities: “. . . (1) the right to join with others and form associations; (2) the right to join with others in the pursuit of other constitutional rights; and (3) the right to join with others to meet on more equal terms the power and strength of other groups or entities” (para. 66; see also the companion case </w:t>
      </w:r>
      <w:r w:rsidRPr="00816F89">
        <w:rPr>
          <w:rFonts w:cs="Times New Roman"/>
          <w:i/>
        </w:rPr>
        <w:t>Meredith</w:t>
      </w:r>
      <w:r w:rsidRPr="00816F89">
        <w:rPr>
          <w:rFonts w:cs="Times New Roman"/>
        </w:rPr>
        <w:t>, at para. 24).</w:t>
      </w:r>
    </w:p>
    <w:p w14:paraId="2DD30160"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In the labour context, this means that “s. 2(</w:t>
      </w:r>
      <w:r w:rsidRPr="00816F89">
        <w:rPr>
          <w:rFonts w:cs="Times New Roman"/>
          <w:i/>
        </w:rPr>
        <w:t>d</w:t>
      </w:r>
      <w:r w:rsidRPr="00816F89">
        <w:rPr>
          <w:rFonts w:cs="Times New Roman"/>
        </w:rPr>
        <w:t>) protects against substantial interference with the right to a meaningful process of collective bargaining” (</w:t>
      </w:r>
      <w:r w:rsidRPr="00816F89">
        <w:rPr>
          <w:rFonts w:cs="Times New Roman"/>
          <w:i/>
          <w:iCs/>
        </w:rPr>
        <w:t>MPAO</w:t>
      </w:r>
      <w:r w:rsidRPr="00816F89">
        <w:rPr>
          <w:rFonts w:cs="Times New Roman"/>
        </w:rPr>
        <w:t>, at para. 80). On the basis of the purposive interpretation of freedom of association gleaned from the jurisprudence, McLachlin C.J. and LeBel J. found that s. 2(d) must take account of “power imbalances” between employees and employers (para. 80). A meaningful process of collective bargaining thus requires that employees be able to define their collective goals, which implies freedom of choice with respect to their representation as well as the independence of their association from management (paras. 85</w:t>
      </w:r>
      <w:r w:rsidRPr="00816F89">
        <w:rPr>
          <w:rFonts w:cs="Times New Roman"/>
        </w:rPr>
        <w:noBreakHyphen/>
        <w:t>90).</w:t>
      </w:r>
    </w:p>
    <w:p w14:paraId="12E89B5E"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In that case, the majority held that the regime imposed on RCMP members infringed their freedom of association. It is important to note here that the Court did not find that the legislative exclusion, viewed in isolation, infringed s. 2(d). Rather, it concluded that the complete scheme “is clearly intended to prevent associational activity protected under s. 2(</w:t>
      </w:r>
      <w:r w:rsidRPr="00816F89">
        <w:rPr>
          <w:rFonts w:cs="Times New Roman"/>
          <w:i/>
        </w:rPr>
        <w:t>d</w:t>
      </w:r>
      <w:r w:rsidRPr="00816F89">
        <w:rPr>
          <w:rFonts w:cs="Times New Roman"/>
        </w:rPr>
        <w:t xml:space="preserve">) of the </w:t>
      </w:r>
      <w:r w:rsidRPr="00816F89">
        <w:rPr>
          <w:rFonts w:cs="Times New Roman"/>
          <w:i/>
          <w:iCs/>
        </w:rPr>
        <w:t>Charter</w:t>
      </w:r>
      <w:r w:rsidRPr="00816F89">
        <w:rPr>
          <w:rFonts w:cs="Times New Roman"/>
        </w:rPr>
        <w:t>”:</w:t>
      </w:r>
    </w:p>
    <w:p w14:paraId="009D1050" w14:textId="77777777" w:rsidR="00816F89" w:rsidRPr="00816F89" w:rsidRDefault="00816F89" w:rsidP="00816F89">
      <w:pPr>
        <w:pStyle w:val="Citation-AltC"/>
        <w:tabs>
          <w:tab w:val="left" w:pos="1440"/>
        </w:tabs>
        <w:ind w:firstLine="4"/>
        <w:contextualSpacing w:val="0"/>
      </w:pPr>
      <w:r w:rsidRPr="00816F89">
        <w:tab/>
        <w:t xml:space="preserve">Second, in </w:t>
      </w:r>
      <w:r w:rsidRPr="00816F89">
        <w:rPr>
          <w:i/>
        </w:rPr>
        <w:t>Delisle</w:t>
      </w:r>
      <w:r w:rsidRPr="00816F89">
        <w:t xml:space="preserve">, only part of the scheme governing the labour relations of RCMP members — their exclusion from the </w:t>
      </w:r>
      <w:r w:rsidRPr="00816F89">
        <w:rPr>
          <w:i/>
        </w:rPr>
        <w:t>PSSRA</w:t>
      </w:r>
      <w:r w:rsidRPr="00816F89">
        <w:t xml:space="preserve"> — was before this Court. In the present appeal, the challenge targets the entire labour relations scheme — </w:t>
      </w:r>
      <w:r w:rsidRPr="00816F89">
        <w:rPr>
          <w:u w:val="single"/>
        </w:rPr>
        <w:t>the exclusion from the application</w:t>
      </w:r>
      <w:r w:rsidRPr="00816F89">
        <w:t xml:space="preserve"> of the </w:t>
      </w:r>
      <w:r w:rsidRPr="00816F89">
        <w:rPr>
          <w:i/>
        </w:rPr>
        <w:t>PSLRA</w:t>
      </w:r>
      <w:r w:rsidRPr="00816F89">
        <w:t xml:space="preserve"> </w:t>
      </w:r>
      <w:r w:rsidRPr="00816F89">
        <w:rPr>
          <w:u w:val="single"/>
        </w:rPr>
        <w:t>and the imposition of the labour relations regime that we have found is intended to deny RCMP members the right to form an independent association capable of engaging in a meaningful process of collective bargaining</w:t>
      </w:r>
      <w:r w:rsidRPr="00816F89">
        <w:t xml:space="preserve">. In other words, the majority in </w:t>
      </w:r>
      <w:r w:rsidRPr="00816F89">
        <w:rPr>
          <w:i/>
          <w:iCs/>
        </w:rPr>
        <w:t>Delisle</w:t>
      </w:r>
      <w:r w:rsidRPr="00816F89">
        <w:t xml:space="preserve"> found that the legislative exclusion, viewed in isolation, did not prevent the creation of an independent association, but the Court now considers the complete scheme which is clearly intended to prevent associational activity protected under s. 2(</w:t>
      </w:r>
      <w:r w:rsidRPr="00816F89">
        <w:rPr>
          <w:i/>
          <w:iCs/>
        </w:rPr>
        <w:t>d</w:t>
      </w:r>
      <w:r w:rsidRPr="00816F89">
        <w:t xml:space="preserve">) of the </w:t>
      </w:r>
      <w:r w:rsidRPr="00816F89">
        <w:rPr>
          <w:i/>
          <w:iCs/>
        </w:rPr>
        <w:t>Charter</w:t>
      </w:r>
      <w:r w:rsidRPr="00816F89">
        <w:t>. [Emphasis added; para. 126.]</w:t>
      </w:r>
    </w:p>
    <w:p w14:paraId="24877227" w14:textId="77777777" w:rsidR="00816F89" w:rsidRPr="00816F89" w:rsidRDefault="00816F89" w:rsidP="00816F89">
      <w:pPr>
        <w:pStyle w:val="ParaNoNdepar-AltN"/>
        <w:rPr>
          <w:rFonts w:cs="Times New Roman"/>
        </w:rPr>
      </w:pPr>
      <w:r w:rsidRPr="00816F89">
        <w:rPr>
          <w:rFonts w:cs="Times New Roman"/>
        </w:rPr>
        <w:t xml:space="preserve">The content of freedom of association was also revisited in </w:t>
      </w:r>
      <w:r w:rsidRPr="00816F89">
        <w:rPr>
          <w:rFonts w:cs="Times New Roman"/>
          <w:i/>
        </w:rPr>
        <w:t>Saskatchewan Federation</w:t>
      </w:r>
      <w:r w:rsidRPr="00816F89">
        <w:rPr>
          <w:rFonts w:cs="Times New Roman"/>
        </w:rPr>
        <w:t xml:space="preserve">. The issue in that case was whether prohibiting designated public sector employees from participating in strike action infringed the right guaranteed by s. 2(d) of the </w:t>
      </w:r>
      <w:r w:rsidRPr="00816F89">
        <w:rPr>
          <w:rFonts w:cs="Times New Roman"/>
          <w:i/>
          <w:iCs/>
        </w:rPr>
        <w:t>Canadian Charter</w:t>
      </w:r>
      <w:r w:rsidRPr="00816F89">
        <w:rPr>
          <w:rFonts w:cs="Times New Roman"/>
        </w:rPr>
        <w:t xml:space="preserve">. Reversing the opinion expressed by our Court in the </w:t>
      </w:r>
      <w:r w:rsidRPr="00816F89">
        <w:rPr>
          <w:rFonts w:cs="Times New Roman"/>
          <w:i/>
        </w:rPr>
        <w:t>Alberta Reference</w:t>
      </w:r>
      <w:r w:rsidRPr="00816F89">
        <w:rPr>
          <w:rFonts w:cs="Times New Roman"/>
        </w:rPr>
        <w:t xml:space="preserve">, the majority, per Abella J., determined that the right to strike is “essential” to the collective bargaining process (at para. 54) and is even the “irreducible minimum” of the freedom to associate (para. 61, quoting P. Weiler, </w:t>
      </w:r>
      <w:r w:rsidRPr="00816F89">
        <w:rPr>
          <w:rFonts w:cs="Times New Roman"/>
          <w:i/>
        </w:rPr>
        <w:t>Reconcilable Differences: New Directions in Canadian Labour Law</w:t>
      </w:r>
      <w:r w:rsidRPr="00816F89">
        <w:rPr>
          <w:rFonts w:cs="Times New Roman"/>
        </w:rPr>
        <w:t xml:space="preserve"> (1980), at p. 69).</w:t>
      </w:r>
    </w:p>
    <w:p w14:paraId="7B3318A2"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Applying the substantial interference standard, Abella J. therefore held that the ban on strike action in that case infringed the public sector employees’ freedom of association. Indeed, the legislation at issue in that case prohibited employees designated as “essential services” providers from participating in a work stoppage. Under that legislation, public employers other than the government were asked to enter into an agreement with the union association concerning the concept of “essential services”. If there was no such agreement, the services considered to be essential could be determined unilaterally by the employer, without any review by the province’s specialized tribunals or any other recourse for employees.</w:t>
      </w:r>
    </w:p>
    <w:p w14:paraId="7244FBB8"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It is clear that striking is not an end in itself but rather a means of action whose ultimate purpose is to enable workers to exercise the right to a meaningful process of collective bargaining. As Abella J. stated, “the ability to collectively withdraw services for the purpose of negotiating the terms and conditions of employment — in other words, to strike — is an essential component of the process through which workers pursue collective workplace goals” (para. 46). Legislation substantially interfering with a meaningful bargaining process by limiting the right to strike might nevertheless be justified under s. 1, as long as an appropriate alternative mechanism is put in place (para. 25).</w:t>
      </w:r>
    </w:p>
    <w:p w14:paraId="5B79A3A0"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This brief overview reveals that freedom of association under s. 2(d) of the </w:t>
      </w:r>
      <w:r w:rsidRPr="00816F89">
        <w:rPr>
          <w:rFonts w:cs="Times New Roman"/>
          <w:i/>
        </w:rPr>
        <w:t>Canadian Charter</w:t>
      </w:r>
      <w:r w:rsidRPr="00816F89">
        <w:rPr>
          <w:rFonts w:cs="Times New Roman"/>
        </w:rPr>
        <w:t xml:space="preserve"> and s. 3 of the </w:t>
      </w:r>
      <w:r w:rsidRPr="00816F89">
        <w:rPr>
          <w:rFonts w:cs="Times New Roman"/>
          <w:i/>
        </w:rPr>
        <w:t>Quebec Charter</w:t>
      </w:r>
      <w:r w:rsidRPr="00816F89">
        <w:rPr>
          <w:rFonts w:cs="Times New Roman"/>
        </w:rPr>
        <w:t xml:space="preserve"> protects against any substantial interference with the right of employees to meaningfully associate with others in the pursuit of collective goals relating to conditions of employment. This protection encompasses the right of employees to a meaningful process of collective bargaining, a process that includes the right to make collective representations to their employer and to have those representations considered in good faith, freedom of choice with respect to their representation, the independence of their association from their employer, and the right to strike.</w:t>
      </w:r>
    </w:p>
    <w:p w14:paraId="64870C9C"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That being said, our Court has emphasized since </w:t>
      </w:r>
      <w:r w:rsidRPr="00816F89">
        <w:rPr>
          <w:rFonts w:cs="Times New Roman"/>
          <w:i/>
        </w:rPr>
        <w:t>Dunmore</w:t>
      </w:r>
      <w:r w:rsidRPr="00816F89">
        <w:rPr>
          <w:rFonts w:cs="Times New Roman"/>
        </w:rPr>
        <w:t xml:space="preserve"> that s. 2(d) guarantees a process, not an outcome or access to a particular model of labour relations. Freedom of association is indeed non</w:t>
      </w:r>
      <w:r w:rsidRPr="00816F89">
        <w:rPr>
          <w:rFonts w:cs="Times New Roman"/>
        </w:rPr>
        <w:noBreakHyphen/>
        <w:t>statutory, but the manner of its exercise may be spelled out in legislation. It is therefore in light of these considerations that the Association’s claim must be assessed, which is what I turn to now.</w:t>
      </w:r>
    </w:p>
    <w:p w14:paraId="2BFBB48F" w14:textId="77777777" w:rsidR="00816F89" w:rsidRPr="00816F89" w:rsidRDefault="00816F89" w:rsidP="00816F89">
      <w:pPr>
        <w:pStyle w:val="Title2LevelTitre2Niveau"/>
        <w:numPr>
          <w:ilvl w:val="1"/>
          <w:numId w:val="8"/>
        </w:numPr>
        <w:spacing w:before="0"/>
        <w:jc w:val="both"/>
        <w:rPr>
          <w:rFonts w:cs="Times New Roman"/>
        </w:rPr>
      </w:pPr>
      <w:bookmarkStart w:id="25" w:name="_Toc141041578"/>
      <w:bookmarkStart w:id="26" w:name="_Toc162942347"/>
      <w:r w:rsidRPr="00816F89">
        <w:rPr>
          <w:rFonts w:cs="Times New Roman"/>
        </w:rPr>
        <w:t>The Association Is Seeking Positive State Action</w:t>
      </w:r>
      <w:bookmarkEnd w:id="25"/>
      <w:bookmarkEnd w:id="26"/>
    </w:p>
    <w:p w14:paraId="724A9D66"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It is important to begin by characterizing the nature of the Association’s claim, because the nature of the claim may affect the framework that applies. This is so because, in </w:t>
      </w:r>
      <w:r w:rsidRPr="00816F89">
        <w:rPr>
          <w:rFonts w:cs="Times New Roman"/>
          <w:i/>
          <w:iCs/>
        </w:rPr>
        <w:t>Dunmore</w:t>
      </w:r>
      <w:r w:rsidRPr="00816F89">
        <w:rPr>
          <w:rFonts w:cs="Times New Roman"/>
          <w:iCs/>
        </w:rPr>
        <w:t>,</w:t>
      </w:r>
      <w:r w:rsidRPr="00816F89">
        <w:rPr>
          <w:rFonts w:cs="Times New Roman"/>
        </w:rPr>
        <w:t xml:space="preserve"> our Court set out a three</w:t>
      </w:r>
      <w:r w:rsidRPr="00816F89">
        <w:rPr>
          <w:rFonts w:cs="Times New Roman"/>
        </w:rPr>
        <w:noBreakHyphen/>
        <w:t xml:space="preserve">step framework for determining the circumstances in which respect for the freedoms guaranteed by the </w:t>
      </w:r>
      <w:r w:rsidRPr="00816F89">
        <w:rPr>
          <w:rFonts w:cs="Times New Roman"/>
          <w:i/>
        </w:rPr>
        <w:t>Canadian Charter</w:t>
      </w:r>
      <w:r w:rsidRPr="00816F89">
        <w:rPr>
          <w:rFonts w:cs="Times New Roman"/>
        </w:rPr>
        <w:t xml:space="preserve"> requires the state to take positive action. If the Association is seeking positive state action, our Court will have to decide whether the framework it established in </w:t>
      </w:r>
      <w:r w:rsidRPr="00816F89">
        <w:rPr>
          <w:rFonts w:cs="Times New Roman"/>
          <w:i/>
          <w:iCs/>
        </w:rPr>
        <w:t>Dunmore</w:t>
      </w:r>
      <w:r w:rsidRPr="00816F89">
        <w:rPr>
          <w:rFonts w:cs="Times New Roman"/>
        </w:rPr>
        <w:t xml:space="preserve"> and drew inspiration from in </w:t>
      </w:r>
      <w:r w:rsidRPr="00816F89">
        <w:rPr>
          <w:rFonts w:cs="Times New Roman"/>
          <w:i/>
          <w:iCs/>
        </w:rPr>
        <w:t>Baier</w:t>
      </w:r>
      <w:r w:rsidRPr="00816F89">
        <w:rPr>
          <w:rFonts w:cs="Times New Roman"/>
        </w:rPr>
        <w:t xml:space="preserve"> remains applicable. In such a case, the Association will have to show not only that its claim is not grounded in access to a particular regime and that there has been substantial interference with its members’ freedom of association, but also that the state, in its capacity as lawmaker, is responsible for the interference.</w:t>
      </w:r>
    </w:p>
    <w:p w14:paraId="33854EE3"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The Association contends that it is not seeking positive action because it is asking that its members not be subject to the exclusion in the </w:t>
      </w:r>
      <w:r w:rsidRPr="00816F89">
        <w:rPr>
          <w:rFonts w:cs="Times New Roman"/>
          <w:i/>
          <w:iCs/>
        </w:rPr>
        <w:t>L.C</w:t>
      </w:r>
      <w:r w:rsidRPr="00816F89">
        <w:rPr>
          <w:rFonts w:cs="Times New Roman"/>
          <w:i/>
        </w:rPr>
        <w:t>.</w:t>
      </w:r>
      <w:r w:rsidRPr="00816F89">
        <w:rPr>
          <w:rFonts w:cs="Times New Roman"/>
        </w:rPr>
        <w:t xml:space="preserve"> The ALT and the Court of Appeal both agreed with it on this point. In other words, since the Association wants its members to be </w:t>
      </w:r>
      <w:r w:rsidRPr="00816F89">
        <w:rPr>
          <w:rFonts w:cs="Times New Roman"/>
          <w:i/>
          <w:iCs/>
        </w:rPr>
        <w:t>excluded</w:t>
      </w:r>
      <w:r w:rsidRPr="00816F89">
        <w:rPr>
          <w:rFonts w:cs="Times New Roman"/>
        </w:rPr>
        <w:t xml:space="preserve"> from the legislative exclusion, the true nature of its claim is negative; it seeks to have the state refrain from engaging in conduct that infringes freedom of association (that is, maintaining the total legislative exclusion of first</w:t>
      </w:r>
      <w:r w:rsidRPr="00816F89">
        <w:rPr>
          <w:rFonts w:cs="Times New Roman"/>
        </w:rPr>
        <w:noBreakHyphen/>
        <w:t>level managers). With all due respect, I am not persuaded by this argument.</w:t>
      </w:r>
    </w:p>
    <w:p w14:paraId="1C30259F"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The content of several freedoms guaranteed by the </w:t>
      </w:r>
      <w:r w:rsidRPr="00816F89">
        <w:rPr>
          <w:rFonts w:cs="Times New Roman"/>
          <w:i/>
        </w:rPr>
        <w:t>Canadian Charter</w:t>
      </w:r>
      <w:r w:rsidRPr="00816F89">
        <w:rPr>
          <w:rFonts w:cs="Times New Roman"/>
        </w:rPr>
        <w:t xml:space="preserve"> has both positive and negative dimensions, which is why the distinction between a positive right and a negative right is sometimes blurred (</w:t>
      </w:r>
      <w:r w:rsidRPr="00816F89">
        <w:rPr>
          <w:rFonts w:cs="Times New Roman"/>
          <w:i/>
          <w:iCs/>
        </w:rPr>
        <w:t>Toronto (City)</w:t>
      </w:r>
      <w:r w:rsidRPr="00816F89">
        <w:rPr>
          <w:rFonts w:cs="Times New Roman"/>
        </w:rPr>
        <w:t xml:space="preserve">, at para. 20). As a general rule, a “right’s positive dimensions require government to act in certain ways, whereas its negative dimensions require government to refrain from acting in other ways” (para. 20, quoting P. Macklem, “Aboriginal Rights and State Obligations” (1997), 36 </w:t>
      </w:r>
      <w:r w:rsidRPr="00816F89">
        <w:rPr>
          <w:rFonts w:cs="Times New Roman"/>
          <w:i/>
        </w:rPr>
        <w:t>Alta. L. Rev.</w:t>
      </w:r>
      <w:r w:rsidRPr="00816F89">
        <w:rPr>
          <w:rFonts w:cs="Times New Roman"/>
        </w:rPr>
        <w:t xml:space="preserve"> 97, at p. 101). The characterization exercise is concerned with the “nature of </w:t>
      </w:r>
      <w:r w:rsidRPr="00816F89">
        <w:rPr>
          <w:rFonts w:cs="Times New Roman"/>
          <w:i/>
        </w:rPr>
        <w:t>the</w:t>
      </w:r>
      <w:r w:rsidRPr="00816F89">
        <w:rPr>
          <w:rFonts w:cs="Times New Roman"/>
        </w:rPr>
        <w:t xml:space="preserve"> </w:t>
      </w:r>
      <w:r w:rsidRPr="00816F89">
        <w:rPr>
          <w:rFonts w:cs="Times New Roman"/>
          <w:i/>
        </w:rPr>
        <w:t>obligation</w:t>
      </w:r>
      <w:r w:rsidRPr="00816F89">
        <w:rPr>
          <w:rFonts w:cs="Times New Roman"/>
        </w:rPr>
        <w:t xml:space="preserve"> that the claim seeks to impose upon the state” (para. 20 (emphasis in original)).</w:t>
      </w:r>
    </w:p>
    <w:p w14:paraId="7E1FFF5A"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In its unanimous reasons, the Court of Appeal stated that the </w:t>
      </w:r>
      <w:r w:rsidRPr="00816F89">
        <w:rPr>
          <w:rFonts w:cs="Times New Roman"/>
          <w:i/>
          <w:iCs/>
        </w:rPr>
        <w:t>L.C.</w:t>
      </w:r>
      <w:r w:rsidRPr="00816F89">
        <w:rPr>
          <w:rFonts w:cs="Times New Roman"/>
        </w:rPr>
        <w:t xml:space="preserve"> regime [</w:t>
      </w:r>
      <w:r w:rsidRPr="00816F89">
        <w:rPr>
          <w:rFonts w:cs="Times New Roman"/>
          <w:smallCaps/>
        </w:rPr>
        <w:t>translation</w:t>
      </w:r>
      <w:r w:rsidRPr="00816F89">
        <w:rPr>
          <w:rFonts w:cs="Times New Roman"/>
        </w:rPr>
        <w:t>] “is in some ways the ordinary law” in the collective relations context (para. </w:t>
      </w:r>
      <w:r w:rsidRPr="00816F89">
        <w:rPr>
          <w:rFonts w:cs="Times New Roman"/>
          <w:lang w:val="fr-CA"/>
        </w:rPr>
        <w:t xml:space="preserve">135, quoting </w:t>
      </w:r>
      <w:r w:rsidRPr="00816F89">
        <w:rPr>
          <w:rFonts w:cs="Times New Roman"/>
          <w:i/>
          <w:lang w:val="fr-CA"/>
        </w:rPr>
        <w:t>Québec (Procureur général) v. Confédération des syndicats nationaux (CSN)</w:t>
      </w:r>
      <w:r w:rsidRPr="00816F89">
        <w:rPr>
          <w:rFonts w:cs="Times New Roman"/>
          <w:lang w:val="fr-CA"/>
        </w:rPr>
        <w:t>, 2011 QCCA 1247, at para. </w:t>
      </w:r>
      <w:r w:rsidRPr="00816F89">
        <w:rPr>
          <w:rFonts w:cs="Times New Roman"/>
        </w:rPr>
        <w:t>87 (CanLII)). In its opinion, the claim therefore does not seek inclusion in a [</w:t>
      </w:r>
      <w:r w:rsidRPr="00816F89">
        <w:rPr>
          <w:rFonts w:cs="Times New Roman"/>
          <w:smallCaps/>
        </w:rPr>
        <w:t>translation</w:t>
      </w:r>
      <w:r w:rsidRPr="00816F89">
        <w:rPr>
          <w:rFonts w:cs="Times New Roman"/>
        </w:rPr>
        <w:t xml:space="preserve">] “legislative scheme [that is] underinclusive” (para. 135). On the contrary, since the Association is asking that its members </w:t>
      </w:r>
      <w:r w:rsidRPr="00816F89">
        <w:rPr>
          <w:rFonts w:cs="Times New Roman"/>
          <w:i/>
        </w:rPr>
        <w:t>not be subject</w:t>
      </w:r>
      <w:r w:rsidRPr="00816F89">
        <w:rPr>
          <w:rFonts w:cs="Times New Roman"/>
        </w:rPr>
        <w:t xml:space="preserve"> to the legislative exclusion in s. 1(</w:t>
      </w:r>
      <w:r w:rsidRPr="00816F89">
        <w:rPr>
          <w:rFonts w:cs="Times New Roman"/>
          <w:i/>
          <w:iCs/>
        </w:rPr>
        <w:t>l</w:t>
      </w:r>
      <w:r w:rsidRPr="00816F89">
        <w:rPr>
          <w:rFonts w:cs="Times New Roman"/>
        </w:rPr>
        <w:t xml:space="preserve">)(1) </w:t>
      </w:r>
      <w:r w:rsidRPr="00816F89">
        <w:rPr>
          <w:rFonts w:cs="Times New Roman"/>
          <w:i/>
        </w:rPr>
        <w:t>L.C.</w:t>
      </w:r>
      <w:r w:rsidRPr="00816F89">
        <w:rPr>
          <w:rFonts w:cs="Times New Roman"/>
        </w:rPr>
        <w:t>, its claim is negative and not positive. I disagree, for two reasons.</w:t>
      </w:r>
    </w:p>
    <w:p w14:paraId="2C94218C" w14:textId="77777777" w:rsidR="00816F89" w:rsidRPr="00816F89" w:rsidRDefault="00816F89" w:rsidP="00816F89">
      <w:pPr>
        <w:pStyle w:val="ParaNoNdepar-AltN"/>
        <w:spacing w:before="0"/>
        <w:rPr>
          <w:rFonts w:cs="Times New Roman"/>
        </w:rPr>
      </w:pPr>
      <w:r w:rsidRPr="00816F89">
        <w:rPr>
          <w:rFonts w:cs="Times New Roman"/>
        </w:rPr>
        <w:t xml:space="preserve">In my view, this conflates the scope of the </w:t>
      </w:r>
      <w:r w:rsidRPr="00816F89">
        <w:rPr>
          <w:rFonts w:cs="Times New Roman"/>
          <w:i/>
        </w:rPr>
        <w:t>L.C.</w:t>
      </w:r>
      <w:r w:rsidRPr="00816F89">
        <w:rPr>
          <w:rFonts w:cs="Times New Roman"/>
        </w:rPr>
        <w:t xml:space="preserve"> with its function in Quebec’s legal order. It is true that the </w:t>
      </w:r>
      <w:r w:rsidRPr="00816F89">
        <w:rPr>
          <w:rFonts w:cs="Times New Roman"/>
          <w:i/>
        </w:rPr>
        <w:t xml:space="preserve">L.C. </w:t>
      </w:r>
      <w:r w:rsidRPr="00816F89">
        <w:rPr>
          <w:rFonts w:cs="Times New Roman"/>
        </w:rPr>
        <w:t xml:space="preserve">governs the organization of most collective labour relations in the province. However, this does not mean that it is the ordinary law in this area. There is no provision in the </w:t>
      </w:r>
      <w:r w:rsidRPr="00816F89">
        <w:rPr>
          <w:rFonts w:cs="Times New Roman"/>
          <w:i/>
        </w:rPr>
        <w:t>L.C.</w:t>
      </w:r>
      <w:r w:rsidRPr="00816F89">
        <w:rPr>
          <w:rFonts w:cs="Times New Roman"/>
        </w:rPr>
        <w:t xml:space="preserve"> equivalent to the </w:t>
      </w:r>
      <w:r w:rsidRPr="00816F89">
        <w:rPr>
          <w:rFonts w:cs="Times New Roman"/>
          <w:i/>
        </w:rPr>
        <w:t>Civil Code of</w:t>
      </w:r>
      <w:r w:rsidRPr="00816F89">
        <w:rPr>
          <w:rFonts w:cs="Times New Roman"/>
        </w:rPr>
        <w:t xml:space="preserve"> </w:t>
      </w:r>
      <w:r w:rsidRPr="00816F89">
        <w:rPr>
          <w:rFonts w:cs="Times New Roman"/>
          <w:i/>
        </w:rPr>
        <w:t>Québec</w:t>
      </w:r>
      <w:r w:rsidRPr="00816F89">
        <w:rPr>
          <w:rFonts w:cs="Times New Roman"/>
        </w:rPr>
        <w:t xml:space="preserve">’s preliminary provision, which makes that code the </w:t>
      </w:r>
      <w:r w:rsidRPr="00816F89">
        <w:rPr>
          <w:rFonts w:cs="Times New Roman"/>
          <w:i/>
        </w:rPr>
        <w:t>jus commune</w:t>
      </w:r>
      <w:r w:rsidRPr="00816F89">
        <w:rPr>
          <w:rFonts w:cs="Times New Roman"/>
        </w:rPr>
        <w:t xml:space="preserve"> of Quebec and the foundation of all other laws. It also follows from the preliminary provision that the </w:t>
      </w:r>
      <w:r w:rsidRPr="00816F89">
        <w:rPr>
          <w:rFonts w:cs="Times New Roman"/>
          <w:i/>
        </w:rPr>
        <w:t>Civil Code of</w:t>
      </w:r>
      <w:r w:rsidRPr="00816F89">
        <w:rPr>
          <w:rFonts w:cs="Times New Roman"/>
        </w:rPr>
        <w:t xml:space="preserve"> </w:t>
      </w:r>
      <w:r w:rsidRPr="00816F89">
        <w:rPr>
          <w:rFonts w:cs="Times New Roman"/>
          <w:i/>
        </w:rPr>
        <w:t>Québec</w:t>
      </w:r>
      <w:r w:rsidRPr="00816F89">
        <w:rPr>
          <w:rFonts w:cs="Times New Roman"/>
        </w:rPr>
        <w:t xml:space="preserve"> “must be interpreted broadly so as to favour its spirit over its letter and enable the purpose of its provisions to be achieved” (</w:t>
      </w:r>
      <w:r w:rsidRPr="00816F89">
        <w:rPr>
          <w:rFonts w:cs="Times New Roman"/>
          <w:i/>
          <w:lang w:val="en-US"/>
        </w:rPr>
        <w:t>Doré v. Verdun (City)</w:t>
      </w:r>
      <w:r w:rsidRPr="00816F89">
        <w:rPr>
          <w:rFonts w:cs="Times New Roman"/>
          <w:lang w:val="en-US"/>
        </w:rPr>
        <w:t>, [1997] 2 S.C.R. 862</w:t>
      </w:r>
      <w:r w:rsidRPr="00816F89">
        <w:rPr>
          <w:rFonts w:cs="Times New Roman"/>
        </w:rPr>
        <w:t>, at para. 15). This interpretive approach applies in relation to labour legislation.</w:t>
      </w:r>
    </w:p>
    <w:p w14:paraId="49D7C975"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Unlike the </w:t>
      </w:r>
      <w:r w:rsidRPr="00816F89">
        <w:rPr>
          <w:rFonts w:cs="Times New Roman"/>
          <w:i/>
          <w:iCs/>
        </w:rPr>
        <w:t>Civil Code of Québec</w:t>
      </w:r>
      <w:r w:rsidRPr="00816F89">
        <w:rPr>
          <w:rFonts w:cs="Times New Roman"/>
        </w:rPr>
        <w:t xml:space="preserve">, the </w:t>
      </w:r>
      <w:r w:rsidRPr="00816F89">
        <w:rPr>
          <w:rFonts w:cs="Times New Roman"/>
          <w:i/>
          <w:iCs/>
        </w:rPr>
        <w:t>L.C.</w:t>
      </w:r>
      <w:r w:rsidRPr="00816F89">
        <w:rPr>
          <w:rFonts w:cs="Times New Roman"/>
        </w:rPr>
        <w:t xml:space="preserve"> does not have the function of making up for silences or filling gaps in special legislation. This was the basis on which the Court determined, for example, that the </w:t>
      </w:r>
      <w:r w:rsidRPr="00816F89">
        <w:rPr>
          <w:rFonts w:cs="Times New Roman"/>
          <w:i/>
          <w:iCs/>
        </w:rPr>
        <w:t>L.C.</w:t>
      </w:r>
      <w:r w:rsidRPr="00816F89">
        <w:rPr>
          <w:rFonts w:cs="Times New Roman"/>
          <w:iCs/>
        </w:rPr>
        <w:t xml:space="preserve"> </w:t>
      </w:r>
      <w:r w:rsidRPr="00816F89">
        <w:rPr>
          <w:rFonts w:cs="Times New Roman"/>
        </w:rPr>
        <w:t>only partially codified the duty of an association to perform its representative function properly, thus leaving room for the application of the ordinary law of civil liability (</w:t>
      </w:r>
      <w:r w:rsidRPr="00816F89">
        <w:rPr>
          <w:rFonts w:cs="Times New Roman"/>
          <w:i/>
          <w:lang w:val="en-US"/>
        </w:rPr>
        <w:t>Noël v. Société d’énergie de la Baie James</w:t>
      </w:r>
      <w:r w:rsidRPr="00816F89">
        <w:rPr>
          <w:rFonts w:cs="Times New Roman"/>
          <w:lang w:val="en-US"/>
        </w:rPr>
        <w:t>, 2001 SCC 39, [2001] 2 S.C.R. 207</w:t>
      </w:r>
      <w:r w:rsidRPr="00816F89">
        <w:rPr>
          <w:rFonts w:cs="Times New Roman"/>
        </w:rPr>
        <w:t>, at paras. 46</w:t>
      </w:r>
      <w:r w:rsidRPr="00816F89">
        <w:rPr>
          <w:rFonts w:cs="Times New Roman"/>
        </w:rPr>
        <w:noBreakHyphen/>
        <w:t xml:space="preserve">47; </w:t>
      </w:r>
      <w:r w:rsidRPr="00816F89">
        <w:rPr>
          <w:rFonts w:cs="Times New Roman"/>
          <w:i/>
          <w:lang w:val="en-US"/>
        </w:rPr>
        <w:t>Quebec (Attorney General) v. Guérin</w:t>
      </w:r>
      <w:r w:rsidRPr="00816F89">
        <w:rPr>
          <w:rFonts w:cs="Times New Roman"/>
          <w:lang w:val="en-US"/>
        </w:rPr>
        <w:t>, 2017 SCC 42, [2017] 2 S.C.R. 3</w:t>
      </w:r>
      <w:r w:rsidRPr="00816F89">
        <w:rPr>
          <w:rFonts w:cs="Times New Roman"/>
        </w:rPr>
        <w:t>, at paras. 60</w:t>
      </w:r>
      <w:r w:rsidRPr="00816F89">
        <w:rPr>
          <w:rFonts w:cs="Times New Roman"/>
        </w:rPr>
        <w:noBreakHyphen/>
        <w:t xml:space="preserve">61), and that the </w:t>
      </w:r>
      <w:r w:rsidRPr="00816F89">
        <w:rPr>
          <w:rFonts w:cs="Times New Roman"/>
          <w:i/>
          <w:iCs/>
        </w:rPr>
        <w:t>Civil Code of Québec</w:t>
      </w:r>
      <w:r w:rsidRPr="00816F89">
        <w:rPr>
          <w:rFonts w:cs="Times New Roman"/>
          <w:iCs/>
        </w:rPr>
        <w:t>’s provisions</w:t>
      </w:r>
      <w:r w:rsidRPr="00816F89">
        <w:rPr>
          <w:rFonts w:cs="Times New Roman"/>
        </w:rPr>
        <w:t xml:space="preserve"> can apply in the collective labour relations context insofar as they are compatible with the collective regime (</w:t>
      </w:r>
      <w:r w:rsidRPr="00816F89">
        <w:rPr>
          <w:rFonts w:cs="Times New Roman"/>
          <w:i/>
          <w:lang w:val="en-US"/>
        </w:rPr>
        <w:t>Isidore Garon ltée v. Tremblay</w:t>
      </w:r>
      <w:r w:rsidRPr="00816F89">
        <w:rPr>
          <w:rFonts w:cs="Times New Roman"/>
          <w:lang w:val="en-US"/>
        </w:rPr>
        <w:t>, 2006 SCC 2, [2006] 1 S.C.R. 27, at para. 54</w:t>
      </w:r>
      <w:r w:rsidRPr="00816F89">
        <w:rPr>
          <w:rFonts w:cs="Times New Roman"/>
        </w:rPr>
        <w:t>).</w:t>
      </w:r>
    </w:p>
    <w:p w14:paraId="76585FEC"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Even if the </w:t>
      </w:r>
      <w:r w:rsidRPr="00816F89">
        <w:rPr>
          <w:rFonts w:cs="Times New Roman"/>
          <w:i/>
          <w:iCs/>
        </w:rPr>
        <w:t>L.C.</w:t>
      </w:r>
      <w:r w:rsidRPr="00816F89">
        <w:rPr>
          <w:rFonts w:cs="Times New Roman"/>
          <w:iCs/>
        </w:rPr>
        <w:t xml:space="preserve"> were assumed to be</w:t>
      </w:r>
      <w:r w:rsidRPr="00816F89">
        <w:rPr>
          <w:rFonts w:cs="Times New Roman"/>
        </w:rPr>
        <w:t xml:space="preserve"> the “ordinary law” regime, this would tell us little about the nature of the obligation that the Association’s claim seeks to assert.</w:t>
      </w:r>
    </w:p>
    <w:p w14:paraId="3764D972"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This is not a case in which the state is being asked to refrain from suppressing an activity in which the Association and its members would “otherwise be free to engage, without any need for any government support or enablement” (</w:t>
      </w:r>
      <w:r w:rsidRPr="00816F89">
        <w:rPr>
          <w:rFonts w:cs="Times New Roman"/>
          <w:i/>
          <w:iCs/>
        </w:rPr>
        <w:t>Baier</w:t>
      </w:r>
      <w:r w:rsidRPr="00816F89">
        <w:rPr>
          <w:rFonts w:cs="Times New Roman"/>
        </w:rPr>
        <w:t xml:space="preserve">, at para. 35; see also </w:t>
      </w:r>
      <w:r w:rsidRPr="00816F89">
        <w:rPr>
          <w:rFonts w:cs="Times New Roman"/>
          <w:i/>
          <w:iCs/>
        </w:rPr>
        <w:t>Toronto (City)</w:t>
      </w:r>
      <w:r w:rsidRPr="00816F89">
        <w:rPr>
          <w:rFonts w:cs="Times New Roman"/>
        </w:rPr>
        <w:t xml:space="preserve">, at paras. 20 and 26). Unlike the situation in </w:t>
      </w:r>
      <w:r w:rsidRPr="00816F89">
        <w:rPr>
          <w:rFonts w:cs="Times New Roman"/>
          <w:i/>
        </w:rPr>
        <w:t>Health Services</w:t>
      </w:r>
      <w:r w:rsidRPr="00816F89">
        <w:rPr>
          <w:rFonts w:cs="Times New Roman"/>
        </w:rPr>
        <w:t xml:space="preserve">, </w:t>
      </w:r>
      <w:r w:rsidRPr="00816F89">
        <w:rPr>
          <w:rFonts w:cs="Times New Roman"/>
          <w:i/>
        </w:rPr>
        <w:t>Saskatchewan Federation</w:t>
      </w:r>
      <w:r w:rsidRPr="00816F89">
        <w:rPr>
          <w:rFonts w:cs="Times New Roman"/>
        </w:rPr>
        <w:t xml:space="preserve"> and </w:t>
      </w:r>
      <w:r w:rsidRPr="00816F89">
        <w:rPr>
          <w:rFonts w:cs="Times New Roman"/>
          <w:i/>
        </w:rPr>
        <w:t>MPAO</w:t>
      </w:r>
      <w:r w:rsidRPr="00816F89">
        <w:rPr>
          <w:rFonts w:cs="Times New Roman"/>
        </w:rPr>
        <w:t>, the Association is not seeking to be shielded from a legislative provision or government action that limits or prevents a guaranteed activity in which its members would otherwise be free to engage — a claim for non</w:t>
      </w:r>
      <w:r w:rsidRPr="00816F89">
        <w:rPr>
          <w:rFonts w:cs="Times New Roman"/>
        </w:rPr>
        <w:noBreakHyphen/>
        <w:t>interference by the state.</w:t>
      </w:r>
    </w:p>
    <w:p w14:paraId="32F6B5DE"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Indeed, in </w:t>
      </w:r>
      <w:r w:rsidRPr="00816F89">
        <w:rPr>
          <w:rFonts w:cs="Times New Roman"/>
          <w:i/>
        </w:rPr>
        <w:t>Health Services</w:t>
      </w:r>
      <w:r w:rsidRPr="00816F89">
        <w:rPr>
          <w:rFonts w:cs="Times New Roman"/>
        </w:rPr>
        <w:t xml:space="preserve">, the impugned legislation changed certain elements put in place in the applicable collective agreements, without the employees having been consulted, and prohibited the making of collective agreements that were contrary to the new elements of the regime. The legislation challenged in </w:t>
      </w:r>
      <w:r w:rsidRPr="00816F89">
        <w:rPr>
          <w:rFonts w:cs="Times New Roman"/>
          <w:i/>
        </w:rPr>
        <w:t>Saskatchewan Federation</w:t>
      </w:r>
      <w:r w:rsidRPr="00816F89">
        <w:rPr>
          <w:rFonts w:cs="Times New Roman"/>
        </w:rPr>
        <w:t xml:space="preserve"> expressly withdrew or restricted the right to strike for employees covered by the general collective relations regime. And as I mentioned above, in </w:t>
      </w:r>
      <w:r w:rsidRPr="00816F89">
        <w:rPr>
          <w:rFonts w:cs="Times New Roman"/>
          <w:i/>
        </w:rPr>
        <w:t>MPAO</w:t>
      </w:r>
      <w:r w:rsidRPr="00816F89">
        <w:rPr>
          <w:rFonts w:cs="Times New Roman"/>
        </w:rPr>
        <w:t>, the Court considered the constitutionality of a statute that imposed on employees a form of representation not chosen by them.</w:t>
      </w:r>
    </w:p>
    <w:p w14:paraId="3DABDC1E"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In contrast, the Association’s position is based on the premise that its members cannot meaningfully exercise their freedom of association without legislative protection, and thus without support or enablement from the state. It is for this reason that the Association is seeking support from the state, so that its members will be included in the </w:t>
      </w:r>
      <w:r w:rsidRPr="00816F89">
        <w:rPr>
          <w:rFonts w:cs="Times New Roman"/>
          <w:i/>
          <w:iCs/>
        </w:rPr>
        <w:t>L.C.</w:t>
      </w:r>
      <w:r w:rsidRPr="00816F89">
        <w:rPr>
          <w:rFonts w:cs="Times New Roman"/>
          <w:iCs/>
        </w:rPr>
        <w:t xml:space="preserve"> </w:t>
      </w:r>
      <w:r w:rsidRPr="00816F89">
        <w:rPr>
          <w:rFonts w:cs="Times New Roman"/>
        </w:rPr>
        <w:t xml:space="preserve">regime and will therefore be able to exercise their freedom of association. Its claim is one that calls upon the state to take positive action by agreeing to include its members in a particular regime. Any claim that seeks to eliminate the </w:t>
      </w:r>
      <w:r w:rsidRPr="00816F89">
        <w:rPr>
          <w:rFonts w:cs="Times New Roman"/>
          <w:i/>
        </w:rPr>
        <w:t>exclusion</w:t>
      </w:r>
      <w:r w:rsidRPr="00816F89">
        <w:rPr>
          <w:rFonts w:cs="Times New Roman"/>
        </w:rPr>
        <w:t xml:space="preserve"> of a class of workers from the application of a general collective relations regime is essentially a claim for </w:t>
      </w:r>
      <w:r w:rsidRPr="00816F89">
        <w:rPr>
          <w:rFonts w:cs="Times New Roman"/>
          <w:i/>
        </w:rPr>
        <w:t>inclusion</w:t>
      </w:r>
      <w:r w:rsidRPr="00816F89">
        <w:rPr>
          <w:rFonts w:cs="Times New Roman"/>
        </w:rPr>
        <w:t xml:space="preserve"> in a particular regime.</w:t>
      </w:r>
    </w:p>
    <w:p w14:paraId="052835E8"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Having found that the Association’s claim seeks the recognition and enforcement of a positive state obligation, I must consider the applicability of the </w:t>
      </w:r>
      <w:r w:rsidRPr="00816F89">
        <w:rPr>
          <w:rFonts w:cs="Times New Roman"/>
          <w:i/>
          <w:iCs/>
        </w:rPr>
        <w:t>Dunmore</w:t>
      </w:r>
      <w:r w:rsidRPr="00816F89">
        <w:rPr>
          <w:rFonts w:cs="Times New Roman"/>
        </w:rPr>
        <w:t xml:space="preserve"> framework.</w:t>
      </w:r>
    </w:p>
    <w:p w14:paraId="72A8B1F0" w14:textId="77777777" w:rsidR="00816F89" w:rsidRPr="00816F89" w:rsidRDefault="00816F89" w:rsidP="00816F89">
      <w:pPr>
        <w:pStyle w:val="Title2LevelTitre2Niveau"/>
        <w:numPr>
          <w:ilvl w:val="1"/>
          <w:numId w:val="8"/>
        </w:numPr>
        <w:spacing w:before="0"/>
        <w:jc w:val="both"/>
        <w:rPr>
          <w:rFonts w:cs="Times New Roman"/>
        </w:rPr>
      </w:pPr>
      <w:bookmarkStart w:id="27" w:name="_Toc162942348"/>
      <w:r w:rsidRPr="00816F89">
        <w:rPr>
          <w:rFonts w:cs="Times New Roman"/>
        </w:rPr>
        <w:t>Section 2(d) Framework</w:t>
      </w:r>
      <w:bookmarkEnd w:id="27"/>
    </w:p>
    <w:p w14:paraId="4CBF27EB"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Since </w:t>
      </w:r>
      <w:r w:rsidRPr="00816F89">
        <w:rPr>
          <w:rFonts w:cs="Times New Roman"/>
          <w:i/>
        </w:rPr>
        <w:t>Dunmore</w:t>
      </w:r>
      <w:r w:rsidRPr="00816F89">
        <w:rPr>
          <w:rFonts w:cs="Times New Roman"/>
        </w:rPr>
        <w:t>, it has consistently been held that substantial interference is the applicable standard for finding an infringement of freedom of association (</w:t>
      </w:r>
      <w:r w:rsidRPr="00816F89">
        <w:rPr>
          <w:rFonts w:cs="Times New Roman"/>
          <w:i/>
        </w:rPr>
        <w:t>Dunmore</w:t>
      </w:r>
      <w:r w:rsidRPr="00816F89">
        <w:rPr>
          <w:rFonts w:cs="Times New Roman"/>
        </w:rPr>
        <w:t xml:space="preserve">, at para. 23; </w:t>
      </w:r>
      <w:r w:rsidRPr="00816F89">
        <w:rPr>
          <w:rFonts w:cs="Times New Roman"/>
          <w:i/>
        </w:rPr>
        <w:t>Health Services</w:t>
      </w:r>
      <w:r w:rsidRPr="00816F89">
        <w:rPr>
          <w:rFonts w:cs="Times New Roman"/>
        </w:rPr>
        <w:t xml:space="preserve">, at para. 90; </w:t>
      </w:r>
      <w:r w:rsidRPr="00816F89">
        <w:rPr>
          <w:rFonts w:cs="Times New Roman"/>
          <w:i/>
        </w:rPr>
        <w:t>Fraser</w:t>
      </w:r>
      <w:r w:rsidRPr="00816F89">
        <w:rPr>
          <w:rFonts w:cs="Times New Roman"/>
        </w:rPr>
        <w:t xml:space="preserve">, at para. 33; </w:t>
      </w:r>
      <w:r w:rsidRPr="00816F89">
        <w:rPr>
          <w:rFonts w:cs="Times New Roman"/>
          <w:i/>
        </w:rPr>
        <w:t>MPAO</w:t>
      </w:r>
      <w:r w:rsidRPr="00816F89">
        <w:rPr>
          <w:rFonts w:cs="Times New Roman"/>
        </w:rPr>
        <w:t xml:space="preserve">, at para. 80; </w:t>
      </w:r>
      <w:r w:rsidRPr="00816F89">
        <w:rPr>
          <w:rFonts w:cs="Times New Roman"/>
          <w:i/>
        </w:rPr>
        <w:t>Saskatchewan Federation</w:t>
      </w:r>
      <w:r w:rsidRPr="00816F89">
        <w:rPr>
          <w:rFonts w:cs="Times New Roman"/>
        </w:rPr>
        <w:t>, at paras. 77</w:t>
      </w:r>
      <w:r w:rsidRPr="00816F89">
        <w:rPr>
          <w:rFonts w:cs="Times New Roman"/>
        </w:rPr>
        <w:noBreakHyphen/>
        <w:t>78). While substantial interference is at the heart of the analysis in each case, the framework for analyzing freedom of association varies depending on whether the party is asking the state to refrain from interfering with a protected activity or is instead seeking state action to remedy its inability to engage in that activity without support or enablement.</w:t>
      </w:r>
    </w:p>
    <w:p w14:paraId="5C6B3338"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The three</w:t>
      </w:r>
      <w:r w:rsidRPr="00816F89">
        <w:rPr>
          <w:rFonts w:cs="Times New Roman"/>
        </w:rPr>
        <w:noBreakHyphen/>
        <w:t xml:space="preserve">step </w:t>
      </w:r>
      <w:r w:rsidRPr="00816F89">
        <w:rPr>
          <w:rFonts w:cs="Times New Roman"/>
          <w:i/>
          <w:iCs/>
        </w:rPr>
        <w:t>Dunmore</w:t>
      </w:r>
      <w:r w:rsidRPr="00816F89">
        <w:rPr>
          <w:rFonts w:cs="Times New Roman"/>
        </w:rPr>
        <w:t xml:space="preserve"> framework is better suited to the context of a positive claim and to the type of remedy sought in such cases. Indeed, this approach makes it possible to determine the circumstances in which positive state action may be required under s. 2(d) of the </w:t>
      </w:r>
      <w:r w:rsidRPr="00816F89">
        <w:rPr>
          <w:rFonts w:cs="Times New Roman"/>
          <w:i/>
          <w:iCs/>
        </w:rPr>
        <w:t>Canadian Charter</w:t>
      </w:r>
      <w:r w:rsidRPr="00816F89">
        <w:rPr>
          <w:rFonts w:cs="Times New Roman"/>
          <w:iCs/>
        </w:rPr>
        <w:t>, such that the legislature</w:t>
      </w:r>
      <w:r w:rsidRPr="00816F89">
        <w:rPr>
          <w:rFonts w:cs="Times New Roman"/>
        </w:rPr>
        <w:t xml:space="preserve"> will be obliged to enact a particular labour relations regime. In </w:t>
      </w:r>
      <w:r w:rsidRPr="00816F89">
        <w:rPr>
          <w:rFonts w:cs="Times New Roman"/>
          <w:i/>
        </w:rPr>
        <w:t>Dunmore</w:t>
      </w:r>
      <w:r w:rsidRPr="00816F89">
        <w:rPr>
          <w:rFonts w:cs="Times New Roman"/>
        </w:rPr>
        <w:t xml:space="preserve">, Bastarache J. explained that, in exceptional circumstances, the exclusion of a class of persons from a statutory labour relations regime may lead to an infringement of those persons’ freedom of association guaranteed by s. 2(d) of the </w:t>
      </w:r>
      <w:r w:rsidRPr="00816F89">
        <w:rPr>
          <w:rFonts w:cs="Times New Roman"/>
          <w:i/>
          <w:iCs/>
        </w:rPr>
        <w:t>Canadian Charter</w:t>
      </w:r>
      <w:r w:rsidRPr="00816F89">
        <w:rPr>
          <w:rFonts w:cs="Times New Roman"/>
        </w:rPr>
        <w:t>.</w:t>
      </w:r>
    </w:p>
    <w:p w14:paraId="1798C4D0"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Bastarache J. described these circumstances as follows. First, claims made against the exclusion must be grounded in an activity protected by s. 2(d) itself and not in access to a particular statutory regime. Second, the exclusion must have the purpose or effect of substantially interfering with an activity protected by s. 2(d) of the </w:t>
      </w:r>
      <w:r w:rsidRPr="00816F89">
        <w:rPr>
          <w:rFonts w:cs="Times New Roman"/>
          <w:i/>
        </w:rPr>
        <w:t>Canadian Charter</w:t>
      </w:r>
      <w:r w:rsidRPr="00816F89">
        <w:rPr>
          <w:rFonts w:cs="Times New Roman"/>
        </w:rPr>
        <w:t>. Third, it must be possible for the state to be held accountable for the substantial interference with the activity protected by s. 2(d). On this last point, the exclusion becomes constitutionally suspect because it “substantially orchestrates, encourages or sustains” the infringement of s. 2(d) (para. 26; see also paras. 19</w:t>
      </w:r>
      <w:r w:rsidRPr="00816F89">
        <w:rPr>
          <w:rFonts w:cs="Times New Roman"/>
        </w:rPr>
        <w:noBreakHyphen/>
        <w:t xml:space="preserve">25). When these three steps are satisfied, it must be concluded that the legislature’s failure to provide a particular regime constitutes an infringement of s. 2(d) of the </w:t>
      </w:r>
      <w:r w:rsidRPr="00816F89">
        <w:rPr>
          <w:rFonts w:cs="Times New Roman"/>
          <w:i/>
        </w:rPr>
        <w:t>Canadian Charter</w:t>
      </w:r>
      <w:r w:rsidRPr="00816F89">
        <w:rPr>
          <w:rFonts w:cs="Times New Roman"/>
        </w:rPr>
        <w:t>.</w:t>
      </w:r>
    </w:p>
    <w:p w14:paraId="5AC30E64"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In </w:t>
      </w:r>
      <w:r w:rsidRPr="00816F89">
        <w:rPr>
          <w:rFonts w:cs="Times New Roman"/>
          <w:i/>
          <w:iCs/>
        </w:rPr>
        <w:t>Toronto (City)</w:t>
      </w:r>
      <w:r w:rsidRPr="00816F89">
        <w:rPr>
          <w:rFonts w:cs="Times New Roman"/>
        </w:rPr>
        <w:t xml:space="preserve">, at para. 21, our Court suggested in </w:t>
      </w:r>
      <w:r w:rsidRPr="00816F89">
        <w:rPr>
          <w:rFonts w:cs="Times New Roman"/>
          <w:i/>
          <w:iCs/>
        </w:rPr>
        <w:t>obiter</w:t>
      </w:r>
      <w:r w:rsidRPr="00816F89">
        <w:rPr>
          <w:rFonts w:cs="Times New Roman"/>
        </w:rPr>
        <w:t xml:space="preserve"> that the applicability of the </w:t>
      </w:r>
      <w:r w:rsidRPr="00816F89">
        <w:rPr>
          <w:rFonts w:cs="Times New Roman"/>
          <w:i/>
          <w:iCs/>
        </w:rPr>
        <w:t>Dunmore</w:t>
      </w:r>
      <w:r w:rsidRPr="00816F89">
        <w:rPr>
          <w:rFonts w:cs="Times New Roman"/>
        </w:rPr>
        <w:t xml:space="preserve"> framework was now uncertain in light of </w:t>
      </w:r>
      <w:r w:rsidRPr="00816F89">
        <w:rPr>
          <w:rFonts w:cs="Times New Roman"/>
          <w:i/>
          <w:iCs/>
        </w:rPr>
        <w:t>MPAO</w:t>
      </w:r>
      <w:r w:rsidRPr="00816F89">
        <w:rPr>
          <w:rFonts w:cs="Times New Roman"/>
        </w:rPr>
        <w:t xml:space="preserve"> and </w:t>
      </w:r>
      <w:r w:rsidRPr="00816F89">
        <w:rPr>
          <w:rFonts w:cs="Times New Roman"/>
          <w:i/>
          <w:iCs/>
        </w:rPr>
        <w:t>Fraser</w:t>
      </w:r>
      <w:r w:rsidRPr="00816F89">
        <w:rPr>
          <w:rFonts w:cs="Times New Roman"/>
        </w:rPr>
        <w:t xml:space="preserve">, without elaborating. This question was not the one the Court had to decide in </w:t>
      </w:r>
      <w:r w:rsidRPr="00816F89">
        <w:rPr>
          <w:rFonts w:cs="Times New Roman"/>
          <w:iCs/>
        </w:rPr>
        <w:t>that case</w:t>
      </w:r>
      <w:r w:rsidRPr="00816F89">
        <w:rPr>
          <w:rFonts w:cs="Times New Roman"/>
        </w:rPr>
        <w:t>, which concerned freedom of expression and access to a statutory platform. However, this question is at the heart of these appeals.</w:t>
      </w:r>
    </w:p>
    <w:p w14:paraId="080C0054"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The Association submits that the </w:t>
      </w:r>
      <w:r w:rsidRPr="00816F89">
        <w:rPr>
          <w:rFonts w:cs="Times New Roman"/>
          <w:i/>
        </w:rPr>
        <w:t>Dunmore</w:t>
      </w:r>
      <w:r w:rsidRPr="00816F89">
        <w:rPr>
          <w:rFonts w:cs="Times New Roman"/>
        </w:rPr>
        <w:t xml:space="preserve"> framework has been inapplicable since </w:t>
      </w:r>
      <w:r w:rsidRPr="00816F89">
        <w:rPr>
          <w:rFonts w:cs="Times New Roman"/>
          <w:i/>
        </w:rPr>
        <w:t>MPAO</w:t>
      </w:r>
      <w:r w:rsidRPr="00816F89">
        <w:rPr>
          <w:rFonts w:cs="Times New Roman"/>
        </w:rPr>
        <w:t xml:space="preserve"> and </w:t>
      </w:r>
      <w:r w:rsidRPr="00816F89">
        <w:rPr>
          <w:rFonts w:cs="Times New Roman"/>
          <w:i/>
        </w:rPr>
        <w:t>Fraser</w:t>
      </w:r>
      <w:r w:rsidRPr="00816F89">
        <w:rPr>
          <w:rFonts w:cs="Times New Roman"/>
        </w:rPr>
        <w:t xml:space="preserve">. I disagree. Those decisions did not overturn </w:t>
      </w:r>
      <w:r w:rsidRPr="00816F89">
        <w:rPr>
          <w:rFonts w:cs="Times New Roman"/>
          <w:i/>
        </w:rPr>
        <w:t>Dunmore</w:t>
      </w:r>
      <w:r w:rsidRPr="00816F89">
        <w:rPr>
          <w:rFonts w:cs="Times New Roman"/>
        </w:rPr>
        <w:t xml:space="preserve">. On the contrary, our Court’s jurisprudence has relied on that case to develop the substantial interference framework, without ever reversing the higher threshold to be met for positive rights claims. The </w:t>
      </w:r>
      <w:r w:rsidRPr="00816F89">
        <w:rPr>
          <w:rFonts w:cs="Times New Roman"/>
          <w:i/>
        </w:rPr>
        <w:t>Dunmore</w:t>
      </w:r>
      <w:r w:rsidRPr="00816F89">
        <w:rPr>
          <w:rFonts w:cs="Times New Roman"/>
        </w:rPr>
        <w:t xml:space="preserve"> approach therefore remains applicable to challenges relating to exclusion from a statutory regime. Let me explain.</w:t>
      </w:r>
    </w:p>
    <w:p w14:paraId="4F753C81"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First, </w:t>
      </w:r>
      <w:r w:rsidRPr="00816F89">
        <w:rPr>
          <w:rFonts w:cs="Times New Roman"/>
          <w:i/>
        </w:rPr>
        <w:t>Fraser</w:t>
      </w:r>
      <w:r w:rsidRPr="00816F89">
        <w:rPr>
          <w:rFonts w:cs="Times New Roman"/>
        </w:rPr>
        <w:t xml:space="preserve"> was not a case in which state action was sought. Thus, the case was not a proper one for the application of the </w:t>
      </w:r>
      <w:r w:rsidRPr="00816F89">
        <w:rPr>
          <w:rFonts w:cs="Times New Roman"/>
          <w:i/>
        </w:rPr>
        <w:t>Dunmore</w:t>
      </w:r>
      <w:r w:rsidRPr="00816F89">
        <w:rPr>
          <w:rFonts w:cs="Times New Roman"/>
          <w:iCs/>
        </w:rPr>
        <w:t xml:space="preserve"> framework</w:t>
      </w:r>
      <w:r w:rsidRPr="00816F89">
        <w:rPr>
          <w:rFonts w:cs="Times New Roman"/>
        </w:rPr>
        <w:t xml:space="preserve">. Ontario had enacted legislation governing collective labour relations in the agricultural sector in response to the declaration of unconstitutionality made by our Court in </w:t>
      </w:r>
      <w:r w:rsidRPr="00816F89">
        <w:rPr>
          <w:rFonts w:cs="Times New Roman"/>
          <w:i/>
        </w:rPr>
        <w:t>Dunmore</w:t>
      </w:r>
      <w:r w:rsidRPr="00816F89">
        <w:rPr>
          <w:rFonts w:cs="Times New Roman"/>
        </w:rPr>
        <w:t xml:space="preserve">. In </w:t>
      </w:r>
      <w:r w:rsidRPr="00816F89">
        <w:rPr>
          <w:rFonts w:cs="Times New Roman"/>
          <w:i/>
        </w:rPr>
        <w:t>Fraser</w:t>
      </w:r>
      <w:r w:rsidRPr="00816F89">
        <w:rPr>
          <w:rFonts w:cs="Times New Roman"/>
        </w:rPr>
        <w:t xml:space="preserve">, it was argued that the legislation in question was unconstitutional because it did not offer protections deemed equivalent to those provided by the general regime, the </w:t>
      </w:r>
      <w:r w:rsidRPr="00816F89">
        <w:rPr>
          <w:rFonts w:cs="Times New Roman"/>
          <w:i/>
          <w:iCs/>
        </w:rPr>
        <w:t>Labour Relations Act, 1995</w:t>
      </w:r>
      <w:r w:rsidRPr="00816F89">
        <w:rPr>
          <w:rFonts w:cs="Times New Roman"/>
        </w:rPr>
        <w:t>.</w:t>
      </w:r>
    </w:p>
    <w:p w14:paraId="5F9EFE39"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The majority in </w:t>
      </w:r>
      <w:r w:rsidRPr="00816F89">
        <w:rPr>
          <w:rFonts w:cs="Times New Roman"/>
          <w:i/>
        </w:rPr>
        <w:t>Fraser</w:t>
      </w:r>
      <w:r w:rsidRPr="00816F89">
        <w:rPr>
          <w:rFonts w:cs="Times New Roman"/>
        </w:rPr>
        <w:t xml:space="preserve"> stated that the distinction between rights (imposing positive obligations) and freedoms (imposing negative obligations) should not be a rigid one, because the </w:t>
      </w:r>
      <w:r w:rsidRPr="00816F89">
        <w:rPr>
          <w:rFonts w:cs="Times New Roman"/>
          <w:i/>
        </w:rPr>
        <w:t>Canadian Charter</w:t>
      </w:r>
      <w:r w:rsidRPr="00816F89">
        <w:rPr>
          <w:rFonts w:cs="Times New Roman"/>
        </w:rPr>
        <w:t xml:space="preserve"> </w:t>
      </w:r>
      <w:r w:rsidRPr="00816F89">
        <w:rPr>
          <w:rFonts w:cs="Times New Roman"/>
          <w:iCs/>
        </w:rPr>
        <w:t>“cannot be subdivided into two kinds of guarantees — freedoms and rights” (para.</w:t>
      </w:r>
      <w:r w:rsidRPr="00816F89">
        <w:rPr>
          <w:rFonts w:cs="Times New Roman"/>
        </w:rPr>
        <w:t xml:space="preserve"> 67). These </w:t>
      </w:r>
      <w:r w:rsidRPr="00816F89">
        <w:rPr>
          <w:rFonts w:cs="Times New Roman"/>
          <w:i/>
        </w:rPr>
        <w:t>obiter</w:t>
      </w:r>
      <w:r w:rsidRPr="00816F89">
        <w:rPr>
          <w:rFonts w:cs="Times New Roman"/>
        </w:rPr>
        <w:t xml:space="preserve"> comments cannot be interpreted as repudiating the distinction drawn in </w:t>
      </w:r>
      <w:r w:rsidRPr="00816F89">
        <w:rPr>
          <w:rFonts w:cs="Times New Roman"/>
          <w:i/>
        </w:rPr>
        <w:t>Dunmore</w:t>
      </w:r>
      <w:r w:rsidRPr="00816F89">
        <w:rPr>
          <w:rFonts w:cs="Times New Roman"/>
        </w:rPr>
        <w:t xml:space="preserve"> between a claim for positive action and a claim for non</w:t>
      </w:r>
      <w:r w:rsidRPr="00816F89">
        <w:rPr>
          <w:rFonts w:cs="Times New Roman"/>
        </w:rPr>
        <w:noBreakHyphen/>
        <w:t xml:space="preserve">interference by the state. Indeed, a dogmatic and rigid application of the distinction between “rights” and “freedoms” had already been cautioned against in </w:t>
      </w:r>
      <w:r w:rsidRPr="00816F89">
        <w:rPr>
          <w:rFonts w:cs="Times New Roman"/>
          <w:i/>
          <w:lang w:val="en-US"/>
        </w:rPr>
        <w:t>Haig v. Canada</w:t>
      </w:r>
      <w:r w:rsidRPr="00816F89">
        <w:rPr>
          <w:rFonts w:cs="Times New Roman"/>
          <w:lang w:val="en-US"/>
        </w:rPr>
        <w:t>, [1993] 2 S.C.R. 995</w:t>
      </w:r>
      <w:r w:rsidRPr="00816F89">
        <w:rPr>
          <w:rFonts w:cs="Times New Roman"/>
        </w:rPr>
        <w:t xml:space="preserve">, at p. 1039, which preceded </w:t>
      </w:r>
      <w:r w:rsidRPr="00816F89">
        <w:rPr>
          <w:rFonts w:cs="Times New Roman"/>
          <w:i/>
        </w:rPr>
        <w:t>Dunmore</w:t>
      </w:r>
      <w:r w:rsidRPr="00816F89">
        <w:rPr>
          <w:rFonts w:cs="Times New Roman"/>
        </w:rPr>
        <w:t xml:space="preserve"> and was drawn upon in that case</w:t>
      </w:r>
      <w:r w:rsidRPr="00816F89">
        <w:rPr>
          <w:rFonts w:cs="Times New Roman"/>
          <w:iCs/>
        </w:rPr>
        <w:t xml:space="preserve">. Moreover, it should be noted that the majority in </w:t>
      </w:r>
      <w:r w:rsidRPr="00816F89">
        <w:rPr>
          <w:rFonts w:cs="Times New Roman"/>
          <w:i/>
        </w:rPr>
        <w:t>Fraser</w:t>
      </w:r>
      <w:r w:rsidRPr="00816F89">
        <w:rPr>
          <w:rFonts w:cs="Times New Roman"/>
        </w:rPr>
        <w:t xml:space="preserve"> relied on </w:t>
      </w:r>
      <w:r w:rsidRPr="00816F89">
        <w:rPr>
          <w:rFonts w:cs="Times New Roman"/>
          <w:i/>
        </w:rPr>
        <w:t>Haig</w:t>
      </w:r>
      <w:r w:rsidRPr="00816F89">
        <w:rPr>
          <w:rFonts w:cs="Times New Roman"/>
        </w:rPr>
        <w:t xml:space="preserve"> and </w:t>
      </w:r>
      <w:r w:rsidRPr="00816F89">
        <w:rPr>
          <w:rFonts w:cs="Times New Roman"/>
          <w:i/>
        </w:rPr>
        <w:t>Dunmore</w:t>
      </w:r>
      <w:r w:rsidRPr="00816F89">
        <w:rPr>
          <w:rFonts w:cs="Times New Roman"/>
        </w:rPr>
        <w:t xml:space="preserve"> in</w:t>
      </w:r>
      <w:r w:rsidRPr="00816F89">
        <w:rPr>
          <w:rFonts w:cs="Times New Roman"/>
          <w:iCs/>
        </w:rPr>
        <w:t xml:space="preserve"> suggesting that freedom of association, like freedom of expression, may impose positive obligations on the state</w:t>
      </w:r>
      <w:r w:rsidRPr="00816F89">
        <w:rPr>
          <w:rFonts w:cs="Times New Roman"/>
        </w:rPr>
        <w:t xml:space="preserve"> (paras. 67</w:t>
      </w:r>
      <w:r w:rsidRPr="00816F89">
        <w:rPr>
          <w:rFonts w:cs="Times New Roman"/>
        </w:rPr>
        <w:noBreakHyphen/>
        <w:t>72).</w:t>
      </w:r>
    </w:p>
    <w:p w14:paraId="718BB6FB"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Second, </w:t>
      </w:r>
      <w:r w:rsidRPr="00816F89">
        <w:rPr>
          <w:rFonts w:cs="Times New Roman"/>
          <w:i/>
          <w:iCs/>
        </w:rPr>
        <w:t>MPAO</w:t>
      </w:r>
      <w:r w:rsidRPr="00816F89">
        <w:rPr>
          <w:rFonts w:cs="Times New Roman"/>
        </w:rPr>
        <w:t xml:space="preserve"> must be distinguished from the situation in these appeals and from the one that led to </w:t>
      </w:r>
      <w:r w:rsidRPr="00816F89">
        <w:rPr>
          <w:rFonts w:cs="Times New Roman"/>
          <w:i/>
        </w:rPr>
        <w:t>Dunmore</w:t>
      </w:r>
      <w:r w:rsidRPr="00816F89">
        <w:rPr>
          <w:rFonts w:cs="Times New Roman"/>
        </w:rPr>
        <w:t xml:space="preserve">. At first blush, </w:t>
      </w:r>
      <w:r w:rsidRPr="00816F89">
        <w:rPr>
          <w:rFonts w:cs="Times New Roman"/>
          <w:i/>
          <w:iCs/>
        </w:rPr>
        <w:t>MPA</w:t>
      </w:r>
      <w:r w:rsidRPr="00816F89">
        <w:rPr>
          <w:rFonts w:cs="Times New Roman"/>
          <w:i/>
        </w:rPr>
        <w:t>O</w:t>
      </w:r>
      <w:r w:rsidRPr="00816F89">
        <w:rPr>
          <w:rFonts w:cs="Times New Roman"/>
        </w:rPr>
        <w:t xml:space="preserve"> may seem to cast doubt on the applicability of the </w:t>
      </w:r>
      <w:r w:rsidRPr="00816F89">
        <w:rPr>
          <w:rFonts w:cs="Times New Roman"/>
          <w:i/>
          <w:iCs/>
        </w:rPr>
        <w:t xml:space="preserve">Dunmore </w:t>
      </w:r>
      <w:r w:rsidRPr="00816F89">
        <w:rPr>
          <w:rFonts w:cs="Times New Roman"/>
        </w:rPr>
        <w:t xml:space="preserve">framework, because the majority analyzed the question of the statutory regime imposed, that is, the </w:t>
      </w:r>
      <w:r w:rsidRPr="00816F89">
        <w:rPr>
          <w:rFonts w:cs="Times New Roman"/>
          <w:iCs/>
        </w:rPr>
        <w:t>Staff Relations Representative Program</w:t>
      </w:r>
      <w:r w:rsidRPr="00816F89">
        <w:rPr>
          <w:rFonts w:cs="Times New Roman"/>
        </w:rPr>
        <w:t xml:space="preserve">, separately from the question of the exclusion set out in the </w:t>
      </w:r>
      <w:r w:rsidRPr="00816F89">
        <w:rPr>
          <w:rFonts w:cs="Times New Roman"/>
          <w:i/>
          <w:iCs/>
        </w:rPr>
        <w:t>PSLRA</w:t>
      </w:r>
      <w:r w:rsidRPr="00816F89">
        <w:rPr>
          <w:rFonts w:cs="Times New Roman"/>
        </w:rPr>
        <w:t>. But even though the imposition of a particular regime on employees was analyzed separately from their exclusion from the general collective relations regime</w:t>
      </w:r>
      <w:r w:rsidRPr="00816F89">
        <w:rPr>
          <w:rFonts w:cs="Times New Roman"/>
          <w:iCs/>
        </w:rPr>
        <w:t>, the exclusion was examined mainly from the perspective of the imposition of the constitutionally defective regime</w:t>
      </w:r>
      <w:r w:rsidRPr="00816F89">
        <w:rPr>
          <w:rFonts w:cs="Times New Roman"/>
        </w:rPr>
        <w:t>:</w:t>
      </w:r>
    </w:p>
    <w:p w14:paraId="17F7B911" w14:textId="77777777" w:rsidR="00816F89" w:rsidRPr="00816F89" w:rsidRDefault="00816F89" w:rsidP="00816F89">
      <w:pPr>
        <w:pStyle w:val="Citation-AltC"/>
        <w:tabs>
          <w:tab w:val="left" w:pos="1440"/>
        </w:tabs>
        <w:spacing w:after="240"/>
        <w:ind w:firstLine="4"/>
        <w:contextualSpacing w:val="0"/>
      </w:pPr>
      <w:r w:rsidRPr="00816F89">
        <w:tab/>
        <w:t xml:space="preserve">The </w:t>
      </w:r>
      <w:r w:rsidRPr="00816F89">
        <w:rPr>
          <w:i/>
          <w:iCs/>
        </w:rPr>
        <w:t>PSSRA</w:t>
      </w:r>
      <w:r w:rsidRPr="00816F89">
        <w:t xml:space="preserve">’s successor, the </w:t>
      </w:r>
      <w:r w:rsidRPr="00816F89">
        <w:rPr>
          <w:i/>
          <w:iCs/>
        </w:rPr>
        <w:t>PSLRA</w:t>
      </w:r>
      <w:r w:rsidRPr="00816F89">
        <w:t xml:space="preserve">, reduced the categories of excluded public servants. RCMP members, however, continued to be excluded in identical terms as under the </w:t>
      </w:r>
      <w:r w:rsidRPr="00816F89">
        <w:rPr>
          <w:i/>
          <w:iCs/>
        </w:rPr>
        <w:t>PSSRA</w:t>
      </w:r>
      <w:r w:rsidRPr="00816F89">
        <w:t>, and no other statute permitted RCMP members to engage in a process of collective bargaining (</w:t>
      </w:r>
      <w:r w:rsidRPr="00816F89">
        <w:rPr>
          <w:i/>
          <w:iCs/>
        </w:rPr>
        <w:t>Delisle</w:t>
      </w:r>
      <w:r w:rsidRPr="00816F89">
        <w:t xml:space="preserve">, at para. 85, per Cory and Iacobucci JJ., dissenting; R. MacKay, “The Royal Canadian Mounted Police and Unionization”, Parliamentary Research Branch, September 3, 2003, at p. 20). Nothing indicated that the purpose of the initial exclusion of RCMP members from collective bargaining had changed: </w:t>
      </w:r>
      <w:r w:rsidRPr="00816F89">
        <w:rPr>
          <w:i/>
          <w:iCs/>
        </w:rPr>
        <w:t>Interpretation Act</w:t>
      </w:r>
      <w:r w:rsidRPr="00816F89">
        <w:t>, R.S.C. 1985, c. I</w:t>
      </w:r>
      <w:r w:rsidRPr="00816F89">
        <w:noBreakHyphen/>
        <w:t>21, at s. 44(</w:t>
      </w:r>
      <w:r w:rsidRPr="00816F89">
        <w:rPr>
          <w:i/>
          <w:iCs/>
        </w:rPr>
        <w:t>f</w:t>
      </w:r>
      <w:r w:rsidRPr="00816F89">
        <w:t>); see also [</w:t>
      </w:r>
      <w:r w:rsidRPr="00816F89">
        <w:rPr>
          <w:i/>
        </w:rPr>
        <w:t xml:space="preserve">R. v. </w:t>
      </w:r>
      <w:r w:rsidRPr="00816F89">
        <w:rPr>
          <w:i/>
          <w:iCs/>
        </w:rPr>
        <w:t>Big M Drug Mart Ltd.</w:t>
      </w:r>
      <w:r w:rsidRPr="00816F89">
        <w:rPr>
          <w:iCs/>
        </w:rPr>
        <w:t>, [1985] 1 S.C.R. 295</w:t>
      </w:r>
      <w:r w:rsidRPr="00816F89">
        <w:t>],</w:t>
      </w:r>
      <w:r w:rsidRPr="00816F89">
        <w:rPr>
          <w:i/>
          <w:iCs/>
        </w:rPr>
        <w:t xml:space="preserve"> </w:t>
      </w:r>
      <w:r w:rsidRPr="00816F89">
        <w:t xml:space="preserve">at p. 335. Indeed, </w:t>
      </w:r>
      <w:r w:rsidRPr="00816F89">
        <w:rPr>
          <w:u w:val="single"/>
        </w:rPr>
        <w:t xml:space="preserve">the </w:t>
      </w:r>
      <w:r w:rsidRPr="00816F89">
        <w:rPr>
          <w:i/>
          <w:iCs/>
          <w:u w:val="single"/>
        </w:rPr>
        <w:t>PSLRA</w:t>
      </w:r>
      <w:r w:rsidRPr="00816F89">
        <w:rPr>
          <w:u w:val="single"/>
        </w:rPr>
        <w:t xml:space="preserve"> exclusion makes possible the current imposition of the [Staff Relations Representative Program], which we have found to substantially interfere in both purpose and effect with RCMP members’ right to a meaningful process of collective bargaining</w:t>
      </w:r>
      <w:r w:rsidRPr="00816F89">
        <w:t>. Working in tandem with P.C. 1918</w:t>
      </w:r>
      <w:r w:rsidRPr="00816F89">
        <w:noBreakHyphen/>
        <w:t xml:space="preserve">2213, the </w:t>
      </w:r>
      <w:r w:rsidRPr="00816F89">
        <w:rPr>
          <w:i/>
          <w:iCs/>
        </w:rPr>
        <w:t xml:space="preserve">PSSRA </w:t>
      </w:r>
      <w:r w:rsidRPr="00816F89">
        <w:t>exclusion had similarly sought to deny the members of the RCMP the exercise of their right to freedom of association. The simple re</w:t>
      </w:r>
      <w:r w:rsidRPr="00816F89">
        <w:noBreakHyphen/>
        <w:t xml:space="preserve">enactment of this exclusion in the </w:t>
      </w:r>
      <w:r w:rsidRPr="00816F89">
        <w:rPr>
          <w:i/>
          <w:iCs/>
        </w:rPr>
        <w:t>PSLRA</w:t>
      </w:r>
      <w:r w:rsidRPr="00816F89">
        <w:t xml:space="preserve"> did not cure this constitutionally impermissible purpose. </w:t>
      </w:r>
      <w:r w:rsidRPr="00816F89">
        <w:rPr>
          <w:u w:val="single"/>
        </w:rPr>
        <w:t xml:space="preserve">The </w:t>
      </w:r>
      <w:r w:rsidRPr="00816F89">
        <w:rPr>
          <w:i/>
          <w:iCs/>
          <w:u w:val="single"/>
        </w:rPr>
        <w:t xml:space="preserve">PSLRA </w:t>
      </w:r>
      <w:r w:rsidRPr="00816F89">
        <w:rPr>
          <w:u w:val="single"/>
        </w:rPr>
        <w:t>exclusion is but a part of a constitutionally defective regime of labour relations, designed to prevent the exercise of the s. 2(</w:t>
      </w:r>
      <w:r w:rsidRPr="00816F89">
        <w:rPr>
          <w:i/>
          <w:iCs/>
          <w:u w:val="single"/>
        </w:rPr>
        <w:t>d</w:t>
      </w:r>
      <w:r w:rsidRPr="00816F89">
        <w:rPr>
          <w:u w:val="single"/>
        </w:rPr>
        <w:t>) rights of RCMP members.</w:t>
      </w:r>
      <w:r w:rsidRPr="00816F89">
        <w:t xml:space="preserve"> We therefore conclude that the purpose of the </w:t>
      </w:r>
      <w:r w:rsidRPr="00816F89">
        <w:rPr>
          <w:i/>
          <w:iCs/>
        </w:rPr>
        <w:t xml:space="preserve">PSLRA </w:t>
      </w:r>
      <w:r w:rsidRPr="00816F89">
        <w:t>exclusion infringes s. 2(</w:t>
      </w:r>
      <w:r w:rsidRPr="00816F89">
        <w:rPr>
          <w:i/>
          <w:iCs/>
        </w:rPr>
        <w:t>d</w:t>
      </w:r>
      <w:r w:rsidRPr="00816F89">
        <w:t xml:space="preserve">) of the </w:t>
      </w:r>
      <w:r w:rsidRPr="00816F89">
        <w:rPr>
          <w:i/>
          <w:iCs/>
        </w:rPr>
        <w:t>Charter</w:t>
      </w:r>
      <w:r w:rsidRPr="00816F89">
        <w:t>. [Emphasis added.]</w:t>
      </w:r>
    </w:p>
    <w:p w14:paraId="15837AA6" w14:textId="77777777" w:rsidR="00816F89" w:rsidRPr="00816F89" w:rsidRDefault="00816F89" w:rsidP="00816F89">
      <w:pPr>
        <w:pStyle w:val="Citation-AltC"/>
        <w:ind w:hanging="360"/>
        <w:contextualSpacing w:val="0"/>
      </w:pPr>
      <w:r w:rsidRPr="00816F89">
        <w:tab/>
        <w:t>(</w:t>
      </w:r>
      <w:r w:rsidRPr="00816F89">
        <w:rPr>
          <w:i/>
          <w:iCs/>
        </w:rPr>
        <w:t>MPAO</w:t>
      </w:r>
      <w:r w:rsidRPr="00816F89">
        <w:t>, at para. 135)</w:t>
      </w:r>
    </w:p>
    <w:p w14:paraId="7004F1FE" w14:textId="77777777" w:rsidR="00816F89" w:rsidRPr="00816F89" w:rsidRDefault="00816F89" w:rsidP="00816F89">
      <w:pPr>
        <w:pStyle w:val="ParaNoNdepar-AltN"/>
        <w:spacing w:before="0"/>
        <w:rPr>
          <w:rFonts w:cs="Times New Roman"/>
        </w:rPr>
      </w:pPr>
      <w:r w:rsidRPr="00816F89">
        <w:rPr>
          <w:rFonts w:cs="Times New Roman"/>
        </w:rPr>
        <w:t>In other words, it was the imposition of the Staff Relations Representative Program,</w:t>
      </w:r>
      <w:r w:rsidRPr="00816F89">
        <w:rPr>
          <w:rFonts w:cs="Times New Roman"/>
          <w:i/>
        </w:rPr>
        <w:t xml:space="preserve"> </w:t>
      </w:r>
      <w:r w:rsidRPr="00816F89">
        <w:rPr>
          <w:rFonts w:cs="Times New Roman"/>
        </w:rPr>
        <w:t xml:space="preserve">made possible by the exclusion from the general statutory regime applicable to the public service, that was found to be unconstitutional. For further confirmation of this, one need only look at how the Court in </w:t>
      </w:r>
      <w:r w:rsidRPr="00816F89">
        <w:rPr>
          <w:rFonts w:cs="Times New Roman"/>
          <w:i/>
        </w:rPr>
        <w:t>Meredith</w:t>
      </w:r>
      <w:r w:rsidRPr="00816F89">
        <w:rPr>
          <w:rFonts w:cs="Times New Roman"/>
        </w:rPr>
        <w:t xml:space="preserve">, a decision rendered at the same time, described what was held in </w:t>
      </w:r>
      <w:r w:rsidRPr="00816F89">
        <w:rPr>
          <w:rFonts w:cs="Times New Roman"/>
          <w:i/>
        </w:rPr>
        <w:t>MPAO</w:t>
      </w:r>
      <w:r w:rsidRPr="00816F89">
        <w:rPr>
          <w:rFonts w:cs="Times New Roman"/>
        </w:rPr>
        <w:t>:</w:t>
      </w:r>
    </w:p>
    <w:p w14:paraId="08C48640" w14:textId="77777777" w:rsidR="00816F89" w:rsidRPr="00816F89" w:rsidRDefault="00816F89" w:rsidP="00816F89">
      <w:pPr>
        <w:pStyle w:val="Citation-AltC"/>
        <w:tabs>
          <w:tab w:val="left" w:pos="1440"/>
        </w:tabs>
        <w:ind w:firstLine="4"/>
        <w:contextualSpacing w:val="0"/>
      </w:pPr>
      <w:r w:rsidRPr="00816F89">
        <w:tab/>
        <w:t>Section 2(</w:t>
      </w:r>
      <w:r w:rsidRPr="00816F89">
        <w:rPr>
          <w:i/>
          <w:iCs/>
        </w:rPr>
        <w:t>d</w:t>
      </w:r>
      <w:r w:rsidRPr="00816F89">
        <w:t xml:space="preserve">) guarantees a right to a meaningful labour relations process, but it does not guarantee a particular outcome. What is guaranteed is the right of employees to associate in a meaningful way in the pursuit of collective workplace goals. </w:t>
      </w:r>
      <w:r w:rsidRPr="00816F89">
        <w:rPr>
          <w:u w:val="single"/>
        </w:rPr>
        <w:t xml:space="preserve">In </w:t>
      </w:r>
      <w:r w:rsidRPr="00816F89">
        <w:rPr>
          <w:i/>
          <w:iCs/>
          <w:u w:val="single"/>
        </w:rPr>
        <w:t>MPAO</w:t>
      </w:r>
      <w:r w:rsidRPr="00816F89">
        <w:rPr>
          <w:u w:val="single"/>
        </w:rPr>
        <w:t>, we concluded that the imposition of the [Staff Relations Representative Program], combined with a prohibition on collective bargaining by RCMP members, infringes this right.</w:t>
      </w:r>
      <w:r w:rsidRPr="00816F89">
        <w:t xml:space="preserve"> At the same time, the record here establishes that, in the absence of a true collective bargaining process, RCMP members used the Pay Council to advance their compensation</w:t>
      </w:r>
      <w:r w:rsidRPr="00816F89">
        <w:noBreakHyphen/>
        <w:t xml:space="preserve">related goals. In our view, the </w:t>
      </w:r>
      <w:r w:rsidRPr="00816F89">
        <w:rPr>
          <w:i/>
          <w:iCs/>
        </w:rPr>
        <w:t>Charter</w:t>
      </w:r>
      <w:r w:rsidRPr="00816F89">
        <w:rPr>
          <w:iCs/>
        </w:rPr>
        <w:t xml:space="preserve"> </w:t>
      </w:r>
      <w:r w:rsidRPr="00816F89">
        <w:t xml:space="preserve">protects that associational activity, even though the process does not provide all that the </w:t>
      </w:r>
      <w:r w:rsidRPr="00816F89">
        <w:rPr>
          <w:i/>
          <w:iCs/>
        </w:rPr>
        <w:t>Charter</w:t>
      </w:r>
      <w:r w:rsidRPr="00816F89">
        <w:rPr>
          <w:iCs/>
        </w:rPr>
        <w:t xml:space="preserve"> </w:t>
      </w:r>
      <w:r w:rsidRPr="00816F89">
        <w:t>requires. The legal alternatives available are not full collective bargaining or a total absence of constitutional</w:t>
      </w:r>
      <w:r w:rsidRPr="00816F89">
        <w:rPr>
          <w:iCs/>
        </w:rPr>
        <w:t xml:space="preserve"> </w:t>
      </w:r>
      <w:r w:rsidRPr="00816F89">
        <w:t>protection. Interference with a constitutionally inadequate process may attract scrutiny under s. 2(</w:t>
      </w:r>
      <w:r w:rsidRPr="00816F89">
        <w:rPr>
          <w:i/>
          <w:iCs/>
        </w:rPr>
        <w:t>d</w:t>
      </w:r>
      <w:r w:rsidRPr="00816F89">
        <w:t>). Accordingly, we must examine whether the [impugned legislation] substantially interfered with the existing Pay Council process, so as to infringe the appellants’ freedom of association. [Emphasis added; para. 25.]</w:t>
      </w:r>
    </w:p>
    <w:p w14:paraId="765F0B28"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It is important to specify that in the case before us, no statutory regime has been imposed on the Association’s members. The appeals concern only the exclusion set out in s. 1(</w:t>
      </w:r>
      <w:r w:rsidRPr="00816F89">
        <w:rPr>
          <w:rFonts w:cs="Times New Roman"/>
          <w:i/>
        </w:rPr>
        <w:t>l</w:t>
      </w:r>
      <w:r w:rsidRPr="00816F89">
        <w:rPr>
          <w:rFonts w:cs="Times New Roman"/>
        </w:rPr>
        <w:t>)</w:t>
      </w:r>
      <w:r w:rsidRPr="00816F89">
        <w:rPr>
          <w:rFonts w:cs="Times New Roman"/>
          <w:iCs/>
        </w:rPr>
        <w:t>(</w:t>
      </w:r>
      <w:r w:rsidRPr="00816F89">
        <w:rPr>
          <w:rFonts w:cs="Times New Roman"/>
        </w:rPr>
        <w:t xml:space="preserve">1) </w:t>
      </w:r>
      <w:r w:rsidRPr="00816F89">
        <w:rPr>
          <w:rFonts w:cs="Times New Roman"/>
          <w:i/>
        </w:rPr>
        <w:t>L.C.</w:t>
      </w:r>
    </w:p>
    <w:p w14:paraId="373BE96E"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i/>
        </w:rPr>
        <w:t xml:space="preserve">Fraser </w:t>
      </w:r>
      <w:r w:rsidRPr="00816F89">
        <w:rPr>
          <w:rFonts w:cs="Times New Roman"/>
          <w:iCs/>
        </w:rPr>
        <w:t>and</w:t>
      </w:r>
      <w:r w:rsidRPr="00816F89">
        <w:rPr>
          <w:rFonts w:cs="Times New Roman"/>
        </w:rPr>
        <w:t xml:space="preserve"> </w:t>
      </w:r>
      <w:r w:rsidRPr="00816F89">
        <w:rPr>
          <w:rFonts w:cs="Times New Roman"/>
          <w:i/>
        </w:rPr>
        <w:t xml:space="preserve">MPAO </w:t>
      </w:r>
      <w:r w:rsidRPr="00816F89">
        <w:rPr>
          <w:rFonts w:cs="Times New Roman"/>
          <w:iCs/>
        </w:rPr>
        <w:t>must not be read as overturning</w:t>
      </w:r>
      <w:r w:rsidRPr="00816F89">
        <w:rPr>
          <w:rFonts w:cs="Times New Roman"/>
        </w:rPr>
        <w:t xml:space="preserve"> the </w:t>
      </w:r>
      <w:r w:rsidRPr="00816F89">
        <w:rPr>
          <w:rFonts w:cs="Times New Roman"/>
          <w:i/>
        </w:rPr>
        <w:t>Dunmore</w:t>
      </w:r>
      <w:r w:rsidRPr="00816F89">
        <w:rPr>
          <w:rFonts w:cs="Times New Roman"/>
        </w:rPr>
        <w:t xml:space="preserve"> framework </w:t>
      </w:r>
      <w:r w:rsidRPr="00816F89">
        <w:rPr>
          <w:rFonts w:cs="Times New Roman"/>
          <w:i/>
        </w:rPr>
        <w:t>sub silentio</w:t>
      </w:r>
      <w:r w:rsidRPr="00816F89">
        <w:rPr>
          <w:rFonts w:cs="Times New Roman"/>
        </w:rPr>
        <w:t>. Our Court does not overturn its precedents lightly (</w:t>
      </w:r>
      <w:r w:rsidRPr="00816F89">
        <w:rPr>
          <w:rFonts w:cs="Times New Roman"/>
          <w:i/>
          <w:iCs/>
        </w:rPr>
        <w:t>MPAO</w:t>
      </w:r>
      <w:r w:rsidRPr="00816F89">
        <w:rPr>
          <w:rFonts w:cs="Times New Roman"/>
        </w:rPr>
        <w:t xml:space="preserve">, at para. 127, citing </w:t>
      </w:r>
      <w:r w:rsidRPr="00816F89">
        <w:rPr>
          <w:rFonts w:cs="Times New Roman"/>
          <w:i/>
          <w:lang w:val="en-US"/>
        </w:rPr>
        <w:t>Canada v. Craig</w:t>
      </w:r>
      <w:r w:rsidRPr="00816F89">
        <w:rPr>
          <w:rFonts w:cs="Times New Roman"/>
          <w:lang w:val="en-US"/>
        </w:rPr>
        <w:t>, 2012 SCC 43, [2012] 2 S.C.R. 489</w:t>
      </w:r>
      <w:r w:rsidRPr="00816F89">
        <w:rPr>
          <w:rFonts w:cs="Times New Roman"/>
        </w:rPr>
        <w:t xml:space="preserve">). When our Court reconsidered </w:t>
      </w:r>
      <w:r w:rsidRPr="00816F89">
        <w:rPr>
          <w:rFonts w:cs="Times New Roman"/>
          <w:i/>
        </w:rPr>
        <w:t>Delisle</w:t>
      </w:r>
      <w:r w:rsidRPr="00816F89">
        <w:rPr>
          <w:rFonts w:cs="Times New Roman"/>
        </w:rPr>
        <w:t xml:space="preserve"> in </w:t>
      </w:r>
      <w:r w:rsidRPr="00816F89">
        <w:rPr>
          <w:rFonts w:cs="Times New Roman"/>
          <w:i/>
        </w:rPr>
        <w:t>MPAO</w:t>
      </w:r>
      <w:r w:rsidRPr="00816F89">
        <w:rPr>
          <w:rFonts w:cs="Times New Roman"/>
        </w:rPr>
        <w:t xml:space="preserve">, it took care to explain why the foundations of that decision had been eroded by the subsequent case law. The same was true when the </w:t>
      </w:r>
      <w:r w:rsidRPr="00816F89">
        <w:rPr>
          <w:rFonts w:cs="Times New Roman"/>
          <w:i/>
        </w:rPr>
        <w:t>Alberta Reference</w:t>
      </w:r>
      <w:r w:rsidRPr="00816F89">
        <w:rPr>
          <w:rFonts w:cs="Times New Roman"/>
        </w:rPr>
        <w:t xml:space="preserve"> was reconsidered in </w:t>
      </w:r>
      <w:r w:rsidRPr="00816F89">
        <w:rPr>
          <w:rFonts w:cs="Times New Roman"/>
          <w:i/>
        </w:rPr>
        <w:t>Saskatchewan Federation</w:t>
      </w:r>
      <w:r w:rsidRPr="00816F89">
        <w:rPr>
          <w:rFonts w:cs="Times New Roman"/>
        </w:rPr>
        <w:t xml:space="preserve">. Nothing of the kind has been said about </w:t>
      </w:r>
      <w:r w:rsidRPr="00816F89">
        <w:rPr>
          <w:rFonts w:cs="Times New Roman"/>
          <w:i/>
        </w:rPr>
        <w:t>Dunmore</w:t>
      </w:r>
      <w:r w:rsidRPr="00816F89">
        <w:rPr>
          <w:rFonts w:cs="Times New Roman"/>
        </w:rPr>
        <w:t>. Quite the opposite is true:</w:t>
      </w:r>
      <w:r w:rsidRPr="00816F89">
        <w:rPr>
          <w:rFonts w:cs="Times New Roman"/>
          <w:iCs/>
        </w:rPr>
        <w:t xml:space="preserve"> in both </w:t>
      </w:r>
      <w:r w:rsidRPr="00816F89">
        <w:rPr>
          <w:rFonts w:cs="Times New Roman"/>
          <w:i/>
        </w:rPr>
        <w:t>MPAO</w:t>
      </w:r>
      <w:r w:rsidRPr="00816F89">
        <w:rPr>
          <w:rFonts w:cs="Times New Roman"/>
        </w:rPr>
        <w:t xml:space="preserve"> </w:t>
      </w:r>
      <w:r w:rsidRPr="00816F89">
        <w:rPr>
          <w:rFonts w:cs="Times New Roman"/>
          <w:iCs/>
        </w:rPr>
        <w:t xml:space="preserve">and </w:t>
      </w:r>
      <w:r w:rsidRPr="00816F89">
        <w:rPr>
          <w:rFonts w:cs="Times New Roman"/>
          <w:i/>
        </w:rPr>
        <w:t>Fraser</w:t>
      </w:r>
      <w:r w:rsidRPr="00816F89">
        <w:rPr>
          <w:rFonts w:cs="Times New Roman"/>
        </w:rPr>
        <w:t xml:space="preserve">, our Court described </w:t>
      </w:r>
      <w:r w:rsidRPr="00816F89">
        <w:rPr>
          <w:rFonts w:cs="Times New Roman"/>
          <w:i/>
        </w:rPr>
        <w:t>Dunmore</w:t>
      </w:r>
      <w:r w:rsidRPr="00816F89">
        <w:rPr>
          <w:rFonts w:cs="Times New Roman"/>
        </w:rPr>
        <w:t xml:space="preserve"> </w:t>
      </w:r>
      <w:r w:rsidRPr="00816F89">
        <w:rPr>
          <w:rFonts w:cs="Times New Roman"/>
          <w:iCs/>
        </w:rPr>
        <w:t>as a new stage in the development of the jurisprudence under s.</w:t>
      </w:r>
      <w:r w:rsidRPr="00816F89">
        <w:rPr>
          <w:rFonts w:cs="Times New Roman"/>
        </w:rPr>
        <w:t xml:space="preserve"> 2(d) of the </w:t>
      </w:r>
      <w:r w:rsidRPr="00816F89">
        <w:rPr>
          <w:rFonts w:cs="Times New Roman"/>
          <w:i/>
        </w:rPr>
        <w:t>Canadian Charter</w:t>
      </w:r>
      <w:r w:rsidRPr="00816F89">
        <w:rPr>
          <w:rFonts w:cs="Times New Roman"/>
        </w:rPr>
        <w:t xml:space="preserve">, a new stage that included </w:t>
      </w:r>
      <w:r w:rsidRPr="00816F89">
        <w:rPr>
          <w:rFonts w:cs="Times New Roman"/>
          <w:i/>
        </w:rPr>
        <w:t>Health Services</w:t>
      </w:r>
      <w:r w:rsidRPr="00816F89">
        <w:rPr>
          <w:rFonts w:cs="Times New Roman"/>
        </w:rPr>
        <w:t xml:space="preserve">, from which </w:t>
      </w:r>
      <w:r w:rsidRPr="00816F89">
        <w:rPr>
          <w:rFonts w:cs="Times New Roman"/>
          <w:i/>
          <w:iCs/>
        </w:rPr>
        <w:t>MPAO</w:t>
      </w:r>
      <w:r w:rsidRPr="00816F89">
        <w:rPr>
          <w:rFonts w:cs="Times New Roman"/>
        </w:rPr>
        <w:t xml:space="preserve"> and </w:t>
      </w:r>
      <w:r w:rsidRPr="00816F89">
        <w:rPr>
          <w:rFonts w:cs="Times New Roman"/>
          <w:i/>
        </w:rPr>
        <w:t>Fraser</w:t>
      </w:r>
      <w:r w:rsidRPr="00816F89">
        <w:rPr>
          <w:rFonts w:cs="Times New Roman"/>
        </w:rPr>
        <w:t xml:space="preserve"> also drew support (</w:t>
      </w:r>
      <w:r w:rsidRPr="00816F89">
        <w:rPr>
          <w:rFonts w:cs="Times New Roman"/>
          <w:i/>
        </w:rPr>
        <w:t>Fraser</w:t>
      </w:r>
      <w:r w:rsidRPr="00816F89">
        <w:rPr>
          <w:rFonts w:cs="Times New Roman"/>
        </w:rPr>
        <w:t>, at paras. 26</w:t>
      </w:r>
      <w:r w:rsidRPr="00816F89">
        <w:rPr>
          <w:rFonts w:cs="Times New Roman"/>
        </w:rPr>
        <w:noBreakHyphen/>
        <w:t xml:space="preserve">43; </w:t>
      </w:r>
      <w:r w:rsidRPr="00816F89">
        <w:rPr>
          <w:rFonts w:cs="Times New Roman"/>
          <w:i/>
          <w:iCs/>
        </w:rPr>
        <w:t>MPAO</w:t>
      </w:r>
      <w:r w:rsidRPr="00816F89">
        <w:rPr>
          <w:rFonts w:cs="Times New Roman"/>
        </w:rPr>
        <w:t>, at paras. 43</w:t>
      </w:r>
      <w:r w:rsidRPr="00816F89">
        <w:rPr>
          <w:rFonts w:cs="Times New Roman"/>
        </w:rPr>
        <w:noBreakHyphen/>
        <w:t>44 and 51 et seq.).</w:t>
      </w:r>
    </w:p>
    <w:p w14:paraId="1076EA05"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I pause here to discuss the approach taken by the Court of Appeal to our Court’s reasons in </w:t>
      </w:r>
      <w:r w:rsidRPr="00816F89">
        <w:rPr>
          <w:rFonts w:cs="Times New Roman"/>
          <w:i/>
        </w:rPr>
        <w:t>Toronto (City)</w:t>
      </w:r>
      <w:r w:rsidRPr="00816F89">
        <w:rPr>
          <w:rFonts w:cs="Times New Roman"/>
        </w:rPr>
        <w:t xml:space="preserve">, where the majority applied </w:t>
      </w:r>
      <w:r w:rsidRPr="00816F89">
        <w:rPr>
          <w:rFonts w:cs="Times New Roman"/>
          <w:i/>
        </w:rPr>
        <w:t>Baier</w:t>
      </w:r>
      <w:r w:rsidRPr="00816F89">
        <w:rPr>
          <w:rFonts w:cs="Times New Roman"/>
        </w:rPr>
        <w:t xml:space="preserve"> in dealing with a claim for state action with respect to freedom of expression. Although the Court of Appeal took note of the majority reasons, recognizing that the decision in </w:t>
      </w:r>
      <w:r w:rsidRPr="00816F89">
        <w:rPr>
          <w:rFonts w:cs="Times New Roman"/>
          <w:i/>
        </w:rPr>
        <w:t xml:space="preserve">Baier </w:t>
      </w:r>
      <w:r w:rsidRPr="00816F89">
        <w:rPr>
          <w:rFonts w:cs="Times New Roman"/>
        </w:rPr>
        <w:t xml:space="preserve">was based on the </w:t>
      </w:r>
      <w:r w:rsidRPr="00816F89">
        <w:rPr>
          <w:rFonts w:cs="Times New Roman"/>
          <w:i/>
        </w:rPr>
        <w:t>Dunmore</w:t>
      </w:r>
      <w:r w:rsidRPr="00816F89">
        <w:rPr>
          <w:rFonts w:cs="Times New Roman"/>
        </w:rPr>
        <w:t xml:space="preserve"> framework, it nevertheless relied on the minority reasons to justify its conclusion that our Court had abandoned the framework in </w:t>
      </w:r>
      <w:r w:rsidRPr="00816F89">
        <w:rPr>
          <w:rFonts w:cs="Times New Roman"/>
          <w:i/>
        </w:rPr>
        <w:t xml:space="preserve">Fraser </w:t>
      </w:r>
      <w:r w:rsidRPr="00816F89">
        <w:rPr>
          <w:rFonts w:cs="Times New Roman"/>
        </w:rPr>
        <w:t xml:space="preserve">and </w:t>
      </w:r>
      <w:r w:rsidRPr="00816F89">
        <w:rPr>
          <w:rFonts w:cs="Times New Roman"/>
          <w:i/>
        </w:rPr>
        <w:t>MPAO</w:t>
      </w:r>
      <w:r w:rsidRPr="00816F89">
        <w:rPr>
          <w:rFonts w:cs="Times New Roman"/>
        </w:rPr>
        <w:t xml:space="preserve">. With respect, it was an error for the Court of Appeal to rely on the minority’s approach in </w:t>
      </w:r>
      <w:r w:rsidRPr="00816F89">
        <w:rPr>
          <w:rFonts w:cs="Times New Roman"/>
          <w:i/>
        </w:rPr>
        <w:t>Toronto (City)</w:t>
      </w:r>
      <w:r w:rsidRPr="00816F89">
        <w:rPr>
          <w:rFonts w:cs="Times New Roman"/>
        </w:rPr>
        <w:t xml:space="preserve"> to reach that conclusion.</w:t>
      </w:r>
    </w:p>
    <w:p w14:paraId="3CFC791D"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The Association and certain interveners invite our Court to discard the distinction drawn in </w:t>
      </w:r>
      <w:r w:rsidRPr="00816F89">
        <w:rPr>
          <w:rFonts w:cs="Times New Roman"/>
          <w:i/>
        </w:rPr>
        <w:t>Dunmore</w:t>
      </w:r>
      <w:r w:rsidRPr="00816F89">
        <w:rPr>
          <w:rFonts w:cs="Times New Roman"/>
        </w:rPr>
        <w:t xml:space="preserve"> between claims seeking recognition of a positive state obligation and claims seeking the enforcement of a negative state obligation, and to set aside the resulting framework</w:t>
      </w:r>
      <w:r w:rsidRPr="00816F89">
        <w:rPr>
          <w:rFonts w:cs="Times New Roman"/>
          <w:szCs w:val="24"/>
        </w:rPr>
        <w:t>. I respectfully decline that invitation, because I am of the view that the three</w:t>
      </w:r>
      <w:r w:rsidRPr="00816F89">
        <w:rPr>
          <w:rFonts w:cs="Times New Roman"/>
          <w:szCs w:val="24"/>
        </w:rPr>
        <w:noBreakHyphen/>
        <w:t xml:space="preserve">step </w:t>
      </w:r>
      <w:r w:rsidRPr="00816F89">
        <w:rPr>
          <w:rFonts w:cs="Times New Roman"/>
          <w:i/>
          <w:szCs w:val="24"/>
        </w:rPr>
        <w:t>Dunmore</w:t>
      </w:r>
      <w:r w:rsidRPr="00816F89">
        <w:rPr>
          <w:rFonts w:cs="Times New Roman"/>
          <w:szCs w:val="24"/>
        </w:rPr>
        <w:t xml:space="preserve"> framework better addresses positive claims and reflects the exceptional nature of the remedy sought.</w:t>
      </w:r>
    </w:p>
    <w:p w14:paraId="3CBF2953"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It must not be forgotten that the “leap” made by our Court in </w:t>
      </w:r>
      <w:r w:rsidRPr="00816F89">
        <w:rPr>
          <w:rFonts w:cs="Times New Roman"/>
          <w:i/>
        </w:rPr>
        <w:t>Dunmore</w:t>
      </w:r>
      <w:r w:rsidRPr="00816F89">
        <w:rPr>
          <w:rFonts w:cs="Times New Roman"/>
        </w:rPr>
        <w:t xml:space="preserve">, as significant as it may have been, was meant to recognize that state responsibility under s. 2(d) can be “positive” in nature only in exceptional circumstances. In making that leap, our Court did not intend to import considerations relating to the right to equality into the framework for analyzing freedom of association. As Bastarache J. stated in </w:t>
      </w:r>
      <w:r w:rsidRPr="00816F89">
        <w:rPr>
          <w:rFonts w:cs="Times New Roman"/>
          <w:i/>
        </w:rPr>
        <w:t>Delisle</w:t>
      </w:r>
      <w:r w:rsidRPr="00816F89">
        <w:rPr>
          <w:rFonts w:cs="Times New Roman"/>
        </w:rPr>
        <w:t xml:space="preserve">, exclusion from a particular statutory regime does not dictate a requirement of inclusion by virtue of s. 2(d); this is “[t]he distinguishing feature of s. 15” (para. 25; see also </w:t>
      </w:r>
      <w:r w:rsidRPr="00816F89">
        <w:rPr>
          <w:rFonts w:cs="Times New Roman"/>
          <w:i/>
        </w:rPr>
        <w:t>Dunmore</w:t>
      </w:r>
      <w:r w:rsidRPr="00816F89">
        <w:rPr>
          <w:rFonts w:cs="Times New Roman"/>
        </w:rPr>
        <w:t>, at para. 28). Freedom of association does not guarantee access to a particular labour relations regime or to a particular model of collective bargaining (</w:t>
      </w:r>
      <w:r w:rsidRPr="00816F89">
        <w:rPr>
          <w:rFonts w:cs="Times New Roman"/>
          <w:i/>
        </w:rPr>
        <w:t>Dunmore</w:t>
      </w:r>
      <w:r w:rsidRPr="00816F89">
        <w:rPr>
          <w:rFonts w:cs="Times New Roman"/>
        </w:rPr>
        <w:t xml:space="preserve">, at para. 14; </w:t>
      </w:r>
      <w:r w:rsidRPr="00816F89">
        <w:rPr>
          <w:rFonts w:cs="Times New Roman"/>
          <w:i/>
        </w:rPr>
        <w:t>Health Services</w:t>
      </w:r>
      <w:r w:rsidRPr="00816F89">
        <w:rPr>
          <w:rFonts w:cs="Times New Roman"/>
        </w:rPr>
        <w:t xml:space="preserve">, at para. 91; </w:t>
      </w:r>
      <w:r w:rsidRPr="00816F89">
        <w:rPr>
          <w:rFonts w:cs="Times New Roman"/>
          <w:i/>
        </w:rPr>
        <w:t>Fraser</w:t>
      </w:r>
      <w:r w:rsidRPr="00816F89">
        <w:rPr>
          <w:rFonts w:cs="Times New Roman"/>
        </w:rPr>
        <w:t>, at paras. 44</w:t>
      </w:r>
      <w:r w:rsidRPr="00816F89">
        <w:rPr>
          <w:rFonts w:cs="Times New Roman"/>
        </w:rPr>
        <w:noBreakHyphen/>
        <w:t xml:space="preserve">47; </w:t>
      </w:r>
      <w:r w:rsidRPr="00816F89">
        <w:rPr>
          <w:rFonts w:cs="Times New Roman"/>
          <w:i/>
          <w:iCs/>
        </w:rPr>
        <w:t>MPAO</w:t>
      </w:r>
      <w:r w:rsidRPr="00816F89">
        <w:rPr>
          <w:rFonts w:cs="Times New Roman"/>
        </w:rPr>
        <w:t>, at paras. 67, 93 and 137).</w:t>
      </w:r>
    </w:p>
    <w:p w14:paraId="0CA11C30"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The first step of the </w:t>
      </w:r>
      <w:r w:rsidRPr="00816F89">
        <w:rPr>
          <w:rFonts w:cs="Times New Roman"/>
          <w:i/>
        </w:rPr>
        <w:t>Dunmore</w:t>
      </w:r>
      <w:r w:rsidRPr="00816F89">
        <w:rPr>
          <w:rFonts w:cs="Times New Roman"/>
        </w:rPr>
        <w:t xml:space="preserve"> framework reflects this consideration by requiring that claims of exclusion be grounded in an activity protected by freedom of association as such and not in access to a particular labour relations regime. In the context of a positive claim, such a requirement means that the state is not obligated to include the class of employees in the regime in question in order to fulfill its constitutional obligation, but may instead enact a particular regime that meets the minimum requirements of s. 2(d). The reason for this is to avoid creating, in practice, a constitutional right to the general collective labour relations regime in force in a given province or territory. Such an outcome would be contrary to the idea that freedom of association exists independently of any statutory enablement (</w:t>
      </w:r>
      <w:r w:rsidRPr="00816F89">
        <w:rPr>
          <w:rFonts w:cs="Times New Roman"/>
          <w:i/>
        </w:rPr>
        <w:t>Dunmore</w:t>
      </w:r>
      <w:r w:rsidRPr="00816F89">
        <w:rPr>
          <w:rFonts w:cs="Times New Roman"/>
        </w:rPr>
        <w:t>, at paras. 22</w:t>
      </w:r>
      <w:r w:rsidRPr="00816F89">
        <w:rPr>
          <w:rFonts w:cs="Times New Roman"/>
        </w:rPr>
        <w:noBreakHyphen/>
        <w:t>24 and 35).</w:t>
      </w:r>
    </w:p>
    <w:p w14:paraId="1BC31869" w14:textId="77777777" w:rsidR="00816F89" w:rsidRPr="00816F89" w:rsidRDefault="00816F89" w:rsidP="00816F89">
      <w:pPr>
        <w:pStyle w:val="ParaNoNdepar-AltN"/>
        <w:spacing w:before="0"/>
        <w:rPr>
          <w:rFonts w:cs="Times New Roman"/>
        </w:rPr>
      </w:pPr>
      <w:r w:rsidRPr="00816F89">
        <w:rPr>
          <w:rFonts w:cs="Times New Roman"/>
        </w:rPr>
        <w:t xml:space="preserve">The second step of the framework requires that the exclusion have the purpose or effect of substantially interfering with an activity protected by s. 2(d) of the </w:t>
      </w:r>
      <w:r w:rsidRPr="00816F89">
        <w:rPr>
          <w:rFonts w:cs="Times New Roman"/>
          <w:i/>
        </w:rPr>
        <w:t>Canadian Charter</w:t>
      </w:r>
      <w:r w:rsidRPr="00816F89">
        <w:rPr>
          <w:rFonts w:cs="Times New Roman"/>
        </w:rPr>
        <w:t xml:space="preserve">. While the substantial interference standard was initially presented by Bastarache J. as one of the considerations circumscribing “the possibility of challenging underinclusion under s. 2 of the </w:t>
      </w:r>
      <w:r w:rsidRPr="00816F89">
        <w:rPr>
          <w:rFonts w:cs="Times New Roman"/>
          <w:i/>
        </w:rPr>
        <w:t>Charter</w:t>
      </w:r>
      <w:r w:rsidRPr="00816F89">
        <w:rPr>
          <w:rFonts w:cs="Times New Roman"/>
        </w:rPr>
        <w:t>” (</w:t>
      </w:r>
      <w:r w:rsidRPr="00816F89">
        <w:rPr>
          <w:rFonts w:cs="Times New Roman"/>
          <w:i/>
        </w:rPr>
        <w:t>Dunmore</w:t>
      </w:r>
      <w:r w:rsidRPr="00816F89">
        <w:rPr>
          <w:rFonts w:cs="Times New Roman"/>
        </w:rPr>
        <w:t>, at para. 24), this standard now applies in every case where freedom of association is alleged to have been infringed (</w:t>
      </w:r>
      <w:r w:rsidRPr="00816F89">
        <w:rPr>
          <w:rFonts w:cs="Times New Roman"/>
          <w:i/>
        </w:rPr>
        <w:t>Health Services</w:t>
      </w:r>
      <w:r w:rsidRPr="00816F89">
        <w:rPr>
          <w:rFonts w:cs="Times New Roman"/>
        </w:rPr>
        <w:t xml:space="preserve">, at para. 90; </w:t>
      </w:r>
      <w:r w:rsidRPr="00816F89">
        <w:rPr>
          <w:rFonts w:cs="Times New Roman"/>
          <w:i/>
        </w:rPr>
        <w:t>Fraser</w:t>
      </w:r>
      <w:r w:rsidRPr="00816F89">
        <w:rPr>
          <w:rFonts w:cs="Times New Roman"/>
        </w:rPr>
        <w:t xml:space="preserve">, at para. 33; </w:t>
      </w:r>
      <w:r w:rsidRPr="00816F89">
        <w:rPr>
          <w:rFonts w:cs="Times New Roman"/>
          <w:i/>
        </w:rPr>
        <w:t>MPAO</w:t>
      </w:r>
      <w:r w:rsidRPr="00816F89">
        <w:rPr>
          <w:rFonts w:cs="Times New Roman"/>
        </w:rPr>
        <w:t xml:space="preserve">, at para. 80; </w:t>
      </w:r>
      <w:r w:rsidRPr="00816F89">
        <w:rPr>
          <w:rFonts w:cs="Times New Roman"/>
          <w:i/>
        </w:rPr>
        <w:t>Saskatchewan Federation</w:t>
      </w:r>
      <w:r w:rsidRPr="00816F89">
        <w:rPr>
          <w:rFonts w:cs="Times New Roman"/>
        </w:rPr>
        <w:t>, at paras. 77</w:t>
      </w:r>
      <w:r w:rsidRPr="00816F89">
        <w:rPr>
          <w:rFonts w:cs="Times New Roman"/>
        </w:rPr>
        <w:noBreakHyphen/>
        <w:t>78).</w:t>
      </w:r>
    </w:p>
    <w:p w14:paraId="268C25C0" w14:textId="77777777" w:rsidR="00816F89" w:rsidRPr="00816F89" w:rsidRDefault="00816F89" w:rsidP="00816F89">
      <w:pPr>
        <w:pStyle w:val="ParaNoNdepar-AltN"/>
        <w:spacing w:before="0"/>
        <w:rPr>
          <w:rFonts w:cs="Times New Roman"/>
        </w:rPr>
      </w:pPr>
      <w:r w:rsidRPr="00816F89">
        <w:rPr>
          <w:rFonts w:cs="Times New Roman"/>
        </w:rPr>
        <w:t xml:space="preserve">The third step of the framework requires that a causal link be shown between the substantial interference with freedom of association and the state’s failure to legislate. This is an additional burden of proof to be met in order to establish an infringement of freedom of association. This step of the analysis flows not from substantial interference, which is the standard of assessment under s. 2(d), but rather from s. 32, which “demands a minimum of state action before the </w:t>
      </w:r>
      <w:r w:rsidRPr="00816F89">
        <w:rPr>
          <w:rFonts w:cs="Times New Roman"/>
          <w:i/>
        </w:rPr>
        <w:t>Charter</w:t>
      </w:r>
      <w:r w:rsidRPr="00816F89">
        <w:rPr>
          <w:rFonts w:cs="Times New Roman"/>
        </w:rPr>
        <w:t xml:space="preserve"> can be invoked” (</w:t>
      </w:r>
      <w:r w:rsidRPr="00816F89">
        <w:rPr>
          <w:rFonts w:cs="Times New Roman"/>
          <w:i/>
        </w:rPr>
        <w:t>Dunmore</w:t>
      </w:r>
      <w:r w:rsidRPr="00816F89">
        <w:rPr>
          <w:rFonts w:cs="Times New Roman"/>
        </w:rPr>
        <w:t>, at para. 28). Because the cases in which the state can be held accountable for substantial interference resulting from a legislative exclusion are not “common” (</w:t>
      </w:r>
      <w:r w:rsidRPr="00816F89">
        <w:rPr>
          <w:rFonts w:cs="Times New Roman"/>
          <w:i/>
        </w:rPr>
        <w:t>ibid.</w:t>
      </w:r>
      <w:r w:rsidRPr="00816F89">
        <w:rPr>
          <w:rFonts w:cs="Times New Roman"/>
        </w:rPr>
        <w:t xml:space="preserve">), a higher threshold must be met under the </w:t>
      </w:r>
      <w:r w:rsidRPr="00816F89">
        <w:rPr>
          <w:rFonts w:cs="Times New Roman"/>
          <w:i/>
        </w:rPr>
        <w:t>Dunmore</w:t>
      </w:r>
      <w:r w:rsidRPr="00816F89">
        <w:rPr>
          <w:rFonts w:cs="Times New Roman"/>
        </w:rPr>
        <w:t xml:space="preserve"> framework.</w:t>
      </w:r>
    </w:p>
    <w:p w14:paraId="6990F3AA"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In this way, the </w:t>
      </w:r>
      <w:r w:rsidRPr="00816F89">
        <w:rPr>
          <w:rFonts w:cs="Times New Roman"/>
          <w:i/>
        </w:rPr>
        <w:t>Dunmore</w:t>
      </w:r>
      <w:r w:rsidRPr="00816F89">
        <w:rPr>
          <w:rFonts w:cs="Times New Roman"/>
        </w:rPr>
        <w:t xml:space="preserve"> framework ensures that courts do not unduly interfere with the exercise of legislative power and the development of public policy (</w:t>
      </w:r>
      <w:r w:rsidRPr="00816F89">
        <w:rPr>
          <w:rFonts w:cs="Times New Roman"/>
          <w:i/>
        </w:rPr>
        <w:t>Toronto (City)</w:t>
      </w:r>
      <w:r w:rsidRPr="00816F89">
        <w:rPr>
          <w:rFonts w:cs="Times New Roman"/>
        </w:rPr>
        <w:t>, at para. 19). This point cannot be stressed enough. Only in exceptional circumstances can the courts require the state to legislate (</w:t>
      </w:r>
      <w:r w:rsidRPr="00816F89">
        <w:rPr>
          <w:rFonts w:cs="Times New Roman"/>
          <w:i/>
        </w:rPr>
        <w:t>Dunmore</w:t>
      </w:r>
      <w:r w:rsidRPr="00816F89">
        <w:rPr>
          <w:rFonts w:cs="Times New Roman"/>
        </w:rPr>
        <w:t xml:space="preserve">, at para. 28). Even though the courts must show deference to the legislature with respect to the type of regime to be enacted to give effect to freedom of association, regardless of the nature of the claim, such deference will not take the same form in every case. When it comes to negative claims, the courts may declare legislation that has already been enacted unconstitutional on the basis that it substantially interferes with freedom of association. Under the </w:t>
      </w:r>
      <w:r w:rsidRPr="00816F89">
        <w:rPr>
          <w:rFonts w:cs="Times New Roman"/>
          <w:i/>
        </w:rPr>
        <w:t>Dunmore</w:t>
      </w:r>
      <w:r w:rsidRPr="00816F89">
        <w:rPr>
          <w:rFonts w:cs="Times New Roman"/>
        </w:rPr>
        <w:t xml:space="preserve"> framework, the courts may require that the legislature enact legislation to remedy the exclusion, leaving it some discretion to determine the content of the legislation. The approach laid down in </w:t>
      </w:r>
      <w:r w:rsidRPr="00816F89">
        <w:rPr>
          <w:rFonts w:cs="Times New Roman"/>
          <w:i/>
        </w:rPr>
        <w:t>Dunmore</w:t>
      </w:r>
      <w:r w:rsidRPr="00816F89">
        <w:rPr>
          <w:rFonts w:cs="Times New Roman"/>
        </w:rPr>
        <w:t>, which is meant to limit the cases in which legislative action is necessary to promote the exercise of freedom of association to those in which exceptional circumstances exist, is consistent with the separation of powers.</w:t>
      </w:r>
    </w:p>
    <w:p w14:paraId="78E0B472" w14:textId="77777777" w:rsidR="00816F89" w:rsidRPr="00816F89" w:rsidRDefault="00816F89" w:rsidP="00816F89">
      <w:pPr>
        <w:pStyle w:val="ParaNoNdepar-AltN"/>
        <w:rPr>
          <w:rFonts w:cs="Times New Roman"/>
        </w:rPr>
      </w:pPr>
      <w:r w:rsidRPr="00816F89">
        <w:rPr>
          <w:rFonts w:cs="Times New Roman"/>
        </w:rPr>
        <w:t xml:space="preserve">Distinguishing between the various steps of the framework, rather than incorporating them into the substantial interference standard, is preferable in several respects. Such an approach involves conceptual clarity based on the structure and language of the </w:t>
      </w:r>
      <w:r w:rsidRPr="00816F89">
        <w:rPr>
          <w:rFonts w:cs="Times New Roman"/>
          <w:i/>
        </w:rPr>
        <w:t>Canadian Charter</w:t>
      </w:r>
      <w:r w:rsidRPr="00816F89">
        <w:rPr>
          <w:rFonts w:cs="Times New Roman"/>
        </w:rPr>
        <w:t xml:space="preserve"> and provides clear direction regarding the burden of proof to be met at each step. The first step excludes the possibility of seeking access to a particular regime, given the distinction between s. 2(d) and s. 15; the second step requires that substantial interference be shown, as in any constitutional challenge under s. 2(d); and the third step, based on s. 32 of the </w:t>
      </w:r>
      <w:r w:rsidRPr="00816F89">
        <w:rPr>
          <w:rFonts w:cs="Times New Roman"/>
          <w:i/>
        </w:rPr>
        <w:t>Canadian Charter</w:t>
      </w:r>
      <w:r w:rsidRPr="00816F89">
        <w:rPr>
          <w:rFonts w:cs="Times New Roman"/>
        </w:rPr>
        <w:t>, takes into account the specific nature of the claim by requiring a causal link between the substantial interference and the legislative exclusion. This approach serves to maintain substantial interference as a single standard while necessitating legislative action only in exceptional circumstances. With respect, there is an inherent contradiction in the position of my colleague Jamal J., who finds that a single standard — substantial interference — can lead to different outcomes depending on the nature of the claim. On the one hand, he states that the approach to be taken should not vary according to the nature of the claim, given that substantial interference is of universal application. On the other hand, however, he states: “It may be harder for a claimant to meet their burden of proof when challenging underinclusive legislation or when seeking state intervention since, as noted above, the effects of underinclusive legislation can be hard to disentangle from other factors” (para. 37).</w:t>
      </w:r>
    </w:p>
    <w:p w14:paraId="5F7764A3" w14:textId="77777777" w:rsidR="00816F89" w:rsidRPr="00816F89" w:rsidRDefault="00816F89" w:rsidP="00816F89">
      <w:pPr>
        <w:pStyle w:val="ParaNoNdepar-AltN"/>
        <w:spacing w:before="0"/>
        <w:rPr>
          <w:rFonts w:cs="Times New Roman"/>
        </w:rPr>
      </w:pPr>
      <w:r w:rsidRPr="00816F89">
        <w:rPr>
          <w:rFonts w:cs="Times New Roman"/>
        </w:rPr>
        <w:t xml:space="preserve">Distinguishing between the three steps of the framework also avoids the risk that a constitutional challenge under s. 2(d) to a legislative exclusion will be transformed into a balancing of various considerations or factors, which would amount to overturning the </w:t>
      </w:r>
      <w:r w:rsidRPr="00816F89">
        <w:rPr>
          <w:rFonts w:cs="Times New Roman"/>
          <w:i/>
        </w:rPr>
        <w:t>Dunmore</w:t>
      </w:r>
      <w:r w:rsidRPr="00816F89">
        <w:rPr>
          <w:rFonts w:cs="Times New Roman"/>
        </w:rPr>
        <w:t xml:space="preserve"> framework </w:t>
      </w:r>
      <w:r w:rsidRPr="00816F89">
        <w:rPr>
          <w:rFonts w:cs="Times New Roman"/>
          <w:i/>
        </w:rPr>
        <w:t>sub silentio</w:t>
      </w:r>
      <w:r w:rsidRPr="00816F89">
        <w:rPr>
          <w:rFonts w:cs="Times New Roman"/>
        </w:rPr>
        <w:t>. Under the three</w:t>
      </w:r>
      <w:r w:rsidRPr="00816F89">
        <w:rPr>
          <w:rFonts w:cs="Times New Roman"/>
        </w:rPr>
        <w:noBreakHyphen/>
        <w:t>step framework, it is quite possible that a group of employees excluded from a statutory labour relations regime will be able to demonstrate substantial interference with the exercise of freedom of association but will be unable to establish a causal link with the state’s failure to legislate.</w:t>
      </w:r>
    </w:p>
    <w:p w14:paraId="025C985C"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Having found that the Association’s claim seeks the recognition and enforcement of a positive state obligation and that the </w:t>
      </w:r>
      <w:r w:rsidRPr="00816F89">
        <w:rPr>
          <w:rFonts w:cs="Times New Roman"/>
          <w:i/>
        </w:rPr>
        <w:t xml:space="preserve">Dunmore </w:t>
      </w:r>
      <w:r w:rsidRPr="00816F89">
        <w:rPr>
          <w:rFonts w:cs="Times New Roman"/>
        </w:rPr>
        <w:t xml:space="preserve">framework applies to claims of this nature, I will now consider whether, in light of this framework, the exclusion of the Association’s members from the </w:t>
      </w:r>
      <w:r w:rsidRPr="00816F89">
        <w:rPr>
          <w:rFonts w:cs="Times New Roman"/>
          <w:i/>
        </w:rPr>
        <w:t>L.C.</w:t>
      </w:r>
      <w:r w:rsidRPr="00816F89">
        <w:rPr>
          <w:rFonts w:cs="Times New Roman"/>
        </w:rPr>
        <w:t xml:space="preserve"> regime infringes s. 2(d) of the </w:t>
      </w:r>
      <w:r w:rsidRPr="00816F89">
        <w:rPr>
          <w:rFonts w:cs="Times New Roman"/>
          <w:i/>
        </w:rPr>
        <w:t>Canadian Charter</w:t>
      </w:r>
      <w:r w:rsidRPr="00816F89">
        <w:rPr>
          <w:rFonts w:cs="Times New Roman"/>
        </w:rPr>
        <w:t xml:space="preserve"> and s. 3 of the </w:t>
      </w:r>
      <w:r w:rsidRPr="00816F89">
        <w:rPr>
          <w:rFonts w:cs="Times New Roman"/>
          <w:i/>
        </w:rPr>
        <w:t>Quebec Charter</w:t>
      </w:r>
      <w:r w:rsidRPr="00816F89">
        <w:rPr>
          <w:rFonts w:cs="Times New Roman"/>
        </w:rPr>
        <w:t>.</w:t>
      </w:r>
    </w:p>
    <w:p w14:paraId="354DBE6A" w14:textId="77777777" w:rsidR="00816F89" w:rsidRPr="00816F89" w:rsidRDefault="00816F89" w:rsidP="00816F89">
      <w:pPr>
        <w:pStyle w:val="Title2LevelTitre2Niveau"/>
        <w:numPr>
          <w:ilvl w:val="1"/>
          <w:numId w:val="8"/>
        </w:numPr>
        <w:spacing w:before="0"/>
        <w:jc w:val="both"/>
        <w:rPr>
          <w:rFonts w:cs="Times New Roman"/>
        </w:rPr>
      </w:pPr>
      <w:bookmarkStart w:id="28" w:name="_Toc141041580"/>
      <w:bookmarkStart w:id="29" w:name="_Toc162942349"/>
      <w:r w:rsidRPr="00816F89">
        <w:rPr>
          <w:rFonts w:cs="Times New Roman"/>
        </w:rPr>
        <w:t>Does the Exclusion of the Association’s Members From the L.C. Regime Infringe Freedom of Association</w:t>
      </w:r>
      <w:bookmarkEnd w:id="28"/>
      <w:r w:rsidRPr="00816F89">
        <w:rPr>
          <w:rFonts w:cs="Times New Roman"/>
        </w:rPr>
        <w:t>?</w:t>
      </w:r>
      <w:bookmarkEnd w:id="29"/>
    </w:p>
    <w:p w14:paraId="028EBCCF" w14:textId="77777777" w:rsidR="00816F89" w:rsidRPr="00816F89" w:rsidRDefault="00816F89" w:rsidP="00816F89">
      <w:pPr>
        <w:pStyle w:val="Title3LevelTitre3Niveau"/>
        <w:numPr>
          <w:ilvl w:val="2"/>
          <w:numId w:val="8"/>
        </w:numPr>
        <w:spacing w:before="0"/>
        <w:jc w:val="both"/>
        <w:rPr>
          <w:rFonts w:cs="Times New Roman"/>
        </w:rPr>
      </w:pPr>
      <w:bookmarkStart w:id="30" w:name="_Toc141041581"/>
      <w:bookmarkStart w:id="31" w:name="_Toc162942350"/>
      <w:r w:rsidRPr="00816F89">
        <w:rPr>
          <w:rFonts w:cs="Times New Roman"/>
        </w:rPr>
        <w:t xml:space="preserve">The Association and Its Members Are Seeking Access to a Particular Labour Relations Regime, the </w:t>
      </w:r>
      <w:r w:rsidRPr="00816F89">
        <w:rPr>
          <w:rFonts w:cs="Times New Roman"/>
          <w:i/>
        </w:rPr>
        <w:t>L.C.</w:t>
      </w:r>
      <w:bookmarkEnd w:id="30"/>
      <w:bookmarkEnd w:id="31"/>
    </w:p>
    <w:p w14:paraId="38EE0294"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The first step of the </w:t>
      </w:r>
      <w:r w:rsidRPr="00816F89">
        <w:rPr>
          <w:rFonts w:cs="Times New Roman"/>
          <w:i/>
          <w:iCs/>
        </w:rPr>
        <w:t>Dunmore</w:t>
      </w:r>
      <w:r w:rsidRPr="00816F89">
        <w:rPr>
          <w:rFonts w:cs="Times New Roman"/>
          <w:iCs/>
        </w:rPr>
        <w:t xml:space="preserve"> framework</w:t>
      </w:r>
      <w:r w:rsidRPr="00816F89">
        <w:rPr>
          <w:rFonts w:cs="Times New Roman"/>
        </w:rPr>
        <w:t xml:space="preserve"> involves determining whether the Association is seeking access to a particular labour relations regime or whether its claim is actually grounded in freedom of association as such (</w:t>
      </w:r>
      <w:r w:rsidRPr="00816F89">
        <w:rPr>
          <w:rFonts w:cs="Times New Roman"/>
          <w:i/>
        </w:rPr>
        <w:t>Dunmore</w:t>
      </w:r>
      <w:r w:rsidRPr="00816F89">
        <w:rPr>
          <w:rFonts w:cs="Times New Roman"/>
        </w:rPr>
        <w:t>, at para. 24).</w:t>
      </w:r>
    </w:p>
    <w:p w14:paraId="1DE5B625"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This case does not arise from a challenge instituted in a superior court. In contrast to the way the agricultural workers’ challenge proceeded in </w:t>
      </w:r>
      <w:r w:rsidRPr="00816F89">
        <w:rPr>
          <w:rFonts w:cs="Times New Roman"/>
          <w:i/>
        </w:rPr>
        <w:t>Dunmore</w:t>
      </w:r>
      <w:r w:rsidRPr="00816F89">
        <w:rPr>
          <w:rFonts w:cs="Times New Roman"/>
        </w:rPr>
        <w:t xml:space="preserve">, the Association’s challenge forms part of a petition for certification under the </w:t>
      </w:r>
      <w:r w:rsidRPr="00816F89">
        <w:rPr>
          <w:rFonts w:cs="Times New Roman"/>
          <w:i/>
        </w:rPr>
        <w:t>L.C.</w:t>
      </w:r>
      <w:r w:rsidRPr="00816F89">
        <w:rPr>
          <w:rFonts w:cs="Times New Roman"/>
        </w:rPr>
        <w:t xml:space="preserve"> In my opinion, the procedural vehicle used by the Association is far from a purely technical consideration, contrary to what the ALT and the Superior Court suggested (ALT reasons, at para. 380; Sup. Ct. reasons, at para. 100). While not determinative, this consideration is important in assessing the basis for the Association’s claim. In this case, the Association’s choice to proceed by way of a petition for certification shows that its ultimate goal is for its members to be subject to the collective labour relations regime in the </w:t>
      </w:r>
      <w:r w:rsidRPr="00816F89">
        <w:rPr>
          <w:rFonts w:cs="Times New Roman"/>
          <w:i/>
        </w:rPr>
        <w:t>L.C.</w:t>
      </w:r>
      <w:r w:rsidRPr="00816F89">
        <w:rPr>
          <w:rFonts w:cs="Times New Roman"/>
        </w:rPr>
        <w:t>, as can in fact be seen from one of the conclusions sought in the petition for certification:</w:t>
      </w:r>
    </w:p>
    <w:p w14:paraId="108973C6" w14:textId="77777777" w:rsidR="00816F89" w:rsidRPr="00816F89" w:rsidRDefault="00816F89" w:rsidP="00816F89">
      <w:pPr>
        <w:pStyle w:val="ParaNoNdepar-AltN"/>
        <w:numPr>
          <w:ilvl w:val="0"/>
          <w:numId w:val="0"/>
        </w:numPr>
        <w:tabs>
          <w:tab w:val="left" w:pos="1170"/>
        </w:tabs>
        <w:spacing w:before="0" w:after="240" w:line="240" w:lineRule="auto"/>
        <w:ind w:left="1170" w:hanging="360"/>
        <w:rPr>
          <w:rFonts w:cs="Times New Roman"/>
        </w:rPr>
      </w:pPr>
      <w:r w:rsidRPr="00816F89">
        <w:rPr>
          <w:rFonts w:cs="Times New Roman"/>
        </w:rPr>
        <w:tab/>
        <w:t>[</w:t>
      </w:r>
      <w:r w:rsidRPr="00816F89">
        <w:rPr>
          <w:rFonts w:cs="Times New Roman"/>
          <w:smallCaps/>
        </w:rPr>
        <w:t>translation</w:t>
      </w:r>
      <w:r w:rsidRPr="00816F89">
        <w:rPr>
          <w:rFonts w:cs="Times New Roman"/>
        </w:rPr>
        <w:t xml:space="preserve">] </w:t>
      </w:r>
      <w:r w:rsidRPr="00816F89">
        <w:rPr>
          <w:rFonts w:cs="Times New Roman"/>
          <w:b/>
        </w:rPr>
        <w:t>RECOGNIZE</w:t>
      </w:r>
      <w:r w:rsidRPr="00816F89">
        <w:rPr>
          <w:rFonts w:cs="Times New Roman"/>
        </w:rPr>
        <w:t xml:space="preserve"> that the petitioning association has all the rights and privileges resulting from the application of the </w:t>
      </w:r>
      <w:r w:rsidRPr="00816F89">
        <w:rPr>
          <w:rFonts w:cs="Times New Roman"/>
          <w:i/>
        </w:rPr>
        <w:t>Labour Code</w:t>
      </w:r>
      <w:r w:rsidRPr="00816F89">
        <w:rPr>
          <w:rFonts w:cs="Times New Roman"/>
        </w:rPr>
        <w:t>. [Emphasis in original.]</w:t>
      </w:r>
    </w:p>
    <w:p w14:paraId="042B2D9A" w14:textId="77777777" w:rsidR="00816F89" w:rsidRPr="00816F89" w:rsidRDefault="00816F89" w:rsidP="00816F89">
      <w:pPr>
        <w:pStyle w:val="Citation-AltC"/>
        <w:ind w:hanging="356"/>
        <w:contextualSpacing w:val="0"/>
      </w:pPr>
      <w:r w:rsidRPr="00816F89">
        <w:tab/>
        <w:t>(A.R., vol. II, at p. 7)</w:t>
      </w:r>
    </w:p>
    <w:p w14:paraId="0781290B" w14:textId="77777777" w:rsidR="00816F89" w:rsidRPr="00816F89" w:rsidRDefault="00816F89" w:rsidP="00816F89">
      <w:pPr>
        <w:pStyle w:val="ParaNoNdepar-AltN"/>
        <w:rPr>
          <w:rFonts w:cs="Times New Roman"/>
        </w:rPr>
      </w:pPr>
      <w:r w:rsidRPr="00816F89">
        <w:rPr>
          <w:rFonts w:cs="Times New Roman"/>
        </w:rPr>
        <w:t xml:space="preserve">The decision to proceed by way of a petition for certification is all the more relevant for the purposes of analysis because of the fact that the ALT, if it granted the Association’s claim, would have no choice but to give its members access to all of the rights and privileges flowing from the </w:t>
      </w:r>
      <w:r w:rsidRPr="00816F89">
        <w:rPr>
          <w:rFonts w:cs="Times New Roman"/>
          <w:i/>
        </w:rPr>
        <w:t>L.C.</w:t>
      </w:r>
      <w:r w:rsidRPr="00816F89">
        <w:rPr>
          <w:rFonts w:cs="Times New Roman"/>
        </w:rPr>
        <w:t xml:space="preserve"> Proceeding before a superior court is preferable insofar as such a court has the power to make a formal declaration of unconstitutionality and to suspend the declaration in order to give the legislature all the latitude it needs to enact a particular regime that meets the minimum constitutional requirements of s. 2(d).</w:t>
      </w:r>
    </w:p>
    <w:p w14:paraId="0110320A" w14:textId="77777777" w:rsidR="00816F89" w:rsidRPr="00816F89" w:rsidRDefault="00816F89" w:rsidP="00816F89">
      <w:pPr>
        <w:pStyle w:val="ParaNoNdepar-AltN"/>
        <w:rPr>
          <w:rFonts w:cs="Times New Roman"/>
        </w:rPr>
      </w:pPr>
      <w:r w:rsidRPr="00816F89">
        <w:rPr>
          <w:rFonts w:cs="Times New Roman"/>
        </w:rPr>
        <w:t xml:space="preserve">It must be kept in mind that, according to </w:t>
      </w:r>
      <w:r w:rsidRPr="00816F89">
        <w:rPr>
          <w:rFonts w:cs="Times New Roman"/>
          <w:i/>
        </w:rPr>
        <w:t>Dunmore</w:t>
      </w:r>
      <w:r w:rsidRPr="00816F89">
        <w:rPr>
          <w:rFonts w:cs="Times New Roman"/>
        </w:rPr>
        <w:t>, the appropriate remedy in the case of a positive claim is a declaration of unconstitutionality that is suspended so as not to oblige the legislature to extend the “panoply of . . . rights” under the general regime to excluded employees (para. 66). However, the ALT can neither make a formal declaration of unconstitutionality (</w:t>
      </w:r>
      <w:r w:rsidRPr="00816F89">
        <w:rPr>
          <w:rFonts w:cs="Times New Roman"/>
          <w:i/>
          <w:lang w:val="en-US"/>
        </w:rPr>
        <w:t>Cuddy Chicks Ltd. v. Ontario (Labour Relations Board)</w:t>
      </w:r>
      <w:r w:rsidRPr="00816F89">
        <w:rPr>
          <w:rFonts w:cs="Times New Roman"/>
          <w:lang w:val="en-US"/>
        </w:rPr>
        <w:t>, [1991] 2 S.C.R. 5</w:t>
      </w:r>
      <w:r w:rsidRPr="00816F89">
        <w:rPr>
          <w:rFonts w:cs="Times New Roman"/>
        </w:rPr>
        <w:t xml:space="preserve">, at p. 17; </w:t>
      </w:r>
      <w:r w:rsidRPr="00816F89">
        <w:rPr>
          <w:rFonts w:cs="Times New Roman"/>
          <w:i/>
          <w:lang w:val="en-US"/>
        </w:rPr>
        <w:t>Nova Scotia (Workers’ Compensation Board) v. Martin</w:t>
      </w:r>
      <w:r w:rsidRPr="00816F89">
        <w:rPr>
          <w:rFonts w:cs="Times New Roman"/>
          <w:lang w:val="en-US"/>
        </w:rPr>
        <w:t>, 2003 SCC 54, [2003] 2 S.C.R. 504</w:t>
      </w:r>
      <w:r w:rsidRPr="00816F89">
        <w:rPr>
          <w:rFonts w:cs="Times New Roman"/>
        </w:rPr>
        <w:t xml:space="preserve">, at para. 33; </w:t>
      </w:r>
      <w:r w:rsidRPr="00816F89">
        <w:rPr>
          <w:rFonts w:cs="Times New Roman"/>
          <w:i/>
          <w:lang w:val="en-US"/>
        </w:rPr>
        <w:t>Okwuobi v. Lester B. Pearson School Board</w:t>
      </w:r>
      <w:r w:rsidRPr="00816F89">
        <w:rPr>
          <w:rFonts w:cs="Times New Roman"/>
          <w:lang w:val="en-US"/>
        </w:rPr>
        <w:t>, 2005 SCC 16, [2005] 1 S.C.R. 257,</w:t>
      </w:r>
      <w:r w:rsidRPr="00816F89">
        <w:rPr>
          <w:rFonts w:cs="Times New Roman"/>
        </w:rPr>
        <w:t xml:space="preserve"> at paras. </w:t>
      </w:r>
      <w:r w:rsidRPr="00816F89">
        <w:rPr>
          <w:rFonts w:cs="Times New Roman"/>
          <w:lang w:val="fr-CA"/>
        </w:rPr>
        <w:t>44</w:t>
      </w:r>
      <w:r w:rsidRPr="00816F89">
        <w:rPr>
          <w:rFonts w:cs="Times New Roman"/>
          <w:lang w:val="fr-CA"/>
        </w:rPr>
        <w:noBreakHyphen/>
        <w:t xml:space="preserve">45; </w:t>
      </w:r>
      <w:r w:rsidRPr="00816F89">
        <w:rPr>
          <w:rFonts w:cs="Times New Roman"/>
          <w:i/>
          <w:lang w:val="fr-CA"/>
        </w:rPr>
        <w:t>Mouvement laïque québécois v. Saguenay (City)</w:t>
      </w:r>
      <w:r w:rsidRPr="00816F89">
        <w:rPr>
          <w:rFonts w:cs="Times New Roman"/>
          <w:lang w:val="fr-CA"/>
        </w:rPr>
        <w:t>, 2015 SCC 16, [2015] 2 S.C.R. 3, at para. </w:t>
      </w:r>
      <w:r w:rsidRPr="00816F89">
        <w:rPr>
          <w:rFonts w:cs="Times New Roman"/>
        </w:rPr>
        <w:t xml:space="preserve">153) nor suspend the effects of its decision. This is so because the effects of a decision rendered by the ALT cannot be suspended under the </w:t>
      </w:r>
      <w:r w:rsidRPr="00816F89">
        <w:rPr>
          <w:rFonts w:cs="Times New Roman"/>
          <w:i/>
        </w:rPr>
        <w:t>Act to establish the Administrative Labour Tribunal</w:t>
      </w:r>
      <w:r w:rsidRPr="00816F89">
        <w:rPr>
          <w:rFonts w:cs="Times New Roman"/>
        </w:rPr>
        <w:t>, CQLR, c. T</w:t>
      </w:r>
      <w:r w:rsidRPr="00816F89">
        <w:rPr>
          <w:rFonts w:cs="Times New Roman"/>
        </w:rPr>
        <w:noBreakHyphen/>
        <w:t xml:space="preserve">15.1, or under the test established in </w:t>
      </w:r>
      <w:r w:rsidRPr="00816F89">
        <w:rPr>
          <w:rFonts w:cs="Times New Roman"/>
          <w:i/>
          <w:lang w:val="en-US"/>
        </w:rPr>
        <w:t>Ontario (Attorney General) v. G</w:t>
      </w:r>
      <w:r w:rsidRPr="00816F89">
        <w:rPr>
          <w:rFonts w:cs="Times New Roman"/>
          <w:lang w:val="en-US"/>
        </w:rPr>
        <w:t>, 2020 SCC 38, [2020] 3 S.C.R. 629</w:t>
      </w:r>
      <w:r w:rsidRPr="00816F89">
        <w:rPr>
          <w:rFonts w:cs="Times New Roman"/>
        </w:rPr>
        <w:t>, assuming that it applies. A declaration of inoperability, which has effect only between the parties to the case, cannot meet the requirement that the government demonstrate a “compelling public interest” based on the public’s entitlement to the benefit of legislation or on the need for legislative action (</w:t>
      </w:r>
      <w:r w:rsidRPr="00816F89">
        <w:rPr>
          <w:rFonts w:cs="Times New Roman"/>
          <w:i/>
        </w:rPr>
        <w:t>G</w:t>
      </w:r>
      <w:r w:rsidRPr="00816F89">
        <w:rPr>
          <w:rFonts w:cs="Times New Roman"/>
        </w:rPr>
        <w:t>, at paras. 126 and 139).</w:t>
      </w:r>
    </w:p>
    <w:p w14:paraId="655C4F18"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The Association properly argues that, in this case, the parties are not [</w:t>
      </w:r>
      <w:r w:rsidRPr="00816F89">
        <w:rPr>
          <w:rFonts w:cs="Times New Roman"/>
          <w:smallCaps/>
        </w:rPr>
        <w:t>translation</w:t>
      </w:r>
      <w:r w:rsidRPr="00816F89">
        <w:rPr>
          <w:rFonts w:cs="Times New Roman"/>
        </w:rPr>
        <w:t xml:space="preserve">] “dealing with a claim seeking a declaration </w:t>
      </w:r>
      <w:r w:rsidRPr="00816F89">
        <w:rPr>
          <w:rFonts w:cs="Times New Roman"/>
          <w:i/>
        </w:rPr>
        <w:t>erga omnes</w:t>
      </w:r>
      <w:r w:rsidRPr="00816F89">
        <w:rPr>
          <w:rFonts w:cs="Times New Roman"/>
        </w:rPr>
        <w:t xml:space="preserve"> of invalidity”, the effects of which may be suspended, but only with a petition for certification “that, incidentally, seeks to have the exclusion in section [1(</w:t>
      </w:r>
      <w:r w:rsidRPr="00816F89">
        <w:rPr>
          <w:rFonts w:cs="Times New Roman"/>
          <w:i/>
          <w:iCs/>
        </w:rPr>
        <w:t>l</w:t>
      </w:r>
      <w:r w:rsidRPr="00816F89">
        <w:rPr>
          <w:rFonts w:cs="Times New Roman"/>
        </w:rPr>
        <w:t xml:space="preserve">)(1) </w:t>
      </w:r>
      <w:r w:rsidRPr="00816F89">
        <w:rPr>
          <w:rFonts w:cs="Times New Roman"/>
          <w:i/>
          <w:iCs/>
        </w:rPr>
        <w:t>L.C.</w:t>
      </w:r>
      <w:r w:rsidRPr="00816F89">
        <w:rPr>
          <w:rFonts w:cs="Times New Roman"/>
        </w:rPr>
        <w:t>] declared inoperable against the [Association] and its members” (R.F., at para. 116). Such a declaration by the ALT has effect only between the parties and leads to them being convened [</w:t>
      </w:r>
      <w:r w:rsidRPr="00816F89">
        <w:rPr>
          <w:rFonts w:cs="Times New Roman"/>
          <w:smallCaps/>
        </w:rPr>
        <w:t>translation</w:t>
      </w:r>
      <w:r w:rsidRPr="00816F89">
        <w:rPr>
          <w:rFonts w:cs="Times New Roman"/>
        </w:rPr>
        <w:t>] “for a decision on the petition for certification, as though the provision were not in force” (R.F., at para. 118). While this observation is correct in law (</w:t>
      </w:r>
      <w:r w:rsidRPr="00816F89">
        <w:rPr>
          <w:rFonts w:cs="Times New Roman"/>
          <w:i/>
        </w:rPr>
        <w:t>Cuddy Chicks</w:t>
      </w:r>
      <w:r w:rsidRPr="00816F89">
        <w:rPr>
          <w:rFonts w:cs="Times New Roman"/>
        </w:rPr>
        <w:t xml:space="preserve">, at p. 17; </w:t>
      </w:r>
      <w:r w:rsidRPr="00816F89">
        <w:rPr>
          <w:rFonts w:cs="Times New Roman"/>
          <w:i/>
        </w:rPr>
        <w:t>Martin</w:t>
      </w:r>
      <w:r w:rsidRPr="00816F89">
        <w:rPr>
          <w:rFonts w:cs="Times New Roman"/>
        </w:rPr>
        <w:t xml:space="preserve">, at para. 33; </w:t>
      </w:r>
      <w:r w:rsidRPr="00816F89">
        <w:rPr>
          <w:rFonts w:cs="Times New Roman"/>
          <w:i/>
        </w:rPr>
        <w:t>Okwuobi</w:t>
      </w:r>
      <w:r w:rsidRPr="00816F89">
        <w:rPr>
          <w:rFonts w:cs="Times New Roman"/>
        </w:rPr>
        <w:t xml:space="preserve">, at para. 44; </w:t>
      </w:r>
      <w:r w:rsidRPr="00816F89">
        <w:rPr>
          <w:rFonts w:cs="Times New Roman"/>
          <w:i/>
        </w:rPr>
        <w:t>Mouvement laïque</w:t>
      </w:r>
      <w:r w:rsidRPr="00816F89">
        <w:rPr>
          <w:rFonts w:cs="Times New Roman"/>
        </w:rPr>
        <w:t>, at para. 154), it only serves to support my conclusion regarding the purpose of the Association’s claim.</w:t>
      </w:r>
    </w:p>
    <w:p w14:paraId="21534508"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All of this shows that the Association and its members are seeking access to a particular statutory regime, that is, the regime provided for in the </w:t>
      </w:r>
      <w:r w:rsidRPr="00816F89">
        <w:rPr>
          <w:rFonts w:cs="Times New Roman"/>
          <w:i/>
        </w:rPr>
        <w:t>L.C.</w:t>
      </w:r>
      <w:r w:rsidRPr="00816F89">
        <w:rPr>
          <w:rFonts w:cs="Times New Roman"/>
        </w:rPr>
        <w:t xml:space="preserve"> This conclusion is sufficient to allow the appeals. However, even if I had found that this step of the </w:t>
      </w:r>
      <w:r w:rsidRPr="00816F89">
        <w:rPr>
          <w:rFonts w:cs="Times New Roman"/>
          <w:i/>
        </w:rPr>
        <w:t>Dunmore</w:t>
      </w:r>
      <w:r w:rsidRPr="00816F89">
        <w:rPr>
          <w:rFonts w:cs="Times New Roman"/>
        </w:rPr>
        <w:t xml:space="preserve"> framework was satisfied, I am of the view that the Association’s claim would fail at the second and third steps of the framework.</w:t>
      </w:r>
    </w:p>
    <w:p w14:paraId="128C05C5" w14:textId="77777777" w:rsidR="00816F89" w:rsidRPr="00816F89" w:rsidRDefault="00816F89" w:rsidP="00816F89">
      <w:pPr>
        <w:pStyle w:val="Title3LevelTitre3Niveau"/>
        <w:numPr>
          <w:ilvl w:val="2"/>
          <w:numId w:val="8"/>
        </w:numPr>
        <w:spacing w:before="0"/>
        <w:jc w:val="both"/>
        <w:rPr>
          <w:rFonts w:cs="Times New Roman"/>
        </w:rPr>
      </w:pPr>
      <w:bookmarkStart w:id="32" w:name="_Toc141041582"/>
      <w:r w:rsidRPr="00816F89">
        <w:rPr>
          <w:rFonts w:cs="Times New Roman"/>
        </w:rPr>
        <w:t>The Exclusion in Section 1(</w:t>
      </w:r>
      <w:r w:rsidRPr="00816F89">
        <w:rPr>
          <w:rFonts w:cs="Times New Roman"/>
          <w:i/>
        </w:rPr>
        <w:t>l</w:t>
      </w:r>
      <w:r w:rsidRPr="00816F89">
        <w:rPr>
          <w:rFonts w:cs="Times New Roman"/>
        </w:rPr>
        <w:t xml:space="preserve">)(1) </w:t>
      </w:r>
      <w:r w:rsidRPr="00816F89">
        <w:rPr>
          <w:rFonts w:cs="Times New Roman"/>
          <w:i/>
        </w:rPr>
        <w:t>L.C.</w:t>
      </w:r>
      <w:r w:rsidRPr="00816F89">
        <w:rPr>
          <w:rFonts w:cs="Times New Roman"/>
        </w:rPr>
        <w:t xml:space="preserve"> Does Not Have the Purpose or Effect of Substantially Interfering With the Freedom of Association of the Association’s Members</w:t>
      </w:r>
      <w:bookmarkEnd w:id="32"/>
    </w:p>
    <w:p w14:paraId="20C62372"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A legislative provision cannot substantially interfere with freedom of association, either in purpose or in effect, without infringing s. 2(d) of the </w:t>
      </w:r>
      <w:r w:rsidRPr="00816F89">
        <w:rPr>
          <w:rFonts w:cs="Times New Roman"/>
          <w:i/>
        </w:rPr>
        <w:t>Canadian Charter</w:t>
      </w:r>
      <w:r w:rsidRPr="00816F89">
        <w:rPr>
          <w:rFonts w:cs="Times New Roman"/>
        </w:rPr>
        <w:t xml:space="preserve"> and s. 3 of the </w:t>
      </w:r>
      <w:r w:rsidRPr="00816F89">
        <w:rPr>
          <w:rFonts w:cs="Times New Roman"/>
          <w:i/>
        </w:rPr>
        <w:t>Quebec Charter</w:t>
      </w:r>
      <w:r w:rsidRPr="00816F89">
        <w:rPr>
          <w:rFonts w:cs="Times New Roman"/>
        </w:rPr>
        <w:t xml:space="preserve"> (</w:t>
      </w:r>
      <w:r w:rsidRPr="00816F89">
        <w:rPr>
          <w:rFonts w:cs="Times New Roman"/>
          <w:i/>
        </w:rPr>
        <w:t>Dunmore</w:t>
      </w:r>
      <w:r w:rsidRPr="00816F89">
        <w:rPr>
          <w:rFonts w:cs="Times New Roman"/>
        </w:rPr>
        <w:t>, at para. 13). Neither in purpose nor in effect does s. 1(</w:t>
      </w:r>
      <w:r w:rsidRPr="00816F89">
        <w:rPr>
          <w:rFonts w:cs="Times New Roman"/>
          <w:i/>
        </w:rPr>
        <w:t>l</w:t>
      </w:r>
      <w:r w:rsidRPr="00816F89">
        <w:rPr>
          <w:rFonts w:cs="Times New Roman"/>
        </w:rPr>
        <w:t xml:space="preserve">)(1) </w:t>
      </w:r>
      <w:r w:rsidRPr="00816F89">
        <w:rPr>
          <w:rFonts w:cs="Times New Roman"/>
          <w:i/>
        </w:rPr>
        <w:t>L.C.</w:t>
      </w:r>
      <w:r w:rsidRPr="00816F89">
        <w:rPr>
          <w:rFonts w:cs="Times New Roman"/>
        </w:rPr>
        <w:t xml:space="preserve"> </w:t>
      </w:r>
      <w:r w:rsidRPr="00816F89">
        <w:rPr>
          <w:rFonts w:cs="Times New Roman"/>
          <w:iCs/>
        </w:rPr>
        <w:t>substantially interfere with the freedom of association of the Association’s members</w:t>
      </w:r>
      <w:r w:rsidRPr="00816F89">
        <w:rPr>
          <w:rFonts w:cs="Times New Roman"/>
        </w:rPr>
        <w:t>.</w:t>
      </w:r>
    </w:p>
    <w:p w14:paraId="6C4A8DD3" w14:textId="77777777" w:rsidR="00816F89" w:rsidRPr="00816F89" w:rsidRDefault="00816F89" w:rsidP="00816F89">
      <w:pPr>
        <w:pStyle w:val="Title4LevelTitre4Niveau"/>
        <w:numPr>
          <w:ilvl w:val="3"/>
          <w:numId w:val="8"/>
        </w:numPr>
        <w:spacing w:before="0"/>
        <w:jc w:val="both"/>
        <w:rPr>
          <w:rFonts w:cs="Times New Roman"/>
        </w:rPr>
      </w:pPr>
      <w:r w:rsidRPr="00816F89">
        <w:rPr>
          <w:rFonts w:cs="Times New Roman"/>
        </w:rPr>
        <w:t>The Purpose of the Exclusion in Section 1(l)(1) L.C. Is Not To Substantially Interfere With the Freedom of Association of the OSs as First</w:t>
      </w:r>
      <w:r w:rsidRPr="00816F89">
        <w:rPr>
          <w:rFonts w:cs="Times New Roman"/>
        </w:rPr>
        <w:noBreakHyphen/>
        <w:t>Level Managers</w:t>
      </w:r>
    </w:p>
    <w:p w14:paraId="032FC773" w14:textId="77777777" w:rsidR="00816F89" w:rsidRPr="00816F89" w:rsidRDefault="00816F89" w:rsidP="00816F89">
      <w:pPr>
        <w:pStyle w:val="ParaNoNdepar-AltN"/>
        <w:spacing w:before="0"/>
        <w:rPr>
          <w:rFonts w:cs="Times New Roman"/>
        </w:rPr>
      </w:pPr>
      <w:r w:rsidRPr="00816F89">
        <w:rPr>
          <w:rFonts w:cs="Times New Roman"/>
        </w:rPr>
        <w:t xml:space="preserve">Caution must be exercised before ascribing an unconstitutional purpose to the exclusion. This is particularly true when considering the exclusion of employees from a general collective relations regime. This is so because, as our Court has stated many times, the </w:t>
      </w:r>
      <w:r w:rsidRPr="00816F89">
        <w:rPr>
          <w:rFonts w:cs="Times New Roman"/>
          <w:i/>
        </w:rPr>
        <w:t>Wagner</w:t>
      </w:r>
      <w:r w:rsidRPr="00816F89">
        <w:rPr>
          <w:rFonts w:cs="Times New Roman"/>
        </w:rPr>
        <w:t xml:space="preserve"> model is not the only collective bargaining model that is constitutionally valid (</w:t>
      </w:r>
      <w:r w:rsidRPr="00816F89">
        <w:rPr>
          <w:rFonts w:cs="Times New Roman"/>
          <w:i/>
        </w:rPr>
        <w:t>Dunmore</w:t>
      </w:r>
      <w:r w:rsidRPr="00816F89">
        <w:rPr>
          <w:rFonts w:cs="Times New Roman"/>
        </w:rPr>
        <w:t>, at paras. 67</w:t>
      </w:r>
      <w:r w:rsidRPr="00816F89">
        <w:rPr>
          <w:rFonts w:cs="Times New Roman"/>
        </w:rPr>
        <w:noBreakHyphen/>
        <w:t xml:space="preserve">68; </w:t>
      </w:r>
      <w:r w:rsidRPr="00816F89">
        <w:rPr>
          <w:rFonts w:cs="Times New Roman"/>
          <w:i/>
        </w:rPr>
        <w:t>Health Services</w:t>
      </w:r>
      <w:r w:rsidRPr="00816F89">
        <w:rPr>
          <w:rFonts w:cs="Times New Roman"/>
        </w:rPr>
        <w:t xml:space="preserve">, at para. 91; </w:t>
      </w:r>
      <w:r w:rsidRPr="00816F89">
        <w:rPr>
          <w:rFonts w:cs="Times New Roman"/>
          <w:i/>
        </w:rPr>
        <w:t>Fraser</w:t>
      </w:r>
      <w:r w:rsidRPr="00816F89">
        <w:rPr>
          <w:rFonts w:cs="Times New Roman"/>
        </w:rPr>
        <w:t>, at paras. 44</w:t>
      </w:r>
      <w:r w:rsidRPr="00816F89">
        <w:rPr>
          <w:rFonts w:cs="Times New Roman"/>
        </w:rPr>
        <w:noBreakHyphen/>
        <w:t xml:space="preserve">46). If the mere existence of the exclusion made it possible to conclude that it has an unconstitutional purpose, this step of the </w:t>
      </w:r>
      <w:r w:rsidRPr="00816F89">
        <w:rPr>
          <w:rFonts w:cs="Times New Roman"/>
          <w:i/>
          <w:iCs/>
        </w:rPr>
        <w:t xml:space="preserve">Dunmore </w:t>
      </w:r>
      <w:r w:rsidRPr="00816F89">
        <w:rPr>
          <w:rFonts w:cs="Times New Roman"/>
        </w:rPr>
        <w:t>framework would be drained of all substance.</w:t>
      </w:r>
    </w:p>
    <w:p w14:paraId="5B033A8D" w14:textId="77777777" w:rsidR="00816F89" w:rsidRPr="00816F89" w:rsidRDefault="00816F89" w:rsidP="00816F89">
      <w:pPr>
        <w:pStyle w:val="ParaNoNdepar-AltN"/>
        <w:spacing w:before="0"/>
        <w:rPr>
          <w:rFonts w:cs="Times New Roman"/>
        </w:rPr>
      </w:pPr>
      <w:r w:rsidRPr="00816F89">
        <w:rPr>
          <w:rFonts w:cs="Times New Roman"/>
        </w:rPr>
        <w:t xml:space="preserve">Indeed, it is especially difficult to show that a provision has an unconstitutional purpose because, as Bastarache J. noted in </w:t>
      </w:r>
      <w:r w:rsidRPr="00816F89">
        <w:rPr>
          <w:rFonts w:cs="Times New Roman"/>
          <w:i/>
        </w:rPr>
        <w:t>Dunmore</w:t>
      </w:r>
      <w:r w:rsidRPr="00816F89">
        <w:rPr>
          <w:rFonts w:cs="Times New Roman"/>
        </w:rPr>
        <w:t>, “[s]uch an assessment strikes at the heart of the rapport between the legislatures and the courts and, if undertaken lightly, can become a rather subjective process of induction” (para. 33). The purpose of a provision or statute is identified by reference to the time at which it was enacted (</w:t>
      </w:r>
      <w:r w:rsidRPr="00816F89">
        <w:rPr>
          <w:rFonts w:cs="Times New Roman"/>
          <w:i/>
          <w:lang w:val="en-US"/>
        </w:rPr>
        <w:t>R. v. Big M Drug Mart Ltd.</w:t>
      </w:r>
      <w:r w:rsidRPr="00816F89">
        <w:rPr>
          <w:rFonts w:cs="Times New Roman"/>
          <w:lang w:val="en-US"/>
        </w:rPr>
        <w:t>, [1985] 1 S.C.R. 295</w:t>
      </w:r>
      <w:r w:rsidRPr="00816F89">
        <w:rPr>
          <w:rFonts w:cs="Times New Roman"/>
        </w:rPr>
        <w:t>, at pp. 334</w:t>
      </w:r>
      <w:r w:rsidRPr="00816F89">
        <w:rPr>
          <w:rFonts w:cs="Times New Roman"/>
        </w:rPr>
        <w:noBreakHyphen/>
        <w:t>36).</w:t>
      </w:r>
    </w:p>
    <w:p w14:paraId="25EA20C6"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The exclusion of first</w:t>
      </w:r>
      <w:r w:rsidRPr="00816F89">
        <w:rPr>
          <w:rFonts w:cs="Times New Roman"/>
        </w:rPr>
        <w:noBreakHyphen/>
        <w:t xml:space="preserve">level managers has been in the </w:t>
      </w:r>
      <w:r w:rsidRPr="00816F89">
        <w:rPr>
          <w:rFonts w:cs="Times New Roman"/>
          <w:i/>
        </w:rPr>
        <w:t>L.C.</w:t>
      </w:r>
      <w:r w:rsidRPr="00816F89">
        <w:rPr>
          <w:rFonts w:cs="Times New Roman"/>
        </w:rPr>
        <w:t xml:space="preserve"> since its enactment in 1964. I note in passing that the exclusion was also found in the predecessor of the </w:t>
      </w:r>
      <w:r w:rsidRPr="00816F89">
        <w:rPr>
          <w:rFonts w:cs="Times New Roman"/>
          <w:i/>
          <w:iCs/>
        </w:rPr>
        <w:t>L.C.</w:t>
      </w:r>
      <w:r w:rsidRPr="00816F89">
        <w:rPr>
          <w:rFonts w:cs="Times New Roman"/>
        </w:rPr>
        <w:t xml:space="preserve">, the </w:t>
      </w:r>
      <w:r w:rsidRPr="00816F89">
        <w:rPr>
          <w:rFonts w:cs="Times New Roman"/>
          <w:i/>
          <w:iCs/>
        </w:rPr>
        <w:t>Labour Relations Act</w:t>
      </w:r>
      <w:r w:rsidRPr="00816F89">
        <w:rPr>
          <w:rFonts w:cs="Times New Roman"/>
        </w:rPr>
        <w:t xml:space="preserve">, S.Q. 1944, c. 30, s. 2(a)1. Like the </w:t>
      </w:r>
      <w:r w:rsidRPr="00816F89">
        <w:rPr>
          <w:rFonts w:cs="Times New Roman"/>
          <w:i/>
        </w:rPr>
        <w:t>Labour Relations Act</w:t>
      </w:r>
      <w:r w:rsidRPr="00816F89">
        <w:rPr>
          <w:rFonts w:cs="Times New Roman"/>
        </w:rPr>
        <w:t xml:space="preserve">, the </w:t>
      </w:r>
      <w:r w:rsidRPr="00816F89">
        <w:rPr>
          <w:rFonts w:cs="Times New Roman"/>
          <w:i/>
        </w:rPr>
        <w:t>L.C.</w:t>
      </w:r>
      <w:r w:rsidRPr="00816F89">
        <w:rPr>
          <w:rFonts w:cs="Times New Roman"/>
        </w:rPr>
        <w:t xml:space="preserve"> is largely modelled on the </w:t>
      </w:r>
      <w:r w:rsidRPr="00816F89">
        <w:rPr>
          <w:rFonts w:cs="Times New Roman"/>
          <w:i/>
          <w:iCs/>
        </w:rPr>
        <w:t>Wagner Act</w:t>
      </w:r>
      <w:r w:rsidRPr="00816F89">
        <w:rPr>
          <w:rFonts w:cs="Times New Roman"/>
        </w:rPr>
        <w:t xml:space="preserve"> enacted in 1935 by the United States Congress (F. Morin et al., </w:t>
      </w:r>
      <w:r w:rsidRPr="00816F89">
        <w:rPr>
          <w:rFonts w:cs="Times New Roman"/>
          <w:i/>
        </w:rPr>
        <w:t>Le droit de l’emploi au Québec</w:t>
      </w:r>
      <w:r w:rsidRPr="00816F89">
        <w:rPr>
          <w:rFonts w:cs="Times New Roman"/>
        </w:rPr>
        <w:t xml:space="preserve"> (4th ed. 2010), at para. IV</w:t>
      </w:r>
      <w:r w:rsidRPr="00816F89">
        <w:rPr>
          <w:rFonts w:cs="Times New Roman"/>
        </w:rPr>
        <w:noBreakHyphen/>
        <w:t xml:space="preserve">46; </w:t>
      </w:r>
      <w:r w:rsidRPr="00816F89">
        <w:rPr>
          <w:rFonts w:cs="Times New Roman"/>
          <w:i/>
        </w:rPr>
        <w:t>Health Services</w:t>
      </w:r>
      <w:r w:rsidRPr="00816F89">
        <w:rPr>
          <w:rFonts w:cs="Times New Roman"/>
        </w:rPr>
        <w:t>, at para. 43).</w:t>
      </w:r>
    </w:p>
    <w:p w14:paraId="21F8057A" w14:textId="77777777" w:rsidR="00816F89" w:rsidRPr="00816F89" w:rsidRDefault="00816F89" w:rsidP="00816F89">
      <w:pPr>
        <w:pStyle w:val="ParaNoNdepar-AltN"/>
        <w:spacing w:before="0"/>
        <w:rPr>
          <w:rFonts w:cs="Times New Roman"/>
        </w:rPr>
      </w:pPr>
      <w:r w:rsidRPr="00816F89">
        <w:rPr>
          <w:rFonts w:cs="Times New Roman"/>
        </w:rPr>
        <w:t xml:space="preserve">The main objects of the </w:t>
      </w:r>
      <w:r w:rsidRPr="00816F89">
        <w:rPr>
          <w:rFonts w:cs="Times New Roman"/>
          <w:i/>
          <w:iCs/>
        </w:rPr>
        <w:t>Wagner Act</w:t>
      </w:r>
      <w:r w:rsidRPr="00816F89">
        <w:rPr>
          <w:rFonts w:cs="Times New Roman"/>
        </w:rPr>
        <w:t xml:space="preserve"> included enhancing collective bargaining and redressing the unequal balance of bargaining power between employees and their employer</w:t>
      </w:r>
      <w:r w:rsidRPr="00816F89">
        <w:rPr>
          <w:rFonts w:cs="Times New Roman"/>
          <w:szCs w:val="24"/>
        </w:rPr>
        <w:t xml:space="preserve"> (</w:t>
      </w:r>
      <w:r w:rsidRPr="00816F89">
        <w:rPr>
          <w:rFonts w:cs="Times New Roman"/>
          <w:i/>
          <w:szCs w:val="24"/>
        </w:rPr>
        <w:t>Health Services</w:t>
      </w:r>
      <w:r w:rsidRPr="00816F89">
        <w:rPr>
          <w:rFonts w:cs="Times New Roman"/>
          <w:szCs w:val="24"/>
        </w:rPr>
        <w:t>, at para. 57, quoting K. E. Klare, “Judicial Deradicalization of the Wagner Act and the Origins of Modern Legal Consciousness, 1937</w:t>
      </w:r>
      <w:r w:rsidRPr="00816F89">
        <w:rPr>
          <w:rFonts w:cs="Times New Roman"/>
          <w:szCs w:val="24"/>
        </w:rPr>
        <w:noBreakHyphen/>
        <w:t xml:space="preserve">1941” (1978), 62 </w:t>
      </w:r>
      <w:r w:rsidRPr="00816F89">
        <w:rPr>
          <w:rFonts w:cs="Times New Roman"/>
          <w:i/>
          <w:szCs w:val="24"/>
        </w:rPr>
        <w:t>Minn. L. Rev.</w:t>
      </w:r>
      <w:r w:rsidRPr="00816F89">
        <w:rPr>
          <w:rFonts w:cs="Times New Roman"/>
          <w:szCs w:val="24"/>
        </w:rPr>
        <w:t xml:space="preserve"> 265, at pp. 281</w:t>
      </w:r>
      <w:r w:rsidRPr="00816F89">
        <w:rPr>
          <w:rFonts w:cs="Times New Roman"/>
          <w:szCs w:val="24"/>
        </w:rPr>
        <w:noBreakHyphen/>
        <w:t>84).</w:t>
      </w:r>
    </w:p>
    <w:p w14:paraId="42F6DFFA"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szCs w:val="24"/>
        </w:rPr>
        <w:t xml:space="preserve">At the time of its enactment in 1935, the </w:t>
      </w:r>
      <w:r w:rsidRPr="00816F89">
        <w:rPr>
          <w:rFonts w:cs="Times New Roman"/>
          <w:i/>
          <w:iCs/>
          <w:szCs w:val="24"/>
        </w:rPr>
        <w:t>Wagner Act</w:t>
      </w:r>
      <w:r w:rsidRPr="00816F89">
        <w:rPr>
          <w:rFonts w:cs="Times New Roman"/>
          <w:i/>
          <w:szCs w:val="24"/>
        </w:rPr>
        <w:t xml:space="preserve"> </w:t>
      </w:r>
      <w:r w:rsidRPr="00816F89">
        <w:rPr>
          <w:rFonts w:cs="Times New Roman"/>
          <w:iCs/>
          <w:szCs w:val="24"/>
        </w:rPr>
        <w:t>did not specifically exclude first</w:t>
      </w:r>
      <w:r w:rsidRPr="00816F89">
        <w:rPr>
          <w:rFonts w:cs="Times New Roman"/>
          <w:iCs/>
          <w:szCs w:val="24"/>
        </w:rPr>
        <w:noBreakHyphen/>
        <w:t xml:space="preserve">level managers, such as supervisors, from its scope. However, the administrative tribunal responsible for administering that statute, the </w:t>
      </w:r>
      <w:r w:rsidRPr="00816F89">
        <w:rPr>
          <w:rFonts w:cs="Times New Roman"/>
          <w:szCs w:val="24"/>
        </w:rPr>
        <w:t xml:space="preserve">National Labor Relations Board, sometimes excluded supervisors from bargaining units that included the employees they supervised, depending on the relationship the supervisors had with management or the extent of their authority. Such exclusions were motivated by the absence of a community of interest between the supervisors and the employees whose work they supervised (W. L. Daykin, </w:t>
      </w:r>
      <w:r w:rsidRPr="00816F89">
        <w:rPr>
          <w:rFonts w:cs="Times New Roman"/>
          <w:lang w:val="en-US"/>
        </w:rPr>
        <w:t xml:space="preserve">“The Status of Supervisory Employees Under the National Labor Relations Act” (1944), 29 </w:t>
      </w:r>
      <w:r w:rsidRPr="00816F89">
        <w:rPr>
          <w:rFonts w:cs="Times New Roman"/>
          <w:i/>
          <w:lang w:val="en-US"/>
        </w:rPr>
        <w:t>Iowa L. Rev.</w:t>
      </w:r>
      <w:r w:rsidRPr="00816F89">
        <w:rPr>
          <w:rFonts w:cs="Times New Roman"/>
          <w:lang w:val="en-US"/>
        </w:rPr>
        <w:t xml:space="preserve"> 297</w:t>
      </w:r>
      <w:r w:rsidRPr="00816F89">
        <w:rPr>
          <w:rFonts w:cs="Times New Roman"/>
          <w:szCs w:val="24"/>
        </w:rPr>
        <w:t>, at pp. 317</w:t>
      </w:r>
      <w:r w:rsidRPr="00816F89">
        <w:rPr>
          <w:rFonts w:cs="Times New Roman"/>
          <w:szCs w:val="24"/>
        </w:rPr>
        <w:noBreakHyphen/>
        <w:t>19;</w:t>
      </w:r>
      <w:r w:rsidRPr="00816F89">
        <w:rPr>
          <w:rFonts w:cs="Times New Roman"/>
          <w:i/>
          <w:szCs w:val="24"/>
        </w:rPr>
        <w:t xml:space="preserve"> </w:t>
      </w:r>
      <w:r w:rsidRPr="00816F89">
        <w:rPr>
          <w:rFonts w:cs="Times New Roman"/>
          <w:i/>
          <w:lang w:val="en-US"/>
        </w:rPr>
        <w:t>NLRB v. Kentucky River Community Care, Inc.</w:t>
      </w:r>
      <w:r w:rsidRPr="00816F89">
        <w:rPr>
          <w:rFonts w:cs="Times New Roman"/>
          <w:lang w:val="en-US"/>
        </w:rPr>
        <w:t>, 532 U.S. 706 (2001)</w:t>
      </w:r>
      <w:r w:rsidRPr="00816F89">
        <w:rPr>
          <w:rFonts w:cs="Times New Roman"/>
          <w:szCs w:val="24"/>
        </w:rPr>
        <w:t xml:space="preserve">, at p. 718). For example, in </w:t>
      </w:r>
      <w:r w:rsidRPr="00816F89">
        <w:rPr>
          <w:rFonts w:cs="Times New Roman"/>
          <w:i/>
          <w:lang w:val="en-US"/>
        </w:rPr>
        <w:t>In re The Maryland Drydock Co.</w:t>
      </w:r>
      <w:r w:rsidRPr="00816F89">
        <w:rPr>
          <w:rFonts w:cs="Times New Roman"/>
          <w:lang w:val="en-US"/>
        </w:rPr>
        <w:t>, 49 N.L.R.B. 733 (1943)</w:t>
      </w:r>
      <w:r w:rsidRPr="00816F89">
        <w:rPr>
          <w:rFonts w:cs="Times New Roman"/>
          <w:szCs w:val="24"/>
        </w:rPr>
        <w:t>, which dealt with the inclusion in a bargaining unit of forepersons with substantial managerial authority, the National Labor Relations Board concluded as follows:</w:t>
      </w:r>
    </w:p>
    <w:p w14:paraId="13FB5EAD" w14:textId="77777777" w:rsidR="00816F89" w:rsidRPr="00816F89" w:rsidRDefault="00816F89" w:rsidP="00816F89">
      <w:pPr>
        <w:pStyle w:val="Citation-AltC"/>
        <w:spacing w:after="240"/>
        <w:ind w:hanging="356"/>
        <w:contextualSpacing w:val="0"/>
      </w:pPr>
      <w:r w:rsidRPr="00816F89">
        <w:rPr>
          <w:szCs w:val="24"/>
        </w:rPr>
        <w:tab/>
      </w:r>
      <w:r w:rsidRPr="00816F89">
        <w:t>To hold that the [</w:t>
      </w:r>
      <w:r w:rsidRPr="00816F89">
        <w:rPr>
          <w:i/>
        </w:rPr>
        <w:t>Wagner Act</w:t>
      </w:r>
      <w:r w:rsidRPr="00816F89">
        <w:t>] contemplated the representation of supervisory employees by the same organizations which might represent the subordinates would be to view the statute as repudiating the historic prohibition of the common law against fiduciaries serving conflicting interests.</w:t>
      </w:r>
    </w:p>
    <w:p w14:paraId="2D6BD90F" w14:textId="77777777" w:rsidR="00816F89" w:rsidRPr="00816F89" w:rsidRDefault="00816F89" w:rsidP="00816F89">
      <w:pPr>
        <w:pStyle w:val="Citation-AltC"/>
        <w:spacing w:after="240"/>
        <w:ind w:left="4590" w:hanging="540"/>
        <w:contextualSpacing w:val="0"/>
      </w:pPr>
      <w:r w:rsidRPr="00816F89">
        <w:tab/>
        <w:t>. . .</w:t>
      </w:r>
    </w:p>
    <w:p w14:paraId="1D72CF7F" w14:textId="77777777" w:rsidR="00816F89" w:rsidRPr="00816F89" w:rsidRDefault="00816F89" w:rsidP="00816F89">
      <w:pPr>
        <w:pStyle w:val="Citation-AltC"/>
        <w:tabs>
          <w:tab w:val="left" w:pos="1440"/>
        </w:tabs>
        <w:contextualSpacing w:val="0"/>
      </w:pPr>
      <w:r w:rsidRPr="00816F89">
        <w:tab/>
        <w:t>. . . We are of the opinion that in the present stage of industrial administration and employee self</w:t>
      </w:r>
      <w:r w:rsidRPr="00816F89">
        <w:noBreakHyphen/>
        <w:t>organization, the establishment of bargaining units composed of supervisors exercising substantial managerial authority will impede the processes of collective bargaining, disrupt established managerial and production techniques, and militate against effectuation of the policies of the Act. [pp. 740</w:t>
      </w:r>
      <w:r w:rsidRPr="00816F89">
        <w:noBreakHyphen/>
        <w:t>41]</w:t>
      </w:r>
    </w:p>
    <w:p w14:paraId="588EF3B5"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In 1947, in </w:t>
      </w:r>
      <w:r w:rsidRPr="00816F89">
        <w:rPr>
          <w:rFonts w:cs="Times New Roman"/>
          <w:i/>
          <w:lang w:val="en-US"/>
        </w:rPr>
        <w:t>Packard Motor Car Co. v. Labor Board</w:t>
      </w:r>
      <w:r w:rsidRPr="00816F89">
        <w:rPr>
          <w:rFonts w:cs="Times New Roman"/>
          <w:lang w:val="en-US"/>
        </w:rPr>
        <w:t>, 330 U.S. 485</w:t>
      </w:r>
      <w:r w:rsidRPr="00816F89">
        <w:rPr>
          <w:rFonts w:cs="Times New Roman"/>
        </w:rPr>
        <w:t xml:space="preserve">, the United States Supreme Court determined that supervisors were employees within the meaning of the </w:t>
      </w:r>
      <w:r w:rsidRPr="00816F89">
        <w:rPr>
          <w:rFonts w:cs="Times New Roman"/>
          <w:i/>
        </w:rPr>
        <w:t>Wagner Act</w:t>
      </w:r>
      <w:r w:rsidRPr="00816F89">
        <w:rPr>
          <w:rFonts w:cs="Times New Roman"/>
        </w:rPr>
        <w:t xml:space="preserve"> and could form an appropriate bargaining unit. Douglas J. dissented. In his view, the majority’s decision ignored the distinction between management and workers as well as the workers’ particular situation vis</w:t>
      </w:r>
      <w:r w:rsidRPr="00816F89">
        <w:rPr>
          <w:rFonts w:cs="Times New Roman"/>
        </w:rPr>
        <w:noBreakHyphen/>
        <w:t>à</w:t>
      </w:r>
      <w:r w:rsidRPr="00816F89">
        <w:rPr>
          <w:rFonts w:cs="Times New Roman"/>
        </w:rPr>
        <w:noBreakHyphen/>
        <w:t xml:space="preserve">vis the employer. The same year, in response to that decision, Congress amended the </w:t>
      </w:r>
      <w:r w:rsidRPr="00816F89">
        <w:rPr>
          <w:rFonts w:cs="Times New Roman"/>
          <w:i/>
          <w:iCs/>
        </w:rPr>
        <w:t xml:space="preserve">Wagner Act </w:t>
      </w:r>
      <w:r w:rsidRPr="00816F89">
        <w:rPr>
          <w:rFonts w:cs="Times New Roman"/>
        </w:rPr>
        <w:t>to exclude supervisors from its application, essentially agreeing with Douglas J. (</w:t>
      </w:r>
      <w:r w:rsidRPr="00816F89">
        <w:rPr>
          <w:rFonts w:cs="Times New Roman"/>
          <w:lang w:val="en-US"/>
        </w:rPr>
        <w:t>29 U.S.C. § 152(3) (2018)</w:t>
      </w:r>
      <w:r w:rsidRPr="00816F89">
        <w:rPr>
          <w:rFonts w:cs="Times New Roman"/>
        </w:rPr>
        <w:t xml:space="preserve">; </w:t>
      </w:r>
      <w:r w:rsidRPr="00816F89">
        <w:rPr>
          <w:rFonts w:cs="Times New Roman"/>
          <w:i/>
          <w:lang w:val="en-US"/>
        </w:rPr>
        <w:t>Labor Board v. Bell Aerospace Co.</w:t>
      </w:r>
      <w:r w:rsidRPr="00816F89">
        <w:rPr>
          <w:rFonts w:cs="Times New Roman"/>
          <w:lang w:val="en-US"/>
        </w:rPr>
        <w:t>, 416 U.S. 267 (1974)</w:t>
      </w:r>
      <w:r w:rsidRPr="00816F89">
        <w:rPr>
          <w:rFonts w:cs="Times New Roman"/>
        </w:rPr>
        <w:t>, at p. 279).</w:t>
      </w:r>
    </w:p>
    <w:p w14:paraId="7F2845E9"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Although this is of limited assistance in assessing the purpose of the exclusion in s. 1(</w:t>
      </w:r>
      <w:r w:rsidRPr="00816F89">
        <w:rPr>
          <w:rFonts w:cs="Times New Roman"/>
          <w:i/>
        </w:rPr>
        <w:t>l</w:t>
      </w:r>
      <w:r w:rsidRPr="00816F89">
        <w:rPr>
          <w:rFonts w:cs="Times New Roman"/>
        </w:rPr>
        <w:t xml:space="preserve">)(1) </w:t>
      </w:r>
      <w:r w:rsidRPr="00816F89">
        <w:rPr>
          <w:rFonts w:cs="Times New Roman"/>
          <w:i/>
        </w:rPr>
        <w:t>L.C.</w:t>
      </w:r>
      <w:r w:rsidRPr="00816F89">
        <w:rPr>
          <w:rFonts w:cs="Times New Roman"/>
        </w:rPr>
        <w:t xml:space="preserve">, I note that similar exclusions can be found in other statutes in this country that are based on the </w:t>
      </w:r>
      <w:r w:rsidRPr="00816F89">
        <w:rPr>
          <w:rFonts w:cs="Times New Roman"/>
          <w:i/>
        </w:rPr>
        <w:t>Wagner</w:t>
      </w:r>
      <w:r w:rsidRPr="00816F89">
        <w:rPr>
          <w:rFonts w:cs="Times New Roman"/>
        </w:rPr>
        <w:t xml:space="preserve"> model. For example, in Alberta, the </w:t>
      </w:r>
      <w:r w:rsidRPr="00816F89">
        <w:rPr>
          <w:rFonts w:cs="Times New Roman"/>
          <w:i/>
        </w:rPr>
        <w:t>Labour Relations Code</w:t>
      </w:r>
      <w:r w:rsidRPr="00816F89">
        <w:rPr>
          <w:rFonts w:cs="Times New Roman"/>
        </w:rPr>
        <w:t>, R.S.A. 2000, c. L</w:t>
      </w:r>
      <w:r w:rsidRPr="00816F89">
        <w:rPr>
          <w:rFonts w:cs="Times New Roman"/>
        </w:rPr>
        <w:noBreakHyphen/>
        <w:t xml:space="preserve">1, s. 1(1)(l)(i), the </w:t>
      </w:r>
      <w:r w:rsidRPr="00816F89">
        <w:rPr>
          <w:rFonts w:cs="Times New Roman"/>
          <w:i/>
        </w:rPr>
        <w:t>Public Service Employee Relations Act</w:t>
      </w:r>
      <w:r w:rsidRPr="00816F89">
        <w:rPr>
          <w:rFonts w:cs="Times New Roman"/>
        </w:rPr>
        <w:t>, R.S.A. 2000, c. P</w:t>
      </w:r>
      <w:r w:rsidRPr="00816F89">
        <w:rPr>
          <w:rFonts w:cs="Times New Roman"/>
        </w:rPr>
        <w:noBreakHyphen/>
        <w:t xml:space="preserve">43, s. 12(1)(a), and the </w:t>
      </w:r>
      <w:r w:rsidRPr="00816F89">
        <w:rPr>
          <w:rFonts w:cs="Times New Roman"/>
          <w:i/>
        </w:rPr>
        <w:t>Managerial Exclusion Act</w:t>
      </w:r>
      <w:r w:rsidRPr="00816F89">
        <w:rPr>
          <w:rFonts w:cs="Times New Roman"/>
        </w:rPr>
        <w:t>, R.S.A. 2000, c. M</w:t>
      </w:r>
      <w:r w:rsidRPr="00816F89">
        <w:rPr>
          <w:rFonts w:cs="Times New Roman"/>
        </w:rPr>
        <w:noBreakHyphen/>
        <w:t xml:space="preserve">3, s. 2(1), exclude employees who perform managerial functions from their scope (in Nova Scotia, see the </w:t>
      </w:r>
      <w:r w:rsidRPr="00816F89">
        <w:rPr>
          <w:rFonts w:cs="Times New Roman"/>
          <w:i/>
        </w:rPr>
        <w:t>Trade Union Act</w:t>
      </w:r>
      <w:r w:rsidRPr="00816F89">
        <w:rPr>
          <w:rFonts w:cs="Times New Roman"/>
        </w:rPr>
        <w:t xml:space="preserve">, R.S.N.S. 1989, c. 475, s. 2(2)(a); in Prince Edward Island, see the </w:t>
      </w:r>
      <w:r w:rsidRPr="00816F89">
        <w:rPr>
          <w:rFonts w:cs="Times New Roman"/>
          <w:i/>
        </w:rPr>
        <w:t>Labour Act</w:t>
      </w:r>
      <w:r w:rsidRPr="00816F89">
        <w:rPr>
          <w:rFonts w:cs="Times New Roman"/>
        </w:rPr>
        <w:t>, R.S.P.E.I. 1988, c. L</w:t>
      </w:r>
      <w:r w:rsidRPr="00816F89">
        <w:rPr>
          <w:rFonts w:cs="Times New Roman"/>
        </w:rPr>
        <w:noBreakHyphen/>
        <w:t xml:space="preserve">1, s. 7(2)(b); and in Newfoundland and Labrador, see the </w:t>
      </w:r>
      <w:r w:rsidRPr="00816F89">
        <w:rPr>
          <w:rFonts w:cs="Times New Roman"/>
          <w:i/>
        </w:rPr>
        <w:t>Labour Relations Act</w:t>
      </w:r>
      <w:r w:rsidRPr="00816F89">
        <w:rPr>
          <w:rFonts w:cs="Times New Roman"/>
        </w:rPr>
        <w:t>, R.S.N.L. 1990, c. L</w:t>
      </w:r>
      <w:r w:rsidRPr="00816F89">
        <w:rPr>
          <w:rFonts w:cs="Times New Roman"/>
        </w:rPr>
        <w:noBreakHyphen/>
        <w:t xml:space="preserve">1, s. 2(1)(m)). This is also the case in Ontario, where the </w:t>
      </w:r>
      <w:r w:rsidRPr="00816F89">
        <w:rPr>
          <w:rFonts w:cs="Times New Roman"/>
          <w:i/>
          <w:lang w:val="en-US"/>
        </w:rPr>
        <w:t>Crown Employees Collective Bargaining Act, 1993</w:t>
      </w:r>
      <w:r w:rsidRPr="00816F89">
        <w:rPr>
          <w:rFonts w:cs="Times New Roman"/>
          <w:lang w:val="en-US"/>
        </w:rPr>
        <w:t xml:space="preserve">, S.O. 1993, c. 38, </w:t>
      </w:r>
      <w:r w:rsidRPr="00816F89">
        <w:rPr>
          <w:rFonts w:cs="Times New Roman"/>
        </w:rPr>
        <w:t xml:space="preserve">s. 1.1(3) 9, and the </w:t>
      </w:r>
      <w:r w:rsidRPr="00816F89">
        <w:rPr>
          <w:rFonts w:cs="Times New Roman"/>
          <w:i/>
        </w:rPr>
        <w:t>Labour Relations Act, 1995</w:t>
      </w:r>
      <w:r w:rsidRPr="00816F89">
        <w:rPr>
          <w:rFonts w:cs="Times New Roman"/>
        </w:rPr>
        <w:t xml:space="preserve">, s. 1(3)(b), exclude from their scope employees “exercising managerial functions or employed in a confidential capacity in relation to labour relations”, except in the education sector, where the </w:t>
      </w:r>
      <w:r w:rsidRPr="00816F89">
        <w:rPr>
          <w:rFonts w:cs="Times New Roman"/>
          <w:i/>
          <w:iCs/>
        </w:rPr>
        <w:t>School Boards Collective Bargaining Act,</w:t>
      </w:r>
      <w:r w:rsidRPr="00816F89">
        <w:rPr>
          <w:rFonts w:cs="Times New Roman"/>
          <w:i/>
        </w:rPr>
        <w:t xml:space="preserve"> 2014</w:t>
      </w:r>
      <w:r w:rsidRPr="00816F89">
        <w:rPr>
          <w:rFonts w:cs="Times New Roman"/>
        </w:rPr>
        <w:t>, S.O. 2014, c. 5, s. 8, specifically excludes “[s]upervisory officers, principals and vice</w:t>
      </w:r>
      <w:r w:rsidRPr="00816F89">
        <w:rPr>
          <w:rFonts w:cs="Times New Roman"/>
        </w:rPr>
        <w:noBreakHyphen/>
        <w:t xml:space="preserve">principals” from the regime. Sometimes the regimes do not exclude all managerial employees but only those with particular functions, such as work allocation and discipline (in Nova Scotia, see the </w:t>
      </w:r>
      <w:r w:rsidRPr="00816F89">
        <w:rPr>
          <w:rFonts w:cs="Times New Roman"/>
          <w:i/>
          <w:lang w:val="en-US"/>
        </w:rPr>
        <w:t>Civil Service Collective Bargaining Act</w:t>
      </w:r>
      <w:r w:rsidRPr="00816F89">
        <w:rPr>
          <w:rFonts w:cs="Times New Roman"/>
          <w:lang w:val="en-US"/>
        </w:rPr>
        <w:t>, R.S.N.S. 1989, c. 71</w:t>
      </w:r>
      <w:r w:rsidRPr="00816F89">
        <w:rPr>
          <w:rFonts w:cs="Times New Roman"/>
        </w:rPr>
        <w:t xml:space="preserve">, ss. 2(f) and 11(1)(e)). With regard to employees under federal jurisdiction, the </w:t>
      </w:r>
      <w:r w:rsidRPr="00816F89">
        <w:rPr>
          <w:rFonts w:cs="Times New Roman"/>
          <w:i/>
        </w:rPr>
        <w:t>Canada Labour Code</w:t>
      </w:r>
      <w:r w:rsidRPr="00816F89">
        <w:rPr>
          <w:rFonts w:cs="Times New Roman"/>
        </w:rPr>
        <w:t xml:space="preserve"> excludes, among others, persons who perform management functions (s. 3(1)). Moreover, the </w:t>
      </w:r>
      <w:r w:rsidRPr="00816F89">
        <w:rPr>
          <w:rFonts w:cs="Times New Roman"/>
          <w:i/>
        </w:rPr>
        <w:t>PSLRA</w:t>
      </w:r>
      <w:r w:rsidRPr="00816F89">
        <w:rPr>
          <w:rFonts w:cs="Times New Roman"/>
        </w:rPr>
        <w:t>, which applies to employees in the federal public sector, excludes from its regime, among others, certain persons who occupy managerial positions (s. 2(1)).</w:t>
      </w:r>
    </w:p>
    <w:p w14:paraId="470EEFB5"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Like the</w:t>
      </w:r>
      <w:r w:rsidRPr="00816F89">
        <w:rPr>
          <w:rFonts w:cs="Times New Roman"/>
          <w:i/>
        </w:rPr>
        <w:t xml:space="preserve"> Wagner Act</w:t>
      </w:r>
      <w:r w:rsidRPr="00816F89">
        <w:rPr>
          <w:rFonts w:cs="Times New Roman"/>
        </w:rPr>
        <w:t xml:space="preserve"> and the various statutes modelled on it throughout the country, the </w:t>
      </w:r>
      <w:r w:rsidRPr="00816F89">
        <w:rPr>
          <w:rFonts w:cs="Times New Roman"/>
          <w:i/>
        </w:rPr>
        <w:t>L.C.</w:t>
      </w:r>
      <w:r w:rsidRPr="00816F89">
        <w:rPr>
          <w:rFonts w:cs="Times New Roman"/>
        </w:rPr>
        <w:t xml:space="preserve"> is premised on this distinction, in the organization of work, between the employer and the workers. The exclusion of managers from the </w:t>
      </w:r>
      <w:r w:rsidRPr="00816F89">
        <w:rPr>
          <w:rFonts w:cs="Times New Roman"/>
          <w:i/>
        </w:rPr>
        <w:t>L.C.</w:t>
      </w:r>
      <w:r w:rsidRPr="00816F89">
        <w:rPr>
          <w:rFonts w:cs="Times New Roman"/>
        </w:rPr>
        <w:t xml:space="preserve"> regime brings [</w:t>
      </w:r>
      <w:r w:rsidRPr="00816F89">
        <w:rPr>
          <w:rFonts w:cs="Times New Roman"/>
          <w:smallCaps/>
        </w:rPr>
        <w:t>translation</w:t>
      </w:r>
      <w:r w:rsidRPr="00816F89">
        <w:rPr>
          <w:rFonts w:cs="Times New Roman"/>
        </w:rPr>
        <w:t xml:space="preserve">] “to the forefront the fundamental idea flowing from the concept </w:t>
      </w:r>
      <w:r w:rsidRPr="00816F89">
        <w:rPr>
          <w:rFonts w:cs="Times New Roman"/>
          <w:i/>
        </w:rPr>
        <w:t>of organization</w:t>
      </w:r>
      <w:r w:rsidRPr="00816F89">
        <w:rPr>
          <w:rFonts w:cs="Times New Roman"/>
        </w:rPr>
        <w:t>, according to which businesses</w:t>
      </w:r>
      <w:r w:rsidRPr="00816F89">
        <w:rPr>
          <w:rFonts w:cs="Times New Roman"/>
        </w:rPr>
        <w:tab/>
        <w:t xml:space="preserve"> must be structured at two levels of operation: that of management, on the one hand, and that of execution, on the other” (R. Blouin, </w:t>
      </w:r>
      <w:r w:rsidRPr="00816F89">
        <w:rPr>
          <w:rFonts w:cs="Times New Roman"/>
          <w:lang w:val="en-US"/>
        </w:rPr>
        <w:t xml:space="preserve">“La qualification des cadres hiérarchiques par le Code du travail” (1975), 30 </w:t>
      </w:r>
      <w:r w:rsidRPr="00816F89">
        <w:rPr>
          <w:rFonts w:cs="Times New Roman"/>
          <w:i/>
          <w:lang w:val="en-US"/>
        </w:rPr>
        <w:t>I.R.</w:t>
      </w:r>
      <w:r w:rsidRPr="00816F89">
        <w:rPr>
          <w:rFonts w:cs="Times New Roman"/>
          <w:lang w:val="en-US"/>
        </w:rPr>
        <w:t xml:space="preserve"> 478</w:t>
      </w:r>
      <w:r w:rsidRPr="00816F89">
        <w:rPr>
          <w:rFonts w:cs="Times New Roman"/>
        </w:rPr>
        <w:t>, at p. 483 (emphasis in original)). By drawing such distinctions in the definition of “employee” in s. 1(</w:t>
      </w:r>
      <w:r w:rsidRPr="00816F89">
        <w:rPr>
          <w:rFonts w:cs="Times New Roman"/>
          <w:i/>
        </w:rPr>
        <w:t>l</w:t>
      </w:r>
      <w:r w:rsidRPr="00816F89">
        <w:rPr>
          <w:rFonts w:cs="Times New Roman"/>
        </w:rPr>
        <w:t xml:space="preserve">) </w:t>
      </w:r>
      <w:r w:rsidRPr="00816F89">
        <w:rPr>
          <w:rFonts w:cs="Times New Roman"/>
          <w:i/>
        </w:rPr>
        <w:t>L.C.</w:t>
      </w:r>
      <w:r w:rsidRPr="00816F89">
        <w:rPr>
          <w:rFonts w:cs="Times New Roman"/>
        </w:rPr>
        <w:t>, the legislature intended to [</w:t>
      </w:r>
      <w:r w:rsidRPr="00816F89">
        <w:rPr>
          <w:rFonts w:cs="Times New Roman"/>
          <w:smallCaps/>
        </w:rPr>
        <w:t>translation</w:t>
      </w:r>
      <w:r w:rsidRPr="00816F89">
        <w:rPr>
          <w:rFonts w:cs="Times New Roman"/>
        </w:rPr>
        <w:t>] “attach specific legal consequences to the fact that management authority is concentrated in the hands of those in charge of the scientific organization of businesses and allocated among them in a hierarchical manner at various levels or tiers” (p. 483).</w:t>
      </w:r>
    </w:p>
    <w:p w14:paraId="230EDA88"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The exclusion of managers was also intended to make it possible for the employer to trust its representatives, to prevent employee</w:t>
      </w:r>
      <w:r w:rsidRPr="00816F89">
        <w:rPr>
          <w:rFonts w:cs="Times New Roman"/>
        </w:rPr>
        <w:noBreakHyphen/>
        <w:t xml:space="preserve">employer role conflicts, conflicts of interest and even the domination of unions by the employer, and to ensure a community of interest for employees (F. Morin, </w:t>
      </w:r>
      <w:r w:rsidRPr="00816F89">
        <w:rPr>
          <w:rFonts w:cs="Times New Roman"/>
          <w:i/>
        </w:rPr>
        <w:t>Rapports collectifs du travail</w:t>
      </w:r>
      <w:r w:rsidRPr="00816F89">
        <w:rPr>
          <w:rFonts w:cs="Times New Roman"/>
        </w:rPr>
        <w:t xml:space="preserve"> (2nd ed. 1991), at para. </w:t>
      </w:r>
      <w:r w:rsidRPr="00816F89">
        <w:rPr>
          <w:rFonts w:cs="Times New Roman"/>
          <w:lang w:val="fr-CA"/>
        </w:rPr>
        <w:t>I</w:t>
      </w:r>
      <w:r w:rsidRPr="00816F89">
        <w:rPr>
          <w:rFonts w:cs="Times New Roman"/>
          <w:lang w:val="fr-CA"/>
        </w:rPr>
        <w:noBreakHyphen/>
        <w:t xml:space="preserve">59; F. Morin, </w:t>
      </w:r>
      <w:r w:rsidRPr="00816F89">
        <w:rPr>
          <w:rFonts w:cs="Times New Roman"/>
          <w:i/>
          <w:lang w:val="fr-CA"/>
        </w:rPr>
        <w:t>L’élaboration du droit de l’emploi du Québec: Ses sources législatives et judiciaires</w:t>
      </w:r>
      <w:r w:rsidRPr="00816F89">
        <w:rPr>
          <w:rFonts w:cs="Times New Roman"/>
          <w:lang w:val="fr-CA"/>
        </w:rPr>
        <w:t xml:space="preserve"> (2011), at p. 197; M. Coutu et al., in collaboration with F. Laporte</w:t>
      </w:r>
      <w:r w:rsidRPr="00816F89">
        <w:rPr>
          <w:rFonts w:cs="Times New Roman"/>
          <w:lang w:val="fr-CA"/>
        </w:rPr>
        <w:noBreakHyphen/>
        <w:t xml:space="preserve">Murdock, </w:t>
      </w:r>
      <w:r w:rsidRPr="00816F89">
        <w:rPr>
          <w:rFonts w:cs="Times New Roman"/>
          <w:i/>
          <w:lang w:val="fr-CA"/>
        </w:rPr>
        <w:t>Droit des rapports collectifs du travail au Québec</w:t>
      </w:r>
      <w:r w:rsidRPr="00816F89">
        <w:rPr>
          <w:rFonts w:cs="Times New Roman"/>
          <w:lang w:val="fr-CA"/>
        </w:rPr>
        <w:t xml:space="preserve">, vol. 1, </w:t>
      </w:r>
      <w:r w:rsidRPr="00816F89">
        <w:rPr>
          <w:rFonts w:cs="Times New Roman"/>
          <w:i/>
          <w:lang w:val="fr-CA"/>
        </w:rPr>
        <w:t>Le régime général</w:t>
      </w:r>
      <w:r w:rsidRPr="00816F89">
        <w:rPr>
          <w:rFonts w:cs="Times New Roman"/>
          <w:lang w:val="fr-CA"/>
        </w:rPr>
        <w:t xml:space="preserve"> (3rd ed. 2019), at para. </w:t>
      </w:r>
      <w:r w:rsidRPr="00816F89">
        <w:rPr>
          <w:rFonts w:cs="Times New Roman"/>
        </w:rPr>
        <w:t>129). In other words, the Quebec legislature’s purpose in excluding managers from the general collective relations regime by means of s. 1(</w:t>
      </w:r>
      <w:r w:rsidRPr="00816F89">
        <w:rPr>
          <w:rFonts w:cs="Times New Roman"/>
          <w:i/>
        </w:rPr>
        <w:t>l</w:t>
      </w:r>
      <w:r w:rsidRPr="00816F89">
        <w:rPr>
          <w:rFonts w:cs="Times New Roman"/>
        </w:rPr>
        <w:t xml:space="preserve">)(1) </w:t>
      </w:r>
      <w:r w:rsidRPr="00816F89">
        <w:rPr>
          <w:rFonts w:cs="Times New Roman"/>
          <w:i/>
        </w:rPr>
        <w:t xml:space="preserve">L.C. </w:t>
      </w:r>
      <w:r w:rsidRPr="00816F89">
        <w:rPr>
          <w:rFonts w:cs="Times New Roman"/>
        </w:rPr>
        <w:t xml:space="preserve">was to </w:t>
      </w:r>
      <w:r w:rsidRPr="00816F89">
        <w:rPr>
          <w:rFonts w:cs="Times New Roman"/>
          <w:i/>
        </w:rPr>
        <w:t>promote</w:t>
      </w:r>
      <w:r w:rsidRPr="00816F89">
        <w:rPr>
          <w:rFonts w:cs="Times New Roman"/>
        </w:rPr>
        <w:t xml:space="preserve"> the</w:t>
      </w:r>
      <w:r w:rsidRPr="00816F89">
        <w:rPr>
          <w:rFonts w:cs="Times New Roman"/>
          <w:i/>
        </w:rPr>
        <w:t xml:space="preserve"> </w:t>
      </w:r>
      <w:r w:rsidRPr="00816F89">
        <w:rPr>
          <w:rFonts w:cs="Times New Roman"/>
        </w:rPr>
        <w:t>freedom of association of the employees so defined, not to deprive managers of any collective bargaining.</w:t>
      </w:r>
    </w:p>
    <w:p w14:paraId="0BE25CD7"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It must not be concluded from this that managers have no protection under s. 2(d) of the </w:t>
      </w:r>
      <w:r w:rsidRPr="00816F89">
        <w:rPr>
          <w:rFonts w:cs="Times New Roman"/>
          <w:i/>
        </w:rPr>
        <w:t xml:space="preserve">Canadian Charter </w:t>
      </w:r>
      <w:r w:rsidRPr="00816F89">
        <w:rPr>
          <w:rFonts w:cs="Times New Roman"/>
        </w:rPr>
        <w:t xml:space="preserve">and s. 3 of the </w:t>
      </w:r>
      <w:r w:rsidRPr="00816F89">
        <w:rPr>
          <w:rFonts w:cs="Times New Roman"/>
          <w:i/>
        </w:rPr>
        <w:t>Quebec Charter</w:t>
      </w:r>
      <w:r w:rsidRPr="00816F89">
        <w:rPr>
          <w:rFonts w:cs="Times New Roman"/>
        </w:rPr>
        <w:t xml:space="preserve"> or that the legislature did not otherwise legislate to enable their freedom of association. Indeed, it is important to make clear and to reiterate that, despite this exclusion from the </w:t>
      </w:r>
      <w:r w:rsidRPr="00816F89">
        <w:rPr>
          <w:rFonts w:cs="Times New Roman"/>
          <w:i/>
        </w:rPr>
        <w:t>L.C.</w:t>
      </w:r>
      <w:r w:rsidRPr="00816F89">
        <w:rPr>
          <w:rFonts w:cs="Times New Roman"/>
        </w:rPr>
        <w:t xml:space="preserve"> regime, first</w:t>
      </w:r>
      <w:r w:rsidRPr="00816F89">
        <w:rPr>
          <w:rFonts w:cs="Times New Roman"/>
        </w:rPr>
        <w:noBreakHyphen/>
        <w:t xml:space="preserve">level managers are “employees” under the </w:t>
      </w:r>
      <w:r w:rsidRPr="00816F89">
        <w:rPr>
          <w:rFonts w:cs="Times New Roman"/>
          <w:i/>
          <w:iCs/>
        </w:rPr>
        <w:t>Professional Syndicates Act</w:t>
      </w:r>
      <w:r w:rsidRPr="00816F89">
        <w:rPr>
          <w:rFonts w:cs="Times New Roman"/>
        </w:rPr>
        <w:t xml:space="preserve">. Since the enactment of that statute in 1924, they have been able to join together and form associations or professional syndicates, which have “exclusively for object the study, defence and promotion of the economic, social and moral interests of their members” (s. 6). </w:t>
      </w:r>
      <w:r w:rsidRPr="00816F89">
        <w:rPr>
          <w:rFonts w:cs="Times New Roman"/>
          <w:lang w:val="fr-CA"/>
        </w:rPr>
        <w:t xml:space="preserve">Managers can also make representations to the employer (R. Chartier, “Le syndicalisme de cadres et la législation québécoise du travail” (1965), 20 </w:t>
      </w:r>
      <w:r w:rsidRPr="00816F89">
        <w:rPr>
          <w:rFonts w:cs="Times New Roman"/>
          <w:i/>
          <w:lang w:val="fr-CA"/>
        </w:rPr>
        <w:t>I.R.</w:t>
      </w:r>
      <w:r w:rsidRPr="00816F89">
        <w:rPr>
          <w:rFonts w:cs="Times New Roman"/>
          <w:lang w:val="fr-CA"/>
        </w:rPr>
        <w:t xml:space="preserve"> 278, at p. 284). </w:t>
      </w:r>
      <w:r w:rsidRPr="00816F89">
        <w:rPr>
          <w:rFonts w:cs="Times New Roman"/>
        </w:rPr>
        <w:t xml:space="preserve">In these circumstances, it can hardly be argued that the purpose of the legislative exclusion in the </w:t>
      </w:r>
      <w:r w:rsidRPr="00816F89">
        <w:rPr>
          <w:rFonts w:cs="Times New Roman"/>
          <w:i/>
        </w:rPr>
        <w:t xml:space="preserve">L.C. </w:t>
      </w:r>
      <w:r w:rsidRPr="00816F89">
        <w:rPr>
          <w:rFonts w:cs="Times New Roman"/>
        </w:rPr>
        <w:t>was to prevent managers from associating.</w:t>
      </w:r>
    </w:p>
    <w:p w14:paraId="061057E3"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For these reasons, I cannot accept that the purpose of the exclusion of first</w:t>
      </w:r>
      <w:r w:rsidRPr="00816F89">
        <w:rPr>
          <w:rFonts w:cs="Times New Roman"/>
        </w:rPr>
        <w:noBreakHyphen/>
        <w:t xml:space="preserve">level managers from the </w:t>
      </w:r>
      <w:r w:rsidRPr="00816F89">
        <w:rPr>
          <w:rFonts w:cs="Times New Roman"/>
          <w:i/>
        </w:rPr>
        <w:t>L.C.</w:t>
      </w:r>
      <w:r w:rsidRPr="00816F89">
        <w:rPr>
          <w:rFonts w:cs="Times New Roman"/>
        </w:rPr>
        <w:t xml:space="preserve"> is to substantially interfere with the freedom of association of the Association’s members. In my view, the Association has not shown that such a purpose existed in 1964 when the </w:t>
      </w:r>
      <w:r w:rsidRPr="00816F89">
        <w:rPr>
          <w:rFonts w:cs="Times New Roman"/>
          <w:i/>
          <w:iCs/>
        </w:rPr>
        <w:t>L.C.</w:t>
      </w:r>
      <w:r w:rsidRPr="00816F89">
        <w:rPr>
          <w:rFonts w:cs="Times New Roman"/>
        </w:rPr>
        <w:t xml:space="preserve"> was enacted. In contrast to the history laid out in </w:t>
      </w:r>
      <w:r w:rsidRPr="00816F89">
        <w:rPr>
          <w:rFonts w:cs="Times New Roman"/>
          <w:i/>
          <w:iCs/>
        </w:rPr>
        <w:t>MPAO</w:t>
      </w:r>
      <w:r w:rsidRPr="00816F89">
        <w:rPr>
          <w:rFonts w:cs="Times New Roman"/>
        </w:rPr>
        <w:t xml:space="preserve">, </w:t>
      </w:r>
      <w:r w:rsidRPr="00816F89">
        <w:rPr>
          <w:rFonts w:cs="Times New Roman"/>
          <w:iCs/>
        </w:rPr>
        <w:t>the record does not show that there was distrust of any association of first</w:t>
      </w:r>
      <w:r w:rsidRPr="00816F89">
        <w:rPr>
          <w:rFonts w:cs="Times New Roman"/>
          <w:iCs/>
        </w:rPr>
        <w:noBreakHyphen/>
        <w:t>level managers. There is no basis for concluding that the Quebec legislature considered the role of manager to be fundamentally incompatible with the collective bargaining protected by freedom of association</w:t>
      </w:r>
      <w:r w:rsidRPr="00816F89">
        <w:rPr>
          <w:rFonts w:cs="Times New Roman"/>
        </w:rPr>
        <w:t>.</w:t>
      </w:r>
    </w:p>
    <w:p w14:paraId="3C084049" w14:textId="77777777" w:rsidR="00816F89" w:rsidRPr="00816F89" w:rsidRDefault="00816F89" w:rsidP="00816F89">
      <w:pPr>
        <w:pStyle w:val="Title4LevelTitre4Niveau"/>
        <w:numPr>
          <w:ilvl w:val="3"/>
          <w:numId w:val="8"/>
        </w:numPr>
        <w:spacing w:before="0"/>
        <w:jc w:val="both"/>
        <w:rPr>
          <w:rFonts w:cs="Times New Roman"/>
        </w:rPr>
      </w:pPr>
      <w:r w:rsidRPr="00816F89">
        <w:rPr>
          <w:rFonts w:cs="Times New Roman"/>
        </w:rPr>
        <w:t>The Legislative Exclusion Does Not Have the Effect of Substantially Interfering With Freedom of Association</w:t>
      </w:r>
    </w:p>
    <w:p w14:paraId="2396F96D"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After completing its analysis, the ALT concluded that the legislative exclusion has the effect of substantially interfering with the freedom of association of the Association’s OS members.</w:t>
      </w:r>
    </w:p>
    <w:p w14:paraId="71EB9A52"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The administrative judge found substantial interference particularly because the Société’s recognition of the Association as the representative of the OSs is voluntary and because the Société has discretion in reviewing the Association’s representativeness. Moreover, the Association’s members would not be protected if their employer interfered with or impeded associational activities. The Court of Appeal agreed with that conclusion. In my view, it is erroneous and the Superior Court was correct in law in setting it aside.</w:t>
      </w:r>
    </w:p>
    <w:p w14:paraId="768C1FD1" w14:textId="77777777" w:rsidR="00816F89" w:rsidRPr="00816F89" w:rsidRDefault="00816F89" w:rsidP="00816F89">
      <w:pPr>
        <w:pStyle w:val="ParaNoNdepar-AltN"/>
        <w:spacing w:before="0"/>
        <w:rPr>
          <w:rFonts w:cs="Times New Roman"/>
        </w:rPr>
      </w:pPr>
      <w:r w:rsidRPr="00816F89">
        <w:rPr>
          <w:rFonts w:cs="Times New Roman"/>
        </w:rPr>
        <w:t xml:space="preserve">Not every difference between the OSs’ situation and the situation they would be in if they were not excluded from the </w:t>
      </w:r>
      <w:r w:rsidRPr="00816F89">
        <w:rPr>
          <w:rFonts w:cs="Times New Roman"/>
          <w:i/>
        </w:rPr>
        <w:t>L.C.</w:t>
      </w:r>
      <w:r w:rsidRPr="00816F89">
        <w:rPr>
          <w:rFonts w:cs="Times New Roman"/>
          <w:i/>
          <w:iCs/>
        </w:rPr>
        <w:t xml:space="preserve"> </w:t>
      </w:r>
      <w:r w:rsidRPr="00816F89">
        <w:rPr>
          <w:rFonts w:cs="Times New Roman"/>
        </w:rPr>
        <w:t xml:space="preserve">regime constitutes substantial interference. It must be recognized that the OSs have been able to associate. They joined together and formed the Association, the Montréal section of which is recognized by the Société - Casino de Montréal for the purposes of labour relations at the casino, pursuant to the Memorandum. In </w:t>
      </w:r>
      <w:r w:rsidRPr="00816F89">
        <w:rPr>
          <w:rFonts w:cs="Times New Roman"/>
          <w:i/>
        </w:rPr>
        <w:t>Dunmore</w:t>
      </w:r>
      <w:r w:rsidRPr="00816F89">
        <w:rPr>
          <w:rFonts w:cs="Times New Roman"/>
        </w:rPr>
        <w:t xml:space="preserve">, Bastarache J. stated that “a group that proves capable of associating despite its exclusion from a protective regime will be unable to meet the evidentiary burden required of a </w:t>
      </w:r>
      <w:r w:rsidRPr="00816F89">
        <w:rPr>
          <w:rFonts w:cs="Times New Roman"/>
          <w:i/>
        </w:rPr>
        <w:t>Charter</w:t>
      </w:r>
      <w:r w:rsidRPr="00816F89">
        <w:rPr>
          <w:rFonts w:cs="Times New Roman"/>
        </w:rPr>
        <w:t xml:space="preserve"> claim” (para. 39). Of course, that statement must be qualified in light of the subsequent evolution of the jurisprudence with respect to the content of freedom of association. That being said, this is an essential consideration in determining the effect of the exclusion on the ability of the Association’s members to exercise their freedom of association.</w:t>
      </w:r>
    </w:p>
    <w:p w14:paraId="78AD81A5"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The Memorandum recognizes that the Association - Section Montréal can represent other first</w:t>
      </w:r>
      <w:r w:rsidRPr="00816F89">
        <w:rPr>
          <w:rFonts w:cs="Times New Roman"/>
        </w:rPr>
        <w:noBreakHyphen/>
        <w:t>level managers if it proves its representativeness where they are concerned to the Société - Casino de Montréal (cl. 1(a), reproduced in A.R., vol. V, at p. 1). However, the Société - Casino de Montréal reserves the right to [</w:t>
      </w:r>
      <w:r w:rsidRPr="00816F89">
        <w:rPr>
          <w:rFonts w:cs="Times New Roman"/>
          <w:smallCaps/>
        </w:rPr>
        <w:t>translation</w:t>
      </w:r>
      <w:r w:rsidRPr="00816F89">
        <w:rPr>
          <w:rFonts w:cs="Times New Roman"/>
        </w:rPr>
        <w:t>] “terminate” the Memorandum if the Association “no longer represents the majority of Casino de Montréal table supervisors eligible hereunder” (cl. 1(c)).</w:t>
      </w:r>
    </w:p>
    <w:p w14:paraId="3353865C"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The Memorandum provides that the Association - Section Montréal and the Société - Casino de Montréal agree to meet at the request of either party to discuss and share the parties’ concerns [</w:t>
      </w:r>
      <w:r w:rsidRPr="00816F89">
        <w:rPr>
          <w:rFonts w:cs="Times New Roman"/>
          <w:smallCaps/>
        </w:rPr>
        <w:t>translation</w:t>
      </w:r>
      <w:r w:rsidRPr="00816F89">
        <w:rPr>
          <w:rFonts w:cs="Times New Roman"/>
        </w:rPr>
        <w:t>] “with a view to seeking win</w:t>
      </w:r>
      <w:r w:rsidRPr="00816F89">
        <w:rPr>
          <w:rFonts w:cs="Times New Roman"/>
        </w:rPr>
        <w:noBreakHyphen/>
        <w:t>win solutions” (cl. 1(b)). It also states that the Société - Casino de Montréal will not modify the conditions of employment of the members of the Association - Section Montréal without consulting it and that the parties [</w:t>
      </w:r>
      <w:r w:rsidRPr="00816F89">
        <w:rPr>
          <w:rFonts w:cs="Times New Roman"/>
          <w:smallCaps/>
        </w:rPr>
        <w:t>translation</w:t>
      </w:r>
      <w:r w:rsidRPr="00816F89">
        <w:rPr>
          <w:rFonts w:cs="Times New Roman"/>
        </w:rPr>
        <w:t>] “agree to act in a spirit of cooperation and collaboration in their relations with each other” (cl. 2(c); see also cl. 2(b)).</w:t>
      </w:r>
    </w:p>
    <w:p w14:paraId="26565529"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Moreover, the Memorandum provides that the Société - Casino de Montréal will deduct the regular dues required by the Association - Section Montréal from its members’ wages and remit the amounts collected to the Association (cl. 3). The Société - Casino de Montréal also agrees to grant leave with pay for two representatives of the Association - Section Montréal to meet with representatives of Casino de Montréal and for three representatives to participate in the five annual meetings of the Association - Section Montréal (cl. 4(a) and (b)). The Société - Casino de Montréal undertakes to pay wages to the table supervisors acting as representatives of the Association - Section Montréal who request leave for reasons related to the Association - Section Montréal, but it nevertheless bills the Association for any monetary contribution made for the benefit of its representatives who are granted such leave (cl. 4(c)).</w:t>
      </w:r>
    </w:p>
    <w:p w14:paraId="590DC249"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Lastly, the Memorandum refers to the duty of loyalty that the table supervisors owe to the Société - Casino de Montréal because they are its [</w:t>
      </w:r>
      <w:r w:rsidRPr="00816F89">
        <w:rPr>
          <w:rFonts w:cs="Times New Roman"/>
          <w:smallCaps/>
        </w:rPr>
        <w:t>translation</w:t>
      </w:r>
      <w:r w:rsidRPr="00816F89">
        <w:rPr>
          <w:rFonts w:cs="Times New Roman"/>
        </w:rPr>
        <w:t>] “primary allies in the achievement of its mission, the pursuit of its objectives and the overall smooth running of its operations” (cl. 2(a)).</w:t>
      </w:r>
    </w:p>
    <w:p w14:paraId="7FE353CA" w14:textId="77777777" w:rsidR="00816F89" w:rsidRPr="00816F89" w:rsidRDefault="00816F89" w:rsidP="00816F89">
      <w:pPr>
        <w:pStyle w:val="ParaNoNdepar-AltN"/>
        <w:spacing w:before="0"/>
        <w:rPr>
          <w:rFonts w:cs="Times New Roman"/>
        </w:rPr>
      </w:pPr>
      <w:r w:rsidRPr="00816F89">
        <w:rPr>
          <w:rFonts w:cs="Times New Roman"/>
        </w:rPr>
        <w:t xml:space="preserve">In itself, the voluntary nature of this recognition does not constitute substantial interference. Such recognition is certainly a departure from the model chosen by the </w:t>
      </w:r>
      <w:r w:rsidRPr="00816F89">
        <w:rPr>
          <w:rFonts w:cs="Times New Roman"/>
          <w:i/>
        </w:rPr>
        <w:t>L.C.</w:t>
      </w:r>
      <w:r w:rsidRPr="00816F89">
        <w:rPr>
          <w:rFonts w:cs="Times New Roman"/>
        </w:rPr>
        <w:t xml:space="preserve"> However, as our Court stated in </w:t>
      </w:r>
      <w:r w:rsidRPr="00816F89">
        <w:rPr>
          <w:rFonts w:cs="Times New Roman"/>
          <w:i/>
          <w:iCs/>
        </w:rPr>
        <w:t>MPAO</w:t>
      </w:r>
      <w:r w:rsidRPr="00816F89">
        <w:rPr>
          <w:rFonts w:cs="Times New Roman"/>
        </w:rPr>
        <w:t xml:space="preserve">, the </w:t>
      </w:r>
      <w:r w:rsidRPr="00816F89">
        <w:rPr>
          <w:rFonts w:cs="Times New Roman"/>
          <w:i/>
        </w:rPr>
        <w:t>Wagner</w:t>
      </w:r>
      <w:r w:rsidRPr="00816F89">
        <w:rPr>
          <w:rFonts w:cs="Times New Roman"/>
        </w:rPr>
        <w:t xml:space="preserve"> model, under which the certification process is overseen by an independent administrative body, is not “the only model capable of accommodating choice and independence in a way that ensures meaningful collective bargaining” (para. 95). Similarly, “nothing in the </w:t>
      </w:r>
      <w:r w:rsidRPr="00816F89">
        <w:rPr>
          <w:rFonts w:cs="Times New Roman"/>
          <w:i/>
        </w:rPr>
        <w:t>[</w:t>
      </w:r>
      <w:r w:rsidRPr="00816F89">
        <w:rPr>
          <w:rFonts w:cs="Times New Roman"/>
          <w:i/>
          <w:iCs/>
        </w:rPr>
        <w:t>Canadian</w:t>
      </w:r>
      <w:r w:rsidRPr="00816F89">
        <w:rPr>
          <w:rFonts w:cs="Times New Roman"/>
          <w:i/>
        </w:rPr>
        <w:t xml:space="preserve">] Charter </w:t>
      </w:r>
      <w:r w:rsidRPr="00816F89">
        <w:rPr>
          <w:rFonts w:cs="Times New Roman"/>
          <w:iCs/>
        </w:rPr>
        <w:t>prevents an employee association from engaging willingly with an employer in different, less adversarial and more cooperative ways”</w:t>
      </w:r>
      <w:r w:rsidRPr="00816F89">
        <w:rPr>
          <w:rFonts w:cs="Times New Roman"/>
        </w:rPr>
        <w:t xml:space="preserve"> (para. 97).</w:t>
      </w:r>
    </w:p>
    <w:p w14:paraId="4F127474" w14:textId="77777777" w:rsidR="00816F89" w:rsidRPr="00816F89" w:rsidRDefault="00816F89" w:rsidP="00816F89">
      <w:pPr>
        <w:pStyle w:val="ParaNoNdepar-AltN"/>
        <w:tabs>
          <w:tab w:val="clear" w:pos="1152"/>
          <w:tab w:val="left" w:pos="1166"/>
        </w:tabs>
        <w:spacing w:before="0"/>
        <w:rPr>
          <w:rFonts w:cs="Times New Roman"/>
          <w:szCs w:val="24"/>
        </w:rPr>
      </w:pPr>
      <w:r w:rsidRPr="00816F89">
        <w:rPr>
          <w:rFonts w:cs="Times New Roman"/>
        </w:rPr>
        <w:t xml:space="preserve">Without making any definitive pronouncement on the matter, I acknowledge that certain aspects of the Société’s conduct, in the absence of the protections conferred by the </w:t>
      </w:r>
      <w:r w:rsidRPr="00816F89">
        <w:rPr>
          <w:rFonts w:cs="Times New Roman"/>
          <w:i/>
        </w:rPr>
        <w:t>L.C.</w:t>
      </w:r>
      <w:r w:rsidRPr="00816F89">
        <w:rPr>
          <w:rFonts w:cs="Times New Roman"/>
        </w:rPr>
        <w:t>’s provisions, do seem to interfere substantially with the freedom of association of the Association’s members: the modification of conditions of employment without consulting the Association, contrary to what is provided for in the Memorandum, and the refusal or failure to negotiate certain conditions of employment despite the Association’s requests. Such conduct may seem contrary to the duty to bargain in good faith, which is central to a meaningful process of collective bargaining. However, the existence of alternative recourses is another important consideration in concluding that the Association’s members are not unable to exercise their freedom of association.</w:t>
      </w:r>
    </w:p>
    <w:p w14:paraId="120A5A97" w14:textId="77777777" w:rsidR="00816F89" w:rsidRPr="00816F89" w:rsidRDefault="00816F89" w:rsidP="00816F89">
      <w:pPr>
        <w:pStyle w:val="ParaNoNdepar-AltN"/>
        <w:spacing w:before="0"/>
        <w:rPr>
          <w:rFonts w:cs="Times New Roman"/>
          <w:lang w:val="en-US"/>
        </w:rPr>
      </w:pPr>
      <w:r w:rsidRPr="00816F89">
        <w:rPr>
          <w:rFonts w:cs="Times New Roman"/>
        </w:rPr>
        <w:t xml:space="preserve">Furthermore, the Association is not without recourse in the event that the Société interferes with the conduct of its activities. In contrast to the situation of the agricultural workers in </w:t>
      </w:r>
      <w:r w:rsidRPr="00816F89">
        <w:rPr>
          <w:rFonts w:cs="Times New Roman"/>
          <w:i/>
        </w:rPr>
        <w:t>Dunmore</w:t>
      </w:r>
      <w:r w:rsidRPr="00816F89">
        <w:rPr>
          <w:rFonts w:cs="Times New Roman"/>
        </w:rPr>
        <w:t>, any conduct by the Société</w:t>
      </w:r>
      <w:r w:rsidRPr="00816F89">
        <w:rPr>
          <w:rFonts w:cs="Times New Roman"/>
          <w:iCs/>
        </w:rPr>
        <w:t xml:space="preserve"> that infringes freedom of association would not be immune from review by the courts, even with the legislative exclusion</w:t>
      </w:r>
      <w:r w:rsidRPr="00816F89">
        <w:rPr>
          <w:rFonts w:cs="Times New Roman"/>
        </w:rPr>
        <w:t>.</w:t>
      </w:r>
    </w:p>
    <w:p w14:paraId="3241FB2B"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First, as a subsidiary of a company that is a mandatary of the state, the Société may be subject to the </w:t>
      </w:r>
      <w:r w:rsidRPr="00816F89">
        <w:rPr>
          <w:rFonts w:cs="Times New Roman"/>
          <w:i/>
          <w:iCs/>
        </w:rPr>
        <w:t>Canadian Charter</w:t>
      </w:r>
      <w:r w:rsidRPr="00816F89">
        <w:rPr>
          <w:rFonts w:cs="Times New Roman"/>
        </w:rPr>
        <w:t xml:space="preserve">, which means that the Association may have a remedy under s. 24(1) thereof. In any case, there is no doubt that the </w:t>
      </w:r>
      <w:r w:rsidRPr="00816F89">
        <w:rPr>
          <w:rFonts w:cs="Times New Roman"/>
          <w:i/>
          <w:iCs/>
        </w:rPr>
        <w:t>Quebec Charter</w:t>
      </w:r>
      <w:r w:rsidRPr="00816F89">
        <w:rPr>
          <w:rFonts w:cs="Times New Roman"/>
        </w:rPr>
        <w:t xml:space="preserve"> allows the Association to go to court and seek a remedy under s. 49. Both s. 24(1) of the </w:t>
      </w:r>
      <w:r w:rsidRPr="00816F89">
        <w:rPr>
          <w:rFonts w:cs="Times New Roman"/>
          <w:i/>
        </w:rPr>
        <w:t xml:space="preserve">Canadian Charter </w:t>
      </w:r>
      <w:r w:rsidRPr="00816F89">
        <w:rPr>
          <w:rFonts w:cs="Times New Roman"/>
        </w:rPr>
        <w:t xml:space="preserve">and s. 49 of the </w:t>
      </w:r>
      <w:r w:rsidRPr="00816F89">
        <w:rPr>
          <w:rFonts w:cs="Times New Roman"/>
          <w:i/>
          <w:iCs/>
        </w:rPr>
        <w:t>Quebec Charter</w:t>
      </w:r>
      <w:r w:rsidRPr="00816F89">
        <w:rPr>
          <w:rFonts w:cs="Times New Roman"/>
        </w:rPr>
        <w:t xml:space="preserve"> give the courts broad powers to grant appropriate remedies that serve to uphold the purpose of the right infringed (with regard to s. 24(1) of the </w:t>
      </w:r>
      <w:r w:rsidRPr="00816F89">
        <w:rPr>
          <w:rFonts w:cs="Times New Roman"/>
          <w:i/>
          <w:iCs/>
        </w:rPr>
        <w:t>Canadian Charter</w:t>
      </w:r>
      <w:r w:rsidRPr="00816F89">
        <w:rPr>
          <w:rFonts w:cs="Times New Roman"/>
          <w:iCs/>
        </w:rPr>
        <w:t>, see</w:t>
      </w:r>
      <w:r w:rsidRPr="00816F89">
        <w:rPr>
          <w:rFonts w:cs="Times New Roman"/>
        </w:rPr>
        <w:t xml:space="preserve"> </w:t>
      </w:r>
      <w:r w:rsidRPr="00816F89">
        <w:rPr>
          <w:rFonts w:cs="Times New Roman"/>
          <w:i/>
          <w:lang w:val="en-US"/>
        </w:rPr>
        <w:t>Mills v. The Queen</w:t>
      </w:r>
      <w:r w:rsidRPr="00816F89">
        <w:rPr>
          <w:rFonts w:cs="Times New Roman"/>
          <w:lang w:val="en-US"/>
        </w:rPr>
        <w:t>, [1986] 1 S.C.R. 863</w:t>
      </w:r>
      <w:r w:rsidRPr="00816F89">
        <w:rPr>
          <w:rFonts w:cs="Times New Roman"/>
        </w:rPr>
        <w:t>, at pp. 965</w:t>
      </w:r>
      <w:r w:rsidRPr="00816F89">
        <w:rPr>
          <w:rFonts w:cs="Times New Roman"/>
        </w:rPr>
        <w:noBreakHyphen/>
        <w:t xml:space="preserve">66; </w:t>
      </w:r>
      <w:r w:rsidRPr="00816F89">
        <w:rPr>
          <w:rFonts w:cs="Times New Roman"/>
          <w:i/>
          <w:lang w:val="en-US"/>
        </w:rPr>
        <w:t>Doucet</w:t>
      </w:r>
      <w:r w:rsidRPr="00816F89">
        <w:rPr>
          <w:rFonts w:cs="Times New Roman"/>
          <w:i/>
          <w:lang w:val="en-US"/>
        </w:rPr>
        <w:noBreakHyphen/>
        <w:t>Boudreau v. Nova Scotia (Minister of Education)</w:t>
      </w:r>
      <w:r w:rsidRPr="00816F89">
        <w:rPr>
          <w:rFonts w:cs="Times New Roman"/>
          <w:lang w:val="en-US"/>
        </w:rPr>
        <w:t>, 2003 SCC 62, [2003] 3 S.C.R. 3</w:t>
      </w:r>
      <w:r w:rsidRPr="00816F89">
        <w:rPr>
          <w:rFonts w:cs="Times New Roman"/>
        </w:rPr>
        <w:t>, at paras. </w:t>
      </w:r>
      <w:r w:rsidRPr="00816F89">
        <w:rPr>
          <w:rFonts w:cs="Times New Roman"/>
          <w:lang w:val="fr-CA"/>
        </w:rPr>
        <w:t>24</w:t>
      </w:r>
      <w:r w:rsidRPr="00816F89">
        <w:rPr>
          <w:rFonts w:cs="Times New Roman"/>
          <w:lang w:val="fr-CA"/>
        </w:rPr>
        <w:noBreakHyphen/>
        <w:t>25, 55</w:t>
      </w:r>
      <w:r w:rsidRPr="00816F89">
        <w:rPr>
          <w:rFonts w:cs="Times New Roman"/>
          <w:lang w:val="fr-CA"/>
        </w:rPr>
        <w:noBreakHyphen/>
        <w:t xml:space="preserve">59 and 87; with regard to s. 49 of the </w:t>
      </w:r>
      <w:r w:rsidRPr="00816F89">
        <w:rPr>
          <w:rFonts w:cs="Times New Roman"/>
          <w:i/>
          <w:iCs/>
          <w:lang w:val="fr-CA"/>
        </w:rPr>
        <w:t>Quebec Charter</w:t>
      </w:r>
      <w:r w:rsidRPr="00816F89">
        <w:rPr>
          <w:rFonts w:cs="Times New Roman"/>
          <w:iCs/>
          <w:lang w:val="fr-CA"/>
        </w:rPr>
        <w:t>, see</w:t>
      </w:r>
      <w:r w:rsidRPr="00816F89">
        <w:rPr>
          <w:rFonts w:cs="Times New Roman"/>
          <w:lang w:val="fr-CA"/>
        </w:rPr>
        <w:t xml:space="preserve"> </w:t>
      </w:r>
      <w:r w:rsidRPr="00816F89">
        <w:rPr>
          <w:rFonts w:cs="Times New Roman"/>
          <w:i/>
          <w:lang w:val="fr-CA"/>
        </w:rPr>
        <w:t>Quebec (Commission des droits de la personne et des droits de la jeunesse) v. Communauté urbaine de Montréal</w:t>
      </w:r>
      <w:r w:rsidRPr="00816F89">
        <w:rPr>
          <w:rFonts w:cs="Times New Roman"/>
          <w:lang w:val="fr-CA"/>
        </w:rPr>
        <w:t>, 2004 SCC 30, [2004] 1 S.C.R. 789, at paras. 24</w:t>
      </w:r>
      <w:r w:rsidRPr="00816F89">
        <w:rPr>
          <w:rFonts w:cs="Times New Roman"/>
          <w:lang w:val="fr-CA"/>
        </w:rPr>
        <w:noBreakHyphen/>
        <w:t xml:space="preserve">28; </w:t>
      </w:r>
      <w:r w:rsidRPr="00816F89">
        <w:rPr>
          <w:rFonts w:cs="Times New Roman"/>
          <w:i/>
          <w:lang w:val="fr-CA"/>
        </w:rPr>
        <w:t xml:space="preserve">Quebec (Commission des droits de la personne et des droits de la jeunesse) v. Bombardier Inc. </w:t>
      </w:r>
      <w:r w:rsidRPr="00816F89">
        <w:rPr>
          <w:rFonts w:cs="Times New Roman"/>
          <w:i/>
          <w:lang w:val="en-US"/>
        </w:rPr>
        <w:t>(Bombardier Aerospace Training Center)</w:t>
      </w:r>
      <w:r w:rsidRPr="00816F89">
        <w:rPr>
          <w:rFonts w:cs="Times New Roman"/>
          <w:lang w:val="en-US"/>
        </w:rPr>
        <w:t>, 2015 SCC 39, [2015] 2 S.C.R. 789</w:t>
      </w:r>
      <w:r w:rsidRPr="00816F89">
        <w:rPr>
          <w:rFonts w:cs="Times New Roman"/>
        </w:rPr>
        <w:t>, at para. 103). For example, depending on the context and the right, such remedies may include an injunction (</w:t>
      </w:r>
      <w:r w:rsidRPr="00816F89">
        <w:rPr>
          <w:rFonts w:cs="Times New Roman"/>
          <w:i/>
        </w:rPr>
        <w:t>Doucet</w:t>
      </w:r>
      <w:r w:rsidRPr="00816F89">
        <w:rPr>
          <w:rFonts w:cs="Times New Roman"/>
          <w:i/>
        </w:rPr>
        <w:noBreakHyphen/>
        <w:t>Boudreau</w:t>
      </w:r>
      <w:r w:rsidRPr="00816F89">
        <w:rPr>
          <w:rFonts w:cs="Times New Roman"/>
        </w:rPr>
        <w:t xml:space="preserve">, at paras. 70 and 73; </w:t>
      </w:r>
      <w:r w:rsidRPr="00816F89">
        <w:rPr>
          <w:rFonts w:cs="Times New Roman"/>
          <w:i/>
          <w:lang w:val="en-US"/>
        </w:rPr>
        <w:t>Canada (Attorney General) v. PHS Community Services Society</w:t>
      </w:r>
      <w:r w:rsidRPr="00816F89">
        <w:rPr>
          <w:rFonts w:cs="Times New Roman"/>
          <w:lang w:val="en-US"/>
        </w:rPr>
        <w:t>, 2011 SCC 44, [2011] 3 S.C.R. 134</w:t>
      </w:r>
      <w:r w:rsidRPr="00816F89">
        <w:rPr>
          <w:rFonts w:cs="Times New Roman"/>
        </w:rPr>
        <w:t>) or an award of damages (</w:t>
      </w:r>
      <w:r w:rsidRPr="00816F89">
        <w:rPr>
          <w:rFonts w:cs="Times New Roman"/>
          <w:i/>
          <w:lang w:val="en-US"/>
        </w:rPr>
        <w:t>Vancouver (City) v. Ward</w:t>
      </w:r>
      <w:r w:rsidRPr="00816F89">
        <w:rPr>
          <w:rFonts w:cs="Times New Roman"/>
          <w:lang w:val="en-US"/>
        </w:rPr>
        <w:t>, 2010 SCC 27, [2010] 2 S.C.R. 28</w:t>
      </w:r>
      <w:r w:rsidRPr="00816F89">
        <w:rPr>
          <w:rFonts w:cs="Times New Roman"/>
        </w:rPr>
        <w:t>, at paras. 20</w:t>
      </w:r>
      <w:r w:rsidRPr="00816F89">
        <w:rPr>
          <w:rFonts w:cs="Times New Roman"/>
        </w:rPr>
        <w:noBreakHyphen/>
        <w:t xml:space="preserve">21, 31 and 45; </w:t>
      </w:r>
      <w:r w:rsidRPr="00816F89">
        <w:rPr>
          <w:rFonts w:cs="Times New Roman"/>
          <w:i/>
          <w:lang w:val="en-US"/>
        </w:rPr>
        <w:t>Hinse v. Canada (Attorney General)</w:t>
      </w:r>
      <w:r w:rsidRPr="00816F89">
        <w:rPr>
          <w:rFonts w:cs="Times New Roman"/>
          <w:lang w:val="en-US"/>
        </w:rPr>
        <w:t>, 2015 SCC 35, [2015] 2 S.C.R. 621</w:t>
      </w:r>
      <w:r w:rsidRPr="00816F89">
        <w:rPr>
          <w:rFonts w:cs="Times New Roman"/>
        </w:rPr>
        <w:t xml:space="preserve">; </w:t>
      </w:r>
      <w:r w:rsidRPr="00816F89">
        <w:rPr>
          <w:rFonts w:cs="Times New Roman"/>
          <w:i/>
          <w:lang w:val="en-US"/>
        </w:rPr>
        <w:t>de Montigny v. Brossard (Succession)</w:t>
      </w:r>
      <w:r w:rsidRPr="00816F89">
        <w:rPr>
          <w:rFonts w:cs="Times New Roman"/>
          <w:lang w:val="en-US"/>
        </w:rPr>
        <w:t>, 2010 SCC 51, [2010] 3 S.C.R. 64</w:t>
      </w:r>
      <w:r w:rsidRPr="00816F89">
        <w:rPr>
          <w:rFonts w:cs="Times New Roman"/>
        </w:rPr>
        <w:t>).</w:t>
      </w:r>
    </w:p>
    <w:p w14:paraId="284D6FD2" w14:textId="77777777" w:rsidR="00816F89" w:rsidRPr="00816F89" w:rsidRDefault="00816F89" w:rsidP="00816F89">
      <w:pPr>
        <w:pStyle w:val="ParaNoNdepar-AltN"/>
        <w:tabs>
          <w:tab w:val="clear" w:pos="1152"/>
          <w:tab w:val="left" w:pos="1166"/>
        </w:tabs>
        <w:rPr>
          <w:rFonts w:cs="Times New Roman"/>
        </w:rPr>
      </w:pPr>
      <w:r w:rsidRPr="00816F89">
        <w:rPr>
          <w:rFonts w:cs="Times New Roman"/>
        </w:rPr>
        <w:t>The Association argues that recourse to the ordinary courts is so inefficient and so unsuited to the context of collective labour relations that the lack of a specialized dispute resolution mechanism constitutes substantial interference. However, this argument is not supported by the evidence. The record, as it stands, does not show any attempt to obtain a remedy through the ordinary courts for an infringement of the freedom of association of the Association’s OS members.</w:t>
      </w:r>
    </w:p>
    <w:p w14:paraId="3DC7A4E7" w14:textId="77777777" w:rsidR="00816F89" w:rsidRPr="00816F89" w:rsidRDefault="00816F89" w:rsidP="00816F89">
      <w:pPr>
        <w:pStyle w:val="ParaNoNdepar-AltN"/>
        <w:rPr>
          <w:rFonts w:cs="Times New Roman"/>
        </w:rPr>
      </w:pPr>
      <w:r w:rsidRPr="00816F89">
        <w:rPr>
          <w:rFonts w:cs="Times New Roman"/>
        </w:rPr>
        <w:t>In the same vein, the Association has not established that it is prevented from striking in the absence of a statutory regime governing it and that this represents substantial interference with its members’ freedom of association. Indeed, no law prevents the Association’s members</w:t>
      </w:r>
      <w:r w:rsidRPr="00816F89">
        <w:rPr>
          <w:rFonts w:cs="Times New Roman"/>
          <w:szCs w:val="24"/>
        </w:rPr>
        <w:t xml:space="preserve"> from striking. On the contrary, if the members decided to take part in a work stoppage for the purposes of negotiating their conditions of employment, s. 2(d)</w:t>
      </w:r>
      <w:r w:rsidRPr="00816F89">
        <w:rPr>
          <w:rFonts w:cs="Times New Roman"/>
          <w:i/>
          <w:szCs w:val="24"/>
        </w:rPr>
        <w:t xml:space="preserve"> </w:t>
      </w:r>
      <w:r w:rsidRPr="00816F89">
        <w:rPr>
          <w:rFonts w:cs="Times New Roman"/>
          <w:szCs w:val="24"/>
        </w:rPr>
        <w:t xml:space="preserve">of the </w:t>
      </w:r>
      <w:r w:rsidRPr="00816F89">
        <w:rPr>
          <w:rFonts w:cs="Times New Roman"/>
          <w:i/>
          <w:szCs w:val="24"/>
        </w:rPr>
        <w:t xml:space="preserve">Canadian Charter </w:t>
      </w:r>
      <w:r w:rsidRPr="00816F89">
        <w:rPr>
          <w:rFonts w:cs="Times New Roman"/>
          <w:szCs w:val="24"/>
        </w:rPr>
        <w:t xml:space="preserve">and s. 3 of the </w:t>
      </w:r>
      <w:r w:rsidRPr="00816F89">
        <w:rPr>
          <w:rFonts w:cs="Times New Roman"/>
          <w:i/>
          <w:szCs w:val="24"/>
        </w:rPr>
        <w:t xml:space="preserve">Quebec Charter </w:t>
      </w:r>
      <w:r w:rsidRPr="00816F89">
        <w:rPr>
          <w:rFonts w:cs="Times New Roman"/>
          <w:szCs w:val="24"/>
        </w:rPr>
        <w:t xml:space="preserve">would apply so as to confer certain protections on them. It is also important to bear in mind the broad remedial power granted to the ALT by s. 128 of the </w:t>
      </w:r>
      <w:r w:rsidRPr="00816F89">
        <w:rPr>
          <w:rFonts w:cs="Times New Roman"/>
          <w:i/>
          <w:szCs w:val="24"/>
        </w:rPr>
        <w:t>Act respecting labour standards</w:t>
      </w:r>
      <w:r w:rsidRPr="00816F89">
        <w:rPr>
          <w:rFonts w:cs="Times New Roman"/>
          <w:szCs w:val="24"/>
        </w:rPr>
        <w:t>, CQLR, c. N</w:t>
      </w:r>
      <w:r w:rsidRPr="00816F89">
        <w:rPr>
          <w:rFonts w:cs="Times New Roman"/>
          <w:szCs w:val="24"/>
        </w:rPr>
        <w:noBreakHyphen/>
        <w:t>1.1, in cases of dismissal without good and sufficient cause.</w:t>
      </w:r>
    </w:p>
    <w:p w14:paraId="2F0E150D" w14:textId="77777777" w:rsidR="00816F89" w:rsidRPr="00816F89" w:rsidRDefault="00816F89" w:rsidP="00816F89">
      <w:pPr>
        <w:pStyle w:val="ParaNoNdepar-AltN"/>
        <w:tabs>
          <w:tab w:val="clear" w:pos="1152"/>
          <w:tab w:val="left" w:pos="1166"/>
        </w:tabs>
        <w:spacing w:before="0"/>
        <w:rPr>
          <w:rFonts w:cs="Times New Roman"/>
          <w:szCs w:val="24"/>
        </w:rPr>
      </w:pPr>
      <w:r w:rsidRPr="00816F89">
        <w:rPr>
          <w:rFonts w:cs="Times New Roman"/>
        </w:rPr>
        <w:t xml:space="preserve">Accordingly, I am of the view that the exclusion does not have the effect of substantially interfering with the freedom of association of the Association’s OS members. I am also of the view that, even if I had concluded otherwise, the state could not have been held accountable for </w:t>
      </w:r>
      <w:r w:rsidRPr="00816F89">
        <w:rPr>
          <w:rFonts w:cs="Times New Roman"/>
          <w:szCs w:val="24"/>
        </w:rPr>
        <w:t>the substantial interference, for the reasons I explain below.</w:t>
      </w:r>
    </w:p>
    <w:p w14:paraId="4A4A531D" w14:textId="77777777" w:rsidR="00816F89" w:rsidRPr="00816F89" w:rsidRDefault="00816F89" w:rsidP="00816F89">
      <w:pPr>
        <w:pStyle w:val="Title3LevelTitre3Niveau"/>
        <w:numPr>
          <w:ilvl w:val="2"/>
          <w:numId w:val="8"/>
        </w:numPr>
        <w:spacing w:before="0"/>
        <w:jc w:val="both"/>
        <w:rPr>
          <w:rFonts w:cs="Times New Roman"/>
        </w:rPr>
      </w:pPr>
      <w:bookmarkStart w:id="33" w:name="_Toc162942352"/>
      <w:r w:rsidRPr="00816F89">
        <w:rPr>
          <w:rFonts w:cs="Times New Roman"/>
        </w:rPr>
        <w:t xml:space="preserve">On the Assumption That There Is Substantial Interference, the State Cannot Be Held Accountable for the Interference at the Third Step of the </w:t>
      </w:r>
      <w:r w:rsidRPr="00816F89">
        <w:rPr>
          <w:rFonts w:cs="Times New Roman"/>
          <w:i/>
          <w:iCs/>
        </w:rPr>
        <w:t>Dunmore</w:t>
      </w:r>
      <w:r w:rsidRPr="00816F89">
        <w:rPr>
          <w:rFonts w:cs="Times New Roman"/>
        </w:rPr>
        <w:t xml:space="preserve"> Framework</w:t>
      </w:r>
      <w:bookmarkEnd w:id="33"/>
    </w:p>
    <w:p w14:paraId="20634CA3"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Even on the assumption that the Société’s impugned conduct constitutes substantial interference with the exercise of the freedom of association of the Association’s members, I am of the view that this interference is not attributable to the state within the meaning of </w:t>
      </w:r>
      <w:r w:rsidRPr="00816F89">
        <w:rPr>
          <w:rFonts w:cs="Times New Roman"/>
          <w:i/>
        </w:rPr>
        <w:t>Dunmore</w:t>
      </w:r>
      <w:r w:rsidRPr="00816F89">
        <w:rPr>
          <w:rFonts w:cs="Times New Roman"/>
        </w:rPr>
        <w:t xml:space="preserve">. In </w:t>
      </w:r>
      <w:r w:rsidRPr="00816F89">
        <w:rPr>
          <w:rFonts w:cs="Times New Roman"/>
          <w:i/>
        </w:rPr>
        <w:t>Dunmore</w:t>
      </w:r>
      <w:r w:rsidRPr="00816F89">
        <w:rPr>
          <w:rFonts w:cs="Times New Roman"/>
        </w:rPr>
        <w:t>, Bastarache J. rejected the argument that any exclusion from a regime aimed at safeguarding a fundamental freedom results in an infringement (para. 39). This last step of the analysis exists in order to determine “whether the state can truly be held accountable” for any substantial interference with freedom of association (para. 26).</w:t>
      </w:r>
    </w:p>
    <w:p w14:paraId="1C7FDF89" w14:textId="77777777" w:rsidR="00816F89" w:rsidRPr="00816F89" w:rsidRDefault="00816F89" w:rsidP="00816F89">
      <w:pPr>
        <w:pStyle w:val="ParaNoNdepar-AltN"/>
        <w:tabs>
          <w:tab w:val="clear" w:pos="1152"/>
          <w:tab w:val="left" w:pos="1166"/>
        </w:tabs>
        <w:spacing w:before="0"/>
        <w:rPr>
          <w:rFonts w:cs="Times New Roman"/>
          <w:szCs w:val="24"/>
        </w:rPr>
      </w:pPr>
      <w:r w:rsidRPr="00816F89">
        <w:rPr>
          <w:rFonts w:cs="Times New Roman"/>
        </w:rPr>
        <w:t xml:space="preserve">Establishing a link is crucial, as what is being challenged when the </w:t>
      </w:r>
      <w:r w:rsidRPr="00816F89">
        <w:rPr>
          <w:rFonts w:cs="Times New Roman"/>
          <w:i/>
          <w:iCs/>
        </w:rPr>
        <w:t xml:space="preserve">Dunmore </w:t>
      </w:r>
      <w:r w:rsidRPr="00816F89">
        <w:rPr>
          <w:rFonts w:cs="Times New Roman"/>
        </w:rPr>
        <w:t xml:space="preserve">framework is applied is the state’s </w:t>
      </w:r>
      <w:r w:rsidRPr="00816F89">
        <w:rPr>
          <w:rFonts w:cs="Times New Roman"/>
          <w:i/>
          <w:iCs/>
        </w:rPr>
        <w:t>legislative</w:t>
      </w:r>
      <w:r w:rsidRPr="00816F89">
        <w:rPr>
          <w:rFonts w:cs="Times New Roman"/>
        </w:rPr>
        <w:t xml:space="preserve"> action, not the employer’s action alone. The analysis must be based on the factual context of the case. For example, in </w:t>
      </w:r>
      <w:r w:rsidRPr="00816F89">
        <w:rPr>
          <w:rFonts w:cs="Times New Roman"/>
          <w:i/>
        </w:rPr>
        <w:t>Dunmore</w:t>
      </w:r>
      <w:r w:rsidRPr="00816F89">
        <w:rPr>
          <w:rFonts w:cs="Times New Roman"/>
        </w:rPr>
        <w:t>, a majority of our Court held that without the protection of Ontario’s labour relations legislation, agricultural workers were incapable of exercising their freedom of association due to their special vulnerability. In that specific context, there was therefore a link between the lack of legislative protection and the substantial interference (paras. 39</w:t>
      </w:r>
      <w:r w:rsidRPr="00816F89">
        <w:rPr>
          <w:rFonts w:cs="Times New Roman"/>
        </w:rPr>
        <w:noBreakHyphen/>
        <w:t>42). Without being a strict requirement, the special vulnerability of the excluded group may be indicative of state responsibility.</w:t>
      </w:r>
    </w:p>
    <w:p w14:paraId="70AF47D5" w14:textId="77777777" w:rsidR="00816F89" w:rsidRPr="00816F89" w:rsidRDefault="00816F89" w:rsidP="00816F89">
      <w:pPr>
        <w:pStyle w:val="ParaNoNdepar-AltN"/>
        <w:tabs>
          <w:tab w:val="clear" w:pos="1152"/>
          <w:tab w:val="left" w:pos="1166"/>
        </w:tabs>
        <w:spacing w:before="0"/>
        <w:rPr>
          <w:rFonts w:cs="Times New Roman"/>
          <w:szCs w:val="24"/>
        </w:rPr>
      </w:pPr>
      <w:r w:rsidRPr="00816F89">
        <w:rPr>
          <w:rFonts w:cs="Times New Roman"/>
        </w:rPr>
        <w:t>There is, of course, a relationship of subordination between the Société’s executive and the OSs. This is the essence of any employer</w:t>
      </w:r>
      <w:r w:rsidRPr="00816F89">
        <w:rPr>
          <w:rFonts w:cs="Times New Roman"/>
        </w:rPr>
        <w:noBreakHyphen/>
        <w:t>employee relationship. However, the vulnerability inherent in this relationship of subordination is not a sufficient basis for finding a link between the legislative exclusion and the Société’s impugned conduct. Cases in which a legislative exclusion amounts to an infringement of freedom of association are rare (</w:t>
      </w:r>
      <w:r w:rsidRPr="00816F89">
        <w:rPr>
          <w:rFonts w:cs="Times New Roman"/>
          <w:i/>
        </w:rPr>
        <w:t>Dunmore</w:t>
      </w:r>
      <w:r w:rsidRPr="00816F89">
        <w:rPr>
          <w:rFonts w:cs="Times New Roman"/>
        </w:rPr>
        <w:t>, at para. 30), as there is no general right to legislative protection (para. 35). Here, there is no link between the legislative exclusion being challenged and the Société’s impugned conduct, which is due to its alleged failure to comply with its contractual undertakings and which, it cannot be overemphasized, can be sanctioned by the ordinary courts.</w:t>
      </w:r>
    </w:p>
    <w:p w14:paraId="0F63B802" w14:textId="77777777" w:rsidR="00816F89" w:rsidRPr="00816F89" w:rsidRDefault="00816F89" w:rsidP="00816F89">
      <w:pPr>
        <w:pStyle w:val="ParaNoNdepar-AltN"/>
        <w:tabs>
          <w:tab w:val="clear" w:pos="1152"/>
          <w:tab w:val="left" w:pos="1166"/>
        </w:tabs>
        <w:spacing w:before="0"/>
        <w:rPr>
          <w:rFonts w:cs="Times New Roman"/>
          <w:szCs w:val="24"/>
        </w:rPr>
      </w:pPr>
      <w:r w:rsidRPr="00816F89">
        <w:rPr>
          <w:rFonts w:cs="Times New Roman"/>
        </w:rPr>
        <w:t>Despite this absence of special vulnerability, the Court of Appeal held the state accountable on two bases: first, there was a causal link between the state’s improper conduct as employer and the legislative exclusion; second, this link could be established as a result of the state’s breaches of the international conventions applicable in Canada, particularly because of its refusal to act on the recommendations of the International Labour Organization’s Committee on Freedom of Association. I examine each of these two bases below.</w:t>
      </w:r>
    </w:p>
    <w:p w14:paraId="7F96E17D" w14:textId="77777777" w:rsidR="00816F89" w:rsidRPr="00816F89" w:rsidRDefault="00816F89" w:rsidP="00816F89">
      <w:pPr>
        <w:pStyle w:val="ParaNoNdepar-AltN"/>
        <w:spacing w:before="0"/>
        <w:rPr>
          <w:rFonts w:cs="Times New Roman"/>
        </w:rPr>
      </w:pPr>
      <w:r w:rsidRPr="00816F89">
        <w:rPr>
          <w:rFonts w:cs="Times New Roman"/>
        </w:rPr>
        <w:t>First, the Court of Appeal held the state accountable because of the ties between the Société and Loto</w:t>
      </w:r>
      <w:r w:rsidRPr="00816F89">
        <w:rPr>
          <w:rFonts w:cs="Times New Roman"/>
        </w:rPr>
        <w:noBreakHyphen/>
        <w:t>Québec, which is a mandatary of the state. In the Court of Appeal’s view, the Superior Court’s conclusion that [</w:t>
      </w:r>
      <w:r w:rsidRPr="00816F89">
        <w:rPr>
          <w:rFonts w:cs="Times New Roman"/>
          <w:smallCaps/>
        </w:rPr>
        <w:t>translation</w:t>
      </w:r>
      <w:r w:rsidRPr="00816F89">
        <w:rPr>
          <w:rFonts w:cs="Times New Roman"/>
        </w:rPr>
        <w:t>] “the infringement of the freedom of association guaranteed to the Association’s members is the exclusive responsibility of the Employer, and that the state is therefore entirely uninvolved”, is “difficult to reconcile with the fact that the Employer is a subsidiary of Loto</w:t>
      </w:r>
      <w:r w:rsidRPr="00816F89">
        <w:rPr>
          <w:rFonts w:cs="Times New Roman"/>
        </w:rPr>
        <w:noBreakHyphen/>
        <w:t>Québec and with the ties that exist between the latter and the state” (C.A. reasons, at para. 169). With respect, the state whose responsibility must be established at this step of the analysis is the state as lawmaker, not the state as employer. This is because it is the constitutionality of the legislation that is being challenged (</w:t>
      </w:r>
      <w:r w:rsidRPr="00816F89">
        <w:rPr>
          <w:rFonts w:cs="Times New Roman"/>
          <w:i/>
        </w:rPr>
        <w:t>Health Services</w:t>
      </w:r>
      <w:r w:rsidRPr="00816F89">
        <w:rPr>
          <w:rFonts w:cs="Times New Roman"/>
        </w:rPr>
        <w:t xml:space="preserve">, at para. 88). Indeed, the remedy normally sought in such circumstances is a declaration that a law is of no force or effect under s. 52(1) of the </w:t>
      </w:r>
      <w:r w:rsidRPr="00816F89">
        <w:rPr>
          <w:rFonts w:cs="Times New Roman"/>
          <w:i/>
        </w:rPr>
        <w:t>Constitution Act, 1982</w:t>
      </w:r>
      <w:r w:rsidRPr="00816F89">
        <w:rPr>
          <w:rFonts w:cs="Times New Roman"/>
        </w:rPr>
        <w:t xml:space="preserve">, which “provides a remedy for </w:t>
      </w:r>
      <w:r w:rsidRPr="00816F89">
        <w:rPr>
          <w:rFonts w:cs="Times New Roman"/>
          <w:i/>
          <w:iCs/>
        </w:rPr>
        <w:t>laws</w:t>
      </w:r>
      <w:r w:rsidRPr="00816F89">
        <w:rPr>
          <w:rFonts w:cs="Times New Roman"/>
        </w:rPr>
        <w:t xml:space="preserve"> that violate </w:t>
      </w:r>
      <w:r w:rsidRPr="00816F89">
        <w:rPr>
          <w:rFonts w:cs="Times New Roman"/>
          <w:i/>
        </w:rPr>
        <w:t xml:space="preserve">[Canadian] </w:t>
      </w:r>
      <w:r w:rsidRPr="00816F89">
        <w:rPr>
          <w:rFonts w:cs="Times New Roman"/>
          <w:i/>
          <w:iCs/>
        </w:rPr>
        <w:t>Charter</w:t>
      </w:r>
      <w:r w:rsidRPr="00816F89">
        <w:rPr>
          <w:rFonts w:cs="Times New Roman"/>
        </w:rPr>
        <w:t xml:space="preserve"> rights either in purpose or in effect” (</w:t>
      </w:r>
      <w:r w:rsidRPr="00816F89">
        <w:rPr>
          <w:rFonts w:cs="Times New Roman"/>
          <w:i/>
          <w:lang w:val="en-US"/>
        </w:rPr>
        <w:t>R. v. Ferguson</w:t>
      </w:r>
      <w:r w:rsidRPr="00816F89">
        <w:rPr>
          <w:rFonts w:cs="Times New Roman"/>
          <w:lang w:val="en-US"/>
        </w:rPr>
        <w:t>, 2008 SCC 6, [2008] 1 S.C.R. 96</w:t>
      </w:r>
      <w:r w:rsidRPr="00816F89">
        <w:rPr>
          <w:rFonts w:cs="Times New Roman"/>
        </w:rPr>
        <w:t>, at para. 61 (emphasis in original)).</w:t>
      </w:r>
    </w:p>
    <w:p w14:paraId="5A558486"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 xml:space="preserve">I note that, in </w:t>
      </w:r>
      <w:r w:rsidRPr="00816F89">
        <w:rPr>
          <w:rFonts w:cs="Times New Roman"/>
          <w:i/>
        </w:rPr>
        <w:t>Dunmore</w:t>
      </w:r>
      <w:r w:rsidRPr="00816F89">
        <w:rPr>
          <w:rFonts w:cs="Times New Roman"/>
        </w:rPr>
        <w:t>, the evidence showed that the agricultural workers were “substantially incapable” of forming or maintaining an association without a protective regime (para. 35). That conclusion flowed from the finding that exclusion from the protective regime reinforced the agricultural workers’ vulnerability and precarious position:</w:t>
      </w:r>
    </w:p>
    <w:p w14:paraId="1DC9FC4C" w14:textId="77777777" w:rsidR="00816F89" w:rsidRPr="00816F89" w:rsidRDefault="00816F89" w:rsidP="00816F89">
      <w:pPr>
        <w:pStyle w:val="Citation-AltC"/>
        <w:tabs>
          <w:tab w:val="left" w:pos="1800"/>
        </w:tabs>
        <w:spacing w:after="240"/>
        <w:ind w:hanging="356"/>
        <w:contextualSpacing w:val="0"/>
        <w:rPr>
          <w:szCs w:val="24"/>
        </w:rPr>
      </w:pPr>
      <w:r w:rsidRPr="00816F89">
        <w:tab/>
        <w:t xml:space="preserve">Distinguishing features of agricultural workers are their political impotence, their lack of resources to associate without state protection and their vulnerability to reprisal by their employers; as noted by Sharpe J., agricultural workers are “poorly paid, face difficult working conditions, have low levels of skill and education, low status and limited employment mobility” (p. 216). Moreover, unlike RCMP officers, agricultural workers are not employed by the government and therefore cannot access the </w:t>
      </w:r>
      <w:r w:rsidRPr="00816F89">
        <w:rPr>
          <w:i/>
        </w:rPr>
        <w:t>[Canadian] Charter</w:t>
      </w:r>
      <w:r w:rsidRPr="00816F89">
        <w:t xml:space="preserve"> directly to suppress an unfair labour practice (</w:t>
      </w:r>
      <w:r w:rsidRPr="00816F89">
        <w:rPr>
          <w:i/>
        </w:rPr>
        <w:t>Delisle</w:t>
      </w:r>
      <w:r w:rsidRPr="00816F89">
        <w:t>, at para. 32).</w:t>
      </w:r>
    </w:p>
    <w:p w14:paraId="68E0AD7F" w14:textId="77777777" w:rsidR="00816F89" w:rsidRPr="00816F89" w:rsidRDefault="00816F89" w:rsidP="00816F89">
      <w:pPr>
        <w:pStyle w:val="Citation-AltC"/>
        <w:ind w:hanging="356"/>
        <w:contextualSpacing w:val="0"/>
        <w:rPr>
          <w:szCs w:val="24"/>
        </w:rPr>
      </w:pPr>
      <w:r w:rsidRPr="00816F89">
        <w:tab/>
        <w:t>(</w:t>
      </w:r>
      <w:r w:rsidRPr="00816F89">
        <w:rPr>
          <w:i/>
        </w:rPr>
        <w:t>Dunmore</w:t>
      </w:r>
      <w:r w:rsidRPr="00816F89">
        <w:t>, at para. 41)</w:t>
      </w:r>
    </w:p>
    <w:p w14:paraId="0E6CE2B1" w14:textId="77777777" w:rsidR="00816F89" w:rsidRPr="00816F89" w:rsidRDefault="00816F89" w:rsidP="00816F89">
      <w:pPr>
        <w:pStyle w:val="ParaNoNdepar-AltN"/>
        <w:numPr>
          <w:ilvl w:val="0"/>
          <w:numId w:val="0"/>
        </w:numPr>
        <w:tabs>
          <w:tab w:val="left" w:pos="1166"/>
        </w:tabs>
        <w:rPr>
          <w:rFonts w:cs="Times New Roman"/>
          <w:szCs w:val="24"/>
        </w:rPr>
      </w:pPr>
      <w:r w:rsidRPr="00816F89">
        <w:rPr>
          <w:rFonts w:cs="Times New Roman"/>
        </w:rPr>
        <w:t xml:space="preserve">In addition to the particular status of the agricultural workers, the Court noted their exclusion from the scope of other legislation related to employment standards and occupational health and safety, their lack of access to a remedy under the </w:t>
      </w:r>
      <w:r w:rsidRPr="00816F89">
        <w:rPr>
          <w:rFonts w:cs="Times New Roman"/>
          <w:i/>
          <w:iCs/>
        </w:rPr>
        <w:t>Canadian Charter</w:t>
      </w:r>
      <w:r w:rsidRPr="00816F89">
        <w:rPr>
          <w:rFonts w:cs="Times New Roman"/>
        </w:rPr>
        <w:t xml:space="preserve"> and their limited knowledge of their rights. These factors as a whole were what led the Court to conclude that the state could be held accountable to the extent that it “orchestrates, encourages or sustains” the substantial interference with the agricultural workers’ freedom of association (</w:t>
      </w:r>
      <w:r w:rsidRPr="00816F89">
        <w:rPr>
          <w:rFonts w:cs="Times New Roman"/>
          <w:i/>
        </w:rPr>
        <w:t>Dunmore</w:t>
      </w:r>
      <w:r w:rsidRPr="00816F89">
        <w:rPr>
          <w:rFonts w:cs="Times New Roman"/>
        </w:rPr>
        <w:t>, at para. 26).</w:t>
      </w:r>
    </w:p>
    <w:p w14:paraId="024155F4"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As I have already explained, the situation of the Association’s OS members is completely different. As first</w:t>
      </w:r>
      <w:r w:rsidRPr="00816F89">
        <w:rPr>
          <w:rFonts w:cs="Times New Roman"/>
        </w:rPr>
        <w:noBreakHyphen/>
        <w:t xml:space="preserve">level managers, they are subject to the </w:t>
      </w:r>
      <w:r w:rsidRPr="00816F89">
        <w:rPr>
          <w:rFonts w:cs="Times New Roman"/>
          <w:i/>
        </w:rPr>
        <w:t>Act respecting labour standards</w:t>
      </w:r>
      <w:r w:rsidRPr="00816F89">
        <w:rPr>
          <w:rFonts w:cs="Times New Roman"/>
        </w:rPr>
        <w:t xml:space="preserve">, s. 3(6), the </w:t>
      </w:r>
      <w:r w:rsidRPr="00816F89">
        <w:rPr>
          <w:rFonts w:cs="Times New Roman"/>
          <w:i/>
        </w:rPr>
        <w:t>Act respecting industrial accidents and occupational diseases</w:t>
      </w:r>
      <w:r w:rsidRPr="00816F89">
        <w:rPr>
          <w:rFonts w:cs="Times New Roman"/>
        </w:rPr>
        <w:t>, CQLR, c. A</w:t>
      </w:r>
      <w:r w:rsidRPr="00816F89">
        <w:rPr>
          <w:rFonts w:cs="Times New Roman"/>
        </w:rPr>
        <w:noBreakHyphen/>
        <w:t xml:space="preserve">3.001, s. 2, and the </w:t>
      </w:r>
      <w:r w:rsidRPr="00816F89">
        <w:rPr>
          <w:rFonts w:cs="Times New Roman"/>
          <w:i/>
        </w:rPr>
        <w:t>Pay Equity Act</w:t>
      </w:r>
      <w:r w:rsidRPr="00816F89">
        <w:rPr>
          <w:rFonts w:cs="Times New Roman"/>
        </w:rPr>
        <w:t>, CQLR, c. E</w:t>
      </w:r>
      <w:r w:rsidRPr="00816F89">
        <w:rPr>
          <w:rFonts w:cs="Times New Roman"/>
        </w:rPr>
        <w:noBreakHyphen/>
        <w:t xml:space="preserve">12.001, s. 8. Moreover, if the Société does anything contrary to freedom of association, the OSs certainly have a remedy under ss. 3 and 49 of the </w:t>
      </w:r>
      <w:r w:rsidRPr="00816F89">
        <w:rPr>
          <w:rFonts w:cs="Times New Roman"/>
          <w:i/>
        </w:rPr>
        <w:t>Quebec Charter</w:t>
      </w:r>
      <w:r w:rsidRPr="00816F89">
        <w:rPr>
          <w:rFonts w:cs="Times New Roman"/>
        </w:rPr>
        <w:t xml:space="preserve"> as well as a potential remedy under ss. 2(d) and 24(1) of the </w:t>
      </w:r>
      <w:r w:rsidRPr="00816F89">
        <w:rPr>
          <w:rFonts w:cs="Times New Roman"/>
          <w:i/>
          <w:iCs/>
        </w:rPr>
        <w:t>Canadian Charter</w:t>
      </w:r>
      <w:r w:rsidRPr="00816F89">
        <w:rPr>
          <w:rFonts w:cs="Times New Roman"/>
        </w:rPr>
        <w:t>.</w:t>
      </w:r>
    </w:p>
    <w:p w14:paraId="1F8B2737" w14:textId="77777777" w:rsidR="00816F89" w:rsidRPr="00816F89" w:rsidRDefault="00816F89" w:rsidP="00816F89">
      <w:pPr>
        <w:pStyle w:val="ParaNoNdepar-AltN"/>
        <w:tabs>
          <w:tab w:val="clear" w:pos="1152"/>
          <w:tab w:val="left" w:pos="1166"/>
        </w:tabs>
        <w:spacing w:before="0"/>
        <w:rPr>
          <w:rFonts w:cs="Times New Roman"/>
        </w:rPr>
      </w:pPr>
      <w:r w:rsidRPr="00816F89">
        <w:rPr>
          <w:rFonts w:cs="Times New Roman"/>
        </w:rPr>
        <w:t>The interference alleged by the Association is said to arise not from the legislative exclusion being challenged but rather from the Société’s failure to comply with some of the undertakings it made in the Memorandum and its failure to bargain in good faith. Given the nature of the conduct impugned by the Association, the state could be held accountable only as employer. Indeed, the acts in question are attributable to the Société, which means that the state could not be held accountable in its capacity as lawmaker.</w:t>
      </w:r>
    </w:p>
    <w:p w14:paraId="386C3DF4" w14:textId="77777777" w:rsidR="00816F89" w:rsidRPr="00816F89" w:rsidRDefault="00816F89" w:rsidP="00816F89">
      <w:pPr>
        <w:pStyle w:val="ParaNoNdepar-AltN"/>
        <w:tabs>
          <w:tab w:val="clear" w:pos="1152"/>
          <w:tab w:val="left" w:pos="1166"/>
        </w:tabs>
        <w:spacing w:before="0"/>
        <w:rPr>
          <w:rFonts w:cs="Times New Roman"/>
          <w:szCs w:val="24"/>
        </w:rPr>
      </w:pPr>
      <w:r w:rsidRPr="00816F89">
        <w:rPr>
          <w:rFonts w:cs="Times New Roman"/>
        </w:rPr>
        <w:t xml:space="preserve">Second, the Court of Appeal accepted the ALT’s conclusion that the exclusion of managers is problematic in light of the international conventions applicable in Canada and found </w:t>
      </w:r>
      <w:r w:rsidRPr="00816F89">
        <w:rPr>
          <w:rFonts w:cs="Times New Roman"/>
          <w:szCs w:val="24"/>
        </w:rPr>
        <w:t>that</w:t>
      </w:r>
      <w:r w:rsidRPr="00816F89">
        <w:rPr>
          <w:rFonts w:cs="Times New Roman"/>
        </w:rPr>
        <w:t xml:space="preserve"> the state could be held accountable based on the government’s refusal to follow the recommendation of the Committee on Freedom of Association and eliminate the legislative exclusion of first</w:t>
      </w:r>
      <w:r w:rsidRPr="00816F89">
        <w:rPr>
          <w:rFonts w:cs="Times New Roman"/>
        </w:rPr>
        <w:noBreakHyphen/>
        <w:t>level managers. With respect, this argument rests on a misconception of the place of international instruments in constitutional interpretation, and the state cannot be held accountable on such a basis.</w:t>
      </w:r>
    </w:p>
    <w:p w14:paraId="2B91835F" w14:textId="77777777" w:rsidR="00816F89" w:rsidRPr="00816F89" w:rsidRDefault="00816F89" w:rsidP="00816F89">
      <w:pPr>
        <w:pStyle w:val="ParaNoNdepar-AltN"/>
        <w:spacing w:before="0"/>
        <w:rPr>
          <w:rFonts w:cs="Times New Roman"/>
          <w:szCs w:val="24"/>
        </w:rPr>
      </w:pPr>
      <w:r w:rsidRPr="00816F89">
        <w:rPr>
          <w:rFonts w:cs="Times New Roman"/>
        </w:rPr>
        <w:t>The decisions of the Committee on Freedom of Association are not binding in Canadian law (</w:t>
      </w:r>
      <w:r w:rsidRPr="00816F89">
        <w:rPr>
          <w:rFonts w:cs="Times New Roman"/>
          <w:i/>
        </w:rPr>
        <w:t>Saskatchewan Federation</w:t>
      </w:r>
      <w:r w:rsidRPr="00816F89">
        <w:rPr>
          <w:rFonts w:cs="Times New Roman"/>
        </w:rPr>
        <w:t>,</w:t>
      </w:r>
      <w:r w:rsidRPr="00816F89">
        <w:rPr>
          <w:rFonts w:cs="Times New Roman"/>
          <w:i/>
        </w:rPr>
        <w:t xml:space="preserve"> </w:t>
      </w:r>
      <w:r w:rsidRPr="00816F89">
        <w:rPr>
          <w:rFonts w:cs="Times New Roman"/>
        </w:rPr>
        <w:t xml:space="preserve">at para. 69; see also </w:t>
      </w:r>
      <w:r w:rsidRPr="00816F89">
        <w:rPr>
          <w:rFonts w:cs="Times New Roman"/>
          <w:i/>
          <w:lang w:val="en-US"/>
        </w:rPr>
        <w:t>Quebec (Attorney General) v. 9147</w:t>
      </w:r>
      <w:r w:rsidRPr="00816F89">
        <w:rPr>
          <w:rFonts w:cs="Times New Roman"/>
          <w:i/>
          <w:lang w:val="en-US"/>
        </w:rPr>
        <w:noBreakHyphen/>
        <w:t>0732 Québec inc.</w:t>
      </w:r>
      <w:r w:rsidRPr="00816F89">
        <w:rPr>
          <w:rFonts w:cs="Times New Roman"/>
          <w:lang w:val="en-US"/>
        </w:rPr>
        <w:t>, 2020 SCC 32, [2020] 3 S.C.R. 426</w:t>
      </w:r>
      <w:r w:rsidRPr="00816F89">
        <w:rPr>
          <w:rFonts w:cs="Times New Roman"/>
        </w:rPr>
        <w:t>, at paras. 43</w:t>
      </w:r>
      <w:r w:rsidRPr="00816F89">
        <w:rPr>
          <w:rFonts w:cs="Times New Roman"/>
        </w:rPr>
        <w:noBreakHyphen/>
        <w:t xml:space="preserve">44). Similarly, these decisions are not binding even within the International Labour Organization’s system (B. Langille, </w:t>
      </w:r>
      <w:r w:rsidRPr="00816F89">
        <w:rPr>
          <w:rFonts w:cs="Times New Roman"/>
          <w:lang w:val="en-US"/>
        </w:rPr>
        <w:t xml:space="preserve">“Why Are Canadian Judges Drafting Labour Codes — And Constitutionalizing the Wagner Act Model?” (2009), 15 </w:t>
      </w:r>
      <w:r w:rsidRPr="00816F89">
        <w:rPr>
          <w:rFonts w:cs="Times New Roman"/>
          <w:i/>
          <w:lang w:val="en-US"/>
        </w:rPr>
        <w:t>C.L.E.L.J.</w:t>
      </w:r>
      <w:r w:rsidRPr="00816F89">
        <w:rPr>
          <w:rFonts w:cs="Times New Roman"/>
          <w:lang w:val="en-US"/>
        </w:rPr>
        <w:t xml:space="preserve"> 101</w:t>
      </w:r>
      <w:r w:rsidRPr="00816F89">
        <w:rPr>
          <w:rFonts w:cs="Times New Roman"/>
        </w:rPr>
        <w:t>, at p. 118). The Committee is not a judicial body but rather a political body (p. 119). As Professor Langille notes, “[a]s important as the work of the [Committee on Freedom of Association] is, it is not designed for constitutional legal analysis and this fact alone should give us pause before we hand over the interpretation of our constitution to the [Committee]” (p. 119).</w:t>
      </w:r>
    </w:p>
    <w:p w14:paraId="0869A32A" w14:textId="77777777" w:rsidR="00816F89" w:rsidRPr="00816F89" w:rsidRDefault="00816F89" w:rsidP="00816F89">
      <w:pPr>
        <w:pStyle w:val="ParaNoNdepar-AltN"/>
        <w:tabs>
          <w:tab w:val="clear" w:pos="1152"/>
          <w:tab w:val="left" w:pos="1166"/>
        </w:tabs>
        <w:spacing w:before="0"/>
        <w:rPr>
          <w:rFonts w:cs="Times New Roman"/>
          <w:szCs w:val="24"/>
        </w:rPr>
      </w:pPr>
      <w:r w:rsidRPr="00816F89">
        <w:rPr>
          <w:rFonts w:cs="Times New Roman"/>
        </w:rPr>
        <w:t xml:space="preserve">Even if the Committee could be considered a judicial body, this would at most give its decisions persuasive value. In </w:t>
      </w:r>
      <w:r w:rsidRPr="00816F89">
        <w:rPr>
          <w:rFonts w:cs="Times New Roman"/>
          <w:i/>
        </w:rPr>
        <w:t>9147</w:t>
      </w:r>
      <w:r w:rsidRPr="00816F89">
        <w:rPr>
          <w:rFonts w:cs="Times New Roman"/>
          <w:i/>
        </w:rPr>
        <w:noBreakHyphen/>
        <w:t>0732 Québec inc.</w:t>
      </w:r>
      <w:r w:rsidRPr="00816F89">
        <w:rPr>
          <w:rFonts w:cs="Times New Roman"/>
        </w:rPr>
        <w:t xml:space="preserve">, a majority of our Court, </w:t>
      </w:r>
      <w:r w:rsidRPr="00816F89">
        <w:rPr>
          <w:rFonts w:cs="Times New Roman"/>
          <w:iCs/>
        </w:rPr>
        <w:t>per</w:t>
      </w:r>
      <w:r w:rsidRPr="00816F89">
        <w:rPr>
          <w:rFonts w:cs="Times New Roman"/>
        </w:rPr>
        <w:t xml:space="preserve"> Brown and Rowe JJ., noted that non</w:t>
      </w:r>
      <w:r w:rsidRPr="00816F89">
        <w:rPr>
          <w:rFonts w:cs="Times New Roman"/>
        </w:rPr>
        <w:noBreakHyphen/>
        <w:t xml:space="preserve">binding international instruments, like the decisions of international tribunals, are “relevant and persuasive, but not determinative, interpretive tools” for analyzing the rights guaranteed by the </w:t>
      </w:r>
      <w:r w:rsidRPr="00816F89">
        <w:rPr>
          <w:rFonts w:cs="Times New Roman"/>
          <w:i/>
        </w:rPr>
        <w:t>Canadian Charter</w:t>
      </w:r>
      <w:r w:rsidRPr="00816F89">
        <w:rPr>
          <w:rFonts w:cs="Times New Roman"/>
        </w:rPr>
        <w:t xml:space="preserve"> (para. 35; see also para. 43). It follows that such instruments do not give rise to the presumption of conformity. On the contrary, they have only persuasive value, insofar as they support or confirm “the result reached by way of purposive interpretation” (para. 22).</w:t>
      </w:r>
    </w:p>
    <w:p w14:paraId="57A538F4" w14:textId="77777777" w:rsidR="00816F89" w:rsidRPr="00816F89" w:rsidRDefault="00816F89" w:rsidP="00816F89">
      <w:pPr>
        <w:pStyle w:val="ParaNoNdepar-AltN"/>
        <w:tabs>
          <w:tab w:val="clear" w:pos="1152"/>
          <w:tab w:val="left" w:pos="1166"/>
        </w:tabs>
        <w:spacing w:before="0"/>
        <w:rPr>
          <w:rFonts w:cs="Times New Roman"/>
          <w:szCs w:val="24"/>
        </w:rPr>
      </w:pPr>
      <w:r w:rsidRPr="00816F89">
        <w:rPr>
          <w:rFonts w:cs="Times New Roman"/>
        </w:rPr>
        <w:t xml:space="preserve">The foregoing does not mean that the absence of a statutory framework does not indirectly have disruptive effects on the ability of the OSs to engage in collective bargaining. These effects, however, arise mainly from circumstances unrelated to the legislative exclusion, namely the Société’s alleged conduct. In this sense, the substantial interference at issue here, even if it existed, would not result from the </w:t>
      </w:r>
      <w:r w:rsidRPr="00816F89">
        <w:rPr>
          <w:rFonts w:cs="Times New Roman"/>
          <w:i/>
        </w:rPr>
        <w:t>L.C.</w:t>
      </w:r>
      <w:r w:rsidRPr="00816F89">
        <w:rPr>
          <w:rFonts w:cs="Times New Roman"/>
        </w:rPr>
        <w:t xml:space="preserve"> exclusion. Accordingly, I am of the view that the exclusion does not have the effect of infringing the freedom of association of the Association’s OS members.</w:t>
      </w:r>
    </w:p>
    <w:p w14:paraId="7886D968" w14:textId="77777777" w:rsidR="00816F89" w:rsidRPr="00816F89" w:rsidRDefault="00816F89" w:rsidP="00816F89">
      <w:pPr>
        <w:pStyle w:val="Title1LevelTitre1Niveau-AltL"/>
        <w:numPr>
          <w:ilvl w:val="0"/>
          <w:numId w:val="8"/>
        </w:numPr>
        <w:spacing w:before="0"/>
        <w:jc w:val="both"/>
        <w:rPr>
          <w:rFonts w:cs="Times New Roman"/>
        </w:rPr>
      </w:pPr>
      <w:bookmarkStart w:id="34" w:name="_Toc162942353"/>
      <w:r w:rsidRPr="00816F89">
        <w:rPr>
          <w:rFonts w:cs="Times New Roman"/>
        </w:rPr>
        <w:t>Disposition</w:t>
      </w:r>
      <w:bookmarkEnd w:id="34"/>
    </w:p>
    <w:p w14:paraId="684F52C8" w14:textId="77777777" w:rsidR="00816F89" w:rsidRPr="00816F89" w:rsidRDefault="00816F89" w:rsidP="00816F89">
      <w:pPr>
        <w:pStyle w:val="ParaNoNdepar-AltN"/>
        <w:rPr>
          <w:rFonts w:cs="Times New Roman"/>
        </w:rPr>
      </w:pPr>
      <w:r w:rsidRPr="00816F89">
        <w:rPr>
          <w:rFonts w:cs="Times New Roman"/>
        </w:rPr>
        <w:t>For these reasons, I would set aside the judgment of the Quebec Court of Appeal, allow the application for judicial review, quash the decision of the Administrative Labour Tribunal and declare s. 1(</w:t>
      </w:r>
      <w:r w:rsidRPr="00816F89">
        <w:rPr>
          <w:rFonts w:cs="Times New Roman"/>
          <w:i/>
        </w:rPr>
        <w:t>l</w:t>
      </w:r>
      <w:r w:rsidRPr="00816F89">
        <w:rPr>
          <w:rFonts w:cs="Times New Roman"/>
        </w:rPr>
        <w:t xml:space="preserve">)(1) </w:t>
      </w:r>
      <w:r w:rsidRPr="00816F89">
        <w:rPr>
          <w:rFonts w:cs="Times New Roman"/>
          <w:i/>
        </w:rPr>
        <w:t>L.C.</w:t>
      </w:r>
      <w:r w:rsidRPr="00816F89">
        <w:rPr>
          <w:rFonts w:cs="Times New Roman"/>
        </w:rPr>
        <w:t xml:space="preserve"> to be operable against the Association in the context of its petition for certification, with costs throughout.</w:t>
      </w:r>
    </w:p>
    <w:p w14:paraId="424CC82D" w14:textId="77777777" w:rsidR="00816F89" w:rsidRPr="00816F89" w:rsidRDefault="00816F89" w:rsidP="00816F89">
      <w:pPr>
        <w:tabs>
          <w:tab w:val="left" w:pos="1134"/>
        </w:tabs>
        <w:spacing w:after="480" w:line="480" w:lineRule="auto"/>
        <w:jc w:val="both"/>
        <w:rPr>
          <w:lang w:val="en-US"/>
        </w:rPr>
      </w:pPr>
      <w:r w:rsidRPr="00816F89">
        <w:rPr>
          <w:lang w:val="fr-CA"/>
        </w:rPr>
        <w:tab/>
      </w:r>
      <w:r w:rsidRPr="00816F89">
        <w:rPr>
          <w:lang w:val="en-US"/>
        </w:rPr>
        <w:t>The following are the reasons delivered by</w:t>
      </w:r>
    </w:p>
    <w:p w14:paraId="711DF10C" w14:textId="77777777" w:rsidR="00816F89" w:rsidRPr="00816F89" w:rsidRDefault="00816F89" w:rsidP="00C60ACC">
      <w:pPr>
        <w:pStyle w:val="JudgeJuge"/>
        <w:tabs>
          <w:tab w:val="clear" w:pos="1260"/>
          <w:tab w:val="left" w:pos="1134"/>
        </w:tabs>
      </w:pPr>
      <w:r w:rsidRPr="00816F89">
        <w:tab/>
        <w:t xml:space="preserve">Rowe J. — </w:t>
      </w:r>
    </w:p>
    <w:p w14:paraId="24B53F0A" w14:textId="77777777" w:rsidR="00816F89" w:rsidRPr="00C60ACC" w:rsidRDefault="00816F89" w:rsidP="00C60ACC">
      <w:pPr>
        <w:pStyle w:val="Title1LevelTitre1Niveau-AltL"/>
        <w:numPr>
          <w:ilvl w:val="0"/>
          <w:numId w:val="33"/>
        </w:numPr>
        <w:jc w:val="both"/>
        <w:rPr>
          <w:rFonts w:cs="Times New Roman"/>
        </w:rPr>
      </w:pPr>
      <w:r w:rsidRPr="00C60ACC">
        <w:rPr>
          <w:rFonts w:cs="Times New Roman"/>
        </w:rPr>
        <w:t>Introduction</w:t>
      </w:r>
    </w:p>
    <w:p w14:paraId="584028D7" w14:textId="77777777" w:rsidR="00816F89" w:rsidRPr="00816F89" w:rsidRDefault="00816F89" w:rsidP="00816F89">
      <w:pPr>
        <w:pStyle w:val="ParaNoNdepar-AltN"/>
      </w:pPr>
      <w:r w:rsidRPr="00816F89">
        <w:t xml:space="preserve">I adopt the reasons by Justice Côté. These are separate reasons concurring in the result. These appeals require the Court to examine the scope of the state’s responsibility in respect of freedom of association under s. 2(d) of the </w:t>
      </w:r>
      <w:r w:rsidRPr="00816F89">
        <w:rPr>
          <w:i/>
        </w:rPr>
        <w:t>Canadian Charter of Rights and Freedoms</w:t>
      </w:r>
      <w:r w:rsidRPr="00816F89">
        <w:t>.</w:t>
      </w:r>
    </w:p>
    <w:p w14:paraId="306BA183" w14:textId="77777777" w:rsidR="00816F89" w:rsidRPr="00816F89" w:rsidRDefault="00816F89" w:rsidP="00816F89">
      <w:pPr>
        <w:pStyle w:val="ParaNoNdepar-AltN"/>
        <w:rPr>
          <w:rFonts w:cs="Times New Roman"/>
        </w:rPr>
      </w:pPr>
      <w:r w:rsidRPr="00816F89">
        <w:rPr>
          <w:rFonts w:cs="Times New Roman"/>
        </w:rPr>
        <w:t xml:space="preserve">This Court has consistently described s. 2(d) as reflecting a right that is largely “negative” in nature. Thus, in most circumstances, it does not impose “positive” obligations of protection or assistance on the state. It is only in exceptional circumstances, identified under a distinct framework set out in </w:t>
      </w:r>
      <w:r w:rsidRPr="00816F89">
        <w:rPr>
          <w:rFonts w:cs="Times New Roman"/>
          <w:i/>
        </w:rPr>
        <w:t>Dunmore v. Ontario (Attorney General)</w:t>
      </w:r>
      <w:r w:rsidRPr="00816F89">
        <w:rPr>
          <w:rFonts w:cs="Times New Roman"/>
        </w:rPr>
        <w:t xml:space="preserve">, 2001 SCC 94, [2001] 3 S.C.R. 1016, that s. 2(d) of the </w:t>
      </w:r>
      <w:r w:rsidRPr="00816F89">
        <w:rPr>
          <w:rFonts w:cs="Times New Roman"/>
          <w:i/>
        </w:rPr>
        <w:t>Charter</w:t>
      </w:r>
      <w:r w:rsidRPr="00816F89">
        <w:rPr>
          <w:rFonts w:cs="Times New Roman"/>
        </w:rPr>
        <w:t xml:space="preserve"> can impose positive obligations on the state.</w:t>
      </w:r>
    </w:p>
    <w:p w14:paraId="2C1FFD87" w14:textId="77777777" w:rsidR="00816F89" w:rsidRPr="00816F89" w:rsidRDefault="00816F89" w:rsidP="00816F89">
      <w:pPr>
        <w:pStyle w:val="ParaNoNdepar-AltN"/>
        <w:rPr>
          <w:rFonts w:cs="Times New Roman"/>
        </w:rPr>
      </w:pPr>
      <w:r w:rsidRPr="00816F89">
        <w:rPr>
          <w:rFonts w:cs="Times New Roman"/>
          <w:lang w:val="en-US"/>
        </w:rPr>
        <w:t xml:space="preserve">In the present case, the respondent and some interveners invite this Court to reject the distinction between positive and negative rights and, incidentally, the </w:t>
      </w:r>
      <w:r w:rsidRPr="00816F89">
        <w:rPr>
          <w:rFonts w:cs="Times New Roman"/>
          <w:i/>
          <w:lang w:val="en-US"/>
        </w:rPr>
        <w:t>Dunmore</w:t>
      </w:r>
      <w:r w:rsidRPr="00816F89">
        <w:rPr>
          <w:rFonts w:cs="Times New Roman"/>
          <w:lang w:val="en-US"/>
        </w:rPr>
        <w:t xml:space="preserve"> framework, which was adapted in </w:t>
      </w:r>
      <w:r w:rsidRPr="00816F89">
        <w:rPr>
          <w:rFonts w:cs="Times New Roman"/>
          <w:i/>
          <w:lang w:val="en-US"/>
        </w:rPr>
        <w:t>Baier v. Alberta</w:t>
      </w:r>
      <w:r w:rsidRPr="00816F89">
        <w:rPr>
          <w:rFonts w:cs="Times New Roman"/>
          <w:lang w:val="en-US"/>
        </w:rPr>
        <w:t xml:space="preserve">, 2007 SCC 31, [2007] 2 S.C.R. 673 </w:t>
      </w:r>
      <w:r w:rsidRPr="00816F89">
        <w:rPr>
          <w:rFonts w:cs="Times New Roman"/>
        </w:rPr>
        <w:t xml:space="preserve">(see R.F., at paras. 15-18; I.F., Canadian Labour Congress, at paras. 7 and 9; I.F., Public Service Alliance of Canada, at paras. </w:t>
      </w:r>
      <w:r w:rsidRPr="00816F89">
        <w:rPr>
          <w:rFonts w:cs="Times New Roman"/>
          <w:lang w:val="en-US"/>
        </w:rPr>
        <w:t xml:space="preserve">8-10, 14, 16-19 and 21; I.F., Canadian Civil Liberties Association, at paras. 3, 8, 16, 20-21 and 24). The Court of Appeal of Quebec agreed that </w:t>
      </w:r>
      <w:bookmarkStart w:id="35" w:name="_Hlk161835586"/>
      <w:r w:rsidRPr="00816F89">
        <w:rPr>
          <w:rFonts w:cs="Times New Roman"/>
          <w:lang w:val="en-US"/>
        </w:rPr>
        <w:t>[</w:t>
      </w:r>
      <w:r w:rsidRPr="00816F89">
        <w:rPr>
          <w:rFonts w:cs="Times New Roman"/>
          <w:smallCaps/>
          <w:lang w:val="en-US"/>
        </w:rPr>
        <w:t>translation</w:t>
      </w:r>
      <w:r w:rsidRPr="00816F89">
        <w:rPr>
          <w:rFonts w:cs="Times New Roman"/>
          <w:lang w:val="en-US"/>
        </w:rPr>
        <w:t xml:space="preserve">] “the distinction between positive and negative rights and the </w:t>
      </w:r>
      <w:r w:rsidRPr="00816F89">
        <w:rPr>
          <w:rFonts w:cs="Times New Roman"/>
          <w:i/>
          <w:lang w:val="en-US"/>
        </w:rPr>
        <w:t>Baier</w:t>
      </w:r>
      <w:r w:rsidRPr="00816F89" w:rsidDel="00FF002C">
        <w:rPr>
          <w:rFonts w:cs="Times New Roman"/>
          <w:lang w:val="en-US"/>
        </w:rPr>
        <w:t xml:space="preserve"> </w:t>
      </w:r>
      <w:r w:rsidRPr="00816F89">
        <w:rPr>
          <w:rFonts w:cs="Times New Roman"/>
          <w:lang w:val="en-US"/>
        </w:rPr>
        <w:t>framework are not necessarily appropriate in freedom of association cases</w:t>
      </w:r>
      <w:bookmarkEnd w:id="35"/>
      <w:r w:rsidRPr="00816F89">
        <w:rPr>
          <w:rFonts w:cs="Times New Roman"/>
          <w:lang w:val="en-US"/>
        </w:rPr>
        <w:t>” (2022 QCCA 180, at para. 133 (CanLII)) but did not resolve the issue, having erroneously concluded that the claim in the present case was negative instead of positive (paras. 135-36; see also Justice Côté’s reasons, at paras. 125-132).</w:t>
      </w:r>
    </w:p>
    <w:p w14:paraId="624DDCD6" w14:textId="77777777" w:rsidR="00816F89" w:rsidRPr="00816F89" w:rsidRDefault="00816F89" w:rsidP="00816F89">
      <w:pPr>
        <w:pStyle w:val="ParaNoNdepar-AltN"/>
        <w:rPr>
          <w:rFonts w:cs="Times New Roman"/>
        </w:rPr>
      </w:pPr>
      <w:r w:rsidRPr="00816F89">
        <w:rPr>
          <w:rFonts w:cs="Times New Roman"/>
          <w:lang w:val="en-US"/>
        </w:rPr>
        <w:t xml:space="preserve">The question of the application of the </w:t>
      </w:r>
      <w:r w:rsidRPr="00816F89">
        <w:rPr>
          <w:rFonts w:cs="Times New Roman"/>
          <w:i/>
          <w:lang w:val="en-US"/>
        </w:rPr>
        <w:t>Dunmore</w:t>
      </w:r>
      <w:r w:rsidRPr="00816F89">
        <w:rPr>
          <w:rFonts w:cs="Times New Roman"/>
          <w:lang w:val="en-US"/>
        </w:rPr>
        <w:t xml:space="preserve"> framework for claims under s. 2(d) was left open by the majority in </w:t>
      </w:r>
      <w:r w:rsidRPr="00816F89">
        <w:rPr>
          <w:rFonts w:cs="Times New Roman"/>
          <w:i/>
          <w:lang w:val="en-US"/>
        </w:rPr>
        <w:t>Toronto (City)</w:t>
      </w:r>
      <w:r w:rsidRPr="00816F89">
        <w:rPr>
          <w:rFonts w:eastAsiaTheme="minorHAnsi" w:cs="Times New Roman"/>
          <w:i/>
          <w:sz w:val="22"/>
          <w:lang w:val="en-US"/>
        </w:rPr>
        <w:t xml:space="preserve"> </w:t>
      </w:r>
      <w:r w:rsidRPr="00816F89">
        <w:rPr>
          <w:rFonts w:cs="Times New Roman"/>
          <w:i/>
          <w:lang w:val="en-US"/>
        </w:rPr>
        <w:t>v. Ontario (Attorney General)</w:t>
      </w:r>
      <w:r w:rsidRPr="00816F89">
        <w:rPr>
          <w:rFonts w:cs="Times New Roman"/>
          <w:lang w:val="en-US"/>
        </w:rPr>
        <w:t>, 2021 SCC 34, at para. 21. In my view, t</w:t>
      </w:r>
      <w:r w:rsidRPr="00816F89">
        <w:rPr>
          <w:rFonts w:cs="Times New Roman"/>
        </w:rPr>
        <w:t xml:space="preserve">he </w:t>
      </w:r>
      <w:r w:rsidRPr="00816F89">
        <w:rPr>
          <w:rFonts w:cs="Times New Roman"/>
          <w:i/>
        </w:rPr>
        <w:t>Dunmore</w:t>
      </w:r>
      <w:r w:rsidRPr="00816F89">
        <w:rPr>
          <w:rFonts w:cs="Times New Roman"/>
        </w:rPr>
        <w:t xml:space="preserve"> framework should remain applicable to assess positive claims. In the present reasons, I wish to emphasize the rationale underlying the use of a distinct framework to assess positive claims under s. 2(d). My reasons proceed in two parts. First, I explain the relevance of distinguishing between positive and negative claims. Second, I explain why the </w:t>
      </w:r>
      <w:r w:rsidRPr="00816F89">
        <w:rPr>
          <w:rFonts w:cs="Times New Roman"/>
          <w:i/>
        </w:rPr>
        <w:t xml:space="preserve">Dunmore </w:t>
      </w:r>
      <w:r w:rsidRPr="00816F89">
        <w:rPr>
          <w:rFonts w:cs="Times New Roman"/>
        </w:rPr>
        <w:t xml:space="preserve">framework remains a sound way to assess positive claims under s. 2(d). </w:t>
      </w:r>
    </w:p>
    <w:p w14:paraId="601DF1CE" w14:textId="77777777" w:rsidR="00816F89" w:rsidRPr="00816F89" w:rsidRDefault="00816F89" w:rsidP="00816F89">
      <w:pPr>
        <w:pStyle w:val="Title1LevelTitre1Niveau-AltL"/>
        <w:jc w:val="both"/>
        <w:rPr>
          <w:rFonts w:cs="Times New Roman"/>
        </w:rPr>
      </w:pPr>
      <w:r w:rsidRPr="00816F89">
        <w:rPr>
          <w:rFonts w:cs="Times New Roman"/>
        </w:rPr>
        <w:t>The Distinction Between Positive and Negative Claims Under Section 2(d)</w:t>
      </w:r>
    </w:p>
    <w:p w14:paraId="77D25389" w14:textId="77777777" w:rsidR="00816F89" w:rsidRPr="00816F89" w:rsidRDefault="00816F89" w:rsidP="00816F89">
      <w:pPr>
        <w:pStyle w:val="ParaNoNdepar-AltN"/>
        <w:rPr>
          <w:rFonts w:cs="Times New Roman"/>
        </w:rPr>
      </w:pPr>
      <w:r w:rsidRPr="00816F89">
        <w:rPr>
          <w:rFonts w:cs="Times New Roman"/>
        </w:rPr>
        <w:t xml:space="preserve">As I mentioned at the outset, the state’s responsibility under s. 2(d) has consistently been described as “negative” in nature rather than imposing “positive” obligations of protection or assistance. This means that, in most cases, Parliament and the provincial legislatures need only refrain from interfering (either in purpose or effect) with protected associational activity. Conversely, s. 2(d) of the </w:t>
      </w:r>
      <w:r w:rsidRPr="00816F89">
        <w:rPr>
          <w:rFonts w:cs="Times New Roman"/>
          <w:i/>
        </w:rPr>
        <w:t>Charter</w:t>
      </w:r>
      <w:r w:rsidRPr="00816F89">
        <w:rPr>
          <w:rFonts w:cs="Times New Roman"/>
        </w:rPr>
        <w:t xml:space="preserve"> generally does not oblige the state to take affirmative action to safeguard or facilitate the exercise of the freedom of association (</w:t>
      </w:r>
      <w:r w:rsidRPr="00816F89">
        <w:rPr>
          <w:rFonts w:cs="Times New Roman"/>
          <w:i/>
        </w:rPr>
        <w:t>Dunmore</w:t>
      </w:r>
      <w:r w:rsidRPr="00816F89">
        <w:rPr>
          <w:rFonts w:cs="Times New Roman"/>
        </w:rPr>
        <w:t xml:space="preserve">, at para. 19; see also </w:t>
      </w:r>
      <w:r w:rsidRPr="00816F89">
        <w:rPr>
          <w:rFonts w:cs="Times New Roman"/>
          <w:i/>
        </w:rPr>
        <w:t>Delisle</w:t>
      </w:r>
      <w:r w:rsidRPr="00816F89">
        <w:rPr>
          <w:rFonts w:cs="Times New Roman"/>
        </w:rPr>
        <w:t xml:space="preserve"> </w:t>
      </w:r>
      <w:r w:rsidRPr="00816F89">
        <w:rPr>
          <w:rFonts w:cs="Times New Roman"/>
          <w:i/>
        </w:rPr>
        <w:t>v. Canada (Deputy Attorney General)</w:t>
      </w:r>
      <w:r w:rsidRPr="00816F89">
        <w:rPr>
          <w:rFonts w:cs="Times New Roman"/>
        </w:rPr>
        <w:t xml:space="preserve">, [1999] 2 S.C.R. 989, at para. </w:t>
      </w:r>
      <w:r w:rsidRPr="00816F89">
        <w:rPr>
          <w:rFonts w:cs="Times New Roman"/>
          <w:lang w:val="en-US"/>
        </w:rPr>
        <w:t xml:space="preserve">25; </w:t>
      </w:r>
      <w:r w:rsidRPr="00816F89">
        <w:rPr>
          <w:rFonts w:cs="Times New Roman"/>
          <w:i/>
          <w:lang w:val="en-US"/>
        </w:rPr>
        <w:t>Haig</w:t>
      </w:r>
      <w:r w:rsidRPr="00816F89">
        <w:rPr>
          <w:rFonts w:cs="Times New Roman"/>
        </w:rPr>
        <w:t xml:space="preserve"> </w:t>
      </w:r>
      <w:r w:rsidRPr="00816F89">
        <w:rPr>
          <w:rFonts w:cs="Times New Roman"/>
          <w:i/>
          <w:lang w:val="en-US"/>
        </w:rPr>
        <w:t>v. Canada</w:t>
      </w:r>
      <w:r w:rsidRPr="00816F89">
        <w:rPr>
          <w:rFonts w:cs="Times New Roman"/>
          <w:lang w:val="en-US"/>
        </w:rPr>
        <w:t xml:space="preserve">, [1993] 2 S.C.R. 995, at p. 1035; H. Brun, G. Tremblay and E. Brouillet, </w:t>
      </w:r>
      <w:r w:rsidRPr="00816F89">
        <w:rPr>
          <w:rFonts w:cs="Times New Roman"/>
          <w:i/>
          <w:lang w:val="en-US"/>
        </w:rPr>
        <w:t>Droit constitutionnel</w:t>
      </w:r>
      <w:r w:rsidRPr="00816F89">
        <w:rPr>
          <w:rFonts w:cs="Times New Roman"/>
          <w:lang w:val="en-US"/>
        </w:rPr>
        <w:t xml:space="preserve"> (6th ed. 2014), at para. </w:t>
      </w:r>
      <w:r w:rsidRPr="00816F89">
        <w:rPr>
          <w:rFonts w:cs="Times New Roman"/>
        </w:rPr>
        <w:t>XII-5.39).</w:t>
      </w:r>
    </w:p>
    <w:p w14:paraId="5ADB9798" w14:textId="77777777" w:rsidR="00816F89" w:rsidRPr="00816F89" w:rsidRDefault="00816F89" w:rsidP="00816F89">
      <w:pPr>
        <w:pStyle w:val="ParaNoNdepar-AltN"/>
        <w:rPr>
          <w:rFonts w:cs="Times New Roman"/>
        </w:rPr>
      </w:pPr>
      <w:r w:rsidRPr="00816F89">
        <w:rPr>
          <w:rFonts w:cs="Times New Roman"/>
          <w:lang w:val="en-US"/>
        </w:rPr>
        <w:t xml:space="preserve">Where the state itself directly attacks </w:t>
      </w:r>
      <w:r w:rsidRPr="00816F89">
        <w:rPr>
          <w:rFonts w:cs="Times New Roman"/>
        </w:rPr>
        <w:t>protected associational activity</w:t>
      </w:r>
      <w:r w:rsidRPr="00816F89">
        <w:rPr>
          <w:rFonts w:cs="Times New Roman"/>
          <w:lang w:val="en-US"/>
        </w:rPr>
        <w:t xml:space="preserve"> by passing a law interfering with individuals exercising their freedom, a claim targeting this action will be qualified as negative, since the state has violated an obligation </w:t>
      </w:r>
      <w:r w:rsidRPr="00816F89">
        <w:rPr>
          <w:rFonts w:cs="Times New Roman"/>
          <w:i/>
          <w:lang w:val="en-US"/>
        </w:rPr>
        <w:t xml:space="preserve">not </w:t>
      </w:r>
      <w:r w:rsidRPr="00816F89">
        <w:rPr>
          <w:rFonts w:cs="Times New Roman"/>
          <w:lang w:val="en-US"/>
        </w:rPr>
        <w:t>to interfere. Indeed, the corollary of the individual’s right to freedom of association is the state’s obligation not to infringe this freedom. Such an infringement may occur where a statute prohibits the inclusion, in future collective agreements with health sector employees, of provisions dealing with specified matters (</w:t>
      </w:r>
      <w:r w:rsidRPr="00816F89">
        <w:rPr>
          <w:rFonts w:cs="Times New Roman"/>
          <w:i/>
          <w:lang w:val="en-US"/>
        </w:rPr>
        <w:t>Health Services</w:t>
      </w:r>
      <w:r w:rsidRPr="00816F89">
        <w:rPr>
          <w:rFonts w:eastAsiaTheme="minorHAnsi" w:cs="Times New Roman"/>
          <w:i/>
          <w:sz w:val="22"/>
          <w:lang w:val="en-US"/>
        </w:rPr>
        <w:t xml:space="preserve"> </w:t>
      </w:r>
      <w:r w:rsidRPr="00816F89">
        <w:rPr>
          <w:rFonts w:cs="Times New Roman"/>
          <w:i/>
          <w:lang w:val="en-US"/>
        </w:rPr>
        <w:t>and Support — Facilities Subsector Bargaining Assn. v. British Columbia</w:t>
      </w:r>
      <w:r w:rsidRPr="00816F89">
        <w:rPr>
          <w:rFonts w:cs="Times New Roman"/>
          <w:lang w:val="en-US"/>
        </w:rPr>
        <w:t>, 2007 SCC 27, [2007] 2 S.C.R. 391) or where a statute expressly limits the ability of public sector employees who perform essential services to strike (</w:t>
      </w:r>
      <w:r w:rsidRPr="00816F89">
        <w:rPr>
          <w:rFonts w:cs="Times New Roman"/>
          <w:i/>
          <w:lang w:val="en-US"/>
        </w:rPr>
        <w:t>Saskatchewan</w:t>
      </w:r>
      <w:r w:rsidRPr="00816F89">
        <w:rPr>
          <w:rFonts w:eastAsiaTheme="minorHAnsi" w:cs="Times New Roman"/>
          <w:i/>
          <w:sz w:val="22"/>
          <w:lang w:val="en-US"/>
        </w:rPr>
        <w:t xml:space="preserve"> </w:t>
      </w:r>
      <w:r w:rsidRPr="00816F89">
        <w:rPr>
          <w:rFonts w:cs="Times New Roman"/>
          <w:i/>
          <w:lang w:val="en-US"/>
        </w:rPr>
        <w:t>Federation of Labour v. Saskatchewan</w:t>
      </w:r>
      <w:r w:rsidRPr="00816F89">
        <w:rPr>
          <w:rFonts w:cs="Times New Roman"/>
          <w:lang w:val="en-US"/>
        </w:rPr>
        <w:t>, 2015 SCC 4, [2015] 1 S.C.R. 245).</w:t>
      </w:r>
    </w:p>
    <w:p w14:paraId="3553808E" w14:textId="77777777" w:rsidR="00816F89" w:rsidRPr="00816F89" w:rsidRDefault="00816F89" w:rsidP="00816F89">
      <w:pPr>
        <w:pStyle w:val="ParaNoNdepar-AltN"/>
        <w:rPr>
          <w:rFonts w:cs="Times New Roman"/>
        </w:rPr>
      </w:pPr>
      <w:r w:rsidRPr="00816F89">
        <w:rPr>
          <w:rFonts w:cs="Times New Roman"/>
        </w:rPr>
        <w:t>This Court has also recognized that, in exceptional circumstances and in order to make the freedom to organize meaningful, s. 2(d) can impose positive obligations on the state, notably to extend an existing protective legislation to unprotected groups (</w:t>
      </w:r>
      <w:r w:rsidRPr="00816F89">
        <w:rPr>
          <w:rFonts w:cs="Times New Roman"/>
          <w:i/>
        </w:rPr>
        <w:t>Dunmore</w:t>
      </w:r>
      <w:r w:rsidRPr="00816F89">
        <w:rPr>
          <w:rFonts w:cs="Times New Roman"/>
        </w:rPr>
        <w:t>, at paras. 20-21;</w:t>
      </w:r>
      <w:r w:rsidRPr="00816F89">
        <w:rPr>
          <w:rFonts w:cs="Times New Roman"/>
          <w:i/>
        </w:rPr>
        <w:t xml:space="preserve"> Delisle</w:t>
      </w:r>
      <w:r w:rsidRPr="00816F89">
        <w:rPr>
          <w:rFonts w:cs="Times New Roman"/>
        </w:rPr>
        <w:t xml:space="preserve">, at para. 33; Brun, Tremblay and Brouillet, at para. XII-5.40; for a parallel analysis relating to s. 2(b), see also </w:t>
      </w:r>
      <w:r w:rsidRPr="00816F89">
        <w:rPr>
          <w:rFonts w:cs="Times New Roman"/>
          <w:i/>
        </w:rPr>
        <w:t>Toronto (City)</w:t>
      </w:r>
      <w:r w:rsidRPr="00816F89">
        <w:rPr>
          <w:rFonts w:cs="Times New Roman"/>
        </w:rPr>
        <w:t xml:space="preserve">, at para. 17; </w:t>
      </w:r>
      <w:r w:rsidRPr="00816F89">
        <w:rPr>
          <w:rFonts w:cs="Times New Roman"/>
          <w:i/>
        </w:rPr>
        <w:t>Native Women’s Assn. of Canada v. Canada</w:t>
      </w:r>
      <w:r w:rsidRPr="00816F89">
        <w:rPr>
          <w:rFonts w:cs="Times New Roman"/>
        </w:rPr>
        <w:t>,</w:t>
      </w:r>
      <w:r w:rsidRPr="00816F89">
        <w:rPr>
          <w:rFonts w:cs="Times New Roman"/>
          <w:i/>
        </w:rPr>
        <w:t xml:space="preserve"> </w:t>
      </w:r>
      <w:r w:rsidRPr="00816F89">
        <w:rPr>
          <w:rFonts w:cs="Times New Roman"/>
        </w:rPr>
        <w:t>[1994] 3 S.C.R. 627, at</w:t>
      </w:r>
      <w:r w:rsidRPr="00816F89">
        <w:rPr>
          <w:rFonts w:cs="Times New Roman"/>
          <w:i/>
        </w:rPr>
        <w:t xml:space="preserve"> </w:t>
      </w:r>
      <w:r w:rsidRPr="00816F89">
        <w:rPr>
          <w:rFonts w:cs="Times New Roman"/>
        </w:rPr>
        <w:t xml:space="preserve">pp. 651-52; </w:t>
      </w:r>
      <w:r w:rsidRPr="00816F89">
        <w:rPr>
          <w:rFonts w:cs="Times New Roman"/>
          <w:i/>
        </w:rPr>
        <w:t>Haig</w:t>
      </w:r>
      <w:r w:rsidRPr="00816F89">
        <w:rPr>
          <w:rFonts w:cs="Times New Roman"/>
        </w:rPr>
        <w:t xml:space="preserve">, at p. 1039). </w:t>
      </w:r>
    </w:p>
    <w:p w14:paraId="5F77955C" w14:textId="77777777" w:rsidR="00816F89" w:rsidRPr="00816F89" w:rsidRDefault="00816F89" w:rsidP="00816F89">
      <w:pPr>
        <w:pStyle w:val="ParaNoNdepar-AltN"/>
        <w:rPr>
          <w:rFonts w:cs="Times New Roman"/>
        </w:rPr>
      </w:pPr>
      <w:r w:rsidRPr="00816F89">
        <w:rPr>
          <w:rFonts w:cs="Times New Roman"/>
          <w:lang w:val="en-US"/>
        </w:rPr>
        <w:t xml:space="preserve">Through a positive claim </w:t>
      </w:r>
      <w:r w:rsidRPr="00816F89">
        <w:rPr>
          <w:rFonts w:cs="Times New Roman"/>
        </w:rPr>
        <w:t>under s. 2(d), a claimant seeks to impose an obligation on the state to take action in order to protect the freedom from attacks by third parties, including</w:t>
      </w:r>
      <w:r w:rsidRPr="00816F89">
        <w:rPr>
          <w:rFonts w:cs="Times New Roman"/>
          <w:i/>
        </w:rPr>
        <w:t xml:space="preserve"> private actors</w:t>
      </w:r>
      <w:r w:rsidRPr="00816F89">
        <w:rPr>
          <w:rFonts w:cs="Times New Roman"/>
        </w:rPr>
        <w:t xml:space="preserve">. In such cases, the state has not failed to “respect” the freedom of association by passing a law directly impinging upon it; rather, it has failed to adequately protect or enhance the freedom from the coequal freedom of third parties, notably private actors (B. Langille and B. Oliphant, “The Legal Structure of Freedom of Association” (2014), 40 </w:t>
      </w:r>
      <w:r w:rsidRPr="00816F89">
        <w:rPr>
          <w:rFonts w:cs="Times New Roman"/>
          <w:i/>
        </w:rPr>
        <w:t>Queen’s L.J.</w:t>
      </w:r>
      <w:r w:rsidRPr="00816F89">
        <w:rPr>
          <w:rFonts w:cs="Times New Roman"/>
        </w:rPr>
        <w:t xml:space="preserve"> 249, at pp. 263 and 266; see also </w:t>
      </w:r>
      <w:r w:rsidRPr="00816F89">
        <w:rPr>
          <w:rFonts w:cs="Times New Roman"/>
          <w:i/>
        </w:rPr>
        <w:t>B</w:t>
      </w:r>
      <w:bookmarkStart w:id="36" w:name="_Hlk161836122"/>
      <w:r w:rsidRPr="00816F89">
        <w:rPr>
          <w:rFonts w:cs="Times New Roman"/>
          <w:i/>
        </w:rPr>
        <w:t>aier</w:t>
      </w:r>
      <w:bookmarkEnd w:id="36"/>
      <w:r w:rsidRPr="00816F89">
        <w:rPr>
          <w:rFonts w:cs="Times New Roman"/>
        </w:rPr>
        <w:t xml:space="preserve">, at para. 35; </w:t>
      </w:r>
      <w:r w:rsidRPr="00816F89">
        <w:rPr>
          <w:rFonts w:cs="Times New Roman"/>
          <w:i/>
        </w:rPr>
        <w:t>Greater Vancouver</w:t>
      </w:r>
      <w:r w:rsidRPr="00816F89">
        <w:rPr>
          <w:rFonts w:eastAsiaTheme="minorHAnsi" w:cs="Times New Roman"/>
          <w:i/>
          <w:sz w:val="22"/>
          <w:lang w:val="en-US"/>
        </w:rPr>
        <w:t xml:space="preserve"> </w:t>
      </w:r>
      <w:r w:rsidRPr="00816F89">
        <w:rPr>
          <w:rFonts w:cs="Times New Roman"/>
          <w:i/>
          <w:lang w:val="en-US"/>
        </w:rPr>
        <w:t>Transportation Authority v. Canadian Federation of Students — British Columbia Component</w:t>
      </w:r>
      <w:r w:rsidRPr="00816F89">
        <w:rPr>
          <w:rFonts w:cs="Times New Roman"/>
          <w:lang w:val="en-US"/>
        </w:rPr>
        <w:t>, 2009 SCC 31, [2009] 2 S.C.R. 295</w:t>
      </w:r>
      <w:r w:rsidRPr="00816F89">
        <w:rPr>
          <w:rFonts w:cs="Times New Roman"/>
        </w:rPr>
        <w:t>, at para. 35). This will be the case, for example, where vulnerable workers are excluded from the general labour relations scheme, even in the absence of any state action that could impede them to unionize or to engage in collective bargaining, insofar as they establish their incapacity to exercise their freedom of association without the assistance of the state (</w:t>
      </w:r>
      <w:r w:rsidRPr="00816F89">
        <w:rPr>
          <w:rFonts w:cs="Times New Roman"/>
          <w:i/>
        </w:rPr>
        <w:t>Dunmore</w:t>
      </w:r>
      <w:r w:rsidRPr="00816F89">
        <w:rPr>
          <w:rFonts w:cs="Times New Roman"/>
        </w:rPr>
        <w:t>,</w:t>
      </w:r>
      <w:r w:rsidRPr="00816F89">
        <w:rPr>
          <w:rFonts w:cs="Times New Roman"/>
          <w:i/>
        </w:rPr>
        <w:t xml:space="preserve"> </w:t>
      </w:r>
      <w:r w:rsidRPr="00816F89">
        <w:rPr>
          <w:rFonts w:cs="Times New Roman"/>
        </w:rPr>
        <w:t>at para. 67).</w:t>
      </w:r>
    </w:p>
    <w:p w14:paraId="09A9D918" w14:textId="77777777" w:rsidR="00816F89" w:rsidRPr="00816F89" w:rsidRDefault="00816F89" w:rsidP="00816F89">
      <w:pPr>
        <w:pStyle w:val="ParaNoNdepar-AltN"/>
        <w:rPr>
          <w:rFonts w:cs="Times New Roman"/>
          <w:lang w:val="en-US"/>
        </w:rPr>
      </w:pPr>
      <w:r w:rsidRPr="00816F89">
        <w:rPr>
          <w:rFonts w:cs="Times New Roman"/>
        </w:rPr>
        <w:t xml:space="preserve">Positive claims raise unique concerns that </w:t>
      </w:r>
      <w:r w:rsidRPr="00816F89">
        <w:rPr>
          <w:rFonts w:cs="Times New Roman"/>
          <w:lang w:val="en-US"/>
        </w:rPr>
        <w:t xml:space="preserve">emphasize the need for a different standard — the </w:t>
      </w:r>
      <w:r w:rsidRPr="00816F89">
        <w:rPr>
          <w:rFonts w:cs="Times New Roman"/>
          <w:i/>
          <w:lang w:val="en-US"/>
        </w:rPr>
        <w:t xml:space="preserve">Dunmore </w:t>
      </w:r>
      <w:r w:rsidRPr="00816F89">
        <w:rPr>
          <w:rFonts w:cs="Times New Roman"/>
          <w:lang w:val="en-US"/>
        </w:rPr>
        <w:t xml:space="preserve">framework provides such a standard. Below, I explain these concerns and how the </w:t>
      </w:r>
      <w:r w:rsidRPr="00816F89">
        <w:rPr>
          <w:rFonts w:cs="Times New Roman"/>
          <w:i/>
          <w:lang w:val="en-US"/>
        </w:rPr>
        <w:t xml:space="preserve">Dunmore </w:t>
      </w:r>
      <w:r w:rsidRPr="00816F89">
        <w:rPr>
          <w:rFonts w:cs="Times New Roman"/>
          <w:lang w:val="en-US"/>
        </w:rPr>
        <w:t>framework effectively addresses them.</w:t>
      </w:r>
    </w:p>
    <w:p w14:paraId="53FA2C0F" w14:textId="77777777" w:rsidR="00816F89" w:rsidRPr="00816F89" w:rsidRDefault="00816F89" w:rsidP="00816F89">
      <w:pPr>
        <w:pStyle w:val="Title1LevelTitre1Niveau-AltL"/>
        <w:jc w:val="both"/>
        <w:rPr>
          <w:rFonts w:cs="Times New Roman"/>
          <w:lang w:val="en-US"/>
        </w:rPr>
      </w:pPr>
      <w:r w:rsidRPr="00816F89">
        <w:rPr>
          <w:rFonts w:cs="Times New Roman"/>
          <w:lang w:val="en-US"/>
        </w:rPr>
        <w:t xml:space="preserve">Reasons Why the </w:t>
      </w:r>
      <w:r w:rsidRPr="00816F89">
        <w:rPr>
          <w:rFonts w:cs="Times New Roman"/>
          <w:i/>
          <w:lang w:val="en-US"/>
        </w:rPr>
        <w:t>Dunmore</w:t>
      </w:r>
      <w:r w:rsidRPr="00816F89">
        <w:rPr>
          <w:rFonts w:cs="Times New Roman"/>
          <w:lang w:val="en-US"/>
        </w:rPr>
        <w:t xml:space="preserve"> Framework Must Be Maintained</w:t>
      </w:r>
    </w:p>
    <w:p w14:paraId="3F791A16" w14:textId="77777777" w:rsidR="00816F89" w:rsidRPr="00816F89" w:rsidRDefault="00816F89" w:rsidP="00816F89">
      <w:pPr>
        <w:pStyle w:val="Title2LevelTitre2Niveau"/>
        <w:jc w:val="both"/>
        <w:rPr>
          <w:rFonts w:cs="Times New Roman"/>
          <w:lang w:val="en-US"/>
        </w:rPr>
      </w:pPr>
      <w:r w:rsidRPr="00816F89">
        <w:rPr>
          <w:rFonts w:cs="Times New Roman"/>
          <w:lang w:val="en-US"/>
        </w:rPr>
        <w:t>Nature of the Fundamental Freedoms</w:t>
      </w:r>
    </w:p>
    <w:p w14:paraId="23EA8148" w14:textId="77777777" w:rsidR="00816F89" w:rsidRPr="00816F89" w:rsidRDefault="00816F89" w:rsidP="00816F89">
      <w:pPr>
        <w:pStyle w:val="ParaNoNdepar-AltN"/>
        <w:rPr>
          <w:rFonts w:cs="Times New Roman"/>
          <w:lang w:val="en-US"/>
        </w:rPr>
      </w:pPr>
      <w:r w:rsidRPr="00816F89">
        <w:rPr>
          <w:rFonts w:cs="Times New Roman"/>
          <w:lang w:val="en-US"/>
        </w:rPr>
        <w:t xml:space="preserve">A freedom, by nature, does not encompass the obligation for the state to facilitate its exercise. For instance, the fact that individuals have the </w:t>
      </w:r>
      <w:r w:rsidRPr="00816F89">
        <w:rPr>
          <w:rFonts w:cs="Times New Roman"/>
          <w:i/>
          <w:lang w:val="en-US"/>
        </w:rPr>
        <w:t>freedom</w:t>
      </w:r>
      <w:r w:rsidRPr="00816F89">
        <w:rPr>
          <w:rFonts w:cs="Times New Roman"/>
          <w:lang w:val="en-US"/>
        </w:rPr>
        <w:t xml:space="preserve"> to distribute false news does not mean that the state must in some way </w:t>
      </w:r>
      <w:r w:rsidRPr="00816F89">
        <w:rPr>
          <w:rFonts w:cs="Times New Roman"/>
          <w:i/>
          <w:lang w:val="en-US"/>
        </w:rPr>
        <w:t>facilitate</w:t>
      </w:r>
      <w:r w:rsidRPr="00816F89">
        <w:rPr>
          <w:rFonts w:cs="Times New Roman"/>
          <w:lang w:val="en-US"/>
        </w:rPr>
        <w:t xml:space="preserve"> this conduct or pass legislation to prevent private actors from terminating employment on the basis of such conduct in the workplace (Langille and Oliphant, at pp. 267-68). Concluding otherwise </w:t>
      </w:r>
      <w:r w:rsidRPr="00816F89">
        <w:rPr>
          <w:rFonts w:cs="Times New Roman"/>
        </w:rPr>
        <w:t>would force the state to enact a scheme to actively protect every individual.</w:t>
      </w:r>
    </w:p>
    <w:p w14:paraId="766E5EFA" w14:textId="77777777" w:rsidR="00816F89" w:rsidRPr="00816F89" w:rsidRDefault="00816F89" w:rsidP="00816F89">
      <w:pPr>
        <w:pStyle w:val="ParaNoNdepar-AltN"/>
        <w:rPr>
          <w:rFonts w:cs="Times New Roman"/>
          <w:lang w:val="en-US"/>
        </w:rPr>
      </w:pPr>
      <w:r w:rsidRPr="00816F89">
        <w:rPr>
          <w:rFonts w:cs="Times New Roman"/>
          <w:lang w:val="en-US"/>
        </w:rPr>
        <w:t xml:space="preserve">I pause here to note that I do not endorse a </w:t>
      </w:r>
      <w:r w:rsidRPr="00816F89">
        <w:rPr>
          <w:rFonts w:cs="Times New Roman"/>
        </w:rPr>
        <w:t xml:space="preserve">rigid dichotomy between “freedoms” as being solely negative and “rights” as being solely positive. Such an interpretation would depart from the purposive approach articulated in </w:t>
      </w:r>
      <w:r w:rsidRPr="00816F89">
        <w:rPr>
          <w:rFonts w:cs="Times New Roman"/>
          <w:i/>
        </w:rPr>
        <w:t>R. v. Big M Drug Mart Ltd.</w:t>
      </w:r>
      <w:r w:rsidRPr="00816F89">
        <w:rPr>
          <w:rFonts w:cs="Times New Roman"/>
        </w:rPr>
        <w:t>, [1985] 1 S.C.R. 295, and under which “a situation might arise in which, in order to make a fundamental freedom meaningful, a posture of restraint would not be enough, and positive governmental action might be required” (</w:t>
      </w:r>
      <w:r w:rsidRPr="00816F89">
        <w:rPr>
          <w:rFonts w:cs="Times New Roman"/>
          <w:i/>
        </w:rPr>
        <w:t>Haig</w:t>
      </w:r>
      <w:r w:rsidRPr="00816F89">
        <w:rPr>
          <w:rFonts w:cs="Times New Roman"/>
        </w:rPr>
        <w:t xml:space="preserve">, at p. 1039). Accordingly, a “right” can impose negative obligations of non-interference. Similarly, a “freedom” can impose positive obligations in order to make the exercise of the freedom meaningful. This has been recognized by this Court in </w:t>
      </w:r>
      <w:r w:rsidRPr="00816F89">
        <w:rPr>
          <w:rFonts w:cs="Times New Roman"/>
          <w:i/>
          <w:lang w:val="en-US"/>
        </w:rPr>
        <w:t xml:space="preserve">Ontario (Attorney General) v. </w:t>
      </w:r>
      <w:r w:rsidRPr="00816F89">
        <w:rPr>
          <w:rFonts w:cs="Times New Roman"/>
          <w:i/>
        </w:rPr>
        <w:t>Fraser</w:t>
      </w:r>
      <w:r w:rsidRPr="00816F89">
        <w:rPr>
          <w:rFonts w:cs="Times New Roman"/>
        </w:rPr>
        <w:t xml:space="preserve">, </w:t>
      </w:r>
      <w:r w:rsidRPr="00816F89">
        <w:rPr>
          <w:rFonts w:cs="Times New Roman"/>
          <w:lang w:val="en-US"/>
        </w:rPr>
        <w:t>2011 SCC 20, [2011] 2 S.C.R. 3,</w:t>
      </w:r>
      <w:r w:rsidRPr="00816F89">
        <w:rPr>
          <w:rFonts w:cs="Times New Roman"/>
        </w:rPr>
        <w:t xml:space="preserve"> at paras. 67-72 (see also </w:t>
      </w:r>
      <w:r w:rsidRPr="00816F89">
        <w:rPr>
          <w:rFonts w:cs="Times New Roman"/>
          <w:i/>
        </w:rPr>
        <w:t>Haig</w:t>
      </w:r>
      <w:r w:rsidRPr="00816F89">
        <w:rPr>
          <w:rFonts w:cs="Times New Roman"/>
        </w:rPr>
        <w:t>, at p. 1039).</w:t>
      </w:r>
    </w:p>
    <w:p w14:paraId="033E8307" w14:textId="77777777" w:rsidR="00816F89" w:rsidRPr="00816F89" w:rsidRDefault="00816F89" w:rsidP="00816F89">
      <w:pPr>
        <w:pStyle w:val="ParaNoNdepar-AltN"/>
        <w:rPr>
          <w:rFonts w:cs="Times New Roman"/>
          <w:lang w:val="en-US"/>
        </w:rPr>
      </w:pPr>
      <w:r w:rsidRPr="00816F89">
        <w:rPr>
          <w:rFonts w:cs="Times New Roman"/>
        </w:rPr>
        <w:t>However, the fact that a freedom has both positive and negative dimensions does not mean that these dimensions are irrelevant and should not be distinguished. The distinction between these dimensions remains important when considering the nature of the obligation that the claim seeks to impose upon the state (</w:t>
      </w:r>
      <w:r w:rsidRPr="00816F89">
        <w:rPr>
          <w:rFonts w:cs="Times New Roman"/>
          <w:i/>
        </w:rPr>
        <w:t>Toronto (City)</w:t>
      </w:r>
      <w:r w:rsidRPr="00816F89">
        <w:rPr>
          <w:rFonts w:cs="Times New Roman"/>
        </w:rPr>
        <w:t xml:space="preserve">, at para. 20; see also B. Langille, “Why the Right-Freedom Distinction Matters to Labour Lawyers — And to All Canadians” (2011), 34 </w:t>
      </w:r>
      <w:r w:rsidRPr="00816F89">
        <w:rPr>
          <w:rFonts w:cs="Times New Roman"/>
          <w:i/>
        </w:rPr>
        <w:t>Dal. L.J.</w:t>
      </w:r>
      <w:r w:rsidRPr="00816F89">
        <w:rPr>
          <w:rFonts w:cs="Times New Roman"/>
        </w:rPr>
        <w:t xml:space="preserve"> 143, at p. 157; </w:t>
      </w:r>
      <w:r w:rsidRPr="00816F89">
        <w:rPr>
          <w:rFonts w:cs="Times New Roman"/>
          <w:i/>
        </w:rPr>
        <w:t>Dunmore</w:t>
      </w:r>
      <w:r w:rsidRPr="00816F89">
        <w:rPr>
          <w:rFonts w:cs="Times New Roman"/>
        </w:rPr>
        <w:t xml:space="preserve">, at para. </w:t>
      </w:r>
      <w:r w:rsidRPr="00816F89">
        <w:rPr>
          <w:rFonts w:cs="Times New Roman"/>
          <w:lang w:val="en-US"/>
        </w:rPr>
        <w:t>108, per L’Heureux-Dubé J., concurring).</w:t>
      </w:r>
    </w:p>
    <w:p w14:paraId="10354DBB" w14:textId="77777777" w:rsidR="00816F89" w:rsidRPr="00816F89" w:rsidRDefault="00816F89" w:rsidP="00816F89">
      <w:pPr>
        <w:pStyle w:val="ParaNoNdepar-AltN"/>
        <w:tabs>
          <w:tab w:val="clear" w:pos="1152"/>
          <w:tab w:val="left" w:pos="1166"/>
        </w:tabs>
        <w:rPr>
          <w:rFonts w:cs="Times New Roman"/>
        </w:rPr>
      </w:pPr>
      <w:r w:rsidRPr="00816F89">
        <w:rPr>
          <w:rFonts w:cs="Times New Roman"/>
          <w:lang w:val="en-US"/>
        </w:rPr>
        <w:t xml:space="preserve">A freedom does not always give rise to </w:t>
      </w:r>
      <w:r w:rsidRPr="00816F89">
        <w:rPr>
          <w:rFonts w:cs="Times New Roman"/>
        </w:rPr>
        <w:t xml:space="preserve">an obligation for the state to facilitate its exercise. This is why a higher burden forces the claimants to demonstrate why, in their circumstances, a posture of restraint from the state is not enough. In effect, any positive obligation requiring the state to protect the freedom should arise only where the claimant would otherwise be substantially </w:t>
      </w:r>
      <w:r w:rsidRPr="00816F89">
        <w:rPr>
          <w:rFonts w:cs="Times New Roman"/>
          <w:i/>
        </w:rPr>
        <w:t>incapable</w:t>
      </w:r>
      <w:r w:rsidRPr="00816F89">
        <w:rPr>
          <w:rFonts w:cs="Times New Roman"/>
        </w:rPr>
        <w:t xml:space="preserve"> of exercising the freedom (Langille and Oliphant, at p. 291; see also </w:t>
      </w:r>
      <w:r w:rsidRPr="00816F89">
        <w:rPr>
          <w:rFonts w:cs="Times New Roman"/>
          <w:i/>
        </w:rPr>
        <w:t>Dunmore</w:t>
      </w:r>
      <w:r w:rsidRPr="00816F89">
        <w:rPr>
          <w:rFonts w:cs="Times New Roman"/>
        </w:rPr>
        <w:t>, at para. 23).</w:t>
      </w:r>
    </w:p>
    <w:p w14:paraId="67F3BC86" w14:textId="77777777" w:rsidR="00816F89" w:rsidRPr="00816F89" w:rsidRDefault="00816F89" w:rsidP="00816F89">
      <w:pPr>
        <w:pStyle w:val="Title2LevelTitre2Niveau"/>
        <w:jc w:val="both"/>
        <w:rPr>
          <w:rFonts w:cs="Times New Roman"/>
          <w:lang w:val="en-US"/>
        </w:rPr>
      </w:pPr>
      <w:r w:rsidRPr="00816F89">
        <w:rPr>
          <w:rFonts w:cs="Times New Roman"/>
          <w:lang w:val="en-US"/>
        </w:rPr>
        <w:t>Absence of Direct State Action</w:t>
      </w:r>
    </w:p>
    <w:p w14:paraId="0C945D5D" w14:textId="77777777" w:rsidR="00816F89" w:rsidRPr="00816F89" w:rsidRDefault="00816F89" w:rsidP="00816F89">
      <w:pPr>
        <w:pStyle w:val="ParaNoNdepar-AltN"/>
        <w:rPr>
          <w:rFonts w:cs="Times New Roman"/>
          <w:lang w:val="en-US"/>
        </w:rPr>
      </w:pPr>
      <w:r w:rsidRPr="00816F89">
        <w:rPr>
          <w:rFonts w:cs="Times New Roman"/>
          <w:lang w:val="en-US"/>
        </w:rPr>
        <w:t xml:space="preserve">The infringement giving rise to a negative claim under s. 2(d) is fundamentally different than the infringement leading to a positive claim. In the case of a negative claim, </w:t>
      </w:r>
      <w:r w:rsidRPr="00816F89">
        <w:rPr>
          <w:rFonts w:cs="Times New Roman"/>
          <w:i/>
          <w:lang w:val="en-US"/>
        </w:rPr>
        <w:t>the state itself</w:t>
      </w:r>
      <w:r w:rsidRPr="00816F89">
        <w:rPr>
          <w:rFonts w:cs="Times New Roman"/>
          <w:lang w:val="en-US"/>
        </w:rPr>
        <w:t xml:space="preserve"> attacks </w:t>
      </w:r>
      <w:r w:rsidRPr="00816F89">
        <w:rPr>
          <w:rFonts w:cs="Times New Roman"/>
        </w:rPr>
        <w:t xml:space="preserve">the freedom by passing a law having the purpose or effect of interfering with individuals exercising their freedom. In contrast, in the case of a positive claim, the state did not infringe the freedom by any direct action but has only failed to adequately protect the freedom from infringement </w:t>
      </w:r>
      <w:r w:rsidRPr="00816F89">
        <w:rPr>
          <w:rFonts w:cs="Times New Roman"/>
          <w:i/>
        </w:rPr>
        <w:t>by third parties</w:t>
      </w:r>
      <w:r w:rsidRPr="00816F89">
        <w:rPr>
          <w:rFonts w:cs="Times New Roman"/>
        </w:rPr>
        <w:t>, notably private actors.</w:t>
      </w:r>
    </w:p>
    <w:p w14:paraId="32CE75DA" w14:textId="77777777" w:rsidR="00816F89" w:rsidRPr="00816F89" w:rsidRDefault="00816F89" w:rsidP="00816F89">
      <w:pPr>
        <w:pStyle w:val="ParaNoNdepar-AltN"/>
        <w:rPr>
          <w:rFonts w:cs="Times New Roman"/>
          <w:lang w:val="en-US"/>
        </w:rPr>
      </w:pPr>
      <w:r w:rsidRPr="00816F89">
        <w:rPr>
          <w:rFonts w:cs="Times New Roman"/>
        </w:rPr>
        <w:t>Given this difference, the standard to analyze positive claims should not be the same as for negative claims. For negative claims, the claimant only has to establish that the statute or the state action in cause constitutes a “substantial interference” with the freedom of association (</w:t>
      </w:r>
      <w:r w:rsidRPr="00816F89">
        <w:rPr>
          <w:rFonts w:cs="Times New Roman"/>
          <w:i/>
        </w:rPr>
        <w:t>Health Services</w:t>
      </w:r>
      <w:r w:rsidRPr="00816F89">
        <w:rPr>
          <w:rFonts w:cs="Times New Roman"/>
        </w:rPr>
        <w:t xml:space="preserve">, at para. 90). By applying the same standard for positive claims, every time a private employer would substantially interfere with the freedom of association of its employees, the employees could sue the government for not passing legislation to stop employers from interfering with their freedom to associate (Langille, at p. 157; see also </w:t>
      </w:r>
      <w:r w:rsidRPr="00816F89">
        <w:rPr>
          <w:rFonts w:cs="Times New Roman"/>
          <w:i/>
        </w:rPr>
        <w:t>McKinney v. University of Guelph</w:t>
      </w:r>
      <w:r w:rsidRPr="00816F89">
        <w:rPr>
          <w:rFonts w:cs="Times New Roman"/>
        </w:rPr>
        <w:t>, [1990] 3 S.C.R. 229, at pp. 261-63). The state would be forced to justify, under s. 1, any decision not to provide protection to a group or not to extend a protection to every individual.</w:t>
      </w:r>
    </w:p>
    <w:p w14:paraId="358C0775" w14:textId="77777777" w:rsidR="00816F89" w:rsidRPr="00816F89" w:rsidRDefault="00816F89" w:rsidP="00816F89">
      <w:pPr>
        <w:pStyle w:val="ParaNoNdepar-AltN"/>
        <w:rPr>
          <w:rFonts w:cs="Times New Roman"/>
          <w:lang w:val="en-US"/>
        </w:rPr>
      </w:pPr>
      <w:r w:rsidRPr="00816F89">
        <w:rPr>
          <w:rFonts w:cs="Times New Roman"/>
          <w:lang w:val="en-US"/>
        </w:rPr>
        <w:t xml:space="preserve">The </w:t>
      </w:r>
      <w:r w:rsidRPr="00816F89">
        <w:rPr>
          <w:rFonts w:cs="Times New Roman"/>
          <w:i/>
          <w:lang w:val="en-US"/>
        </w:rPr>
        <w:t>Dunmore</w:t>
      </w:r>
      <w:r w:rsidRPr="00816F89">
        <w:rPr>
          <w:rFonts w:cs="Times New Roman"/>
          <w:lang w:val="en-US"/>
        </w:rPr>
        <w:t xml:space="preserve"> framework was specifically designed to take into account the absence of direct state action giving rise to the infringement in the case of positive claims. </w:t>
      </w:r>
      <w:r w:rsidRPr="00816F89">
        <w:rPr>
          <w:rFonts w:cs="Times New Roman"/>
        </w:rPr>
        <w:t xml:space="preserve">In </w:t>
      </w:r>
      <w:r w:rsidRPr="00816F89">
        <w:rPr>
          <w:rFonts w:cs="Times New Roman"/>
          <w:i/>
        </w:rPr>
        <w:t>Dunmore</w:t>
      </w:r>
      <w:r w:rsidRPr="00816F89">
        <w:rPr>
          <w:rFonts w:cs="Times New Roman"/>
        </w:rPr>
        <w:t>, agricultural workers challenged the constitutionality of their exclusion from Ontario’s labour relations regime. There was clear evidence of infringement of the freedom of association of the agricultural workers, but these violations were caused by private employers, not by any direct state action. The agricultural workers were legally free to associate. No government law or state action prevented them from combining in groups and making collective representations to an employer or from refusing to work without an acceptable contract, and no state action as such had the effect of impeding association. What precluded association was the fact that the private employers were free to refuse to bargain with them, to not hire unionized employees or to terminate striking workers in the absence of legislation protecting these activities, as they are protected for the majority of unionized workers in Ontario.</w:t>
      </w:r>
    </w:p>
    <w:p w14:paraId="5806F67C" w14:textId="77777777" w:rsidR="00816F89" w:rsidRPr="00816F89" w:rsidRDefault="00816F89" w:rsidP="00816F89">
      <w:pPr>
        <w:pStyle w:val="ParaNoNdepar-AltN"/>
        <w:rPr>
          <w:rFonts w:cs="Times New Roman"/>
          <w:lang w:val="en-US"/>
        </w:rPr>
      </w:pPr>
      <w:r w:rsidRPr="00816F89">
        <w:rPr>
          <w:rFonts w:cs="Times New Roman"/>
          <w:lang w:val="en-US"/>
        </w:rPr>
        <w:t xml:space="preserve">The majority in </w:t>
      </w:r>
      <w:r w:rsidRPr="00816F89">
        <w:rPr>
          <w:rFonts w:cs="Times New Roman"/>
          <w:i/>
          <w:lang w:val="en-US"/>
        </w:rPr>
        <w:t>Dunmore</w:t>
      </w:r>
      <w:r w:rsidRPr="00816F89">
        <w:rPr>
          <w:rFonts w:cs="Times New Roman"/>
          <w:lang w:val="en-US"/>
        </w:rPr>
        <w:t xml:space="preserve"> recognized that there is no “constitutional right to protective legislation </w:t>
      </w:r>
      <w:r w:rsidRPr="00816F89">
        <w:rPr>
          <w:rFonts w:cs="Times New Roman"/>
          <w:i/>
          <w:lang w:val="en-US"/>
        </w:rPr>
        <w:t>per se</w:t>
      </w:r>
      <w:r w:rsidRPr="00816F89">
        <w:rPr>
          <w:rFonts w:cs="Times New Roman"/>
          <w:lang w:val="en-US"/>
        </w:rPr>
        <w:t xml:space="preserve">”, but that “legislation that is </w:t>
      </w:r>
      <w:r w:rsidRPr="00816F89">
        <w:rPr>
          <w:rFonts w:cs="Times New Roman"/>
          <w:u w:val="single"/>
          <w:lang w:val="en-US"/>
        </w:rPr>
        <w:t>underinclusive</w:t>
      </w:r>
      <w:r w:rsidRPr="00816F89">
        <w:rPr>
          <w:rFonts w:cs="Times New Roman"/>
          <w:lang w:val="en-US"/>
        </w:rPr>
        <w:t xml:space="preserve"> may, in unique contexts, substantially impact the exercise of a constitutional freedom” (para. 22 (emphasis in original)). The three-step framework established in </w:t>
      </w:r>
      <w:r w:rsidRPr="00816F89">
        <w:rPr>
          <w:rFonts w:cs="Times New Roman"/>
          <w:i/>
          <w:lang w:val="en-US"/>
        </w:rPr>
        <w:t>Dunmore</w:t>
      </w:r>
      <w:r w:rsidRPr="00816F89">
        <w:rPr>
          <w:rFonts w:cs="Times New Roman"/>
          <w:lang w:val="en-US"/>
        </w:rPr>
        <w:t xml:space="preserve"> was </w:t>
      </w:r>
      <w:r w:rsidRPr="00816F89">
        <w:rPr>
          <w:rFonts w:cs="Times New Roman"/>
        </w:rPr>
        <w:t xml:space="preserve">designed in order to identify those exceptional circumstances where legislative intervention is required despite the absence of direct state action. </w:t>
      </w:r>
    </w:p>
    <w:p w14:paraId="1E2ACADD" w14:textId="77777777" w:rsidR="00816F89" w:rsidRPr="00816F89" w:rsidRDefault="00816F89" w:rsidP="00816F89">
      <w:pPr>
        <w:pStyle w:val="ParaNoNdepar-AltN"/>
        <w:rPr>
          <w:rFonts w:cs="Times New Roman"/>
        </w:rPr>
      </w:pPr>
      <w:r w:rsidRPr="00816F89">
        <w:rPr>
          <w:rFonts w:cs="Times New Roman"/>
        </w:rPr>
        <w:t xml:space="preserve">Under this framework, it remains part of the test to demonstrate that the freedom of association has been substantially impeded by the exclusion from the protective legislation. However, the claimant </w:t>
      </w:r>
      <w:r w:rsidRPr="00816F89">
        <w:rPr>
          <w:rFonts w:cs="Times New Roman"/>
          <w:i/>
        </w:rPr>
        <w:t>also</w:t>
      </w:r>
      <w:r w:rsidRPr="00816F89">
        <w:rPr>
          <w:rFonts w:cs="Times New Roman"/>
        </w:rPr>
        <w:t xml:space="preserve"> has the burden of demonstrating that the claim is grounded in fundamental </w:t>
      </w:r>
      <w:r w:rsidRPr="00816F89">
        <w:rPr>
          <w:rFonts w:cs="Times New Roman"/>
          <w:i/>
        </w:rPr>
        <w:t>Charter</w:t>
      </w:r>
      <w:r w:rsidRPr="00816F89">
        <w:rPr>
          <w:rFonts w:cs="Times New Roman"/>
        </w:rPr>
        <w:t xml:space="preserve"> freedoms rather than in access to a particular statutory regime and, more importantly, that the state can be held accountable in some ways for the inability to exercise these fundamental freedoms. The contribution of private actors to a violation is part of the factual context in which the review takes place but cannot in itself justify the imposition of a positive obligation on the state. Thus, this framework is particularly important in order to distinguish cases where the intervention of the state is warranted. Even where a claimant can establish that their freedom to organize has been substantially impeded, it is still incumbent on them to </w:t>
      </w:r>
      <w:r w:rsidRPr="00816F89">
        <w:rPr>
          <w:rFonts w:cs="Times New Roman"/>
          <w:i/>
        </w:rPr>
        <w:t>link</w:t>
      </w:r>
      <w:r w:rsidRPr="00816F89">
        <w:rPr>
          <w:rFonts w:cs="Times New Roman"/>
        </w:rPr>
        <w:t xml:space="preserve"> this impediment to the state, not just to private action (</w:t>
      </w:r>
      <w:r w:rsidRPr="00816F89">
        <w:rPr>
          <w:rFonts w:cs="Times New Roman"/>
          <w:i/>
        </w:rPr>
        <w:t>Dunmore</w:t>
      </w:r>
      <w:r w:rsidRPr="00816F89">
        <w:rPr>
          <w:rFonts w:cs="Times New Roman"/>
        </w:rPr>
        <w:t xml:space="preserve">, at paras. </w:t>
      </w:r>
      <w:r w:rsidRPr="00816F89">
        <w:rPr>
          <w:rFonts w:cs="Times New Roman"/>
          <w:lang w:val="fr-CA"/>
        </w:rPr>
        <w:t xml:space="preserve">26 and 43; see also </w:t>
      </w:r>
      <w:r w:rsidRPr="00816F89">
        <w:rPr>
          <w:rFonts w:cs="Times New Roman"/>
          <w:i/>
          <w:lang w:val="fr-CA"/>
        </w:rPr>
        <w:t>Congrégation des témoins de Jéhovah de St-Jérôme-Lafontaine v. Lafontaine (Village)</w:t>
      </w:r>
      <w:r w:rsidRPr="00816F89">
        <w:rPr>
          <w:rFonts w:cs="Times New Roman"/>
          <w:lang w:val="fr-CA"/>
        </w:rPr>
        <w:t xml:space="preserve">, 2004 SCC 48, [2004] 2 S.C.R. 650, at para. </w:t>
      </w:r>
      <w:r w:rsidRPr="00816F89">
        <w:rPr>
          <w:rFonts w:cs="Times New Roman"/>
          <w:lang w:val="en-US"/>
        </w:rPr>
        <w:t>78, per LeBel J., dissenting; Brun, Tremblay and Brouillet, at para. XII-5.40).</w:t>
      </w:r>
    </w:p>
    <w:p w14:paraId="6AB555A0" w14:textId="77777777" w:rsidR="00816F89" w:rsidRPr="00816F89" w:rsidRDefault="00816F89" w:rsidP="00816F89">
      <w:pPr>
        <w:pStyle w:val="ParaNoNdepar-AltN"/>
        <w:rPr>
          <w:rFonts w:cs="Times New Roman"/>
        </w:rPr>
      </w:pPr>
      <w:r w:rsidRPr="00816F89">
        <w:rPr>
          <w:rFonts w:cs="Times New Roman"/>
        </w:rPr>
        <w:t xml:space="preserve">This link to the state can be established by the demonstration of the vulnerability of the claimant group. In </w:t>
      </w:r>
      <w:r w:rsidRPr="00816F89">
        <w:rPr>
          <w:rFonts w:cs="Times New Roman"/>
          <w:i/>
        </w:rPr>
        <w:t>Dunmore</w:t>
      </w:r>
      <w:r w:rsidRPr="00816F89">
        <w:rPr>
          <w:rFonts w:cs="Times New Roman"/>
        </w:rPr>
        <w:t>, the agricultural workers established that they were substantially incapable of exercising their constitutional freedom to associate without the assistance of the state. The conditions of the agricultural workers were reinforced by their exclusion from the labour relations scheme. They established that their exclusion, essentially, placed a chilling effect on any non-statutory union activity. In the absence of a framework focused on the state’s responsibility, s. 2(d) could be misused to further the position of the relatively privileged (</w:t>
      </w:r>
      <w:r w:rsidRPr="00816F89">
        <w:rPr>
          <w:rFonts w:cs="Times New Roman"/>
          <w:i/>
        </w:rPr>
        <w:t>Dunmore</w:t>
      </w:r>
      <w:r w:rsidRPr="00816F89">
        <w:rPr>
          <w:rFonts w:cs="Times New Roman"/>
        </w:rPr>
        <w:t>, at paras. 39 and 43-45).</w:t>
      </w:r>
    </w:p>
    <w:p w14:paraId="49A2D70E" w14:textId="77777777" w:rsidR="00816F89" w:rsidRPr="00816F89" w:rsidRDefault="00816F89" w:rsidP="00816F89">
      <w:pPr>
        <w:pStyle w:val="Title2LevelTitre2Niveau"/>
        <w:jc w:val="both"/>
        <w:rPr>
          <w:rFonts w:cs="Times New Roman"/>
        </w:rPr>
      </w:pPr>
      <w:r w:rsidRPr="00816F89">
        <w:rPr>
          <w:rFonts w:cs="Times New Roman"/>
        </w:rPr>
        <w:t>Separation of Powers</w:t>
      </w:r>
    </w:p>
    <w:p w14:paraId="07211E90" w14:textId="77777777" w:rsidR="00816F89" w:rsidRPr="00816F89" w:rsidRDefault="00816F89" w:rsidP="00816F89">
      <w:pPr>
        <w:pStyle w:val="ParaNoNdepar-AltN"/>
        <w:rPr>
          <w:rFonts w:cs="Times New Roman"/>
        </w:rPr>
      </w:pPr>
      <w:r w:rsidRPr="00816F89">
        <w:rPr>
          <w:rFonts w:cs="Times New Roman"/>
        </w:rPr>
        <w:t>Positive claims also raise unique concerns about the separation of powers. Choices about who to grant further protection to, and the mechanisms by which this is given effect, rest with the legislature (</w:t>
      </w:r>
      <w:r w:rsidRPr="00816F89">
        <w:rPr>
          <w:rFonts w:cs="Times New Roman"/>
          <w:i/>
        </w:rPr>
        <w:t>Toronto (City)</w:t>
      </w:r>
      <w:r w:rsidRPr="00816F89">
        <w:rPr>
          <w:rFonts w:cs="Times New Roman"/>
        </w:rPr>
        <w:t xml:space="preserve">, at para. 19). As emphasized by the majority in </w:t>
      </w:r>
      <w:r w:rsidRPr="00816F89">
        <w:rPr>
          <w:rFonts w:cs="Times New Roman"/>
          <w:i/>
        </w:rPr>
        <w:t>Dunmore</w:t>
      </w:r>
      <w:r w:rsidRPr="00816F89">
        <w:rPr>
          <w:rFonts w:cs="Times New Roman"/>
        </w:rPr>
        <w:t xml:space="preserve">, “by ‘dipping its toe in the water’, and affording or enhancing the rights of some”, the government is not obliged to “go all the way and ensure the enjoyment of rights by all” (para. 22, quoting </w:t>
      </w:r>
      <w:r w:rsidRPr="00816F89">
        <w:rPr>
          <w:rFonts w:cs="Times New Roman"/>
          <w:i/>
        </w:rPr>
        <w:t>Dunmore v. Ontario (Attorney General)</w:t>
      </w:r>
      <w:r w:rsidRPr="00816F89">
        <w:rPr>
          <w:rFonts w:cs="Times New Roman"/>
        </w:rPr>
        <w:t xml:space="preserve"> (1997), 155 D.L.R. (4th) 193 (Ont. C.J. (Gen. Div.)), at p. 207). The fact that a regime aims to safeguard a fundamental freedom does not mean, in itself, that exclusion from that regime automatically gives rise to a </w:t>
      </w:r>
      <w:r w:rsidRPr="00816F89">
        <w:rPr>
          <w:rFonts w:cs="Times New Roman"/>
          <w:i/>
        </w:rPr>
        <w:t>Charter</w:t>
      </w:r>
      <w:r w:rsidRPr="00816F89">
        <w:rPr>
          <w:rFonts w:cs="Times New Roman"/>
        </w:rPr>
        <w:t xml:space="preserve"> violation (para. 39). </w:t>
      </w:r>
    </w:p>
    <w:p w14:paraId="1C9E3210" w14:textId="77777777" w:rsidR="00816F89" w:rsidRPr="00816F89" w:rsidRDefault="00816F89" w:rsidP="00816F89">
      <w:pPr>
        <w:pStyle w:val="ParaNoNdepar-AltN"/>
        <w:rPr>
          <w:rFonts w:cs="Times New Roman"/>
        </w:rPr>
      </w:pPr>
      <w:r w:rsidRPr="00816F89">
        <w:rPr>
          <w:rFonts w:cs="Times New Roman"/>
        </w:rPr>
        <w:t xml:space="preserve">It is not the proper role of the Court to confer constitutional status on a particular statutory regime. Labour relations regimes are a policy choice, designed to promote labour peace and bring certainty to the employment relationship, but they are not a constitutional imperative (see </w:t>
      </w:r>
      <w:r w:rsidRPr="00816F89">
        <w:rPr>
          <w:rFonts w:cs="Times New Roman"/>
          <w:i/>
        </w:rPr>
        <w:t>Dunmore</w:t>
      </w:r>
      <w:r w:rsidRPr="00816F89">
        <w:rPr>
          <w:rFonts w:cs="Times New Roman"/>
        </w:rPr>
        <w:t xml:space="preserve">, at para. 24; </w:t>
      </w:r>
      <w:r w:rsidRPr="00816F89">
        <w:rPr>
          <w:rFonts w:cs="Times New Roman"/>
          <w:i/>
        </w:rPr>
        <w:t>Haig</w:t>
      </w:r>
      <w:r w:rsidRPr="00816F89">
        <w:rPr>
          <w:rFonts w:cs="Times New Roman"/>
        </w:rPr>
        <w:t xml:space="preserve">, at p. 1041). While the Court may strike down legislation considered incompatible with a </w:t>
      </w:r>
      <w:r w:rsidRPr="00816F89">
        <w:rPr>
          <w:rFonts w:cs="Times New Roman"/>
          <w:i/>
        </w:rPr>
        <w:t>Charter</w:t>
      </w:r>
      <w:r w:rsidRPr="00816F89">
        <w:rPr>
          <w:rFonts w:cs="Times New Roman"/>
        </w:rPr>
        <w:t xml:space="preserve"> provision, the “Court is not in a position to enact such detailed legislation, nor to confer constitutional status on a particular statutory regime” (</w:t>
      </w:r>
      <w:r w:rsidRPr="00816F89">
        <w:rPr>
          <w:rFonts w:cs="Times New Roman"/>
          <w:i/>
        </w:rPr>
        <w:t>Dunmore</w:t>
      </w:r>
      <w:r w:rsidRPr="00816F89">
        <w:rPr>
          <w:rFonts w:cs="Times New Roman"/>
        </w:rPr>
        <w:t xml:space="preserve">, at para. 66; see also Langille and Oliphant, at p. 271). As the majority of this Court underlined in </w:t>
      </w:r>
      <w:r w:rsidRPr="00816F89">
        <w:rPr>
          <w:rFonts w:cs="Times New Roman"/>
          <w:i/>
        </w:rPr>
        <w:t>Toronto (City)</w:t>
      </w:r>
      <w:r w:rsidRPr="00816F89">
        <w:rPr>
          <w:rFonts w:cs="Times New Roman"/>
        </w:rPr>
        <w:t xml:space="preserve">, “choices about whether and how to design a statutory or regulatory platform are best left to the elected orders of the state” (para. 19; see also </w:t>
      </w:r>
      <w:r w:rsidRPr="00816F89">
        <w:rPr>
          <w:rFonts w:cs="Times New Roman"/>
          <w:i/>
        </w:rPr>
        <w:t>McKinney</w:t>
      </w:r>
      <w:r w:rsidRPr="00816F89">
        <w:rPr>
          <w:rFonts w:cs="Times New Roman"/>
        </w:rPr>
        <w:t xml:space="preserve">, at p. 263). Thus, the elevated evidentiary threshold provided in the </w:t>
      </w:r>
      <w:r w:rsidRPr="00816F89">
        <w:rPr>
          <w:rFonts w:cs="Times New Roman"/>
          <w:i/>
        </w:rPr>
        <w:t>Dunmore</w:t>
      </w:r>
      <w:r w:rsidRPr="00816F89">
        <w:rPr>
          <w:rFonts w:cs="Times New Roman"/>
        </w:rPr>
        <w:t xml:space="preserve"> framework ensures that the adjudication of positive claims respects the separation of powers.</w:t>
      </w:r>
    </w:p>
    <w:p w14:paraId="7BF348AE" w14:textId="77777777" w:rsidR="00816F89" w:rsidRPr="00816F89" w:rsidRDefault="00816F89" w:rsidP="00816F89">
      <w:pPr>
        <w:pStyle w:val="Title1LevelTitre1Niveau-AltL"/>
        <w:jc w:val="both"/>
        <w:rPr>
          <w:rFonts w:cs="Times New Roman"/>
        </w:rPr>
      </w:pPr>
      <w:r w:rsidRPr="00816F89">
        <w:rPr>
          <w:rFonts w:cs="Times New Roman"/>
        </w:rPr>
        <w:t>Conclusion</w:t>
      </w:r>
    </w:p>
    <w:p w14:paraId="3F38363E" w14:textId="77777777" w:rsidR="00816F89" w:rsidRPr="00816F89" w:rsidRDefault="00816F89" w:rsidP="00816F89">
      <w:pPr>
        <w:pStyle w:val="ParaNoNdepar-AltN"/>
        <w:rPr>
          <w:rFonts w:cs="Times New Roman"/>
        </w:rPr>
      </w:pPr>
      <w:r w:rsidRPr="00816F89">
        <w:rPr>
          <w:rFonts w:cs="Times New Roman"/>
        </w:rPr>
        <w:t xml:space="preserve">I believe that my reasons answer the question left open in </w:t>
      </w:r>
      <w:r w:rsidRPr="00816F89">
        <w:rPr>
          <w:rFonts w:cs="Times New Roman"/>
          <w:i/>
        </w:rPr>
        <w:t>Toronto (City)</w:t>
      </w:r>
      <w:r w:rsidRPr="00816F89">
        <w:rPr>
          <w:rFonts w:cs="Times New Roman"/>
        </w:rPr>
        <w:t xml:space="preserve">, and I am left with the conclusion that the </w:t>
      </w:r>
      <w:r w:rsidRPr="00816F89">
        <w:rPr>
          <w:rFonts w:cs="Times New Roman"/>
          <w:i/>
        </w:rPr>
        <w:t>Dunmore</w:t>
      </w:r>
      <w:r w:rsidRPr="00816F89">
        <w:rPr>
          <w:rFonts w:cs="Times New Roman"/>
        </w:rPr>
        <w:t xml:space="preserve"> framework must be maintained to assess positive claims.</w:t>
      </w:r>
    </w:p>
    <w:p w14:paraId="6A85CC40" w14:textId="77777777" w:rsidR="00816F89" w:rsidRPr="00816F89" w:rsidRDefault="00816F89" w:rsidP="00816F89">
      <w:pPr>
        <w:pStyle w:val="ParaNoNdepar-AltN"/>
        <w:rPr>
          <w:rFonts w:cs="Times New Roman"/>
          <w:lang w:val="en-US"/>
        </w:rPr>
      </w:pPr>
      <w:r w:rsidRPr="00816F89">
        <w:rPr>
          <w:rFonts w:cs="Times New Roman"/>
        </w:rPr>
        <w:t>While s. 2(d) can require positive actions from the state in order to make the freedom to organize meaningful, claims of this nature must be analyzed under a distinct framework that takes into account the nature of this fundamental freedom, the necessary link to state action, and the separation of powers.</w:t>
      </w:r>
    </w:p>
    <w:p w14:paraId="4627A0FE" w14:textId="77777777" w:rsidR="00816F89" w:rsidRPr="00816F89" w:rsidRDefault="00816F89" w:rsidP="00816F89">
      <w:pPr>
        <w:pStyle w:val="TitleTitre-AltT"/>
        <w:jc w:val="center"/>
        <w:rPr>
          <w:rFonts w:cs="Times New Roman"/>
          <w:b/>
          <w:szCs w:val="24"/>
        </w:rPr>
      </w:pPr>
      <w:r w:rsidRPr="00816F89">
        <w:rPr>
          <w:rFonts w:cs="Times New Roman"/>
        </w:rPr>
        <w:br w:type="page"/>
      </w:r>
      <w:bookmarkStart w:id="37" w:name="_Toc162942354"/>
      <w:r w:rsidRPr="00816F89">
        <w:rPr>
          <w:rFonts w:cs="Times New Roman"/>
          <w:b/>
          <w:szCs w:val="24"/>
        </w:rPr>
        <w:t>APPENDIX</w:t>
      </w:r>
      <w:bookmarkEnd w:id="37"/>
    </w:p>
    <w:p w14:paraId="7957FE0C" w14:textId="77777777" w:rsidR="00816F89" w:rsidRPr="00816F89" w:rsidRDefault="00816F89" w:rsidP="00816F89">
      <w:pPr>
        <w:pStyle w:val="TitleTitre-AltT"/>
        <w:jc w:val="center"/>
        <w:rPr>
          <w:rFonts w:cs="Times New Roman"/>
          <w:szCs w:val="24"/>
          <w:u w:val="single"/>
        </w:rPr>
      </w:pPr>
      <w:bookmarkStart w:id="38" w:name="_Toc162942355"/>
      <w:r w:rsidRPr="00816F89">
        <w:rPr>
          <w:rFonts w:cs="Times New Roman"/>
          <w:szCs w:val="24"/>
          <w:u w:val="single"/>
        </w:rPr>
        <w:t>Relevant Constitutional and Statutory Provisions</w:t>
      </w:r>
      <w:bookmarkEnd w:id="38"/>
    </w:p>
    <w:p w14:paraId="3FBA0107" w14:textId="77777777" w:rsidR="00816F89" w:rsidRPr="00816F89" w:rsidRDefault="00816F89" w:rsidP="00816F89">
      <w:pPr>
        <w:spacing w:after="240"/>
        <w:jc w:val="both"/>
        <w:rPr>
          <w:szCs w:val="24"/>
        </w:rPr>
      </w:pPr>
      <w:r w:rsidRPr="00816F89">
        <w:rPr>
          <w:i/>
          <w:szCs w:val="24"/>
        </w:rPr>
        <w:t>Canadian Charter of Rights and Freedoms</w:t>
      </w:r>
    </w:p>
    <w:p w14:paraId="5DC64E52" w14:textId="77777777" w:rsidR="00816F89" w:rsidRPr="00816F89" w:rsidRDefault="00816F89" w:rsidP="00816F89">
      <w:pPr>
        <w:spacing w:after="240"/>
        <w:jc w:val="both"/>
        <w:rPr>
          <w:b/>
          <w:bCs/>
          <w:szCs w:val="24"/>
        </w:rPr>
      </w:pPr>
      <w:r w:rsidRPr="00816F89">
        <w:rPr>
          <w:b/>
          <w:bCs/>
          <w:szCs w:val="24"/>
          <w:lang w:val="en-US" w:eastAsia="en-US" w:bidi="en-US"/>
        </w:rPr>
        <w:t>Rights and freedoms in Canada</w:t>
      </w:r>
    </w:p>
    <w:p w14:paraId="1BB78565" w14:textId="77777777" w:rsidR="00816F89" w:rsidRPr="00816F89" w:rsidRDefault="00816F89" w:rsidP="00816F89">
      <w:pPr>
        <w:spacing w:after="240"/>
        <w:jc w:val="both"/>
        <w:rPr>
          <w:b/>
          <w:bCs/>
          <w:szCs w:val="24"/>
        </w:rPr>
      </w:pPr>
      <w:r w:rsidRPr="00816F89">
        <w:rPr>
          <w:b/>
          <w:bCs/>
          <w:szCs w:val="24"/>
        </w:rPr>
        <w:t xml:space="preserve">1 </w:t>
      </w:r>
      <w:r w:rsidRPr="00816F89">
        <w:rPr>
          <w:bCs/>
          <w:szCs w:val="24"/>
          <w:lang w:val="en-US" w:eastAsia="en-US" w:bidi="en-US"/>
        </w:rPr>
        <w:t xml:space="preserve">The </w:t>
      </w:r>
      <w:r w:rsidRPr="00816F89">
        <w:rPr>
          <w:bCs/>
          <w:i/>
          <w:iCs/>
          <w:szCs w:val="24"/>
          <w:lang w:val="en-US" w:eastAsia="en-US" w:bidi="en-US"/>
        </w:rPr>
        <w:t>Canadian Charter of Rights and Freedoms</w:t>
      </w:r>
      <w:r w:rsidRPr="00816F89">
        <w:rPr>
          <w:bCs/>
          <w:szCs w:val="24"/>
          <w:lang w:val="en-US" w:eastAsia="en-US" w:bidi="en-US"/>
        </w:rPr>
        <w:t xml:space="preserve"> guarantees the rights and freedoms set out in it subject only to such reasonable limits prescribed by law as can be demonstrably justified in a free and democratic society.</w:t>
      </w:r>
    </w:p>
    <w:p w14:paraId="6A8532DB" w14:textId="77777777" w:rsidR="00816F89" w:rsidRPr="00816F89" w:rsidRDefault="00816F89" w:rsidP="00816F89">
      <w:pPr>
        <w:spacing w:after="240"/>
        <w:jc w:val="both"/>
        <w:rPr>
          <w:b/>
          <w:bCs/>
          <w:szCs w:val="24"/>
        </w:rPr>
      </w:pPr>
      <w:r w:rsidRPr="00816F89">
        <w:rPr>
          <w:b/>
          <w:bCs/>
          <w:szCs w:val="24"/>
        </w:rPr>
        <w:t>Fundamental freedoms</w:t>
      </w:r>
    </w:p>
    <w:p w14:paraId="12FCDA1F" w14:textId="77777777" w:rsidR="00816F89" w:rsidRPr="00816F89" w:rsidRDefault="00816F89" w:rsidP="00816F89">
      <w:pPr>
        <w:spacing w:after="240"/>
        <w:jc w:val="both"/>
        <w:rPr>
          <w:szCs w:val="24"/>
        </w:rPr>
      </w:pPr>
      <w:r w:rsidRPr="00816F89">
        <w:rPr>
          <w:b/>
          <w:bCs/>
          <w:szCs w:val="24"/>
        </w:rPr>
        <w:t>2</w:t>
      </w:r>
      <w:r w:rsidRPr="00816F89">
        <w:rPr>
          <w:szCs w:val="24"/>
        </w:rPr>
        <w:t> </w:t>
      </w:r>
      <w:r w:rsidRPr="00816F89">
        <w:rPr>
          <w:szCs w:val="24"/>
          <w:lang w:val="en-US" w:eastAsia="en-US" w:bidi="en-US"/>
        </w:rPr>
        <w:t>Everyone has the following fundamental freedoms:</w:t>
      </w:r>
    </w:p>
    <w:p w14:paraId="09489395" w14:textId="77777777" w:rsidR="00816F89" w:rsidRPr="00816F89" w:rsidRDefault="00816F89" w:rsidP="00816F89">
      <w:pPr>
        <w:spacing w:after="240"/>
        <w:ind w:firstLine="720"/>
        <w:jc w:val="both"/>
        <w:rPr>
          <w:szCs w:val="24"/>
        </w:rPr>
      </w:pPr>
      <w:r w:rsidRPr="00816F89">
        <w:rPr>
          <w:b/>
          <w:bCs/>
          <w:szCs w:val="24"/>
        </w:rPr>
        <w:t>(a)</w:t>
      </w:r>
      <w:r w:rsidRPr="00816F89">
        <w:rPr>
          <w:szCs w:val="24"/>
        </w:rPr>
        <w:t> </w:t>
      </w:r>
      <w:r w:rsidRPr="00816F89">
        <w:rPr>
          <w:szCs w:val="24"/>
          <w:lang w:val="en-US" w:eastAsia="en-US" w:bidi="en-US"/>
        </w:rPr>
        <w:t>freedom of conscience and religion;</w:t>
      </w:r>
    </w:p>
    <w:p w14:paraId="40527712" w14:textId="77777777" w:rsidR="00816F89" w:rsidRPr="00816F89" w:rsidRDefault="00816F89" w:rsidP="00816F89">
      <w:pPr>
        <w:spacing w:after="240"/>
        <w:ind w:left="720"/>
        <w:jc w:val="both"/>
        <w:rPr>
          <w:szCs w:val="24"/>
        </w:rPr>
      </w:pPr>
      <w:r w:rsidRPr="00816F89">
        <w:rPr>
          <w:b/>
          <w:bCs/>
          <w:szCs w:val="24"/>
        </w:rPr>
        <w:t>(b)</w:t>
      </w:r>
      <w:r w:rsidRPr="00816F89">
        <w:rPr>
          <w:szCs w:val="24"/>
        </w:rPr>
        <w:t> </w:t>
      </w:r>
      <w:r w:rsidRPr="00816F89">
        <w:rPr>
          <w:szCs w:val="24"/>
          <w:lang w:val="en-US" w:eastAsia="en-US" w:bidi="en-US"/>
        </w:rPr>
        <w:t>freedom of thought, belief, opinion and expression, including freedom of the press and other media of communication;</w:t>
      </w:r>
    </w:p>
    <w:p w14:paraId="36AED35E" w14:textId="77777777" w:rsidR="00816F89" w:rsidRPr="00816F89" w:rsidRDefault="00816F89" w:rsidP="00816F89">
      <w:pPr>
        <w:spacing w:after="240"/>
        <w:ind w:firstLine="720"/>
        <w:jc w:val="both"/>
        <w:rPr>
          <w:szCs w:val="24"/>
        </w:rPr>
      </w:pPr>
      <w:r w:rsidRPr="00816F89">
        <w:rPr>
          <w:b/>
          <w:bCs/>
          <w:szCs w:val="24"/>
        </w:rPr>
        <w:t>(c)</w:t>
      </w:r>
      <w:r w:rsidRPr="00816F89">
        <w:rPr>
          <w:szCs w:val="24"/>
        </w:rPr>
        <w:t> </w:t>
      </w:r>
      <w:r w:rsidRPr="00816F89">
        <w:rPr>
          <w:szCs w:val="24"/>
          <w:lang w:val="en-US" w:eastAsia="en-US" w:bidi="en-US"/>
        </w:rPr>
        <w:t>freedom of peaceful assembly; and</w:t>
      </w:r>
    </w:p>
    <w:p w14:paraId="6BEF9137" w14:textId="77777777" w:rsidR="00816F89" w:rsidRPr="00816F89" w:rsidRDefault="00816F89" w:rsidP="00816F89">
      <w:pPr>
        <w:spacing w:after="240"/>
        <w:ind w:firstLine="720"/>
        <w:jc w:val="both"/>
        <w:rPr>
          <w:szCs w:val="24"/>
        </w:rPr>
      </w:pPr>
      <w:r w:rsidRPr="00816F89">
        <w:rPr>
          <w:b/>
          <w:bCs/>
          <w:szCs w:val="24"/>
        </w:rPr>
        <w:t>(d)</w:t>
      </w:r>
      <w:r w:rsidRPr="00816F89">
        <w:rPr>
          <w:szCs w:val="24"/>
        </w:rPr>
        <w:t> </w:t>
      </w:r>
      <w:r w:rsidRPr="00816F89">
        <w:rPr>
          <w:szCs w:val="24"/>
          <w:lang w:val="en-US" w:eastAsia="en-US" w:bidi="en-US"/>
        </w:rPr>
        <w:t>freedom of association.</w:t>
      </w:r>
    </w:p>
    <w:p w14:paraId="60A2E38A" w14:textId="77777777" w:rsidR="00816F89" w:rsidRPr="00816F89" w:rsidRDefault="00816F89" w:rsidP="00816F89">
      <w:pPr>
        <w:spacing w:after="240"/>
        <w:jc w:val="both"/>
        <w:rPr>
          <w:b/>
          <w:szCs w:val="24"/>
        </w:rPr>
      </w:pPr>
      <w:r w:rsidRPr="00816F89">
        <w:rPr>
          <w:b/>
          <w:szCs w:val="24"/>
          <w:lang w:val="en-US" w:eastAsia="en-US" w:bidi="en-US"/>
        </w:rPr>
        <w:t>Enforcement of guaranteed rights and freedoms</w:t>
      </w:r>
    </w:p>
    <w:p w14:paraId="64000903" w14:textId="77777777" w:rsidR="00816F89" w:rsidRPr="00816F89" w:rsidRDefault="00816F89" w:rsidP="00816F89">
      <w:pPr>
        <w:spacing w:after="240"/>
        <w:jc w:val="both"/>
        <w:rPr>
          <w:szCs w:val="24"/>
        </w:rPr>
      </w:pPr>
      <w:r w:rsidRPr="00816F89">
        <w:rPr>
          <w:b/>
          <w:szCs w:val="24"/>
        </w:rPr>
        <w:t>24 (1)</w:t>
      </w:r>
      <w:r w:rsidRPr="00816F89">
        <w:rPr>
          <w:szCs w:val="24"/>
        </w:rPr>
        <w:t xml:space="preserve"> </w:t>
      </w:r>
      <w:r w:rsidRPr="00816F89">
        <w:rPr>
          <w:szCs w:val="24"/>
          <w:lang w:val="en-US" w:eastAsia="en-US" w:bidi="en-US"/>
        </w:rPr>
        <w:t>Anyone whose rights or freedoms, as guaranteed by this Charter, have been infringed or denied may apply to a court of competent jurisdiction to obtain such remedy as the court considers appropriate and just in the circumstances.</w:t>
      </w:r>
    </w:p>
    <w:p w14:paraId="706696CC" w14:textId="77777777" w:rsidR="00816F89" w:rsidRPr="00816F89" w:rsidRDefault="00816F89" w:rsidP="00816F89">
      <w:pPr>
        <w:spacing w:after="240"/>
        <w:jc w:val="both"/>
        <w:rPr>
          <w:i/>
          <w:szCs w:val="24"/>
        </w:rPr>
      </w:pPr>
    </w:p>
    <w:p w14:paraId="2AB400BA" w14:textId="77777777" w:rsidR="00816F89" w:rsidRPr="00816F89" w:rsidRDefault="00816F89" w:rsidP="00816F89">
      <w:pPr>
        <w:spacing w:after="240"/>
        <w:jc w:val="both"/>
        <w:rPr>
          <w:szCs w:val="24"/>
        </w:rPr>
      </w:pPr>
      <w:r w:rsidRPr="00816F89">
        <w:rPr>
          <w:i/>
          <w:szCs w:val="24"/>
          <w:lang w:eastAsia="en-US" w:bidi="en-US"/>
        </w:rPr>
        <w:t>Charter of human rights and freedoms</w:t>
      </w:r>
      <w:r w:rsidRPr="00816F89">
        <w:rPr>
          <w:szCs w:val="24"/>
          <w:lang w:eastAsia="en-US" w:bidi="en-US"/>
        </w:rPr>
        <w:t>, CQLR, c. C</w:t>
      </w:r>
      <w:r w:rsidRPr="00816F89">
        <w:rPr>
          <w:szCs w:val="24"/>
          <w:lang w:eastAsia="en-US" w:bidi="en-US"/>
        </w:rPr>
        <w:noBreakHyphen/>
        <w:t>12</w:t>
      </w:r>
    </w:p>
    <w:p w14:paraId="568CB9B5" w14:textId="77777777" w:rsidR="00816F89" w:rsidRPr="00816F89" w:rsidRDefault="00816F89" w:rsidP="00816F89">
      <w:pPr>
        <w:spacing w:after="240"/>
        <w:jc w:val="both"/>
        <w:rPr>
          <w:szCs w:val="24"/>
        </w:rPr>
      </w:pPr>
      <w:r w:rsidRPr="00816F89">
        <w:rPr>
          <w:b/>
          <w:szCs w:val="24"/>
        </w:rPr>
        <w:t>3.</w:t>
      </w:r>
      <w:r w:rsidRPr="00816F89">
        <w:rPr>
          <w:szCs w:val="24"/>
        </w:rPr>
        <w:t xml:space="preserve"> </w:t>
      </w:r>
      <w:r w:rsidRPr="00816F89">
        <w:rPr>
          <w:szCs w:val="24"/>
          <w:lang w:eastAsia="en-US" w:bidi="en-US"/>
        </w:rPr>
        <w:t>Every person is the possessor of the fundamental freedoms, including freedom of conscience, freedom of religion, freedom of opinion, freedom of expression, freedom of peaceful assembly and freedom of association.</w:t>
      </w:r>
    </w:p>
    <w:p w14:paraId="6FBD424C" w14:textId="77777777" w:rsidR="00816F89" w:rsidRPr="00816F89" w:rsidRDefault="00816F89" w:rsidP="00816F89">
      <w:pPr>
        <w:spacing w:after="240"/>
        <w:jc w:val="both"/>
        <w:rPr>
          <w:szCs w:val="24"/>
        </w:rPr>
      </w:pPr>
      <w:r w:rsidRPr="00816F89">
        <w:rPr>
          <w:b/>
          <w:szCs w:val="24"/>
        </w:rPr>
        <w:t>49.</w:t>
      </w:r>
      <w:r w:rsidRPr="00816F89">
        <w:rPr>
          <w:szCs w:val="24"/>
        </w:rPr>
        <w:t xml:space="preserve"> </w:t>
      </w:r>
      <w:r w:rsidRPr="00816F89">
        <w:rPr>
          <w:szCs w:val="24"/>
          <w:lang w:eastAsia="en-US" w:bidi="en-US"/>
        </w:rPr>
        <w:t>Any unlawful interference with any right or freedom recognized by this Charter entitles the victim to obtain the cessation of such interference and compensation for the moral or material prejudice resulting therefrom.</w:t>
      </w:r>
    </w:p>
    <w:p w14:paraId="4AA54CE1" w14:textId="77777777" w:rsidR="00816F89" w:rsidRPr="00816F89" w:rsidRDefault="00816F89" w:rsidP="00816F89">
      <w:pPr>
        <w:spacing w:after="240"/>
        <w:ind w:firstLine="360"/>
        <w:jc w:val="both"/>
        <w:rPr>
          <w:szCs w:val="24"/>
        </w:rPr>
      </w:pPr>
      <w:r w:rsidRPr="00816F89">
        <w:rPr>
          <w:szCs w:val="24"/>
          <w:lang w:eastAsia="en-US" w:bidi="en-US"/>
        </w:rPr>
        <w:t>In case of unlawful and intentional interference, the tribunal may, in addition, condemn the person guilty of it to punitive damages.</w:t>
      </w:r>
    </w:p>
    <w:p w14:paraId="42832389" w14:textId="77777777" w:rsidR="00816F89" w:rsidRPr="00816F89" w:rsidRDefault="00816F89" w:rsidP="00816F89">
      <w:pPr>
        <w:spacing w:after="240"/>
        <w:jc w:val="both"/>
        <w:rPr>
          <w:szCs w:val="24"/>
        </w:rPr>
      </w:pPr>
      <w:r w:rsidRPr="00816F89">
        <w:rPr>
          <w:b/>
          <w:szCs w:val="24"/>
        </w:rPr>
        <w:t>52.</w:t>
      </w:r>
      <w:r w:rsidRPr="00816F89">
        <w:rPr>
          <w:szCs w:val="24"/>
        </w:rPr>
        <w:t xml:space="preserve"> </w:t>
      </w:r>
      <w:r w:rsidRPr="00816F89">
        <w:rPr>
          <w:szCs w:val="24"/>
          <w:lang w:eastAsia="en-US" w:bidi="en-US"/>
        </w:rPr>
        <w:t>No provision of any Act, even subsequent to the Charter, may derogate from sections 1 to 38, except so far as provided by those sections, unless such Act expressly states that it applies despite the Charter.</w:t>
      </w:r>
    </w:p>
    <w:p w14:paraId="3BF729C5" w14:textId="77777777" w:rsidR="00816F89" w:rsidRPr="00816F89" w:rsidRDefault="00816F89" w:rsidP="00816F89">
      <w:pPr>
        <w:spacing w:after="240"/>
        <w:jc w:val="both"/>
        <w:rPr>
          <w:i/>
          <w:szCs w:val="24"/>
        </w:rPr>
      </w:pPr>
    </w:p>
    <w:p w14:paraId="140A2CBB" w14:textId="77777777" w:rsidR="00816F89" w:rsidRPr="00816F89" w:rsidRDefault="00816F89" w:rsidP="00816F89">
      <w:pPr>
        <w:spacing w:after="240"/>
        <w:jc w:val="both"/>
        <w:rPr>
          <w:szCs w:val="24"/>
          <w:lang w:val="fr-CA"/>
        </w:rPr>
      </w:pPr>
      <w:r w:rsidRPr="00816F89">
        <w:rPr>
          <w:i/>
          <w:szCs w:val="24"/>
          <w:lang w:val="fr-CA" w:eastAsia="en-US" w:bidi="en-US"/>
        </w:rPr>
        <w:t>Labour Code</w:t>
      </w:r>
      <w:r w:rsidRPr="00816F89">
        <w:rPr>
          <w:szCs w:val="24"/>
          <w:lang w:val="fr-CA" w:eastAsia="en-US" w:bidi="en-US"/>
        </w:rPr>
        <w:t>, CQLR, c. C</w:t>
      </w:r>
      <w:r w:rsidRPr="00816F89">
        <w:rPr>
          <w:szCs w:val="24"/>
          <w:lang w:val="fr-CA" w:eastAsia="en-US" w:bidi="en-US"/>
        </w:rPr>
        <w:noBreakHyphen/>
        <w:t>27</w:t>
      </w:r>
    </w:p>
    <w:p w14:paraId="6562C451" w14:textId="77777777" w:rsidR="00816F89" w:rsidRPr="00816F89" w:rsidRDefault="00816F89" w:rsidP="00816F89">
      <w:pPr>
        <w:spacing w:after="240"/>
        <w:jc w:val="both"/>
        <w:rPr>
          <w:szCs w:val="24"/>
        </w:rPr>
      </w:pPr>
      <w:r w:rsidRPr="00816F89">
        <w:rPr>
          <w:b/>
          <w:szCs w:val="24"/>
        </w:rPr>
        <w:t>1.</w:t>
      </w:r>
      <w:r w:rsidRPr="00816F89">
        <w:rPr>
          <w:szCs w:val="24"/>
        </w:rPr>
        <w:t xml:space="preserve"> </w:t>
      </w:r>
      <w:r w:rsidRPr="00816F89">
        <w:rPr>
          <w:szCs w:val="24"/>
          <w:lang w:eastAsia="en-US" w:bidi="en-US"/>
        </w:rPr>
        <w:t>In this Code, unless the context requires otherwise, the following expressions mean:</w:t>
      </w:r>
    </w:p>
    <w:p w14:paraId="19125515" w14:textId="77777777" w:rsidR="00816F89" w:rsidRPr="00816F89" w:rsidRDefault="00816F89" w:rsidP="00816F89">
      <w:pPr>
        <w:spacing w:after="240"/>
        <w:jc w:val="center"/>
        <w:rPr>
          <w:szCs w:val="24"/>
        </w:rPr>
      </w:pPr>
      <w:r w:rsidRPr="00816F89">
        <w:rPr>
          <w:szCs w:val="24"/>
        </w:rPr>
        <w:t>. . .</w:t>
      </w:r>
    </w:p>
    <w:p w14:paraId="6F56D18E" w14:textId="77777777" w:rsidR="00816F89" w:rsidRPr="00816F89" w:rsidRDefault="00816F89" w:rsidP="00816F89">
      <w:pPr>
        <w:spacing w:after="240"/>
        <w:ind w:firstLine="270"/>
        <w:jc w:val="both"/>
        <w:rPr>
          <w:szCs w:val="24"/>
        </w:rPr>
      </w:pPr>
      <w:r w:rsidRPr="00816F89">
        <w:rPr>
          <w:szCs w:val="24"/>
        </w:rPr>
        <w:t>(</w:t>
      </w:r>
      <w:r w:rsidRPr="00816F89">
        <w:rPr>
          <w:i/>
          <w:szCs w:val="24"/>
        </w:rPr>
        <w:t>l</w:t>
      </w:r>
      <w:r w:rsidRPr="00816F89">
        <w:rPr>
          <w:szCs w:val="24"/>
        </w:rPr>
        <w:t>)</w:t>
      </w:r>
      <w:r w:rsidRPr="00816F89">
        <w:rPr>
          <w:b/>
          <w:szCs w:val="24"/>
        </w:rPr>
        <w:t xml:space="preserve"> </w:t>
      </w:r>
      <w:r w:rsidRPr="00816F89">
        <w:rPr>
          <w:szCs w:val="24"/>
          <w:lang w:eastAsia="en-US" w:bidi="en-US"/>
        </w:rPr>
        <w:t>“employee”: a person who works for an employer and for remuneration, but the word does not include:</w:t>
      </w:r>
    </w:p>
    <w:p w14:paraId="70B22700" w14:textId="77777777" w:rsidR="00816F89" w:rsidRPr="00816F89" w:rsidRDefault="00816F89" w:rsidP="00816F89">
      <w:pPr>
        <w:spacing w:after="240"/>
        <w:ind w:firstLine="270"/>
        <w:jc w:val="both"/>
        <w:rPr>
          <w:szCs w:val="24"/>
        </w:rPr>
      </w:pPr>
      <w:r w:rsidRPr="00816F89">
        <w:rPr>
          <w:szCs w:val="24"/>
        </w:rPr>
        <w:t xml:space="preserve">(1) </w:t>
      </w:r>
      <w:r w:rsidRPr="00816F89">
        <w:rPr>
          <w:szCs w:val="24"/>
          <w:lang w:eastAsia="en-US" w:bidi="en-US"/>
        </w:rPr>
        <w:t>a person who, in the opinion of the Tribunal, is employed as manager, superintendent, foreman or representative of the employer in his relations with his employees;</w:t>
      </w:r>
    </w:p>
    <w:p w14:paraId="7D8F12EC" w14:textId="77777777" w:rsidR="00816F89" w:rsidRPr="00816F89" w:rsidRDefault="00816F89" w:rsidP="00816F89">
      <w:pPr>
        <w:spacing w:after="240"/>
        <w:jc w:val="both"/>
        <w:rPr>
          <w:szCs w:val="24"/>
        </w:rPr>
      </w:pPr>
      <w:r w:rsidRPr="00816F89">
        <w:rPr>
          <w:b/>
          <w:szCs w:val="24"/>
        </w:rPr>
        <w:t>12.</w:t>
      </w:r>
      <w:r w:rsidRPr="00816F89">
        <w:rPr>
          <w:szCs w:val="24"/>
        </w:rPr>
        <w:t xml:space="preserve"> </w:t>
      </w:r>
      <w:r w:rsidRPr="00816F89">
        <w:rPr>
          <w:szCs w:val="24"/>
          <w:lang w:eastAsia="en-US" w:bidi="en-US"/>
        </w:rPr>
        <w:t>No employer, or person acting for an employer or an association of employers, shall in any manner seek to dominate, hinder or finance the formation or the activities of any association of employees, or to participate therein.</w:t>
      </w:r>
    </w:p>
    <w:p w14:paraId="74D5E589" w14:textId="77777777" w:rsidR="00816F89" w:rsidRPr="00816F89" w:rsidRDefault="00816F89" w:rsidP="00816F89">
      <w:pPr>
        <w:spacing w:after="240"/>
        <w:ind w:firstLine="360"/>
        <w:jc w:val="both"/>
        <w:rPr>
          <w:szCs w:val="24"/>
        </w:rPr>
      </w:pPr>
      <w:r w:rsidRPr="00816F89">
        <w:rPr>
          <w:szCs w:val="24"/>
          <w:lang w:eastAsia="en-US" w:bidi="en-US"/>
        </w:rPr>
        <w:t>No association of employees, or person acting on behalf of any such organization, shall belong to an association of employers or seek to dominate, hinder or finance the formation or activities of any such association, or to participate therein.</w:t>
      </w:r>
    </w:p>
    <w:p w14:paraId="7CA6A43C" w14:textId="050D17ED" w:rsidR="009B57B3" w:rsidRPr="00816F89" w:rsidRDefault="009B57B3" w:rsidP="001C0A6A">
      <w:pPr>
        <w:pStyle w:val="SCCNormalDoubleSpacing"/>
        <w:spacing w:before="480" w:after="480"/>
        <w:rPr>
          <w:i/>
          <w:lang w:val="fr-CA"/>
        </w:rPr>
      </w:pPr>
      <w:r w:rsidRPr="00816F89">
        <w:rPr>
          <w:lang w:val="fr-CA"/>
        </w:rPr>
        <w:tab/>
      </w:r>
      <w:r w:rsidR="00656313" w:rsidRPr="00816F89">
        <w:rPr>
          <w:i/>
          <w:lang w:val="fr-CA"/>
        </w:rPr>
        <w:t>Appeal</w:t>
      </w:r>
      <w:r w:rsidR="00D12819" w:rsidRPr="00816F89">
        <w:rPr>
          <w:i/>
          <w:lang w:val="fr-CA"/>
        </w:rPr>
        <w:t>s</w:t>
      </w:r>
      <w:r w:rsidR="00610790" w:rsidRPr="00816F89">
        <w:rPr>
          <w:i/>
          <w:lang w:val="fr-CA"/>
        </w:rPr>
        <w:t xml:space="preserve"> </w:t>
      </w:r>
      <w:r w:rsidR="009140FE" w:rsidRPr="00816F89">
        <w:rPr>
          <w:i/>
          <w:lang w:val="fr-CA"/>
        </w:rPr>
        <w:t>allowed with costs</w:t>
      </w:r>
      <w:r w:rsidR="00610790" w:rsidRPr="00816F89">
        <w:rPr>
          <w:i/>
          <w:lang w:val="fr-CA"/>
        </w:rPr>
        <w:t>.</w:t>
      </w:r>
    </w:p>
    <w:p w14:paraId="788ED166" w14:textId="630B4DF3" w:rsidR="00B4401D" w:rsidRPr="00816F89" w:rsidRDefault="000A2C3F" w:rsidP="005738AD">
      <w:pPr>
        <w:pStyle w:val="SCCLawFirm"/>
        <w:spacing w:after="480"/>
        <w:rPr>
          <w:lang w:val="fr-CA"/>
        </w:rPr>
      </w:pPr>
      <w:r w:rsidRPr="00816F89">
        <w:rPr>
          <w:lang w:val="fr-CA"/>
        </w:rPr>
        <w:tab/>
        <w:t>Solicitor</w:t>
      </w:r>
      <w:r w:rsidR="00FF1E46" w:rsidRPr="00816F89">
        <w:rPr>
          <w:lang w:val="fr-CA"/>
        </w:rPr>
        <w:t>s</w:t>
      </w:r>
      <w:r w:rsidR="004A12F6" w:rsidRPr="00816F89">
        <w:rPr>
          <w:lang w:val="fr-CA"/>
        </w:rPr>
        <w:t xml:space="preserve"> for </w:t>
      </w:r>
      <w:r w:rsidRPr="00816F89">
        <w:rPr>
          <w:lang w:val="fr-CA"/>
        </w:rPr>
        <w:t>Société des casinos du Québec inc.</w:t>
      </w:r>
      <w:r w:rsidR="004A12F6" w:rsidRPr="00816F89">
        <w:rPr>
          <w:lang w:val="fr-CA"/>
        </w:rPr>
        <w:t>: Loranger Marcoux, Montréal.</w:t>
      </w:r>
    </w:p>
    <w:p w14:paraId="2C328FDD" w14:textId="0F24550D" w:rsidR="00B4401D" w:rsidRPr="00816F89" w:rsidRDefault="004A12F6" w:rsidP="005738AD">
      <w:pPr>
        <w:pStyle w:val="SCCLawFirm"/>
        <w:spacing w:after="480"/>
        <w:rPr>
          <w:lang w:val="fr-CA"/>
        </w:rPr>
      </w:pPr>
      <w:r w:rsidRPr="00816F89">
        <w:rPr>
          <w:lang w:val="fr-CA"/>
        </w:rPr>
        <w:tab/>
        <w:t>Solicitor</w:t>
      </w:r>
      <w:r w:rsidR="0072179E" w:rsidRPr="00816F89">
        <w:rPr>
          <w:lang w:val="fr-CA"/>
        </w:rPr>
        <w:t>s</w:t>
      </w:r>
      <w:r w:rsidRPr="00816F89">
        <w:rPr>
          <w:lang w:val="fr-CA"/>
        </w:rPr>
        <w:t xml:space="preserve"> for </w:t>
      </w:r>
      <w:r w:rsidR="000A2C3F" w:rsidRPr="00816F89">
        <w:rPr>
          <w:rStyle w:val="SCCCounselPartyRoleChar"/>
          <w:lang w:val="fr-CA"/>
        </w:rPr>
        <w:t xml:space="preserve">the </w:t>
      </w:r>
      <w:r w:rsidR="000A2C3F" w:rsidRPr="00816F89">
        <w:rPr>
          <w:lang w:val="fr-CA"/>
        </w:rPr>
        <w:t>Attorney General of Quebec</w:t>
      </w:r>
      <w:r w:rsidRPr="00816F89">
        <w:rPr>
          <w:lang w:val="fr-CA"/>
        </w:rPr>
        <w:t xml:space="preserve">: </w:t>
      </w:r>
      <w:r w:rsidR="00FF1E46" w:rsidRPr="00816F89">
        <w:rPr>
          <w:lang w:val="fr-CA"/>
        </w:rPr>
        <w:t>Bernard, Roy (Justice</w:t>
      </w:r>
      <w:r w:rsidR="005738AD" w:rsidRPr="00816F89">
        <w:rPr>
          <w:lang w:val="fr-CA"/>
        </w:rPr>
        <w:noBreakHyphen/>
      </w:r>
      <w:r w:rsidR="0072179E" w:rsidRPr="00816F89">
        <w:rPr>
          <w:lang w:val="fr-CA"/>
        </w:rPr>
        <w:t>Qué</w:t>
      </w:r>
      <w:r w:rsidR="00FF1E46" w:rsidRPr="00816F89">
        <w:rPr>
          <w:lang w:val="fr-CA"/>
        </w:rPr>
        <w:t>bec)</w:t>
      </w:r>
      <w:r w:rsidRPr="00816F89">
        <w:rPr>
          <w:lang w:val="fr-CA"/>
        </w:rPr>
        <w:t>, Montréal</w:t>
      </w:r>
      <w:r w:rsidR="0072179E" w:rsidRPr="00816F89">
        <w:rPr>
          <w:lang w:val="fr-CA"/>
        </w:rPr>
        <w:t xml:space="preserve">; Direction du droit constitutionnel et autochtone, Ministère de la justice, </w:t>
      </w:r>
      <w:r w:rsidR="00DE6725" w:rsidRPr="00816F89">
        <w:rPr>
          <w:lang w:val="fr-CA"/>
        </w:rPr>
        <w:t>Québec</w:t>
      </w:r>
      <w:r w:rsidRPr="00816F89">
        <w:rPr>
          <w:lang w:val="fr-CA"/>
        </w:rPr>
        <w:t>.</w:t>
      </w:r>
    </w:p>
    <w:p w14:paraId="03E8B2AD" w14:textId="1D343DF2" w:rsidR="00B4401D" w:rsidRPr="00816F89" w:rsidRDefault="004A12F6" w:rsidP="005738AD">
      <w:pPr>
        <w:pStyle w:val="SCCLawFirm"/>
        <w:spacing w:after="480"/>
        <w:rPr>
          <w:lang w:val="en-US"/>
        </w:rPr>
      </w:pPr>
      <w:r w:rsidRPr="00816F89">
        <w:rPr>
          <w:lang w:val="fr-CA"/>
        </w:rPr>
        <w:tab/>
      </w:r>
      <w:r w:rsidR="000A2C3F" w:rsidRPr="00816F89">
        <w:rPr>
          <w:lang w:val="en-US"/>
        </w:rPr>
        <w:t>Solicitor</w:t>
      </w:r>
      <w:r w:rsidR="0072179E" w:rsidRPr="00816F89">
        <w:rPr>
          <w:lang w:val="en-US"/>
        </w:rPr>
        <w:t>s</w:t>
      </w:r>
      <w:r w:rsidRPr="00816F89">
        <w:rPr>
          <w:lang w:val="en-US"/>
        </w:rPr>
        <w:t xml:space="preserve"> for the respondent: Poudrier Bradet, Québec.</w:t>
      </w:r>
    </w:p>
    <w:p w14:paraId="3C0D0C2E" w14:textId="3D0368B4" w:rsidR="000A2C3F" w:rsidRPr="00816F89" w:rsidRDefault="000A2C3F" w:rsidP="005738AD">
      <w:pPr>
        <w:pStyle w:val="SCCLawFirm"/>
        <w:spacing w:after="480"/>
      </w:pPr>
      <w:r w:rsidRPr="00816F89">
        <w:rPr>
          <w:lang w:val="en-US"/>
        </w:rPr>
        <w:tab/>
      </w:r>
      <w:r w:rsidRPr="00816F89">
        <w:t xml:space="preserve">Solicitor for the intervener </w:t>
      </w:r>
      <w:r w:rsidR="0022363F" w:rsidRPr="00816F89">
        <w:t xml:space="preserve">the </w:t>
      </w:r>
      <w:r w:rsidRPr="00816F89">
        <w:t xml:space="preserve">Attorney General of Canada: </w:t>
      </w:r>
      <w:r w:rsidR="001E4150" w:rsidRPr="00816F89">
        <w:t>Department of Justice Canada — National Litigation Sector</w:t>
      </w:r>
      <w:r w:rsidRPr="00816F89">
        <w:t>, Toronto.</w:t>
      </w:r>
    </w:p>
    <w:p w14:paraId="50E6E60D" w14:textId="30B9012E" w:rsidR="000A2C3F" w:rsidRPr="00816F89" w:rsidRDefault="000A2C3F" w:rsidP="005738AD">
      <w:pPr>
        <w:pStyle w:val="SCCLawFirm"/>
        <w:spacing w:after="480"/>
      </w:pPr>
      <w:r w:rsidRPr="00816F89">
        <w:tab/>
        <w:t xml:space="preserve">Solicitor for the intervener </w:t>
      </w:r>
      <w:r w:rsidR="0022363F" w:rsidRPr="00816F89">
        <w:t xml:space="preserve">the </w:t>
      </w:r>
      <w:r w:rsidRPr="00816F89">
        <w:t xml:space="preserve">Attorney General of Ontario: </w:t>
      </w:r>
      <w:r w:rsidR="001E4150" w:rsidRPr="00816F89">
        <w:t>Attorney General of Ontario — Constitutional Law Branch</w:t>
      </w:r>
      <w:r w:rsidRPr="00816F89">
        <w:t>, Toronto.</w:t>
      </w:r>
    </w:p>
    <w:p w14:paraId="415D10D9" w14:textId="64862C8A" w:rsidR="000A2C3F" w:rsidRPr="00816F89" w:rsidRDefault="000A2C3F" w:rsidP="005738AD">
      <w:pPr>
        <w:pStyle w:val="SCCLawFirm"/>
        <w:spacing w:after="480"/>
      </w:pPr>
      <w:r w:rsidRPr="00816F89">
        <w:tab/>
        <w:t>Solicitor for the intervener</w:t>
      </w:r>
      <w:r w:rsidR="0022363F" w:rsidRPr="00816F89">
        <w:t xml:space="preserve"> the</w:t>
      </w:r>
      <w:r w:rsidRPr="00816F89">
        <w:t xml:space="preserve"> Attorney General of Alberta: </w:t>
      </w:r>
      <w:r w:rsidR="001E4150" w:rsidRPr="00816F89">
        <w:t>Alberta Justice — Constitutional and Aboriginal Law</w:t>
      </w:r>
      <w:r w:rsidRPr="00816F89">
        <w:t>, Edmonton.</w:t>
      </w:r>
    </w:p>
    <w:p w14:paraId="51E6EAD1" w14:textId="1226A3C7" w:rsidR="00B4401D" w:rsidRPr="00816F89" w:rsidRDefault="004A12F6" w:rsidP="005738AD">
      <w:pPr>
        <w:pStyle w:val="SCCLawFirm"/>
        <w:spacing w:after="480"/>
        <w:rPr>
          <w:lang w:val="en-US"/>
        </w:rPr>
      </w:pPr>
      <w:r w:rsidRPr="00816F89">
        <w:rPr>
          <w:lang w:val="en-US"/>
        </w:rPr>
        <w:tab/>
      </w:r>
      <w:r w:rsidR="001E4150" w:rsidRPr="00816F89">
        <w:rPr>
          <w:lang w:val="en-US"/>
        </w:rPr>
        <w:t>Solicitors</w:t>
      </w:r>
      <w:r w:rsidRPr="00816F89">
        <w:rPr>
          <w:lang w:val="en-US"/>
        </w:rPr>
        <w:t xml:space="preserve"> for the intervener </w:t>
      </w:r>
      <w:r w:rsidR="000A2C3F" w:rsidRPr="00816F89">
        <w:rPr>
          <w:lang w:val="en-US"/>
        </w:rPr>
        <w:t xml:space="preserve">the </w:t>
      </w:r>
      <w:r w:rsidRPr="00816F89">
        <w:rPr>
          <w:lang w:val="en-US"/>
        </w:rPr>
        <w:t>Administrative Labour Tribunal: Fitzback Charbonneau, Québec.</w:t>
      </w:r>
    </w:p>
    <w:p w14:paraId="4081AF49" w14:textId="77777777" w:rsidR="001C0A6A" w:rsidRDefault="001E4150" w:rsidP="005738AD">
      <w:pPr>
        <w:pStyle w:val="SCCLawFirm"/>
        <w:spacing w:after="480"/>
      </w:pPr>
      <w:r w:rsidRPr="00816F89">
        <w:tab/>
        <w:t>Solicitors</w:t>
      </w:r>
      <w:r w:rsidR="004A12F6" w:rsidRPr="00816F89">
        <w:t xml:space="preserve"> for the intervener </w:t>
      </w:r>
      <w:r w:rsidR="000A2C3F" w:rsidRPr="00816F89">
        <w:t xml:space="preserve">the </w:t>
      </w:r>
      <w:r w:rsidR="004A12F6" w:rsidRPr="00816F89">
        <w:t>Canadian Association of Counsel to Employers: McCarthy Tétrault, Toronto.</w:t>
      </w:r>
    </w:p>
    <w:p w14:paraId="1FF687ED" w14:textId="4A2E66CD" w:rsidR="00B4401D" w:rsidRPr="00816F89" w:rsidRDefault="001E4150" w:rsidP="005738AD">
      <w:pPr>
        <w:pStyle w:val="SCCLawFirm"/>
        <w:spacing w:after="480"/>
      </w:pPr>
      <w:r w:rsidRPr="00816F89">
        <w:tab/>
        <w:t>Solicitors</w:t>
      </w:r>
      <w:r w:rsidR="004A12F6" w:rsidRPr="00816F89">
        <w:t xml:space="preserve"> for the intervener </w:t>
      </w:r>
      <w:r w:rsidR="000A2C3F" w:rsidRPr="00816F89">
        <w:t xml:space="preserve">the </w:t>
      </w:r>
      <w:r w:rsidR="004A12F6" w:rsidRPr="00816F89">
        <w:t>National Police Commissioned Officers Professional Association: Nelligan O</w:t>
      </w:r>
      <w:r w:rsidR="00A30E0C" w:rsidRPr="00816F89">
        <w:t>’</w:t>
      </w:r>
      <w:r w:rsidR="004A12F6" w:rsidRPr="00816F89">
        <w:t>Brien Payne, Ottawa.</w:t>
      </w:r>
    </w:p>
    <w:p w14:paraId="7BD73BD9" w14:textId="538C66CD" w:rsidR="00B4401D" w:rsidRPr="00816F89" w:rsidRDefault="001E4150" w:rsidP="005738AD">
      <w:pPr>
        <w:pStyle w:val="SCCLawFirm"/>
        <w:spacing w:after="480"/>
      </w:pPr>
      <w:r w:rsidRPr="00816F89">
        <w:tab/>
        <w:t>Solicitors</w:t>
      </w:r>
      <w:r w:rsidR="004A12F6" w:rsidRPr="00816F89">
        <w:t xml:space="preserve"> for the intervener </w:t>
      </w:r>
      <w:r w:rsidR="000A2C3F" w:rsidRPr="00816F89">
        <w:t xml:space="preserve">the </w:t>
      </w:r>
      <w:r w:rsidR="004A12F6" w:rsidRPr="00816F89">
        <w:t>Canadian Labour Congress: Goldblatt Partners, Toronto.</w:t>
      </w:r>
    </w:p>
    <w:p w14:paraId="6491270D" w14:textId="28491A0F" w:rsidR="00B4401D" w:rsidRPr="00816F89" w:rsidRDefault="001E4150" w:rsidP="005738AD">
      <w:pPr>
        <w:pStyle w:val="SCCLawFirm"/>
        <w:spacing w:after="480"/>
      </w:pPr>
      <w:r w:rsidRPr="00816F89">
        <w:tab/>
        <w:t>Solicitors</w:t>
      </w:r>
      <w:r w:rsidR="004A12F6" w:rsidRPr="00816F89">
        <w:t xml:space="preserve"> for the intervener</w:t>
      </w:r>
      <w:r w:rsidRPr="00816F89">
        <w:t>s</w:t>
      </w:r>
      <w:r w:rsidR="004A12F6" w:rsidRPr="00816F89">
        <w:t xml:space="preserve"> </w:t>
      </w:r>
      <w:r w:rsidR="000A2C3F" w:rsidRPr="00816F89">
        <w:t xml:space="preserve">the </w:t>
      </w:r>
      <w:r w:rsidR="004A12F6" w:rsidRPr="00816F89">
        <w:t>Ontario Principals</w:t>
      </w:r>
      <w:r w:rsidR="00A30E0C" w:rsidRPr="00816F89">
        <w:t>’</w:t>
      </w:r>
      <w:r w:rsidR="004A12F6" w:rsidRPr="00816F89">
        <w:t xml:space="preserve"> Council, </w:t>
      </w:r>
      <w:r w:rsidR="000A2C3F" w:rsidRPr="00816F89">
        <w:t xml:space="preserve">the </w:t>
      </w:r>
      <w:r w:rsidR="004A12F6" w:rsidRPr="00816F89">
        <w:t>Catholic Principals</w:t>
      </w:r>
      <w:r w:rsidR="00A30E0C" w:rsidRPr="00816F89">
        <w:t>’</w:t>
      </w:r>
      <w:r w:rsidR="004A12F6" w:rsidRPr="00816F89">
        <w:t xml:space="preserve"> Council of Ontario, Association des directions et des directions adjointes des écoles </w:t>
      </w:r>
      <w:r w:rsidR="00D42EC4" w:rsidRPr="00816F89">
        <w:t>f</w:t>
      </w:r>
      <w:r w:rsidR="005738AD" w:rsidRPr="00816F89">
        <w:t>ranco</w:t>
      </w:r>
      <w:r w:rsidR="005738AD" w:rsidRPr="00816F89">
        <w:noBreakHyphen/>
      </w:r>
      <w:r w:rsidR="00D42EC4" w:rsidRPr="00816F89">
        <w:t>o</w:t>
      </w:r>
      <w:r w:rsidR="004A12F6" w:rsidRPr="00816F89">
        <w:t>ntarienne</w:t>
      </w:r>
      <w:r w:rsidR="00377C74" w:rsidRPr="00816F89">
        <w:t xml:space="preserve">s and </w:t>
      </w:r>
      <w:r w:rsidR="000A2C3F" w:rsidRPr="00816F89">
        <w:t xml:space="preserve">the </w:t>
      </w:r>
      <w:r w:rsidR="00377C74" w:rsidRPr="00816F89">
        <w:t>Directors Guild of Canada</w:t>
      </w:r>
      <w:r w:rsidR="00A1502E" w:rsidRPr="00816F89">
        <w:rPr>
          <w:lang w:val="en-US"/>
        </w:rPr>
        <w:t xml:space="preserve"> </w:t>
      </w:r>
      <w:r w:rsidR="00A1502E" w:rsidRPr="00816F89">
        <w:rPr>
          <w:b/>
        </w:rPr>
        <w:t>–</w:t>
      </w:r>
      <w:r w:rsidR="00377C74" w:rsidRPr="00816F89">
        <w:rPr>
          <w:lang w:val="en-US"/>
        </w:rPr>
        <w:t xml:space="preserve"> </w:t>
      </w:r>
      <w:r w:rsidR="004A12F6" w:rsidRPr="00816F89">
        <w:t>Ontario: Jones Pearce, Toronto.</w:t>
      </w:r>
    </w:p>
    <w:p w14:paraId="5D0E2425" w14:textId="3832CCCD" w:rsidR="00B4401D" w:rsidRPr="00816F89" w:rsidRDefault="004A12F6" w:rsidP="005738AD">
      <w:pPr>
        <w:pStyle w:val="SCCLawFirm"/>
        <w:spacing w:after="480"/>
      </w:pPr>
      <w:r w:rsidRPr="00816F89">
        <w:tab/>
        <w:t>Sol</w:t>
      </w:r>
      <w:r w:rsidR="001E4150" w:rsidRPr="00816F89">
        <w:t>icitors</w:t>
      </w:r>
      <w:r w:rsidRPr="00816F89">
        <w:t xml:space="preserve"> for the intervener </w:t>
      </w:r>
      <w:r w:rsidR="000A2C3F" w:rsidRPr="00816F89">
        <w:t xml:space="preserve">the </w:t>
      </w:r>
      <w:r w:rsidRPr="00816F89">
        <w:t>Canadian Lawyers for International Human Rights: Ryder Wright Holmes Bryden Nam, Toronto</w:t>
      </w:r>
      <w:r w:rsidR="001E4150" w:rsidRPr="00816F89">
        <w:t xml:space="preserve">; Canadian Lawyers for International Human Rights, </w:t>
      </w:r>
      <w:r w:rsidR="00B62EDF" w:rsidRPr="00816F89">
        <w:t>Toronto</w:t>
      </w:r>
      <w:r w:rsidRPr="00816F89">
        <w:t>.</w:t>
      </w:r>
    </w:p>
    <w:p w14:paraId="08A36EA2" w14:textId="267AD036" w:rsidR="00B4401D" w:rsidRPr="00816F89" w:rsidRDefault="007C786C" w:rsidP="005738AD">
      <w:pPr>
        <w:pStyle w:val="SCCLawFirm"/>
        <w:spacing w:after="480"/>
      </w:pPr>
      <w:r w:rsidRPr="00816F89">
        <w:tab/>
        <w:t>Solicitors</w:t>
      </w:r>
      <w:r w:rsidR="004A12F6" w:rsidRPr="00816F89">
        <w:t xml:space="preserve"> for the intervener </w:t>
      </w:r>
      <w:r w:rsidR="000A2C3F" w:rsidRPr="00816F89">
        <w:t xml:space="preserve">the </w:t>
      </w:r>
      <w:r w:rsidR="004A12F6" w:rsidRPr="00816F89">
        <w:t xml:space="preserve">Public Service Alliance of Canada: </w:t>
      </w:r>
      <w:r w:rsidRPr="00816F89">
        <w:t>RavenLaw</w:t>
      </w:r>
      <w:r w:rsidR="004A12F6" w:rsidRPr="00816F89">
        <w:t>, Ottawa.</w:t>
      </w:r>
    </w:p>
    <w:p w14:paraId="781A4472" w14:textId="7940DD96" w:rsidR="00B4401D" w:rsidRPr="00816F89" w:rsidRDefault="007C786C" w:rsidP="005738AD">
      <w:pPr>
        <w:pStyle w:val="SCCLawFirm"/>
        <w:spacing w:after="480"/>
      </w:pPr>
      <w:r w:rsidRPr="00816F89">
        <w:tab/>
        <w:t>Solicitors</w:t>
      </w:r>
      <w:r w:rsidR="004A12F6" w:rsidRPr="00816F89">
        <w:t xml:space="preserve"> for the intervener </w:t>
      </w:r>
      <w:r w:rsidR="000A2C3F" w:rsidRPr="00816F89">
        <w:t xml:space="preserve">the </w:t>
      </w:r>
      <w:r w:rsidR="004A12F6" w:rsidRPr="00816F89">
        <w:t>Canadian Civil Liberties Association: Paliare Roland Rosenberg Rothstein, Toronto.</w:t>
      </w:r>
    </w:p>
    <w:p w14:paraId="55C8C8D1" w14:textId="5DEF7546" w:rsidR="00B4401D" w:rsidRPr="00816F89" w:rsidRDefault="004A12F6" w:rsidP="005738AD">
      <w:pPr>
        <w:pStyle w:val="SCCLawFirm"/>
        <w:spacing w:after="480"/>
        <w:rPr>
          <w:lang w:val="fr-CA"/>
        </w:rPr>
      </w:pPr>
      <w:r w:rsidRPr="00816F89">
        <w:tab/>
      </w:r>
      <w:r w:rsidR="007C786C" w:rsidRPr="00816F89">
        <w:rPr>
          <w:lang w:val="fr-CA"/>
        </w:rPr>
        <w:t>Solicitors</w:t>
      </w:r>
      <w:r w:rsidRPr="00816F89">
        <w:rPr>
          <w:lang w:val="fr-CA"/>
        </w:rPr>
        <w:t xml:space="preserve"> for the intervener Syndicat professionnel des ingénieurs d</w:t>
      </w:r>
      <w:r w:rsidR="00A30E0C" w:rsidRPr="00816F89">
        <w:rPr>
          <w:lang w:val="fr-CA"/>
        </w:rPr>
        <w:t>’</w:t>
      </w:r>
      <w:r w:rsidR="00262848" w:rsidRPr="00816F89">
        <w:rPr>
          <w:lang w:val="fr-CA"/>
        </w:rPr>
        <w:t>Hydro</w:t>
      </w:r>
      <w:r w:rsidR="00262848" w:rsidRPr="00816F89">
        <w:rPr>
          <w:lang w:val="fr-CA"/>
        </w:rPr>
        <w:noBreakHyphen/>
      </w:r>
      <w:r w:rsidR="007C786C" w:rsidRPr="00816F89">
        <w:rPr>
          <w:lang w:val="fr-CA"/>
        </w:rPr>
        <w:t>Québec inc.: Rivest</w:t>
      </w:r>
      <w:r w:rsidRPr="00816F89">
        <w:rPr>
          <w:lang w:val="fr-CA"/>
        </w:rPr>
        <w:t xml:space="preserve"> Schmidt, Montréal.</w:t>
      </w:r>
    </w:p>
    <w:p w14:paraId="235A002B" w14:textId="46ABF3E9" w:rsidR="00B4401D" w:rsidRPr="00EF45DA" w:rsidRDefault="007C786C" w:rsidP="005738AD">
      <w:pPr>
        <w:pStyle w:val="SCCLawFirm"/>
        <w:spacing w:after="480"/>
        <w:rPr>
          <w:lang w:val="fr-CA"/>
        </w:rPr>
      </w:pPr>
      <w:r w:rsidRPr="00816F89">
        <w:rPr>
          <w:lang w:val="fr-CA"/>
        </w:rPr>
        <w:tab/>
        <w:t>Solicitors</w:t>
      </w:r>
      <w:r w:rsidR="004A12F6" w:rsidRPr="00816F89">
        <w:rPr>
          <w:lang w:val="fr-CA"/>
        </w:rPr>
        <w:t xml:space="preserve"> for the intervener</w:t>
      </w:r>
      <w:r w:rsidR="007B47A1" w:rsidRPr="00816F89">
        <w:rPr>
          <w:lang w:val="fr-CA"/>
        </w:rPr>
        <w:t>s</w:t>
      </w:r>
      <w:r w:rsidR="004A12F6" w:rsidRPr="00816F89">
        <w:rPr>
          <w:lang w:val="fr-CA"/>
        </w:rPr>
        <w:t xml:space="preserve"> Association des cadres des collèges du Québec, Association des cadres municipaux de Montréal, Association des conseillers</w:t>
      </w:r>
      <w:bookmarkStart w:id="39" w:name="_GoBack"/>
      <w:bookmarkEnd w:id="39"/>
      <w:r w:rsidR="004A12F6" w:rsidRPr="00816F89">
        <w:rPr>
          <w:lang w:val="fr-CA"/>
        </w:rPr>
        <w:t xml:space="preserve"> en gestion des ressources humaines du gouvernement du Québec, Association des cadres scolaires du </w:t>
      </w:r>
      <w:r w:rsidR="00FD56ED" w:rsidRPr="00816F89">
        <w:rPr>
          <w:lang w:val="fr-CA"/>
        </w:rPr>
        <w:t>G</w:t>
      </w:r>
      <w:r w:rsidR="004A12F6" w:rsidRPr="00816F89">
        <w:rPr>
          <w:lang w:val="fr-CA"/>
        </w:rPr>
        <w:t>rand Montréal</w:t>
      </w:r>
      <w:r w:rsidR="000A2C3F" w:rsidRPr="00816F89">
        <w:rPr>
          <w:lang w:val="fr-CA"/>
        </w:rPr>
        <w:t>,</w:t>
      </w:r>
      <w:r w:rsidR="004A12F6" w:rsidRPr="00816F89">
        <w:rPr>
          <w:lang w:val="fr-CA"/>
        </w:rPr>
        <w:t xml:space="preserve"> Association des cadres supérieurs de la santé et des services sociaux, Association des directeurs et directrices de succursale de la </w:t>
      </w:r>
      <w:r w:rsidR="00AD3E2E" w:rsidRPr="00816F89">
        <w:rPr>
          <w:rStyle w:val="SCCCounselPartyRoleChar"/>
          <w:lang w:val="fr-CA"/>
        </w:rPr>
        <w:t>S</w:t>
      </w:r>
      <w:r w:rsidR="004A12F6" w:rsidRPr="00816F89">
        <w:rPr>
          <w:lang w:val="fr-CA"/>
        </w:rPr>
        <w:t>ociété des alcools du Québec, Association professionnelle des cadres de premier niveau d</w:t>
      </w:r>
      <w:r w:rsidR="00A30E0C" w:rsidRPr="00816F89">
        <w:rPr>
          <w:lang w:val="fr-CA"/>
        </w:rPr>
        <w:t>’</w:t>
      </w:r>
      <w:r w:rsidR="000F6EC6" w:rsidRPr="00816F89">
        <w:rPr>
          <w:lang w:val="fr-CA"/>
        </w:rPr>
        <w:t>Hydro</w:t>
      </w:r>
      <w:r w:rsidR="000F6EC6" w:rsidRPr="00816F89">
        <w:rPr>
          <w:lang w:val="fr-CA"/>
        </w:rPr>
        <w:noBreakHyphen/>
      </w:r>
      <w:r w:rsidR="004A12F6" w:rsidRPr="00816F89">
        <w:rPr>
          <w:lang w:val="fr-CA"/>
        </w:rPr>
        <w:t>Québec</w:t>
      </w:r>
      <w:r w:rsidR="000A2C3F" w:rsidRPr="00816F89">
        <w:rPr>
          <w:lang w:val="fr-CA"/>
        </w:rPr>
        <w:t xml:space="preserve">, </w:t>
      </w:r>
      <w:r w:rsidR="004A12F6" w:rsidRPr="00816F89">
        <w:rPr>
          <w:lang w:val="fr-CA"/>
        </w:rPr>
        <w:t>Association québécoise des cadres scolaires, Association québécoise du personn</w:t>
      </w:r>
      <w:r w:rsidR="0022363F" w:rsidRPr="00816F89">
        <w:rPr>
          <w:lang w:val="fr-CA"/>
        </w:rPr>
        <w:t>el de direction des écoles and</w:t>
      </w:r>
      <w:r w:rsidR="004A12F6" w:rsidRPr="00816F89">
        <w:rPr>
          <w:lang w:val="fr-CA"/>
        </w:rPr>
        <w:t xml:space="preserve"> Fédération québécoise des directions d</w:t>
      </w:r>
      <w:r w:rsidR="00A30E0C" w:rsidRPr="00816F89">
        <w:rPr>
          <w:lang w:val="fr-CA"/>
        </w:rPr>
        <w:t>’</w:t>
      </w:r>
      <w:r w:rsidR="004A12F6" w:rsidRPr="00816F89">
        <w:rPr>
          <w:lang w:val="fr-CA"/>
        </w:rPr>
        <w:t>établissement d</w:t>
      </w:r>
      <w:r w:rsidR="00A30E0C" w:rsidRPr="00816F89">
        <w:rPr>
          <w:lang w:val="fr-CA"/>
        </w:rPr>
        <w:t>’</w:t>
      </w:r>
      <w:r w:rsidR="004A12F6" w:rsidRPr="00816F89">
        <w:rPr>
          <w:lang w:val="fr-CA"/>
        </w:rPr>
        <w:t xml:space="preserve">enseignement: </w:t>
      </w:r>
      <w:r w:rsidRPr="00816F89">
        <w:rPr>
          <w:lang w:val="fr-CA"/>
        </w:rPr>
        <w:t>Melançon Marceau Grenier Cohen</w:t>
      </w:r>
      <w:r w:rsidR="004A12F6" w:rsidRPr="00816F89">
        <w:rPr>
          <w:lang w:val="fr-CA"/>
        </w:rPr>
        <w:t>, Québec.</w:t>
      </w:r>
      <w:bookmarkEnd w:id="5"/>
    </w:p>
    <w:sectPr w:rsidR="00B4401D" w:rsidRPr="00EF45DA" w:rsidSect="008A4242">
      <w:headerReference w:type="even" r:id="rId11"/>
      <w:headerReference w:type="default" r:id="rId12"/>
      <w:footerReference w:type="even" r:id="rId13"/>
      <w:footerReference w:type="default" r:id="rId14"/>
      <w:headerReference w:type="first" r:id="rId15"/>
      <w:footerReference w:type="first" r:id="rId16"/>
      <w:pgSz w:w="12240" w:h="15840"/>
      <w:pgMar w:top="1267" w:right="2160" w:bottom="720" w:left="1800" w:header="1802"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6D8B96" w14:textId="77777777" w:rsidR="003253B3" w:rsidRDefault="003253B3">
      <w:r>
        <w:separator/>
      </w:r>
    </w:p>
  </w:endnote>
  <w:endnote w:type="continuationSeparator" w:id="0">
    <w:p w14:paraId="4DC7F356" w14:textId="77777777" w:rsidR="003253B3" w:rsidRDefault="00325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B96AA" w14:textId="77777777" w:rsidR="003253B3" w:rsidRDefault="003253B3">
    <w:pPr>
      <w:tabs>
        <w:tab w:val="left" w:pos="-1440"/>
        <w:tab w:val="left" w:pos="-720"/>
        <w:tab w:val="left" w:pos="0"/>
        <w:tab w:val="left" w:pos="1152"/>
        <w:tab w:val="left" w:pos="1570"/>
        <w:tab w:val="left" w:pos="1843"/>
        <w:tab w:val="left" w:pos="2261"/>
        <w:tab w:val="left" w:pos="64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8A05E" w14:textId="77777777" w:rsidR="003253B3" w:rsidRDefault="003253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B517F" w14:textId="77777777" w:rsidR="003253B3" w:rsidRDefault="003253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EF104" w14:textId="77777777" w:rsidR="003253B3" w:rsidRDefault="003253B3">
      <w:r>
        <w:separator/>
      </w:r>
    </w:p>
  </w:footnote>
  <w:footnote w:type="continuationSeparator" w:id="0">
    <w:p w14:paraId="38FDBF16" w14:textId="77777777" w:rsidR="003253B3" w:rsidRDefault="003253B3">
      <w:r>
        <w:continuationSeparator/>
      </w:r>
    </w:p>
  </w:footnote>
  <w:footnote w:id="1">
    <w:p w14:paraId="2864D5D0" w14:textId="77777777" w:rsidR="003253B3" w:rsidRPr="007B0C1D" w:rsidRDefault="003253B3" w:rsidP="00816F89">
      <w:pPr>
        <w:pStyle w:val="FootnoteText"/>
        <w:rPr>
          <w:lang w:val="fr-CA"/>
        </w:rPr>
      </w:pPr>
      <w:r w:rsidRPr="007B0C1D">
        <w:rPr>
          <w:rStyle w:val="FootnoteReference"/>
        </w:rPr>
        <w:footnoteRef/>
      </w:r>
      <w:r w:rsidRPr="007B0C1D">
        <w:t xml:space="preserve"> </w:t>
      </w:r>
      <w:r w:rsidRPr="007B0C1D">
        <w:tab/>
        <w:t xml:space="preserve">The tests for </w:t>
      </w:r>
      <w:r>
        <w:t xml:space="preserve">evaluating alleged infringements of </w:t>
      </w:r>
      <w:r w:rsidRPr="007B0C1D">
        <w:t>freedom of association under s. 2(d) of the Canadian</w:t>
      </w:r>
      <w:r w:rsidRPr="007B0C1D">
        <w:rPr>
          <w:i/>
        </w:rPr>
        <w:t xml:space="preserve"> Charter</w:t>
      </w:r>
      <w:r w:rsidRPr="007B0C1D">
        <w:t xml:space="preserve"> and s. 3 of the Quebec </w:t>
      </w:r>
      <w:r w:rsidRPr="007B0C1D">
        <w:rPr>
          <w:i/>
        </w:rPr>
        <w:t>Charter</w:t>
      </w:r>
      <w:r w:rsidRPr="007B0C1D">
        <w:t xml:space="preserve"> are the same (</w:t>
      </w:r>
      <w:r w:rsidRPr="007B0C1D">
        <w:rPr>
          <w:i/>
          <w:lang w:val="fr-CA"/>
        </w:rPr>
        <w:t>Alliance des professionnels et des professionnelles de la Ville de Québec v. Procureur général du Québec</w:t>
      </w:r>
      <w:r w:rsidRPr="007B0C1D">
        <w:rPr>
          <w:lang w:val="fr-CA"/>
        </w:rPr>
        <w:t xml:space="preserve">, 2023 QCCA 626, 75 C.C.P.B. (2nd) 1, at para. 64; </w:t>
      </w:r>
      <w:r w:rsidRPr="007B0C1D">
        <w:rPr>
          <w:i/>
          <w:lang w:val="fr-CA"/>
        </w:rPr>
        <w:t>Procureur général du Québec v. Les avocats et notaires de l’État québécois</w:t>
      </w:r>
      <w:r w:rsidRPr="007B0C1D">
        <w:rPr>
          <w:lang w:val="fr-CA"/>
        </w:rPr>
        <w:t xml:space="preserve">, 2021 QCCA 559, at para. 60 (CanLII); see also </w:t>
      </w:r>
      <w:r w:rsidRPr="007B0C1D">
        <w:rPr>
          <w:i/>
          <w:lang w:val="fr-CA"/>
        </w:rPr>
        <w:t>Quebec (Commission des normes, de l’équité, de la santé et de la sécurité du travail) v. Caron</w:t>
      </w:r>
      <w:r w:rsidRPr="007B0C1D">
        <w:rPr>
          <w:lang w:val="fr-CA"/>
        </w:rPr>
        <w:t xml:space="preserve">, 2018 SCC 3, [2018] 1 S.C.R. 35, at para. 98). In what follows, I focus on the Canadian </w:t>
      </w:r>
      <w:r w:rsidRPr="007B0C1D">
        <w:rPr>
          <w:i/>
          <w:lang w:val="fr-CA"/>
        </w:rPr>
        <w:t>Charter</w:t>
      </w:r>
      <w:r w:rsidRPr="007B0C1D">
        <w:rPr>
          <w:lang w:val="fr-CA"/>
        </w:rPr>
        <w:t>.</w:t>
      </w:r>
    </w:p>
  </w:footnote>
  <w:footnote w:id="2">
    <w:p w14:paraId="4CD3B812" w14:textId="77777777" w:rsidR="003253B3" w:rsidRPr="00E12B2E" w:rsidRDefault="003253B3" w:rsidP="00816F89">
      <w:pPr>
        <w:pStyle w:val="FootnoteText"/>
      </w:pPr>
      <w:r>
        <w:rPr>
          <w:rStyle w:val="FootnoteReference"/>
        </w:rPr>
        <w:footnoteRef/>
      </w:r>
      <w:r>
        <w:t xml:space="preserve"> </w:t>
      </w:r>
      <w:r>
        <w:tab/>
        <w:t xml:space="preserve">On January 1, 2016, the ALT, created by the </w:t>
      </w:r>
      <w:r>
        <w:rPr>
          <w:i/>
          <w:iCs/>
        </w:rPr>
        <w:t>Act to establish the Administrative Labour Tribunal</w:t>
      </w:r>
      <w:r>
        <w:t>, CQLR, c. T</w:t>
      </w:r>
      <w:r>
        <w:noBreakHyphen/>
        <w:t>15.1, s. 1, replaced the Commission des relations du travail.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132F9" w14:textId="77777777" w:rsidR="003253B3" w:rsidRDefault="003253B3">
    <w:pPr>
      <w:tabs>
        <w:tab w:val="left" w:pos="-1440"/>
        <w:tab w:val="left" w:pos="-720"/>
        <w:tab w:val="left" w:pos="0"/>
        <w:tab w:val="left" w:pos="1152"/>
        <w:tab w:val="left" w:pos="1570"/>
        <w:tab w:val="left" w:pos="1843"/>
        <w:tab w:val="left" w:pos="2261"/>
        <w:tab w:val="left" w:pos="64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07819" w14:textId="615A4B8D" w:rsidR="003253B3" w:rsidRPr="00C40339" w:rsidRDefault="003253B3" w:rsidP="00C4033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B5A17" w14:textId="77777777" w:rsidR="003253B3" w:rsidRDefault="003253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A6B6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BA7D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C4DB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A69C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2484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B033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2A59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667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326A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42DA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11" w15:restartNumberingAfterBreak="0">
    <w:nsid w:val="056C3667"/>
    <w:multiLevelType w:val="hybridMultilevel"/>
    <w:tmpl w:val="77661178"/>
    <w:lvl w:ilvl="0" w:tplc="6C14CDB6">
      <w:numFmt w:val="bullet"/>
      <w:lvlText w:val="-"/>
      <w:lvlJc w:val="left"/>
      <w:pPr>
        <w:ind w:left="720" w:hanging="360"/>
      </w:pPr>
      <w:rPr>
        <w:rFonts w:ascii="Times New Roman" w:eastAsiaTheme="minorEastAsia"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7622CB7"/>
    <w:multiLevelType w:val="hybridMultilevel"/>
    <w:tmpl w:val="3580DE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1A2D5942"/>
    <w:multiLevelType w:val="multilevel"/>
    <w:tmpl w:val="F7841FD8"/>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B964AE7"/>
    <w:multiLevelType w:val="hybridMultilevel"/>
    <w:tmpl w:val="0D3CF150"/>
    <w:lvl w:ilvl="0" w:tplc="750A6A78">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FB300E9"/>
    <w:multiLevelType w:val="multilevel"/>
    <w:tmpl w:val="67023B4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3A269BE"/>
    <w:multiLevelType w:val="hybridMultilevel"/>
    <w:tmpl w:val="424E113C"/>
    <w:lvl w:ilvl="0" w:tplc="846E002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4954D08"/>
    <w:multiLevelType w:val="hybridMultilevel"/>
    <w:tmpl w:val="02746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21" w15:restartNumberingAfterBreak="0">
    <w:nsid w:val="4AC64FE2"/>
    <w:multiLevelType w:val="hybridMultilevel"/>
    <w:tmpl w:val="0B76EEBC"/>
    <w:lvl w:ilvl="0" w:tplc="434646E8">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23"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2F95063"/>
    <w:multiLevelType w:val="hybridMultilevel"/>
    <w:tmpl w:val="2CB80456"/>
    <w:lvl w:ilvl="0" w:tplc="04090001">
      <w:start w:val="1"/>
      <w:numFmt w:val="bullet"/>
      <w:lvlText w:val=""/>
      <w:lvlJc w:val="left"/>
      <w:pPr>
        <w:ind w:left="1886" w:hanging="360"/>
      </w:pPr>
      <w:rPr>
        <w:rFonts w:ascii="Symbol" w:hAnsi="Symbol" w:hint="default"/>
      </w:rPr>
    </w:lvl>
    <w:lvl w:ilvl="1" w:tplc="0C0C0003" w:tentative="1">
      <w:start w:val="1"/>
      <w:numFmt w:val="bullet"/>
      <w:lvlText w:val="o"/>
      <w:lvlJc w:val="left"/>
      <w:pPr>
        <w:ind w:left="2606" w:hanging="360"/>
      </w:pPr>
      <w:rPr>
        <w:rFonts w:ascii="Courier New" w:hAnsi="Courier New" w:cs="Courier New" w:hint="default"/>
      </w:rPr>
    </w:lvl>
    <w:lvl w:ilvl="2" w:tplc="0C0C0005" w:tentative="1">
      <w:start w:val="1"/>
      <w:numFmt w:val="bullet"/>
      <w:lvlText w:val=""/>
      <w:lvlJc w:val="left"/>
      <w:pPr>
        <w:ind w:left="3326" w:hanging="360"/>
      </w:pPr>
      <w:rPr>
        <w:rFonts w:ascii="Wingdings" w:hAnsi="Wingdings" w:hint="default"/>
      </w:rPr>
    </w:lvl>
    <w:lvl w:ilvl="3" w:tplc="0C0C0001" w:tentative="1">
      <w:start w:val="1"/>
      <w:numFmt w:val="bullet"/>
      <w:lvlText w:val=""/>
      <w:lvlJc w:val="left"/>
      <w:pPr>
        <w:ind w:left="4046" w:hanging="360"/>
      </w:pPr>
      <w:rPr>
        <w:rFonts w:ascii="Symbol" w:hAnsi="Symbol" w:hint="default"/>
      </w:rPr>
    </w:lvl>
    <w:lvl w:ilvl="4" w:tplc="0C0C0003" w:tentative="1">
      <w:start w:val="1"/>
      <w:numFmt w:val="bullet"/>
      <w:lvlText w:val="o"/>
      <w:lvlJc w:val="left"/>
      <w:pPr>
        <w:ind w:left="4766" w:hanging="360"/>
      </w:pPr>
      <w:rPr>
        <w:rFonts w:ascii="Courier New" w:hAnsi="Courier New" w:cs="Courier New" w:hint="default"/>
      </w:rPr>
    </w:lvl>
    <w:lvl w:ilvl="5" w:tplc="0C0C0005" w:tentative="1">
      <w:start w:val="1"/>
      <w:numFmt w:val="bullet"/>
      <w:lvlText w:val=""/>
      <w:lvlJc w:val="left"/>
      <w:pPr>
        <w:ind w:left="5486" w:hanging="360"/>
      </w:pPr>
      <w:rPr>
        <w:rFonts w:ascii="Wingdings" w:hAnsi="Wingdings" w:hint="default"/>
      </w:rPr>
    </w:lvl>
    <w:lvl w:ilvl="6" w:tplc="0C0C0001" w:tentative="1">
      <w:start w:val="1"/>
      <w:numFmt w:val="bullet"/>
      <w:lvlText w:val=""/>
      <w:lvlJc w:val="left"/>
      <w:pPr>
        <w:ind w:left="6206" w:hanging="360"/>
      </w:pPr>
      <w:rPr>
        <w:rFonts w:ascii="Symbol" w:hAnsi="Symbol" w:hint="default"/>
      </w:rPr>
    </w:lvl>
    <w:lvl w:ilvl="7" w:tplc="0C0C0003" w:tentative="1">
      <w:start w:val="1"/>
      <w:numFmt w:val="bullet"/>
      <w:lvlText w:val="o"/>
      <w:lvlJc w:val="left"/>
      <w:pPr>
        <w:ind w:left="6926" w:hanging="360"/>
      </w:pPr>
      <w:rPr>
        <w:rFonts w:ascii="Courier New" w:hAnsi="Courier New" w:cs="Courier New" w:hint="default"/>
      </w:rPr>
    </w:lvl>
    <w:lvl w:ilvl="8" w:tplc="0C0C0005" w:tentative="1">
      <w:start w:val="1"/>
      <w:numFmt w:val="bullet"/>
      <w:lvlText w:val=""/>
      <w:lvlJc w:val="left"/>
      <w:pPr>
        <w:ind w:left="7646" w:hanging="360"/>
      </w:pPr>
      <w:rPr>
        <w:rFonts w:ascii="Wingdings" w:hAnsi="Wingdings" w:hint="default"/>
      </w:rPr>
    </w:lvl>
  </w:abstractNum>
  <w:abstractNum w:abstractNumId="25" w15:restartNumberingAfterBreak="0">
    <w:nsid w:val="54283EE8"/>
    <w:multiLevelType w:val="multilevel"/>
    <w:tmpl w:val="D8B67860"/>
    <w:lvl w:ilvl="0">
      <w:start w:val="1"/>
      <w:numFmt w:val="decimal"/>
      <w:pStyle w:val="ParaNoNdepar-AltN"/>
      <w:lvlText w:val="[%1]"/>
      <w:lvlJc w:val="left"/>
      <w:pPr>
        <w:tabs>
          <w:tab w:val="num" w:pos="1152"/>
        </w:tabs>
        <w:ind w:left="0" w:firstLine="0"/>
      </w:pPr>
      <w:rPr>
        <w:rFonts w:ascii="Times New Roman" w:hAnsi="Times New Roman" w:hint="default"/>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F847194"/>
    <w:multiLevelType w:val="hybridMultilevel"/>
    <w:tmpl w:val="1D3022B8"/>
    <w:lvl w:ilvl="0" w:tplc="6C14CDB6">
      <w:numFmt w:val="bullet"/>
      <w:lvlText w:val="-"/>
      <w:lvlJc w:val="left"/>
      <w:pPr>
        <w:ind w:left="1886" w:hanging="360"/>
      </w:pPr>
      <w:rPr>
        <w:rFonts w:ascii="Times New Roman" w:eastAsiaTheme="minorEastAsia" w:hAnsi="Times New Roman" w:cs="Times New Roman" w:hint="default"/>
      </w:rPr>
    </w:lvl>
    <w:lvl w:ilvl="1" w:tplc="0C0C0003" w:tentative="1">
      <w:start w:val="1"/>
      <w:numFmt w:val="bullet"/>
      <w:lvlText w:val="o"/>
      <w:lvlJc w:val="left"/>
      <w:pPr>
        <w:ind w:left="2606" w:hanging="360"/>
      </w:pPr>
      <w:rPr>
        <w:rFonts w:ascii="Courier New" w:hAnsi="Courier New" w:cs="Courier New" w:hint="default"/>
      </w:rPr>
    </w:lvl>
    <w:lvl w:ilvl="2" w:tplc="0C0C0005" w:tentative="1">
      <w:start w:val="1"/>
      <w:numFmt w:val="bullet"/>
      <w:lvlText w:val=""/>
      <w:lvlJc w:val="left"/>
      <w:pPr>
        <w:ind w:left="3326" w:hanging="360"/>
      </w:pPr>
      <w:rPr>
        <w:rFonts w:ascii="Wingdings" w:hAnsi="Wingdings" w:hint="default"/>
      </w:rPr>
    </w:lvl>
    <w:lvl w:ilvl="3" w:tplc="0C0C0001" w:tentative="1">
      <w:start w:val="1"/>
      <w:numFmt w:val="bullet"/>
      <w:lvlText w:val=""/>
      <w:lvlJc w:val="left"/>
      <w:pPr>
        <w:ind w:left="4046" w:hanging="360"/>
      </w:pPr>
      <w:rPr>
        <w:rFonts w:ascii="Symbol" w:hAnsi="Symbol" w:hint="default"/>
      </w:rPr>
    </w:lvl>
    <w:lvl w:ilvl="4" w:tplc="0C0C0003" w:tentative="1">
      <w:start w:val="1"/>
      <w:numFmt w:val="bullet"/>
      <w:lvlText w:val="o"/>
      <w:lvlJc w:val="left"/>
      <w:pPr>
        <w:ind w:left="4766" w:hanging="360"/>
      </w:pPr>
      <w:rPr>
        <w:rFonts w:ascii="Courier New" w:hAnsi="Courier New" w:cs="Courier New" w:hint="default"/>
      </w:rPr>
    </w:lvl>
    <w:lvl w:ilvl="5" w:tplc="0C0C0005" w:tentative="1">
      <w:start w:val="1"/>
      <w:numFmt w:val="bullet"/>
      <w:lvlText w:val=""/>
      <w:lvlJc w:val="left"/>
      <w:pPr>
        <w:ind w:left="5486" w:hanging="360"/>
      </w:pPr>
      <w:rPr>
        <w:rFonts w:ascii="Wingdings" w:hAnsi="Wingdings" w:hint="default"/>
      </w:rPr>
    </w:lvl>
    <w:lvl w:ilvl="6" w:tplc="0C0C0001" w:tentative="1">
      <w:start w:val="1"/>
      <w:numFmt w:val="bullet"/>
      <w:lvlText w:val=""/>
      <w:lvlJc w:val="left"/>
      <w:pPr>
        <w:ind w:left="6206" w:hanging="360"/>
      </w:pPr>
      <w:rPr>
        <w:rFonts w:ascii="Symbol" w:hAnsi="Symbol" w:hint="default"/>
      </w:rPr>
    </w:lvl>
    <w:lvl w:ilvl="7" w:tplc="0C0C0003" w:tentative="1">
      <w:start w:val="1"/>
      <w:numFmt w:val="bullet"/>
      <w:lvlText w:val="o"/>
      <w:lvlJc w:val="left"/>
      <w:pPr>
        <w:ind w:left="6926" w:hanging="360"/>
      </w:pPr>
      <w:rPr>
        <w:rFonts w:ascii="Courier New" w:hAnsi="Courier New" w:cs="Courier New" w:hint="default"/>
      </w:rPr>
    </w:lvl>
    <w:lvl w:ilvl="8" w:tplc="0C0C0005" w:tentative="1">
      <w:start w:val="1"/>
      <w:numFmt w:val="bullet"/>
      <w:lvlText w:val=""/>
      <w:lvlJc w:val="left"/>
      <w:pPr>
        <w:ind w:left="7646" w:hanging="360"/>
      </w:pPr>
      <w:rPr>
        <w:rFonts w:ascii="Wingdings" w:hAnsi="Wingdings" w:hint="default"/>
      </w:rPr>
    </w:lvl>
  </w:abstractNum>
  <w:abstractNum w:abstractNumId="28" w15:restartNumberingAfterBreak="0">
    <w:nsid w:val="777B6FC6"/>
    <w:multiLevelType w:val="hybridMultilevel"/>
    <w:tmpl w:val="38767D10"/>
    <w:lvl w:ilvl="0" w:tplc="6C14CDB6">
      <w:numFmt w:val="bullet"/>
      <w:lvlText w:val="-"/>
      <w:lvlJc w:val="left"/>
      <w:pPr>
        <w:ind w:left="720" w:hanging="360"/>
      </w:pPr>
      <w:rPr>
        <w:rFonts w:ascii="Times New Roman" w:eastAsiaTheme="minorEastAsia"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6"/>
  </w:num>
  <w:num w:numId="2">
    <w:abstractNumId w:val="15"/>
  </w:num>
  <w:num w:numId="3">
    <w:abstractNumId w:val="12"/>
  </w:num>
  <w:num w:numId="4">
    <w:abstractNumId w:val="22"/>
  </w:num>
  <w:num w:numId="5">
    <w:abstractNumId w:val="23"/>
  </w:num>
  <w:num w:numId="6">
    <w:abstractNumId w:val="25"/>
  </w:num>
  <w:num w:numId="7">
    <w:abstractNumId w:val="20"/>
  </w:num>
  <w:num w:numId="8">
    <w:abstractNumId w:val="20"/>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10"/>
  </w:num>
  <w:num w:numId="10">
    <w:abstractNumId w:val="14"/>
  </w:num>
  <w:num w:numId="11">
    <w:abstractNumId w:val="17"/>
  </w:num>
  <w:num w:numId="12">
    <w:abstractNumId w:val="16"/>
  </w:num>
  <w:num w:numId="13">
    <w:abstractNumId w:val="19"/>
  </w:num>
  <w:num w:numId="14">
    <w:abstractNumId w:val="21"/>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8"/>
  </w:num>
  <w:num w:numId="26">
    <w:abstractNumId w:val="13"/>
  </w:num>
  <w:num w:numId="27">
    <w:abstractNumId w:val="28"/>
  </w:num>
  <w:num w:numId="28">
    <w:abstractNumId w:val="27"/>
  </w:num>
  <w:num w:numId="29">
    <w:abstractNumId w:val="11"/>
  </w:num>
  <w:num w:numId="30">
    <w:abstractNumId w:val="24"/>
  </w:num>
  <w:num w:numId="31">
    <w:abstractNumId w:val="25"/>
    <w:lvlOverride w:ilvl="0">
      <w:startOverride w:val="9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 w:numId="33">
    <w:abstractNumId w:val="20"/>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25198"/>
    <w:rsid w:val="00036B59"/>
    <w:rsid w:val="00037D63"/>
    <w:rsid w:val="000578A3"/>
    <w:rsid w:val="00061661"/>
    <w:rsid w:val="000648CC"/>
    <w:rsid w:val="0009085E"/>
    <w:rsid w:val="000A2C3F"/>
    <w:rsid w:val="000A4005"/>
    <w:rsid w:val="000B4830"/>
    <w:rsid w:val="000C59B8"/>
    <w:rsid w:val="000C6AF0"/>
    <w:rsid w:val="000F24E0"/>
    <w:rsid w:val="000F37DF"/>
    <w:rsid w:val="000F6EC6"/>
    <w:rsid w:val="00104F33"/>
    <w:rsid w:val="0010661D"/>
    <w:rsid w:val="00111DE2"/>
    <w:rsid w:val="00116720"/>
    <w:rsid w:val="00116B38"/>
    <w:rsid w:val="00135406"/>
    <w:rsid w:val="00135972"/>
    <w:rsid w:val="001426A9"/>
    <w:rsid w:val="001533B6"/>
    <w:rsid w:val="00154D7C"/>
    <w:rsid w:val="001570B0"/>
    <w:rsid w:val="0015752C"/>
    <w:rsid w:val="00157737"/>
    <w:rsid w:val="00165277"/>
    <w:rsid w:val="00166510"/>
    <w:rsid w:val="00170592"/>
    <w:rsid w:val="00186351"/>
    <w:rsid w:val="00195D83"/>
    <w:rsid w:val="00196375"/>
    <w:rsid w:val="001A00C1"/>
    <w:rsid w:val="001A550D"/>
    <w:rsid w:val="001B33E0"/>
    <w:rsid w:val="001B4573"/>
    <w:rsid w:val="001B48CC"/>
    <w:rsid w:val="001C0A6A"/>
    <w:rsid w:val="001C1EA7"/>
    <w:rsid w:val="001C3551"/>
    <w:rsid w:val="001C779F"/>
    <w:rsid w:val="001D2AC1"/>
    <w:rsid w:val="001D4E88"/>
    <w:rsid w:val="001E1C03"/>
    <w:rsid w:val="001E4150"/>
    <w:rsid w:val="0020246B"/>
    <w:rsid w:val="00220FC2"/>
    <w:rsid w:val="002222F4"/>
    <w:rsid w:val="0022363F"/>
    <w:rsid w:val="00223843"/>
    <w:rsid w:val="00224FC0"/>
    <w:rsid w:val="00225EA4"/>
    <w:rsid w:val="00226EAF"/>
    <w:rsid w:val="00231F3A"/>
    <w:rsid w:val="00234082"/>
    <w:rsid w:val="00234199"/>
    <w:rsid w:val="002406EE"/>
    <w:rsid w:val="00243EC8"/>
    <w:rsid w:val="002623C8"/>
    <w:rsid w:val="00262848"/>
    <w:rsid w:val="00263574"/>
    <w:rsid w:val="0026546B"/>
    <w:rsid w:val="00265A5E"/>
    <w:rsid w:val="00270A34"/>
    <w:rsid w:val="00270D93"/>
    <w:rsid w:val="002745CC"/>
    <w:rsid w:val="00284B8D"/>
    <w:rsid w:val="002910DD"/>
    <w:rsid w:val="00293266"/>
    <w:rsid w:val="002A6CD0"/>
    <w:rsid w:val="002B7924"/>
    <w:rsid w:val="002D28C3"/>
    <w:rsid w:val="002D39A4"/>
    <w:rsid w:val="002E6705"/>
    <w:rsid w:val="00301D08"/>
    <w:rsid w:val="0030329A"/>
    <w:rsid w:val="0031086F"/>
    <w:rsid w:val="0031414C"/>
    <w:rsid w:val="00314E01"/>
    <w:rsid w:val="0032089D"/>
    <w:rsid w:val="00323D5F"/>
    <w:rsid w:val="003253B3"/>
    <w:rsid w:val="00330728"/>
    <w:rsid w:val="003310DE"/>
    <w:rsid w:val="003323B0"/>
    <w:rsid w:val="00335A86"/>
    <w:rsid w:val="0033717C"/>
    <w:rsid w:val="0034240C"/>
    <w:rsid w:val="003425D3"/>
    <w:rsid w:val="0035169A"/>
    <w:rsid w:val="0035259D"/>
    <w:rsid w:val="00364B18"/>
    <w:rsid w:val="00377C74"/>
    <w:rsid w:val="003926A5"/>
    <w:rsid w:val="00395D66"/>
    <w:rsid w:val="003A0C9A"/>
    <w:rsid w:val="003A125D"/>
    <w:rsid w:val="003A4C70"/>
    <w:rsid w:val="003A56EF"/>
    <w:rsid w:val="003B215F"/>
    <w:rsid w:val="003C799C"/>
    <w:rsid w:val="003D0399"/>
    <w:rsid w:val="003E1C71"/>
    <w:rsid w:val="003E36F0"/>
    <w:rsid w:val="003F327B"/>
    <w:rsid w:val="00406166"/>
    <w:rsid w:val="0040704B"/>
    <w:rsid w:val="00410A55"/>
    <w:rsid w:val="00411300"/>
    <w:rsid w:val="00414B95"/>
    <w:rsid w:val="00414F5A"/>
    <w:rsid w:val="00415417"/>
    <w:rsid w:val="00423A1C"/>
    <w:rsid w:val="00426659"/>
    <w:rsid w:val="0043162A"/>
    <w:rsid w:val="004374C6"/>
    <w:rsid w:val="00442ECD"/>
    <w:rsid w:val="004431BA"/>
    <w:rsid w:val="00446AD9"/>
    <w:rsid w:val="00450352"/>
    <w:rsid w:val="00454BDB"/>
    <w:rsid w:val="00464800"/>
    <w:rsid w:val="00465132"/>
    <w:rsid w:val="004727D3"/>
    <w:rsid w:val="00480C90"/>
    <w:rsid w:val="0048396F"/>
    <w:rsid w:val="00493C18"/>
    <w:rsid w:val="004A12F6"/>
    <w:rsid w:val="004A5DB4"/>
    <w:rsid w:val="004A600C"/>
    <w:rsid w:val="004A6118"/>
    <w:rsid w:val="004B1989"/>
    <w:rsid w:val="004C478D"/>
    <w:rsid w:val="004E2C26"/>
    <w:rsid w:val="004E494B"/>
    <w:rsid w:val="004E5B53"/>
    <w:rsid w:val="004F3148"/>
    <w:rsid w:val="004F36FF"/>
    <w:rsid w:val="0050060C"/>
    <w:rsid w:val="00511FAE"/>
    <w:rsid w:val="005125A8"/>
    <w:rsid w:val="00521AE8"/>
    <w:rsid w:val="005237EF"/>
    <w:rsid w:val="00526D4B"/>
    <w:rsid w:val="00527180"/>
    <w:rsid w:val="0054201E"/>
    <w:rsid w:val="00547266"/>
    <w:rsid w:val="00555291"/>
    <w:rsid w:val="00566AD1"/>
    <w:rsid w:val="00567029"/>
    <w:rsid w:val="005738AD"/>
    <w:rsid w:val="00575D87"/>
    <w:rsid w:val="00583EDE"/>
    <w:rsid w:val="005A1B2D"/>
    <w:rsid w:val="005A6079"/>
    <w:rsid w:val="005E4698"/>
    <w:rsid w:val="006002B1"/>
    <w:rsid w:val="00610539"/>
    <w:rsid w:val="00610790"/>
    <w:rsid w:val="006131E0"/>
    <w:rsid w:val="00613969"/>
    <w:rsid w:val="00625C35"/>
    <w:rsid w:val="006269AA"/>
    <w:rsid w:val="00656313"/>
    <w:rsid w:val="006565F4"/>
    <w:rsid w:val="0067763B"/>
    <w:rsid w:val="00684EEA"/>
    <w:rsid w:val="006917BF"/>
    <w:rsid w:val="0069689B"/>
    <w:rsid w:val="006A068F"/>
    <w:rsid w:val="006A1551"/>
    <w:rsid w:val="006B0713"/>
    <w:rsid w:val="006B5FF5"/>
    <w:rsid w:val="006C5841"/>
    <w:rsid w:val="006D1F15"/>
    <w:rsid w:val="006F2BA3"/>
    <w:rsid w:val="006F30AF"/>
    <w:rsid w:val="006F4679"/>
    <w:rsid w:val="00701759"/>
    <w:rsid w:val="00705C15"/>
    <w:rsid w:val="00712523"/>
    <w:rsid w:val="0071600E"/>
    <w:rsid w:val="007208D1"/>
    <w:rsid w:val="0072179E"/>
    <w:rsid w:val="00736D05"/>
    <w:rsid w:val="00747288"/>
    <w:rsid w:val="00747DD3"/>
    <w:rsid w:val="007549C8"/>
    <w:rsid w:val="00754A0B"/>
    <w:rsid w:val="00762C74"/>
    <w:rsid w:val="00766D14"/>
    <w:rsid w:val="00767A0F"/>
    <w:rsid w:val="00784FAC"/>
    <w:rsid w:val="007960F7"/>
    <w:rsid w:val="007A05F6"/>
    <w:rsid w:val="007B4536"/>
    <w:rsid w:val="007B47A1"/>
    <w:rsid w:val="007B6F4A"/>
    <w:rsid w:val="007C786C"/>
    <w:rsid w:val="007E1C47"/>
    <w:rsid w:val="007E337A"/>
    <w:rsid w:val="007E5C70"/>
    <w:rsid w:val="007F2FF5"/>
    <w:rsid w:val="007F3F08"/>
    <w:rsid w:val="00802EDD"/>
    <w:rsid w:val="00804CC6"/>
    <w:rsid w:val="00816F89"/>
    <w:rsid w:val="00817190"/>
    <w:rsid w:val="00820EE5"/>
    <w:rsid w:val="008260E2"/>
    <w:rsid w:val="008322BD"/>
    <w:rsid w:val="00833E0A"/>
    <w:rsid w:val="00834F73"/>
    <w:rsid w:val="00864CF8"/>
    <w:rsid w:val="00872819"/>
    <w:rsid w:val="00874914"/>
    <w:rsid w:val="00875B9B"/>
    <w:rsid w:val="00884033"/>
    <w:rsid w:val="00891422"/>
    <w:rsid w:val="00892E1A"/>
    <w:rsid w:val="008A3F29"/>
    <w:rsid w:val="008A4242"/>
    <w:rsid w:val="008B445E"/>
    <w:rsid w:val="008B586C"/>
    <w:rsid w:val="008B660A"/>
    <w:rsid w:val="008C01DA"/>
    <w:rsid w:val="008F6301"/>
    <w:rsid w:val="008F661B"/>
    <w:rsid w:val="008F78E9"/>
    <w:rsid w:val="00911989"/>
    <w:rsid w:val="009119DD"/>
    <w:rsid w:val="009140FE"/>
    <w:rsid w:val="009179F9"/>
    <w:rsid w:val="00924595"/>
    <w:rsid w:val="00933E5E"/>
    <w:rsid w:val="00935218"/>
    <w:rsid w:val="0094036F"/>
    <w:rsid w:val="009403F3"/>
    <w:rsid w:val="00943E12"/>
    <w:rsid w:val="009555B7"/>
    <w:rsid w:val="009567AA"/>
    <w:rsid w:val="0096181A"/>
    <w:rsid w:val="009633D9"/>
    <w:rsid w:val="00963C41"/>
    <w:rsid w:val="00967374"/>
    <w:rsid w:val="00981DDF"/>
    <w:rsid w:val="009A343A"/>
    <w:rsid w:val="009B2F23"/>
    <w:rsid w:val="009B57B3"/>
    <w:rsid w:val="009C497E"/>
    <w:rsid w:val="009C5B92"/>
    <w:rsid w:val="009D2920"/>
    <w:rsid w:val="009D4F16"/>
    <w:rsid w:val="009D5AEB"/>
    <w:rsid w:val="009F0E33"/>
    <w:rsid w:val="00A030CE"/>
    <w:rsid w:val="00A149DF"/>
    <w:rsid w:val="00A1502E"/>
    <w:rsid w:val="00A1755C"/>
    <w:rsid w:val="00A21B90"/>
    <w:rsid w:val="00A26B5E"/>
    <w:rsid w:val="00A30E0C"/>
    <w:rsid w:val="00A34568"/>
    <w:rsid w:val="00A35617"/>
    <w:rsid w:val="00A41805"/>
    <w:rsid w:val="00A42DCD"/>
    <w:rsid w:val="00A52AFB"/>
    <w:rsid w:val="00A548CB"/>
    <w:rsid w:val="00A5521C"/>
    <w:rsid w:val="00A643E7"/>
    <w:rsid w:val="00A67DB1"/>
    <w:rsid w:val="00A731DE"/>
    <w:rsid w:val="00A73C38"/>
    <w:rsid w:val="00A975F5"/>
    <w:rsid w:val="00AB073E"/>
    <w:rsid w:val="00AB670D"/>
    <w:rsid w:val="00AC2121"/>
    <w:rsid w:val="00AD3E2E"/>
    <w:rsid w:val="00AE4535"/>
    <w:rsid w:val="00AE4D6B"/>
    <w:rsid w:val="00AF03C5"/>
    <w:rsid w:val="00B000D8"/>
    <w:rsid w:val="00B00F75"/>
    <w:rsid w:val="00B145B6"/>
    <w:rsid w:val="00B22D33"/>
    <w:rsid w:val="00B279EB"/>
    <w:rsid w:val="00B31068"/>
    <w:rsid w:val="00B4401D"/>
    <w:rsid w:val="00B50C81"/>
    <w:rsid w:val="00B5427C"/>
    <w:rsid w:val="00B557F8"/>
    <w:rsid w:val="00B62EDF"/>
    <w:rsid w:val="00B815FC"/>
    <w:rsid w:val="00B92B8C"/>
    <w:rsid w:val="00B93FBC"/>
    <w:rsid w:val="00BA3F93"/>
    <w:rsid w:val="00BA7DA0"/>
    <w:rsid w:val="00BB03F0"/>
    <w:rsid w:val="00BB04BF"/>
    <w:rsid w:val="00BB2EE4"/>
    <w:rsid w:val="00BC0381"/>
    <w:rsid w:val="00BC2108"/>
    <w:rsid w:val="00BC4858"/>
    <w:rsid w:val="00BD0E9E"/>
    <w:rsid w:val="00BD1BEC"/>
    <w:rsid w:val="00BD32FF"/>
    <w:rsid w:val="00BD36C2"/>
    <w:rsid w:val="00BF27C4"/>
    <w:rsid w:val="00C02092"/>
    <w:rsid w:val="00C24D91"/>
    <w:rsid w:val="00C350A8"/>
    <w:rsid w:val="00C3570C"/>
    <w:rsid w:val="00C40339"/>
    <w:rsid w:val="00C53F14"/>
    <w:rsid w:val="00C600CF"/>
    <w:rsid w:val="00C6084F"/>
    <w:rsid w:val="00C60ACC"/>
    <w:rsid w:val="00C62A66"/>
    <w:rsid w:val="00C70AC7"/>
    <w:rsid w:val="00C71458"/>
    <w:rsid w:val="00C77613"/>
    <w:rsid w:val="00C828E7"/>
    <w:rsid w:val="00C86719"/>
    <w:rsid w:val="00C921DD"/>
    <w:rsid w:val="00CA6391"/>
    <w:rsid w:val="00CC34BD"/>
    <w:rsid w:val="00CE161A"/>
    <w:rsid w:val="00CE3171"/>
    <w:rsid w:val="00CF1601"/>
    <w:rsid w:val="00D0172F"/>
    <w:rsid w:val="00D02D74"/>
    <w:rsid w:val="00D068A7"/>
    <w:rsid w:val="00D11DC1"/>
    <w:rsid w:val="00D126EF"/>
    <w:rsid w:val="00D12819"/>
    <w:rsid w:val="00D17476"/>
    <w:rsid w:val="00D32086"/>
    <w:rsid w:val="00D365F7"/>
    <w:rsid w:val="00D37A3F"/>
    <w:rsid w:val="00D42EC4"/>
    <w:rsid w:val="00D4431D"/>
    <w:rsid w:val="00D4667A"/>
    <w:rsid w:val="00D63A1C"/>
    <w:rsid w:val="00D74428"/>
    <w:rsid w:val="00D745AC"/>
    <w:rsid w:val="00D7516F"/>
    <w:rsid w:val="00D8579F"/>
    <w:rsid w:val="00D95F8E"/>
    <w:rsid w:val="00D975F1"/>
    <w:rsid w:val="00DA0590"/>
    <w:rsid w:val="00DA5E91"/>
    <w:rsid w:val="00DB7BEA"/>
    <w:rsid w:val="00DC1739"/>
    <w:rsid w:val="00DC1788"/>
    <w:rsid w:val="00DC2B73"/>
    <w:rsid w:val="00DE319C"/>
    <w:rsid w:val="00DE6725"/>
    <w:rsid w:val="00DF0CA8"/>
    <w:rsid w:val="00DF2B48"/>
    <w:rsid w:val="00DF49A7"/>
    <w:rsid w:val="00E0188D"/>
    <w:rsid w:val="00E07EE2"/>
    <w:rsid w:val="00E07FD1"/>
    <w:rsid w:val="00E13D68"/>
    <w:rsid w:val="00E176D8"/>
    <w:rsid w:val="00E24573"/>
    <w:rsid w:val="00E25E1E"/>
    <w:rsid w:val="00E25F90"/>
    <w:rsid w:val="00E27EE7"/>
    <w:rsid w:val="00E35404"/>
    <w:rsid w:val="00E41F41"/>
    <w:rsid w:val="00E45109"/>
    <w:rsid w:val="00E47B7A"/>
    <w:rsid w:val="00E51D30"/>
    <w:rsid w:val="00E56A44"/>
    <w:rsid w:val="00E60269"/>
    <w:rsid w:val="00E604D5"/>
    <w:rsid w:val="00E70739"/>
    <w:rsid w:val="00E77932"/>
    <w:rsid w:val="00E92BC4"/>
    <w:rsid w:val="00E97830"/>
    <w:rsid w:val="00EA653F"/>
    <w:rsid w:val="00EC050D"/>
    <w:rsid w:val="00EC6FC7"/>
    <w:rsid w:val="00EE470B"/>
    <w:rsid w:val="00EE643C"/>
    <w:rsid w:val="00EF0683"/>
    <w:rsid w:val="00EF2E10"/>
    <w:rsid w:val="00EF45DA"/>
    <w:rsid w:val="00EF69D2"/>
    <w:rsid w:val="00EF766E"/>
    <w:rsid w:val="00F0070C"/>
    <w:rsid w:val="00F00EB7"/>
    <w:rsid w:val="00F02C0B"/>
    <w:rsid w:val="00F2647D"/>
    <w:rsid w:val="00F34C57"/>
    <w:rsid w:val="00F36AB6"/>
    <w:rsid w:val="00F37A09"/>
    <w:rsid w:val="00F409CE"/>
    <w:rsid w:val="00F4379D"/>
    <w:rsid w:val="00F5062B"/>
    <w:rsid w:val="00F50D2D"/>
    <w:rsid w:val="00F56C8B"/>
    <w:rsid w:val="00F66810"/>
    <w:rsid w:val="00F717B1"/>
    <w:rsid w:val="00F846D9"/>
    <w:rsid w:val="00F84DF4"/>
    <w:rsid w:val="00F85C97"/>
    <w:rsid w:val="00F9706E"/>
    <w:rsid w:val="00FB2DD3"/>
    <w:rsid w:val="00FB37D2"/>
    <w:rsid w:val="00FC437E"/>
    <w:rsid w:val="00FC4A3D"/>
    <w:rsid w:val="00FC4EFB"/>
    <w:rsid w:val="00FD068D"/>
    <w:rsid w:val="00FD4F28"/>
    <w:rsid w:val="00FD56ED"/>
    <w:rsid w:val="00FE3367"/>
    <w:rsid w:val="00FE6784"/>
    <w:rsid w:val="00FF1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6017"/>
    <o:shapelayout v:ext="edit">
      <o:idmap v:ext="edit" data="1"/>
    </o:shapelayout>
  </w:shapeDefaults>
  <w:decimalSymbol w:val="."/>
  <w:listSeparator w:val=","/>
  <w14:docId w14:val="179E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BC4"/>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6F89"/>
    <w:pPr>
      <w:keepNext/>
      <w:keepLines/>
      <w:spacing w:before="200"/>
      <w:outlineLvl w:val="2"/>
    </w:pPr>
    <w:rPr>
      <w:rFonts w:asciiTheme="majorHAnsi" w:eastAsiaTheme="majorEastAsia" w:hAnsiTheme="majorHAnsi" w:cstheme="majorBidi"/>
      <w:b/>
      <w:bCs/>
      <w:color w:val="4F81BD" w:themeColor="accent1"/>
      <w:szCs w:val="22"/>
      <w:lang w:val="en-US" w:eastAsia="en-US" w:bidi="en-US"/>
    </w:rPr>
  </w:style>
  <w:style w:type="paragraph" w:styleId="Heading4">
    <w:name w:val="heading 4"/>
    <w:basedOn w:val="Normal"/>
    <w:next w:val="Normal"/>
    <w:link w:val="Heading4Char"/>
    <w:uiPriority w:val="9"/>
    <w:unhideWhenUsed/>
    <w:qFormat/>
    <w:rsid w:val="00816F89"/>
    <w:pPr>
      <w:keepNext/>
      <w:keepLines/>
      <w:spacing w:before="200"/>
      <w:outlineLvl w:val="3"/>
    </w:pPr>
    <w:rPr>
      <w:rFonts w:asciiTheme="majorHAnsi" w:eastAsiaTheme="majorEastAsia" w:hAnsiTheme="majorHAnsi" w:cstheme="majorBidi"/>
      <w:b/>
      <w:bCs/>
      <w:i/>
      <w:iCs/>
      <w:color w:val="4F81BD" w:themeColor="accent1"/>
      <w:szCs w:val="22"/>
      <w:lang w:val="en-US" w:eastAsia="en-US" w:bidi="en-US"/>
    </w:rPr>
  </w:style>
  <w:style w:type="paragraph" w:styleId="Heading5">
    <w:name w:val="heading 5"/>
    <w:basedOn w:val="Normal"/>
    <w:next w:val="Normal"/>
    <w:link w:val="Heading5Char"/>
    <w:uiPriority w:val="9"/>
    <w:semiHidden/>
    <w:unhideWhenUsed/>
    <w:qFormat/>
    <w:rsid w:val="00816F89"/>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semiHidden/>
    <w:unhideWhenUsed/>
    <w:qFormat/>
    <w:rsid w:val="00816F89"/>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semiHidden/>
    <w:unhideWhenUsed/>
    <w:qFormat/>
    <w:rsid w:val="00816F89"/>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semiHidden/>
    <w:unhideWhenUsed/>
    <w:qFormat/>
    <w:rsid w:val="00816F89"/>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816F89"/>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EC050D"/>
    <w:rPr>
      <w:sz w:val="16"/>
      <w:szCs w:val="16"/>
    </w:rPr>
  </w:style>
  <w:style w:type="paragraph" w:styleId="CommentText">
    <w:name w:val="annotation text"/>
    <w:basedOn w:val="Normal"/>
    <w:link w:val="CommentTextChar"/>
    <w:uiPriority w:val="99"/>
    <w:unhideWhenUsed/>
    <w:rsid w:val="00EC050D"/>
    <w:rPr>
      <w:sz w:val="20"/>
    </w:rPr>
  </w:style>
  <w:style w:type="character" w:customStyle="1" w:styleId="CommentTextChar">
    <w:name w:val="Comment Text Char"/>
    <w:basedOn w:val="DefaultParagraphFont"/>
    <w:link w:val="CommentText"/>
    <w:uiPriority w:val="99"/>
    <w:rsid w:val="00EC050D"/>
  </w:style>
  <w:style w:type="paragraph" w:styleId="CommentSubject">
    <w:name w:val="annotation subject"/>
    <w:basedOn w:val="CommentText"/>
    <w:next w:val="CommentText"/>
    <w:link w:val="CommentSubjectChar"/>
    <w:uiPriority w:val="99"/>
    <w:semiHidden/>
    <w:unhideWhenUsed/>
    <w:rsid w:val="00EC050D"/>
    <w:rPr>
      <w:b/>
      <w:bCs/>
    </w:rPr>
  </w:style>
  <w:style w:type="character" w:customStyle="1" w:styleId="CommentSubjectChar">
    <w:name w:val="Comment Subject Char"/>
    <w:basedOn w:val="CommentTextChar"/>
    <w:link w:val="CommentSubject"/>
    <w:uiPriority w:val="99"/>
    <w:semiHidden/>
    <w:rsid w:val="00EC050D"/>
    <w:rPr>
      <w:b/>
      <w:bCs/>
    </w:rPr>
  </w:style>
  <w:style w:type="character" w:styleId="Hyperlink">
    <w:name w:val="Hyperlink"/>
    <w:basedOn w:val="DefaultParagraphFont"/>
    <w:uiPriority w:val="99"/>
    <w:unhideWhenUsed/>
    <w:rsid w:val="00234082"/>
    <w:rPr>
      <w:color w:val="660000"/>
      <w:u w:val="none"/>
    </w:rPr>
  </w:style>
  <w:style w:type="character" w:customStyle="1" w:styleId="Heading3Char">
    <w:name w:val="Heading 3 Char"/>
    <w:basedOn w:val="DefaultParagraphFont"/>
    <w:link w:val="Heading3"/>
    <w:uiPriority w:val="9"/>
    <w:rsid w:val="00816F89"/>
    <w:rPr>
      <w:rFonts w:asciiTheme="majorHAnsi" w:eastAsiaTheme="majorEastAsia" w:hAnsiTheme="majorHAnsi" w:cstheme="majorBidi"/>
      <w:b/>
      <w:bCs/>
      <w:color w:val="4F81BD" w:themeColor="accent1"/>
      <w:sz w:val="24"/>
      <w:szCs w:val="22"/>
      <w:lang w:val="en-US" w:eastAsia="en-US" w:bidi="en-US"/>
    </w:rPr>
  </w:style>
  <w:style w:type="character" w:customStyle="1" w:styleId="Heading4Char">
    <w:name w:val="Heading 4 Char"/>
    <w:basedOn w:val="DefaultParagraphFont"/>
    <w:link w:val="Heading4"/>
    <w:uiPriority w:val="9"/>
    <w:rsid w:val="00816F89"/>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semiHidden/>
    <w:rsid w:val="00816F89"/>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816F89"/>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816F89"/>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semiHidden/>
    <w:rsid w:val="00816F89"/>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816F89"/>
    <w:rPr>
      <w:rFonts w:asciiTheme="majorHAnsi" w:eastAsiaTheme="majorEastAsia" w:hAnsiTheme="majorHAnsi" w:cstheme="majorBidi"/>
      <w:i/>
      <w:iCs/>
      <w:color w:val="404040" w:themeColor="text1" w:themeTint="BF"/>
      <w:lang w:val="en-US" w:eastAsia="en-US" w:bidi="en-US"/>
    </w:rPr>
  </w:style>
  <w:style w:type="paragraph" w:customStyle="1" w:styleId="SCCLsocOtherPartyRoleSeparator">
    <w:name w:val="SCC.Lsoc.OtherPartyRoleSeparator"/>
    <w:basedOn w:val="Normal"/>
    <w:next w:val="Normal"/>
    <w:link w:val="SCCLsocOtherPartyRoleSeparatorChar"/>
    <w:rsid w:val="00816F89"/>
    <w:pPr>
      <w:spacing w:after="480"/>
    </w:pPr>
    <w:rPr>
      <w:rFonts w:eastAsiaTheme="minorHAnsi" w:cstheme="minorBidi"/>
      <w:szCs w:val="22"/>
      <w:lang w:val="en-US" w:eastAsia="en-US" w:bidi="en-US"/>
    </w:rPr>
  </w:style>
  <w:style w:type="paragraph" w:customStyle="1" w:styleId="SCCCoram">
    <w:name w:val="SCC.Coram"/>
    <w:basedOn w:val="Normal"/>
    <w:next w:val="Normal"/>
    <w:link w:val="SCCCoramChar"/>
    <w:rsid w:val="00816F89"/>
    <w:pPr>
      <w:pBdr>
        <w:bottom w:val="single" w:sz="4" w:space="1" w:color="auto"/>
      </w:pBdr>
    </w:pPr>
    <w:rPr>
      <w:rFonts w:eastAsiaTheme="minorHAnsi" w:cstheme="minorBidi"/>
      <w:szCs w:val="22"/>
      <w:lang w:val="en-US" w:eastAsia="en-US" w:bidi="en-US"/>
    </w:rPr>
  </w:style>
  <w:style w:type="character" w:customStyle="1" w:styleId="SCCCoramChar">
    <w:name w:val="SCC.Coram Char"/>
    <w:basedOn w:val="DefaultParagraphFont"/>
    <w:link w:val="SCCCoram"/>
    <w:rsid w:val="00816F89"/>
    <w:rPr>
      <w:rFonts w:eastAsiaTheme="minorHAnsi" w:cstheme="minorBidi"/>
      <w:sz w:val="24"/>
      <w:szCs w:val="22"/>
      <w:lang w:val="en-US" w:eastAsia="en-US" w:bidi="en-US"/>
    </w:rPr>
  </w:style>
  <w:style w:type="character" w:customStyle="1" w:styleId="SCCLsocOtherPartyRoleSeparatorChar">
    <w:name w:val="SCC.Lsoc.OtherPartyRoleSeparator Char"/>
    <w:basedOn w:val="DefaultParagraphFont"/>
    <w:link w:val="SCCLsocOtherPartyRoleSeparator"/>
    <w:rsid w:val="00816F89"/>
    <w:rPr>
      <w:rFonts w:eastAsiaTheme="minorHAnsi" w:cstheme="minorBidi"/>
      <w:sz w:val="24"/>
      <w:szCs w:val="22"/>
      <w:lang w:val="en-US" w:eastAsia="en-US" w:bidi="en-US"/>
    </w:rPr>
  </w:style>
  <w:style w:type="character" w:customStyle="1" w:styleId="SCCBanSummaryChar">
    <w:name w:val="SCC.BanSummary Char"/>
    <w:basedOn w:val="DefaultParagraphFont"/>
    <w:link w:val="SCCBanSummary"/>
    <w:rsid w:val="00816F89"/>
    <w:rPr>
      <w:b/>
      <w:sz w:val="24"/>
    </w:rPr>
  </w:style>
  <w:style w:type="table" w:styleId="TableGrid">
    <w:name w:val="Table Grid"/>
    <w:basedOn w:val="TableNormal"/>
    <w:uiPriority w:val="59"/>
    <w:rsid w:val="00816F89"/>
    <w:rPr>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816F89"/>
    <w:pPr>
      <w:spacing w:after="720"/>
      <w:ind w:left="1166"/>
      <w:contextualSpacing/>
      <w:jc w:val="both"/>
    </w:pPr>
    <w:rPr>
      <w:sz w:val="24"/>
    </w:rPr>
  </w:style>
  <w:style w:type="paragraph" w:customStyle="1" w:styleId="ContinueParaSuitedupar-AltP">
    <w:name w:val="Continue Para. / Suite du par. - Alt P"/>
    <w:next w:val="ParaNoNdepar-AltN"/>
    <w:uiPriority w:val="1"/>
    <w:qFormat/>
    <w:rsid w:val="00816F89"/>
    <w:pPr>
      <w:spacing w:before="480" w:after="480" w:line="480" w:lineRule="auto"/>
      <w:jc w:val="both"/>
    </w:pPr>
    <w:rPr>
      <w:rFonts w:eastAsiaTheme="minorHAnsi" w:cstheme="minorBidi"/>
      <w:sz w:val="24"/>
      <w:szCs w:val="22"/>
      <w:lang w:eastAsia="en-US"/>
    </w:rPr>
  </w:style>
  <w:style w:type="paragraph" w:customStyle="1" w:styleId="JudgeJuge">
    <w:name w:val="Judge / Juge"/>
    <w:link w:val="JudgeJugeChar"/>
    <w:uiPriority w:val="3"/>
    <w:rsid w:val="00816F89"/>
    <w:pPr>
      <w:tabs>
        <w:tab w:val="left" w:pos="1260"/>
      </w:tabs>
      <w:spacing w:after="480" w:line="480" w:lineRule="auto"/>
    </w:pPr>
    <w:rPr>
      <w:smallCaps/>
      <w:sz w:val="24"/>
    </w:rPr>
  </w:style>
  <w:style w:type="paragraph" w:customStyle="1" w:styleId="ParaNoNdepar-AltN">
    <w:name w:val="Para. No. / Nº de par. - Alt N"/>
    <w:qFormat/>
    <w:rsid w:val="00816F89"/>
    <w:pPr>
      <w:numPr>
        <w:numId w:val="6"/>
      </w:numPr>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816F89"/>
    <w:pPr>
      <w:numPr>
        <w:numId w:val="7"/>
      </w:numPr>
      <w:spacing w:before="480" w:after="720"/>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816F89"/>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816F89"/>
    <w:pPr>
      <w:numPr>
        <w:ilvl w:val="2"/>
      </w:numPr>
      <w:outlineLvl w:val="2"/>
    </w:pPr>
  </w:style>
  <w:style w:type="paragraph" w:customStyle="1" w:styleId="Title4LevelTitre4Niveau">
    <w:name w:val="Title 4 Level / Titre 4 Niveau"/>
    <w:basedOn w:val="Title3LevelTitre3Niveau"/>
    <w:next w:val="ParaNoNdepar-AltN"/>
    <w:uiPriority w:val="4"/>
    <w:qFormat/>
    <w:rsid w:val="00816F89"/>
    <w:pPr>
      <w:numPr>
        <w:ilvl w:val="3"/>
      </w:numPr>
      <w:tabs>
        <w:tab w:val="num" w:pos="900"/>
      </w:tabs>
      <w:outlineLvl w:val="3"/>
    </w:pPr>
    <w:rPr>
      <w:i/>
      <w:u w:val="none"/>
    </w:rPr>
  </w:style>
  <w:style w:type="paragraph" w:customStyle="1" w:styleId="Title5LevelTitre5Niveau">
    <w:name w:val="Title 5 Level / Titre 5 Niveau"/>
    <w:basedOn w:val="Title1LevelTitre1Niveau-AltL"/>
    <w:next w:val="ParaNoNdepar-AltN"/>
    <w:uiPriority w:val="4"/>
    <w:qFormat/>
    <w:rsid w:val="00816F89"/>
    <w:pPr>
      <w:numPr>
        <w:ilvl w:val="4"/>
      </w:numPr>
      <w:tabs>
        <w:tab w:val="clear" w:pos="1728"/>
        <w:tab w:val="num" w:pos="1440"/>
      </w:tabs>
      <w:outlineLvl w:val="4"/>
    </w:pPr>
  </w:style>
  <w:style w:type="paragraph" w:styleId="TOC1">
    <w:name w:val="toc 1"/>
    <w:basedOn w:val="Normal"/>
    <w:next w:val="Normal"/>
    <w:autoRedefine/>
    <w:uiPriority w:val="39"/>
    <w:unhideWhenUsed/>
    <w:rsid w:val="00816F89"/>
    <w:pPr>
      <w:tabs>
        <w:tab w:val="left" w:pos="360"/>
        <w:tab w:val="right" w:leader="dot" w:pos="8270"/>
      </w:tabs>
      <w:spacing w:before="120" w:after="120"/>
    </w:pPr>
    <w:rPr>
      <w:rFonts w:eastAsiaTheme="minorHAnsi" w:cstheme="minorBidi"/>
      <w:noProof/>
      <w:u w:val="single"/>
      <w:lang w:val="en-US" w:eastAsia="en-US" w:bidi="en-US"/>
    </w:rPr>
  </w:style>
  <w:style w:type="paragraph" w:styleId="TOC2">
    <w:name w:val="toc 2"/>
    <w:basedOn w:val="Normal"/>
    <w:next w:val="Normal"/>
    <w:autoRedefine/>
    <w:uiPriority w:val="39"/>
    <w:unhideWhenUsed/>
    <w:rsid w:val="00816F89"/>
    <w:pPr>
      <w:tabs>
        <w:tab w:val="left" w:pos="720"/>
        <w:tab w:val="right" w:leader="dot" w:pos="8270"/>
      </w:tabs>
      <w:spacing w:before="120" w:after="120"/>
      <w:ind w:left="432" w:hanging="432"/>
    </w:pPr>
    <w:rPr>
      <w:rFonts w:eastAsiaTheme="minorHAnsi" w:cstheme="minorBidi"/>
      <w:i/>
      <w:szCs w:val="22"/>
      <w:lang w:val="en-US" w:eastAsia="en-US" w:bidi="en-US"/>
    </w:rPr>
  </w:style>
  <w:style w:type="paragraph" w:styleId="TOC3">
    <w:name w:val="toc 3"/>
    <w:basedOn w:val="Normal"/>
    <w:next w:val="Normal"/>
    <w:autoRedefine/>
    <w:uiPriority w:val="39"/>
    <w:unhideWhenUsed/>
    <w:rsid w:val="00816F89"/>
    <w:pPr>
      <w:tabs>
        <w:tab w:val="left" w:pos="1080"/>
        <w:tab w:val="right" w:leader="dot" w:pos="8270"/>
      </w:tabs>
      <w:spacing w:before="120" w:after="120"/>
      <w:ind w:left="864" w:hanging="432"/>
    </w:pPr>
    <w:rPr>
      <w:rFonts w:eastAsiaTheme="minorHAnsi" w:cstheme="minorBidi"/>
      <w:noProof/>
      <w:u w:val="single"/>
      <w:lang w:val="en-US" w:eastAsia="en-US" w:bidi="en-US"/>
    </w:rPr>
  </w:style>
  <w:style w:type="paragraph" w:styleId="TOC4">
    <w:name w:val="toc 4"/>
    <w:basedOn w:val="Normal"/>
    <w:next w:val="Normal"/>
    <w:autoRedefine/>
    <w:uiPriority w:val="39"/>
    <w:unhideWhenUsed/>
    <w:rsid w:val="00816F89"/>
    <w:pPr>
      <w:tabs>
        <w:tab w:val="left" w:pos="900"/>
        <w:tab w:val="right" w:leader="dot" w:pos="8270"/>
      </w:tabs>
      <w:spacing w:before="120" w:after="120"/>
      <w:ind w:left="900" w:hanging="450"/>
    </w:pPr>
    <w:rPr>
      <w:rFonts w:eastAsiaTheme="minorEastAsia" w:cstheme="minorBidi"/>
      <w:i/>
      <w:noProof/>
      <w:szCs w:val="22"/>
      <w:lang w:val="en-US" w:eastAsia="en-US" w:bidi="en-US"/>
    </w:rPr>
  </w:style>
  <w:style w:type="paragraph" w:styleId="TOC5">
    <w:name w:val="toc 5"/>
    <w:basedOn w:val="Normal"/>
    <w:next w:val="Normal"/>
    <w:autoRedefine/>
    <w:uiPriority w:val="39"/>
    <w:unhideWhenUsed/>
    <w:rsid w:val="00816F89"/>
    <w:pPr>
      <w:tabs>
        <w:tab w:val="left" w:pos="1440"/>
        <w:tab w:val="right" w:leader="dot" w:pos="8270"/>
      </w:tabs>
      <w:spacing w:before="120" w:after="120"/>
      <w:ind w:left="1454" w:hanging="547"/>
    </w:pPr>
    <w:rPr>
      <w:rFonts w:eastAsiaTheme="minorHAnsi" w:cstheme="minorBidi"/>
      <w:noProof/>
      <w:u w:val="single"/>
      <w:lang w:val="en-US" w:eastAsia="en-US" w:bidi="en-US"/>
    </w:rPr>
  </w:style>
  <w:style w:type="paragraph" w:styleId="TOC6">
    <w:name w:val="toc 6"/>
    <w:basedOn w:val="Normal"/>
    <w:next w:val="Normal"/>
    <w:autoRedefine/>
    <w:uiPriority w:val="39"/>
    <w:unhideWhenUsed/>
    <w:rsid w:val="00816F89"/>
    <w:pPr>
      <w:tabs>
        <w:tab w:val="left" w:pos="2160"/>
        <w:tab w:val="right" w:leader="dot" w:pos="8270"/>
      </w:tabs>
      <w:spacing w:after="100"/>
      <w:ind w:left="1800"/>
    </w:pPr>
    <w:rPr>
      <w:rFonts w:eastAsiaTheme="minorHAnsi" w:cstheme="minorBidi"/>
      <w:noProof/>
      <w:lang w:val="en-US" w:eastAsia="en-US" w:bidi="en-US"/>
    </w:rPr>
  </w:style>
  <w:style w:type="table" w:customStyle="1" w:styleId="TableGrid1">
    <w:name w:val="Table Grid1"/>
    <w:basedOn w:val="TableNormal"/>
    <w:uiPriority w:val="59"/>
    <w:rsid w:val="00816F89"/>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816F89"/>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816F89"/>
    <w:pPr>
      <w:numPr>
        <w:ilvl w:val="5"/>
      </w:numPr>
      <w:jc w:val="both"/>
      <w:outlineLvl w:val="5"/>
    </w:pPr>
    <w:rPr>
      <w:i/>
      <w:u w:val="none"/>
    </w:rPr>
  </w:style>
  <w:style w:type="paragraph" w:styleId="FootnoteText">
    <w:name w:val="footnote text"/>
    <w:basedOn w:val="Normal"/>
    <w:link w:val="FootnoteTextChar"/>
    <w:uiPriority w:val="99"/>
    <w:unhideWhenUsed/>
    <w:rsid w:val="00816F89"/>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816F89"/>
  </w:style>
  <w:style w:type="character" w:styleId="FootnoteReference">
    <w:name w:val="footnote reference"/>
    <w:basedOn w:val="DefaultParagraphFont"/>
    <w:uiPriority w:val="99"/>
    <w:semiHidden/>
    <w:unhideWhenUsed/>
    <w:rsid w:val="00816F89"/>
    <w:rPr>
      <w:vertAlign w:val="superscript"/>
    </w:rPr>
  </w:style>
  <w:style w:type="numbering" w:customStyle="1" w:styleId="MemoTOCList">
    <w:name w:val="Memo TOC List"/>
    <w:basedOn w:val="NoList"/>
    <w:uiPriority w:val="99"/>
    <w:rsid w:val="00816F89"/>
  </w:style>
  <w:style w:type="paragraph" w:styleId="Title">
    <w:name w:val="Title"/>
    <w:basedOn w:val="Normal"/>
    <w:next w:val="Normal"/>
    <w:link w:val="TitleChar"/>
    <w:uiPriority w:val="10"/>
    <w:rsid w:val="00816F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816F89"/>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816F89"/>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816F89"/>
    <w:rPr>
      <w:rFonts w:asciiTheme="majorHAnsi" w:eastAsiaTheme="majorEastAsia" w:hAnsiTheme="majorHAnsi" w:cstheme="majorBidi"/>
      <w:i/>
      <w:iCs/>
      <w:color w:val="4F81BD" w:themeColor="accent1"/>
      <w:spacing w:val="15"/>
      <w:sz w:val="24"/>
      <w:szCs w:val="24"/>
      <w:lang w:val="en-US" w:eastAsia="en-US" w:bidi="en-US"/>
    </w:rPr>
  </w:style>
  <w:style w:type="character" w:styleId="Emphasis">
    <w:name w:val="Emphasis"/>
    <w:basedOn w:val="DefaultParagraphFont"/>
    <w:uiPriority w:val="20"/>
    <w:rsid w:val="00816F89"/>
    <w:rPr>
      <w:i/>
      <w:iCs/>
    </w:rPr>
  </w:style>
  <w:style w:type="paragraph" w:styleId="NoSpacing">
    <w:name w:val="No Spacing"/>
    <w:uiPriority w:val="1"/>
    <w:rsid w:val="00816F89"/>
    <w:rPr>
      <w:rFonts w:eastAsiaTheme="minorHAnsi" w:cstheme="minorBidi"/>
      <w:sz w:val="24"/>
      <w:szCs w:val="22"/>
      <w:lang w:val="en-US" w:eastAsia="en-US" w:bidi="en-US"/>
    </w:rPr>
  </w:style>
  <w:style w:type="paragraph" w:styleId="ListParagraph">
    <w:name w:val="List Paragraph"/>
    <w:basedOn w:val="Normal"/>
    <w:uiPriority w:val="34"/>
    <w:qFormat/>
    <w:rsid w:val="00816F89"/>
    <w:pPr>
      <w:ind w:left="720"/>
      <w:contextualSpacing/>
    </w:pPr>
    <w:rPr>
      <w:rFonts w:eastAsiaTheme="minorHAnsi" w:cstheme="minorBidi"/>
      <w:szCs w:val="22"/>
      <w:lang w:val="en-US" w:eastAsia="en-US" w:bidi="en-US"/>
    </w:rPr>
  </w:style>
  <w:style w:type="paragraph" w:styleId="IntenseQuote">
    <w:name w:val="Intense Quote"/>
    <w:basedOn w:val="Normal"/>
    <w:next w:val="Normal"/>
    <w:link w:val="IntenseQuoteChar"/>
    <w:uiPriority w:val="30"/>
    <w:rsid w:val="00816F89"/>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816F89"/>
    <w:rPr>
      <w:rFonts w:eastAsiaTheme="minorHAnsi" w:cstheme="minorBidi"/>
      <w:b/>
      <w:bCs/>
      <w:i/>
      <w:iCs/>
      <w:color w:val="4F81BD" w:themeColor="accent1"/>
      <w:sz w:val="24"/>
      <w:szCs w:val="22"/>
      <w:lang w:val="en-US" w:eastAsia="en-US" w:bidi="en-US"/>
    </w:rPr>
  </w:style>
  <w:style w:type="character" w:styleId="SubtleEmphasis">
    <w:name w:val="Subtle Emphasis"/>
    <w:basedOn w:val="DefaultParagraphFont"/>
    <w:uiPriority w:val="19"/>
    <w:rsid w:val="00816F89"/>
    <w:rPr>
      <w:i/>
      <w:iCs/>
      <w:color w:val="808080" w:themeColor="text1" w:themeTint="7F"/>
    </w:rPr>
  </w:style>
  <w:style w:type="character" w:styleId="IntenseEmphasis">
    <w:name w:val="Intense Emphasis"/>
    <w:basedOn w:val="DefaultParagraphFont"/>
    <w:uiPriority w:val="21"/>
    <w:rsid w:val="00816F89"/>
    <w:rPr>
      <w:b/>
      <w:bCs/>
      <w:i/>
      <w:iCs/>
      <w:color w:val="4F81BD" w:themeColor="accent1"/>
    </w:rPr>
  </w:style>
  <w:style w:type="character" w:styleId="SubtleReference">
    <w:name w:val="Subtle Reference"/>
    <w:basedOn w:val="DefaultParagraphFont"/>
    <w:uiPriority w:val="31"/>
    <w:rsid w:val="00816F89"/>
    <w:rPr>
      <w:smallCaps/>
      <w:color w:val="C0504D" w:themeColor="accent2"/>
      <w:u w:val="single"/>
    </w:rPr>
  </w:style>
  <w:style w:type="character" w:styleId="IntenseReference">
    <w:name w:val="Intense Reference"/>
    <w:basedOn w:val="DefaultParagraphFont"/>
    <w:uiPriority w:val="32"/>
    <w:rsid w:val="00816F89"/>
    <w:rPr>
      <w:b/>
      <w:bCs/>
      <w:smallCaps/>
      <w:color w:val="C0504D" w:themeColor="accent2"/>
      <w:spacing w:val="5"/>
      <w:u w:val="single"/>
    </w:rPr>
  </w:style>
  <w:style w:type="character" w:styleId="BookTitle">
    <w:name w:val="Book Title"/>
    <w:basedOn w:val="DefaultParagraphFont"/>
    <w:uiPriority w:val="33"/>
    <w:rsid w:val="00816F89"/>
    <w:rPr>
      <w:b/>
      <w:bCs/>
      <w:smallCaps/>
      <w:spacing w:val="5"/>
    </w:rPr>
  </w:style>
  <w:style w:type="paragraph" w:styleId="TOCHeading">
    <w:name w:val="TOC Heading"/>
    <w:basedOn w:val="Heading1"/>
    <w:next w:val="Normal"/>
    <w:uiPriority w:val="39"/>
    <w:unhideWhenUsed/>
    <w:qFormat/>
    <w:rsid w:val="00816F89"/>
    <w:pPr>
      <w:spacing w:before="480" w:after="0"/>
      <w:ind w:left="0" w:firstLine="0"/>
      <w:outlineLvl w:val="9"/>
    </w:pPr>
    <w:rPr>
      <w:lang w:val="en-US" w:eastAsia="en-US" w:bidi="en-US"/>
    </w:rPr>
  </w:style>
  <w:style w:type="paragraph" w:styleId="Caption">
    <w:name w:val="caption"/>
    <w:basedOn w:val="Normal"/>
    <w:next w:val="Normal"/>
    <w:uiPriority w:val="35"/>
    <w:semiHidden/>
    <w:unhideWhenUsed/>
    <w:qFormat/>
    <w:rsid w:val="00816F89"/>
    <w:rPr>
      <w:rFonts w:eastAsiaTheme="minorHAnsi" w:cstheme="minorBidi"/>
      <w:b/>
      <w:bCs/>
      <w:color w:val="4F81BD" w:themeColor="accent1"/>
      <w:sz w:val="18"/>
      <w:szCs w:val="18"/>
      <w:lang w:val="en-US" w:eastAsia="en-US" w:bidi="en-US"/>
    </w:rPr>
  </w:style>
  <w:style w:type="character" w:customStyle="1" w:styleId="JudgeJugeChar">
    <w:name w:val="Judge / Juge Char"/>
    <w:basedOn w:val="DefaultParagraphFont"/>
    <w:link w:val="JudgeJuge"/>
    <w:uiPriority w:val="3"/>
    <w:rsid w:val="00816F89"/>
    <w:rPr>
      <w:smallCaps/>
      <w:sz w:val="24"/>
    </w:rPr>
  </w:style>
  <w:style w:type="character" w:customStyle="1" w:styleId="reflex2-link">
    <w:name w:val="reflex2-link"/>
    <w:basedOn w:val="DefaultParagraphFont"/>
    <w:rsid w:val="00816F89"/>
  </w:style>
  <w:style w:type="paragraph" w:styleId="Revision">
    <w:name w:val="Revision"/>
    <w:hidden/>
    <w:uiPriority w:val="99"/>
    <w:semiHidden/>
    <w:rsid w:val="00816F89"/>
    <w:rPr>
      <w:rFonts w:eastAsiaTheme="minorHAnsi" w:cstheme="minorBidi"/>
      <w:sz w:val="24"/>
      <w:szCs w:val="22"/>
      <w:lang w:val="en-US" w:eastAsia="en-US" w:bidi="en-US"/>
    </w:rPr>
  </w:style>
  <w:style w:type="character" w:customStyle="1" w:styleId="solexhl">
    <w:name w:val="solexhl"/>
    <w:basedOn w:val="DefaultParagraphFont"/>
    <w:rsid w:val="00816F89"/>
  </w:style>
  <w:style w:type="character" w:customStyle="1" w:styleId="citationintgre">
    <w:name w:val="citationintgre"/>
    <w:basedOn w:val="DefaultParagraphFont"/>
    <w:rsid w:val="00816F89"/>
  </w:style>
  <w:style w:type="character" w:styleId="FollowedHyperlink">
    <w:name w:val="FollowedHyperlink"/>
    <w:basedOn w:val="DefaultParagraphFont"/>
    <w:uiPriority w:val="99"/>
    <w:semiHidden/>
    <w:unhideWhenUsed/>
    <w:rsid w:val="00816F89"/>
    <w:rPr>
      <w:color w:val="800080" w:themeColor="followedHyperlink"/>
      <w:u w:val="single"/>
    </w:rPr>
  </w:style>
  <w:style w:type="table" w:customStyle="1" w:styleId="TableGrid2">
    <w:name w:val="Table Grid2"/>
    <w:basedOn w:val="TableNormal"/>
    <w:next w:val="TableGrid"/>
    <w:uiPriority w:val="59"/>
    <w:rsid w:val="00816F89"/>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canlii.ca/t/jxnwm" TargetMode="Externa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93E31-D509-4A80-9A71-0AA73CDA4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130</Pages>
  <Words>31681</Words>
  <Characters>170922</Characters>
  <Application>Microsoft Office Word</Application>
  <DocSecurity>0</DocSecurity>
  <Lines>1424</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2024-04-18T23:09:00Z</dcterms:created>
  <dcterms:modified xsi:type="dcterms:W3CDTF">2024-04-19T14:15:00Z</dcterms:modified>
</cp:coreProperties>
</file>