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69"/>
        <w:gridCol w:w="1561"/>
        <w:gridCol w:w="1439"/>
        <w:gridCol w:w="3945"/>
      </w:tblGrid>
      <w:tr w:rsidR="00EF72F1" w:rsidTr="009B58B8">
        <w:trPr>
          <w:trHeight w:val="2103"/>
        </w:trPr>
        <w:tc>
          <w:tcPr>
            <w:tcW w:w="5000" w:type="pct"/>
            <w:gridSpan w:val="4"/>
          </w:tcPr>
          <w:p w:rsidR="00EF72F1" w:rsidRDefault="00EF72F1" w:rsidP="001F3E0C">
            <w:pPr>
              <w:pStyle w:val="SCCBold"/>
              <w:jc w:val="center"/>
            </w:pPr>
            <w:r>
              <w:rPr>
                <w:noProof/>
                <w:lang w:val="fr-CA" w:eastAsia="fr-CA"/>
              </w:rPr>
              <w:drawing>
                <wp:inline distT="0" distB="0" distL="0" distR="0" wp14:anchorId="1B25E650" wp14:editId="180151F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EF72F1" w:rsidRDefault="00EF72F1" w:rsidP="009764CA">
            <w:pPr>
              <w:spacing w:before="120" w:after="100" w:afterAutospacing="1"/>
              <w:jc w:val="center"/>
              <w:rPr>
                <w:rFonts w:eastAsia="Calibri"/>
              </w:rPr>
            </w:pPr>
            <w:r w:rsidRPr="00C22905">
              <w:rPr>
                <w:rFonts w:eastAsia="Calibri"/>
                <w:b/>
              </w:rPr>
              <w:t>SUPREME COURT OF CANADA</w:t>
            </w:r>
          </w:p>
        </w:tc>
      </w:tr>
      <w:tr w:rsidR="00EF72F1" w:rsidRPr="006B210C" w:rsidTr="009B58B8">
        <w:tblPrEx>
          <w:tblCellMar>
            <w:top w:w="58" w:type="dxa"/>
            <w:left w:w="58" w:type="dxa"/>
            <w:bottom w:w="58" w:type="dxa"/>
            <w:right w:w="58" w:type="dxa"/>
          </w:tblCellMar>
        </w:tblPrEx>
        <w:trPr>
          <w:cantSplit/>
        </w:trPr>
        <w:tc>
          <w:tcPr>
            <w:tcW w:w="2078" w:type="pct"/>
            <w:gridSpan w:val="2"/>
          </w:tcPr>
          <w:p w:rsidR="00EF72F1" w:rsidRPr="00651FDF" w:rsidRDefault="00EF72F1" w:rsidP="00FC2782">
            <w:pPr>
              <w:rPr>
                <w:b/>
                <w:smallCaps/>
                <w:lang w:val="fr-CA"/>
              </w:rPr>
            </w:pPr>
          </w:p>
          <w:p w:rsidR="00EF72F1" w:rsidRPr="00651FDF" w:rsidRDefault="00EF72F1" w:rsidP="00FC2782">
            <w:pPr>
              <w:rPr>
                <w:b/>
                <w:smallCaps/>
                <w:lang w:val="fr-CA"/>
              </w:rPr>
            </w:pPr>
            <w:r w:rsidRPr="00651FDF">
              <w:rPr>
                <w:b/>
                <w:smallCaps/>
                <w:lang w:val="fr-CA"/>
              </w:rPr>
              <w:t>Citation:</w:t>
            </w:r>
            <w:r w:rsidRPr="00651FDF">
              <w:rPr>
                <w:lang w:val="fr-CA"/>
              </w:rPr>
              <w:t xml:space="preserve"> </w:t>
            </w:r>
            <w:r w:rsidR="00F80029" w:rsidRPr="00651FDF">
              <w:rPr>
                <w:lang w:val="fr-CA"/>
              </w:rPr>
              <w:t xml:space="preserve">R. </w:t>
            </w:r>
            <w:r w:rsidR="00F80029" w:rsidRPr="00651FDF">
              <w:rPr>
                <w:i/>
                <w:lang w:val="fr-CA"/>
              </w:rPr>
              <w:t>v.</w:t>
            </w:r>
            <w:r w:rsidR="00F80029" w:rsidRPr="00651FDF">
              <w:rPr>
                <w:lang w:val="fr-CA"/>
              </w:rPr>
              <w:t xml:space="preserve"> D.F., 2024 SCC 14</w:t>
            </w:r>
          </w:p>
        </w:tc>
        <w:tc>
          <w:tcPr>
            <w:tcW w:w="781" w:type="pct"/>
          </w:tcPr>
          <w:p w:rsidR="00EF72F1" w:rsidRPr="00F80029" w:rsidRDefault="00EF72F1" w:rsidP="00FC2782">
            <w:pPr>
              <w:rPr>
                <w:lang w:val="fr-CA"/>
              </w:rPr>
            </w:pPr>
          </w:p>
        </w:tc>
        <w:tc>
          <w:tcPr>
            <w:tcW w:w="2141" w:type="pct"/>
          </w:tcPr>
          <w:p w:rsidR="00EF72F1" w:rsidRPr="00F80029" w:rsidRDefault="00EF72F1" w:rsidP="00451668">
            <w:pPr>
              <w:rPr>
                <w:b/>
                <w:smallCaps/>
                <w:lang w:val="fr-CA"/>
              </w:rPr>
            </w:pPr>
          </w:p>
          <w:p w:rsidR="00EF72F1" w:rsidRPr="00B60860" w:rsidRDefault="00EF72F1" w:rsidP="00EA6DB9">
            <w:pPr>
              <w:jc w:val="both"/>
            </w:pPr>
            <w:r w:rsidRPr="00B60860">
              <w:rPr>
                <w:b/>
                <w:smallCaps/>
              </w:rPr>
              <w:t>Appeal Heard:</w:t>
            </w:r>
            <w:r w:rsidRPr="00B60860">
              <w:t xml:space="preserve"> </w:t>
            </w:r>
            <w:r w:rsidR="00F80029" w:rsidRPr="00B60860">
              <w:t>April 22, 2024</w:t>
            </w:r>
          </w:p>
          <w:p w:rsidR="00EF72F1" w:rsidRPr="00B60860" w:rsidRDefault="00EF72F1">
            <w:r w:rsidRPr="00B60860">
              <w:rPr>
                <w:b/>
                <w:smallCaps/>
              </w:rPr>
              <w:t>Judgment Rendered:</w:t>
            </w:r>
            <w:r w:rsidRPr="00B60860">
              <w:t xml:space="preserve"> </w:t>
            </w:r>
            <w:r w:rsidR="00F80029" w:rsidRPr="00B60860">
              <w:t>April 22, 2024</w:t>
            </w:r>
          </w:p>
          <w:p w:rsidR="00EF72F1" w:rsidRPr="006B210C" w:rsidRDefault="00EF72F1" w:rsidP="00540106">
            <w:r w:rsidRPr="00B60860">
              <w:rPr>
                <w:b/>
                <w:smallCaps/>
              </w:rPr>
              <w:t>Docket:</w:t>
            </w:r>
            <w:r w:rsidRPr="00B60860">
              <w:t xml:space="preserve"> 40941</w:t>
            </w:r>
          </w:p>
        </w:tc>
      </w:tr>
      <w:tr w:rsidR="00EF72F1" w:rsidRPr="006B210C" w:rsidTr="009B58B8">
        <w:tblPrEx>
          <w:tblCellMar>
            <w:top w:w="58" w:type="dxa"/>
            <w:left w:w="58" w:type="dxa"/>
            <w:bottom w:w="58" w:type="dxa"/>
            <w:right w:w="58" w:type="dxa"/>
          </w:tblCellMar>
        </w:tblPrEx>
        <w:trPr>
          <w:cantSplit/>
        </w:trPr>
        <w:tc>
          <w:tcPr>
            <w:tcW w:w="5000" w:type="pct"/>
            <w:gridSpan w:val="4"/>
          </w:tcPr>
          <w:p w:rsidR="00EF72F1" w:rsidRPr="00651FDF" w:rsidRDefault="00EF72F1" w:rsidP="00EF72F1"/>
          <w:p w:rsidR="00CC6D40" w:rsidRPr="00651FDF" w:rsidRDefault="00AB2A9F">
            <w:pPr>
              <w:pStyle w:val="SCCLsocPrefix"/>
            </w:pPr>
            <w:r w:rsidRPr="00651FDF">
              <w:t>Between:</w:t>
            </w:r>
          </w:p>
          <w:p w:rsidR="00F80029" w:rsidRPr="00651FDF" w:rsidRDefault="00F80029" w:rsidP="00F80029"/>
          <w:p w:rsidR="00CC6D40" w:rsidRPr="00651FDF" w:rsidRDefault="00F80029">
            <w:pPr>
              <w:pStyle w:val="SCCLsocParty"/>
            </w:pPr>
            <w:r w:rsidRPr="00651FDF">
              <w:t>His Majesty T</w:t>
            </w:r>
            <w:r w:rsidR="00AB2A9F" w:rsidRPr="00651FDF">
              <w:t>he King</w:t>
            </w:r>
          </w:p>
          <w:p w:rsidR="00CC6D40" w:rsidRPr="00651FDF" w:rsidRDefault="00AB2A9F">
            <w:pPr>
              <w:pStyle w:val="SCCLsocPartyRole"/>
            </w:pPr>
            <w:r w:rsidRPr="00651FDF">
              <w:t>Appellant</w:t>
            </w:r>
          </w:p>
          <w:p w:rsidR="00CC6D40" w:rsidRPr="00651FDF" w:rsidRDefault="00CC6D40"/>
          <w:p w:rsidR="00CC6D40" w:rsidRPr="00651FDF" w:rsidRDefault="00F80029">
            <w:pPr>
              <w:pStyle w:val="SCCLsocVersus"/>
            </w:pPr>
            <w:r w:rsidRPr="00651FDF">
              <w:t>and</w:t>
            </w:r>
          </w:p>
          <w:p w:rsidR="00CC6D40" w:rsidRPr="00651FDF" w:rsidRDefault="00CC6D40"/>
          <w:p w:rsidR="00CC6D40" w:rsidRPr="00651FDF" w:rsidRDefault="00AB2A9F">
            <w:pPr>
              <w:pStyle w:val="SCCLsocParty"/>
            </w:pPr>
            <w:r w:rsidRPr="00651FDF">
              <w:t>D.F.</w:t>
            </w:r>
          </w:p>
          <w:p w:rsidR="00CC6D40" w:rsidRPr="00651FDF" w:rsidRDefault="00AB2A9F">
            <w:pPr>
              <w:pStyle w:val="SCCLsocPartyRole"/>
            </w:pPr>
            <w:r w:rsidRPr="00651FDF">
              <w:t>Respondent</w:t>
            </w:r>
          </w:p>
          <w:p w:rsidR="00843369" w:rsidRPr="00651FDF" w:rsidRDefault="00843369" w:rsidP="00EF72F1"/>
          <w:p w:rsidR="00EF72F1" w:rsidRPr="00651FDF" w:rsidRDefault="00EF72F1" w:rsidP="00EF72F1">
            <w:pPr>
              <w:jc w:val="center"/>
              <w:rPr>
                <w:b/>
                <w:smallCaps/>
              </w:rPr>
            </w:pPr>
          </w:p>
          <w:p w:rsidR="00EF72F1" w:rsidRPr="00651FDF" w:rsidRDefault="00EF72F1" w:rsidP="00EF72F1"/>
          <w:p w:rsidR="00EF72F1" w:rsidRPr="00651FDF" w:rsidRDefault="00EF72F1" w:rsidP="00EF72F1">
            <w:r w:rsidRPr="00651FDF">
              <w:rPr>
                <w:b/>
                <w:smallCaps/>
              </w:rPr>
              <w:t>Coram:</w:t>
            </w:r>
            <w:r w:rsidRPr="00651FDF">
              <w:t xml:space="preserve"> Wagner C.J. and Karakatsanis, Côté, Rowe, Martin, Kasirer, Jamal, O’Bonsawin and Moreau JJ.</w:t>
            </w:r>
          </w:p>
          <w:p w:rsidR="00EF72F1" w:rsidRPr="00651FDF" w:rsidRDefault="00EF72F1" w:rsidP="00451668">
            <w:pPr>
              <w:rPr>
                <w:b/>
                <w:smallCaps/>
              </w:rPr>
            </w:pPr>
          </w:p>
        </w:tc>
      </w:tr>
      <w:tr w:rsidR="004E69EC" w:rsidRPr="006B210C" w:rsidTr="002C1DA9">
        <w:tblPrEx>
          <w:tblCellMar>
            <w:top w:w="58" w:type="dxa"/>
            <w:left w:w="58" w:type="dxa"/>
            <w:bottom w:w="58" w:type="dxa"/>
            <w:right w:w="58" w:type="dxa"/>
          </w:tblCellMar>
        </w:tblPrEx>
        <w:trPr>
          <w:cantSplit/>
        </w:trPr>
        <w:tc>
          <w:tcPr>
            <w:tcW w:w="1231" w:type="pct"/>
          </w:tcPr>
          <w:p w:rsidR="004E69EC" w:rsidRPr="00651FDF" w:rsidRDefault="00F80029" w:rsidP="00540106">
            <w:pPr>
              <w:rPr>
                <w:b/>
                <w:smallCaps/>
              </w:rPr>
            </w:pPr>
            <w:r w:rsidRPr="00651FDF">
              <w:rPr>
                <w:b/>
                <w:smallCaps/>
              </w:rPr>
              <w:t>Judgment Read By:</w:t>
            </w:r>
          </w:p>
          <w:p w:rsidR="00F80029" w:rsidRPr="00651FDF" w:rsidRDefault="00651FDF" w:rsidP="00540106">
            <w:r w:rsidRPr="00651FDF">
              <w:t>(para</w:t>
            </w:r>
            <w:r w:rsidR="00F80029" w:rsidRPr="00651FDF">
              <w:t xml:space="preserve">. </w:t>
            </w:r>
            <w:r w:rsidRPr="00651FDF">
              <w:t>1</w:t>
            </w:r>
            <w:r w:rsidR="00F80029" w:rsidRPr="00651FDF">
              <w:t>)</w:t>
            </w:r>
          </w:p>
          <w:p w:rsidR="0074738A" w:rsidRPr="00651FDF" w:rsidRDefault="0074738A" w:rsidP="00540106"/>
        </w:tc>
        <w:tc>
          <w:tcPr>
            <w:tcW w:w="3769" w:type="pct"/>
            <w:gridSpan w:val="3"/>
          </w:tcPr>
          <w:p w:rsidR="004E69EC" w:rsidRPr="00651FDF" w:rsidRDefault="00F80029">
            <w:r w:rsidRPr="00651FDF">
              <w:t>Wagner C.J.</w:t>
            </w:r>
          </w:p>
        </w:tc>
      </w:tr>
      <w:tr w:rsidR="00F80029" w:rsidRPr="006B210C" w:rsidTr="002C1DA9">
        <w:tblPrEx>
          <w:tblCellMar>
            <w:top w:w="58" w:type="dxa"/>
            <w:left w:w="58" w:type="dxa"/>
            <w:bottom w:w="58" w:type="dxa"/>
            <w:right w:w="58" w:type="dxa"/>
          </w:tblCellMar>
        </w:tblPrEx>
        <w:trPr>
          <w:cantSplit/>
        </w:trPr>
        <w:tc>
          <w:tcPr>
            <w:tcW w:w="1231" w:type="pct"/>
          </w:tcPr>
          <w:p w:rsidR="00F80029" w:rsidRPr="00651FDF" w:rsidRDefault="00F80029" w:rsidP="00540106">
            <w:pPr>
              <w:rPr>
                <w:b/>
                <w:smallCaps/>
              </w:rPr>
            </w:pPr>
            <w:r w:rsidRPr="00651FDF">
              <w:rPr>
                <w:b/>
                <w:smallCaps/>
              </w:rPr>
              <w:t>Majority:</w:t>
            </w:r>
          </w:p>
          <w:p w:rsidR="0074738A" w:rsidRPr="00651FDF" w:rsidRDefault="0074738A" w:rsidP="00540106">
            <w:pPr>
              <w:rPr>
                <w:smallCaps/>
              </w:rPr>
            </w:pPr>
          </w:p>
        </w:tc>
        <w:tc>
          <w:tcPr>
            <w:tcW w:w="3769" w:type="pct"/>
            <w:gridSpan w:val="3"/>
          </w:tcPr>
          <w:p w:rsidR="00F80029" w:rsidRPr="00651FDF" w:rsidRDefault="00F80029" w:rsidP="00F80029">
            <w:r w:rsidRPr="00651FDF">
              <w:t>Wagner C.J. and Karakatsanis, Côté, Martin, Kasirer, Jamal, O’Bonsawin and Moreau JJ.</w:t>
            </w:r>
          </w:p>
          <w:p w:rsidR="00A853E1" w:rsidRPr="00651FDF" w:rsidRDefault="00A853E1" w:rsidP="00F80029"/>
        </w:tc>
      </w:tr>
      <w:tr w:rsidR="00F80029" w:rsidRPr="006B210C" w:rsidTr="002C1DA9">
        <w:tblPrEx>
          <w:tblCellMar>
            <w:top w:w="58" w:type="dxa"/>
            <w:left w:w="58" w:type="dxa"/>
            <w:bottom w:w="58" w:type="dxa"/>
            <w:right w:w="58" w:type="dxa"/>
          </w:tblCellMar>
        </w:tblPrEx>
        <w:trPr>
          <w:cantSplit/>
        </w:trPr>
        <w:tc>
          <w:tcPr>
            <w:tcW w:w="1231" w:type="pct"/>
          </w:tcPr>
          <w:p w:rsidR="00F80029" w:rsidRPr="00651FDF" w:rsidRDefault="00F80029" w:rsidP="00540106">
            <w:pPr>
              <w:rPr>
                <w:b/>
                <w:smallCaps/>
              </w:rPr>
            </w:pPr>
            <w:r w:rsidRPr="00651FDF">
              <w:rPr>
                <w:b/>
                <w:smallCaps/>
              </w:rPr>
              <w:t>Dissent:</w:t>
            </w:r>
          </w:p>
          <w:p w:rsidR="0074738A" w:rsidRPr="00651FDF" w:rsidRDefault="0074738A" w:rsidP="00540106">
            <w:pPr>
              <w:rPr>
                <w:smallCaps/>
              </w:rPr>
            </w:pPr>
          </w:p>
        </w:tc>
        <w:tc>
          <w:tcPr>
            <w:tcW w:w="3769" w:type="pct"/>
            <w:gridSpan w:val="3"/>
          </w:tcPr>
          <w:p w:rsidR="00F80029" w:rsidRPr="00651FDF" w:rsidRDefault="00F80029">
            <w:r w:rsidRPr="00651FDF">
              <w:t>Rowe J.</w:t>
            </w:r>
          </w:p>
        </w:tc>
      </w:tr>
      <w:tr w:rsidR="00F80029" w:rsidRPr="006B210C" w:rsidTr="00686E61">
        <w:tblPrEx>
          <w:tblCellMar>
            <w:top w:w="58" w:type="dxa"/>
            <w:left w:w="58" w:type="dxa"/>
            <w:bottom w:w="58" w:type="dxa"/>
            <w:right w:w="58" w:type="dxa"/>
          </w:tblCellMar>
        </w:tblPrEx>
        <w:trPr>
          <w:cantSplit/>
        </w:trPr>
        <w:tc>
          <w:tcPr>
            <w:tcW w:w="1" w:type="pct"/>
            <w:gridSpan w:val="4"/>
          </w:tcPr>
          <w:p w:rsidR="00F80029" w:rsidRPr="00651FDF" w:rsidRDefault="00F80029" w:rsidP="00F80029">
            <w:pPr>
              <w:rPr>
                <w:b/>
                <w:smallCaps/>
                <w:lang w:val="en-US"/>
              </w:rPr>
            </w:pPr>
            <w:r w:rsidRPr="00651FDF">
              <w:rPr>
                <w:b/>
                <w:smallCaps/>
                <w:lang w:val="en-US"/>
              </w:rPr>
              <w:lastRenderedPageBreak/>
              <w:t>Counsel:</w:t>
            </w:r>
          </w:p>
          <w:p w:rsidR="00F80029" w:rsidRPr="00651FDF" w:rsidRDefault="00F80029" w:rsidP="00F80029">
            <w:pPr>
              <w:jc w:val="both"/>
              <w:rPr>
                <w:smallCaps/>
                <w:lang w:val="en-US"/>
              </w:rPr>
            </w:pPr>
          </w:p>
          <w:p w:rsidR="00F80029" w:rsidRPr="00B60860" w:rsidRDefault="0074738A" w:rsidP="00F80029">
            <w:pPr>
              <w:rPr>
                <w:lang w:val="en-US"/>
              </w:rPr>
            </w:pPr>
            <w:r w:rsidRPr="00B60860">
              <w:rPr>
                <w:i/>
                <w:lang w:val="en-US"/>
              </w:rPr>
              <w:t>Manasvin Goswami</w:t>
            </w:r>
            <w:r w:rsidRPr="00B60860">
              <w:rPr>
                <w:lang w:val="en-US"/>
              </w:rPr>
              <w:t xml:space="preserve"> and </w:t>
            </w:r>
            <w:r w:rsidRPr="00B60860">
              <w:rPr>
                <w:i/>
                <w:lang w:val="en-US"/>
              </w:rPr>
              <w:t>Étienne Lacombe</w:t>
            </w:r>
            <w:r w:rsidR="00F80029" w:rsidRPr="00B60860">
              <w:rPr>
                <w:lang w:val="en-US"/>
              </w:rPr>
              <w:t>, for the appellant.</w:t>
            </w:r>
          </w:p>
          <w:p w:rsidR="00F80029" w:rsidRPr="00651FDF" w:rsidRDefault="0074738A" w:rsidP="00F80029">
            <w:pPr>
              <w:rPr>
                <w:lang w:val="en-US"/>
              </w:rPr>
            </w:pPr>
            <w:r w:rsidRPr="00B60860">
              <w:rPr>
                <w:i/>
                <w:lang w:val="en-US"/>
              </w:rPr>
              <w:t>Lance Beechener</w:t>
            </w:r>
            <w:r w:rsidR="00F80029" w:rsidRPr="00B60860">
              <w:rPr>
                <w:lang w:val="en-US"/>
              </w:rPr>
              <w:t>, for the respondent.</w:t>
            </w:r>
          </w:p>
          <w:p w:rsidR="00F80029" w:rsidRPr="00651FDF" w:rsidRDefault="00F80029">
            <w:pPr>
              <w:rPr>
                <w:lang w:val="en-US"/>
              </w:rPr>
            </w:pPr>
          </w:p>
        </w:tc>
      </w:tr>
    </w:tbl>
    <w:p w:rsidR="0003087F" w:rsidRDefault="0003087F"/>
    <w:p w:rsidR="00CC6D40" w:rsidRDefault="00CC6D40"/>
    <w:p w:rsidR="001B299D" w:rsidRDefault="001B299D" w:rsidP="001B299D"/>
    <w:p w:rsidR="00904937" w:rsidRPr="00564C88" w:rsidRDefault="00904937" w:rsidP="00076773">
      <w:pPr>
        <w:pStyle w:val="SCCBold"/>
        <w:rPr>
          <w:b w:val="0"/>
        </w:rPr>
      </w:pPr>
      <w:r w:rsidRPr="006B210C">
        <w:rPr>
          <w:smallCaps/>
        </w:rPr>
        <w:t>Note:</w:t>
      </w:r>
      <w:r w:rsidRPr="006B210C">
        <w:t xml:space="preserve"> </w:t>
      </w:r>
      <w:r w:rsidRPr="00564C88">
        <w:rPr>
          <w:b w:val="0"/>
        </w:rPr>
        <w:t>This do</w:t>
      </w:r>
      <w:r w:rsidR="009E7065" w:rsidRPr="00564C88">
        <w:rPr>
          <w:b w:val="0"/>
        </w:rPr>
        <w:t>c</w:t>
      </w:r>
      <w:r w:rsidRPr="00564C88">
        <w:rPr>
          <w:b w:val="0"/>
        </w:rPr>
        <w:t xml:space="preserve">ument is subject to editorial revision before its reproduction in final form in the </w:t>
      </w:r>
      <w:r w:rsidRPr="00564C88">
        <w:rPr>
          <w:b w:val="0"/>
          <w:i/>
        </w:rPr>
        <w:t>Canada Supreme Court Reports</w:t>
      </w:r>
      <w:r w:rsidRPr="00564C88">
        <w:rPr>
          <w:b w:val="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744"/>
        <w:gridCol w:w="2808"/>
      </w:tblGrid>
      <w:tr w:rsidR="00087E50" w:rsidTr="003375C9">
        <w:tc>
          <w:tcPr>
            <w:tcW w:w="1500" w:type="pct"/>
            <w:tcMar>
              <w:top w:w="284" w:type="dxa"/>
            </w:tcMar>
          </w:tcPr>
          <w:p w:rsidR="00087E50" w:rsidRDefault="00087E50" w:rsidP="003375C9">
            <w:pPr>
              <w:rPr>
                <w:rFonts w:eastAsia="Calibri"/>
              </w:rPr>
            </w:pPr>
          </w:p>
        </w:tc>
        <w:tc>
          <w:tcPr>
            <w:tcW w:w="2000" w:type="pct"/>
            <w:tcBorders>
              <w:bottom w:val="single" w:sz="4" w:space="0" w:color="auto"/>
            </w:tcBorders>
            <w:tcMar>
              <w:top w:w="284" w:type="dxa"/>
            </w:tcMar>
          </w:tcPr>
          <w:p w:rsidR="00087E50" w:rsidRDefault="00087E50" w:rsidP="003375C9">
            <w:pPr>
              <w:rPr>
                <w:rFonts w:eastAsia="Calibri"/>
              </w:rPr>
            </w:pPr>
          </w:p>
        </w:tc>
        <w:tc>
          <w:tcPr>
            <w:tcW w:w="1500" w:type="pct"/>
            <w:tcMar>
              <w:top w:w="284" w:type="dxa"/>
            </w:tcMar>
          </w:tcPr>
          <w:p w:rsidR="00087E50" w:rsidRDefault="00087E50" w:rsidP="003375C9">
            <w:pPr>
              <w:rPr>
                <w:rFonts w:eastAsia="Calibri"/>
              </w:rPr>
            </w:pPr>
          </w:p>
        </w:tc>
      </w:tr>
    </w:tbl>
    <w:p w:rsidR="005E2347" w:rsidRDefault="005E2347"/>
    <w:p w:rsidR="005E2347" w:rsidRDefault="005E2347" w:rsidP="005E2347">
      <w:r>
        <w:br w:type="page"/>
      </w:r>
      <w:bookmarkStart w:id="0" w:name="_GoBack"/>
      <w:bookmarkEnd w:id="0"/>
    </w:p>
    <w:p w:rsidR="005E2347" w:rsidRPr="00FE22F9" w:rsidRDefault="005E2347" w:rsidP="005E2347">
      <w:pPr>
        <w:jc w:val="right"/>
      </w:pPr>
      <w:r w:rsidRPr="00FE22F9">
        <w:t xml:space="preserve">No. </w:t>
      </w:r>
      <w:r>
        <w:t>40941</w:t>
      </w:r>
      <w:r w:rsidRPr="00FE22F9">
        <w:t>     </w:t>
      </w:r>
    </w:p>
    <w:p w:rsidR="005E2347" w:rsidRPr="00FE22F9" w:rsidRDefault="005E2347" w:rsidP="005E2347"/>
    <w:tbl>
      <w:tblPr>
        <w:tblW w:w="5000" w:type="pct"/>
        <w:tblLayout w:type="fixed"/>
        <w:tblCellMar>
          <w:top w:w="58" w:type="dxa"/>
          <w:left w:w="58" w:type="dxa"/>
          <w:bottom w:w="58" w:type="dxa"/>
          <w:right w:w="58" w:type="dxa"/>
        </w:tblCellMar>
        <w:tblLook w:val="0000" w:firstRow="0" w:lastRow="0" w:firstColumn="0" w:lastColumn="0" w:noHBand="0" w:noVBand="0"/>
      </w:tblPr>
      <w:tblGrid>
        <w:gridCol w:w="4248"/>
        <w:gridCol w:w="713"/>
        <w:gridCol w:w="4399"/>
      </w:tblGrid>
      <w:tr w:rsidR="005E2347" w:rsidRPr="00FE22F9" w:rsidTr="002032DC">
        <w:tc>
          <w:tcPr>
            <w:tcW w:w="2269" w:type="pct"/>
          </w:tcPr>
          <w:p w:rsidR="005E2347" w:rsidRPr="00FE22F9" w:rsidRDefault="005E2347" w:rsidP="002032DC">
            <w:r>
              <w:t>April 22, 2024</w:t>
            </w:r>
          </w:p>
        </w:tc>
        <w:tc>
          <w:tcPr>
            <w:tcW w:w="381" w:type="pct"/>
          </w:tcPr>
          <w:p w:rsidR="005E2347" w:rsidRPr="00FE22F9" w:rsidRDefault="005E2347" w:rsidP="002032DC"/>
        </w:tc>
        <w:tc>
          <w:tcPr>
            <w:tcW w:w="2350" w:type="pct"/>
          </w:tcPr>
          <w:p w:rsidR="005E2347" w:rsidRPr="001F46B4" w:rsidRDefault="005E2347" w:rsidP="002032DC">
            <w:pPr>
              <w:rPr>
                <w:lang w:val="en-US"/>
              </w:rPr>
            </w:pPr>
            <w:r>
              <w:t>Le 22 avril 2024</w:t>
            </w:r>
          </w:p>
        </w:tc>
      </w:tr>
      <w:tr w:rsidR="005E2347" w:rsidRPr="00FE22F9" w:rsidTr="002032DC">
        <w:tc>
          <w:tcPr>
            <w:tcW w:w="2269" w:type="pct"/>
            <w:tcMar>
              <w:top w:w="0" w:type="dxa"/>
              <w:bottom w:w="0" w:type="dxa"/>
            </w:tcMar>
          </w:tcPr>
          <w:p w:rsidR="005E2347" w:rsidRPr="00FE22F9" w:rsidRDefault="005E2347" w:rsidP="002032DC"/>
        </w:tc>
        <w:tc>
          <w:tcPr>
            <w:tcW w:w="381" w:type="pct"/>
            <w:tcMar>
              <w:top w:w="0" w:type="dxa"/>
              <w:bottom w:w="0" w:type="dxa"/>
            </w:tcMar>
          </w:tcPr>
          <w:p w:rsidR="005E2347" w:rsidRPr="00FE22F9" w:rsidRDefault="005E2347" w:rsidP="002032DC"/>
        </w:tc>
        <w:tc>
          <w:tcPr>
            <w:tcW w:w="2350" w:type="pct"/>
            <w:tcMar>
              <w:top w:w="0" w:type="dxa"/>
              <w:bottom w:w="0" w:type="dxa"/>
            </w:tcMar>
          </w:tcPr>
          <w:p w:rsidR="005E2347" w:rsidRPr="001F46B4" w:rsidRDefault="005E2347" w:rsidP="002032DC">
            <w:pPr>
              <w:rPr>
                <w:lang w:val="en-US"/>
              </w:rPr>
            </w:pPr>
          </w:p>
        </w:tc>
      </w:tr>
      <w:tr w:rsidR="005E2347" w:rsidRPr="007A5EDD" w:rsidTr="002032DC">
        <w:tc>
          <w:tcPr>
            <w:tcW w:w="2269" w:type="pct"/>
          </w:tcPr>
          <w:p w:rsidR="005E2347" w:rsidRPr="00FE22F9" w:rsidRDefault="005E2347" w:rsidP="00DE1481">
            <w:r w:rsidRPr="00FE22F9">
              <w:t xml:space="preserve">Coram: </w:t>
            </w:r>
            <w:r>
              <w:t>Wagner C.J. and Karakatsanis, Côté, Rowe, Martin, Kasirer, Jamal, O’Bonsawin and Moreau JJ.</w:t>
            </w:r>
          </w:p>
        </w:tc>
        <w:tc>
          <w:tcPr>
            <w:tcW w:w="381" w:type="pct"/>
          </w:tcPr>
          <w:p w:rsidR="005E2347" w:rsidRPr="00FE22F9" w:rsidRDefault="005E2347" w:rsidP="002032DC"/>
        </w:tc>
        <w:tc>
          <w:tcPr>
            <w:tcW w:w="2350" w:type="pct"/>
          </w:tcPr>
          <w:p w:rsidR="005E2347" w:rsidRPr="00FE22F9" w:rsidRDefault="005E2347" w:rsidP="002032DC">
            <w:pPr>
              <w:rPr>
                <w:lang w:val="fr-CA"/>
              </w:rPr>
            </w:pPr>
            <w:r w:rsidRPr="00FE22F9">
              <w:rPr>
                <w:lang w:val="fr-CA"/>
              </w:rPr>
              <w:t xml:space="preserve">Coram : </w:t>
            </w:r>
            <w:r w:rsidRPr="00455BB7">
              <w:rPr>
                <w:lang w:val="fr-CA"/>
              </w:rPr>
              <w:t>Le juge en chef Wagner et les juges Karakatsanis, Côté, Rowe, Martin, Kasirer, Jamal, O’Bonsawin et Moreau</w:t>
            </w:r>
          </w:p>
        </w:tc>
      </w:tr>
      <w:tr w:rsidR="005E2347" w:rsidRPr="007A5EDD" w:rsidTr="002032DC">
        <w:tc>
          <w:tcPr>
            <w:tcW w:w="2269" w:type="pct"/>
            <w:tcMar>
              <w:top w:w="0" w:type="dxa"/>
              <w:bottom w:w="0" w:type="dxa"/>
            </w:tcMar>
          </w:tcPr>
          <w:p w:rsidR="005E2347" w:rsidRPr="00455BB7" w:rsidRDefault="005E2347" w:rsidP="002032DC">
            <w:pPr>
              <w:rPr>
                <w:lang w:val="fr-CA"/>
              </w:rPr>
            </w:pPr>
          </w:p>
        </w:tc>
        <w:tc>
          <w:tcPr>
            <w:tcW w:w="381" w:type="pct"/>
            <w:tcMar>
              <w:top w:w="0" w:type="dxa"/>
              <w:bottom w:w="0" w:type="dxa"/>
            </w:tcMar>
          </w:tcPr>
          <w:p w:rsidR="005E2347" w:rsidRPr="00455BB7" w:rsidRDefault="005E2347" w:rsidP="002032DC">
            <w:pPr>
              <w:rPr>
                <w:lang w:val="fr-CA"/>
              </w:rPr>
            </w:pPr>
          </w:p>
        </w:tc>
        <w:tc>
          <w:tcPr>
            <w:tcW w:w="2350" w:type="pct"/>
            <w:tcMar>
              <w:top w:w="0" w:type="dxa"/>
              <w:bottom w:w="0" w:type="dxa"/>
            </w:tcMar>
          </w:tcPr>
          <w:p w:rsidR="005E2347" w:rsidRPr="00FE22F9" w:rsidRDefault="005E2347" w:rsidP="002032DC">
            <w:pPr>
              <w:rPr>
                <w:lang w:val="fr-CA"/>
              </w:rPr>
            </w:pPr>
          </w:p>
        </w:tc>
      </w:tr>
      <w:tr w:rsidR="005E2347" w:rsidRPr="007A5EDD" w:rsidTr="002032DC">
        <w:tc>
          <w:tcPr>
            <w:tcW w:w="2269" w:type="pct"/>
          </w:tcPr>
          <w:p w:rsidR="005E2347" w:rsidRPr="00455BB7" w:rsidRDefault="005E2347" w:rsidP="002032DC">
            <w:pPr>
              <w:rPr>
                <w:lang w:val="fr-CA"/>
              </w:rPr>
            </w:pPr>
          </w:p>
          <w:p w:rsidR="005E2347" w:rsidRDefault="005E2347" w:rsidP="002032DC">
            <w:pPr>
              <w:pStyle w:val="SCCLsocPrefix"/>
            </w:pPr>
            <w:r>
              <w:t>BETWEEN:</w:t>
            </w:r>
          </w:p>
          <w:p w:rsidR="005E2347" w:rsidRPr="00A1108B" w:rsidRDefault="005E2347" w:rsidP="002032DC">
            <w:pPr>
              <w:pStyle w:val="SCCLsocParty"/>
              <w:rPr>
                <w:b w:val="0"/>
              </w:rPr>
            </w:pPr>
            <w:r w:rsidRPr="00A1108B">
              <w:rPr>
                <w:b w:val="0"/>
              </w:rPr>
              <w:t>His Majesty The King</w:t>
            </w:r>
            <w:r w:rsidRPr="00A1108B">
              <w:rPr>
                <w:b w:val="0"/>
              </w:rPr>
              <w:br/>
            </w:r>
          </w:p>
          <w:p w:rsidR="005E2347" w:rsidRPr="00A1108B" w:rsidRDefault="005E2347" w:rsidP="002032DC">
            <w:pPr>
              <w:pStyle w:val="SCCLsocPartyRole"/>
            </w:pPr>
            <w:r w:rsidRPr="00A1108B">
              <w:t>Appellant</w:t>
            </w:r>
            <w:r w:rsidRPr="00A1108B">
              <w:br/>
            </w:r>
          </w:p>
          <w:p w:rsidR="005E2347" w:rsidRPr="00A1108B" w:rsidRDefault="005E2347" w:rsidP="002032DC">
            <w:pPr>
              <w:pStyle w:val="SCCLsocVersus"/>
            </w:pPr>
            <w:r w:rsidRPr="00A1108B">
              <w:t>- and -</w:t>
            </w:r>
          </w:p>
          <w:p w:rsidR="005E2347" w:rsidRPr="00A1108B" w:rsidRDefault="005E2347" w:rsidP="002032DC"/>
          <w:p w:rsidR="005E2347" w:rsidRPr="00A1108B" w:rsidRDefault="005E2347" w:rsidP="002032DC">
            <w:pPr>
              <w:pStyle w:val="SCCLsocParty"/>
              <w:rPr>
                <w:b w:val="0"/>
              </w:rPr>
            </w:pPr>
            <w:r w:rsidRPr="00A1108B">
              <w:rPr>
                <w:b w:val="0"/>
              </w:rPr>
              <w:t>D.F.</w:t>
            </w:r>
            <w:r w:rsidRPr="00A1108B">
              <w:rPr>
                <w:b w:val="0"/>
              </w:rPr>
              <w:br/>
            </w:r>
          </w:p>
          <w:p w:rsidR="005E2347" w:rsidRDefault="005E2347" w:rsidP="002032DC">
            <w:pPr>
              <w:pStyle w:val="SCCLsocPartyRole"/>
            </w:pPr>
            <w:r w:rsidRPr="00A1108B">
              <w:t>Respondent</w:t>
            </w:r>
          </w:p>
        </w:tc>
        <w:tc>
          <w:tcPr>
            <w:tcW w:w="381" w:type="pct"/>
          </w:tcPr>
          <w:p w:rsidR="005E2347" w:rsidRPr="00FE22F9" w:rsidRDefault="005E2347" w:rsidP="002032DC"/>
        </w:tc>
        <w:tc>
          <w:tcPr>
            <w:tcW w:w="2350" w:type="pct"/>
          </w:tcPr>
          <w:p w:rsidR="005E2347" w:rsidRPr="00455BB7" w:rsidRDefault="005E2347" w:rsidP="002032DC">
            <w:pPr>
              <w:rPr>
                <w:lang w:val="fr-CA"/>
              </w:rPr>
            </w:pPr>
          </w:p>
          <w:p w:rsidR="005E2347" w:rsidRPr="00455BB7" w:rsidRDefault="005E2347" w:rsidP="002032DC">
            <w:pPr>
              <w:pStyle w:val="SCCLsocPrefix"/>
              <w:rPr>
                <w:lang w:val="fr-CA"/>
              </w:rPr>
            </w:pPr>
            <w:r w:rsidRPr="00455BB7">
              <w:rPr>
                <w:lang w:val="fr-CA"/>
              </w:rPr>
              <w:t>ENTRE :</w:t>
            </w:r>
          </w:p>
          <w:p w:rsidR="005E2347" w:rsidRPr="00A1108B" w:rsidRDefault="005E2347" w:rsidP="002032DC">
            <w:pPr>
              <w:pStyle w:val="SCCLsocParty"/>
              <w:rPr>
                <w:b w:val="0"/>
                <w:lang w:val="fr-CA"/>
              </w:rPr>
            </w:pPr>
            <w:r w:rsidRPr="00A1108B">
              <w:rPr>
                <w:b w:val="0"/>
                <w:lang w:val="fr-CA"/>
              </w:rPr>
              <w:t>Sa Majesté le Roi</w:t>
            </w:r>
            <w:r w:rsidRPr="00A1108B">
              <w:rPr>
                <w:b w:val="0"/>
                <w:lang w:val="fr-CA"/>
              </w:rPr>
              <w:br/>
            </w:r>
          </w:p>
          <w:p w:rsidR="005E2347" w:rsidRPr="00A1108B" w:rsidRDefault="005E2347" w:rsidP="002032DC">
            <w:pPr>
              <w:pStyle w:val="SCCLsocPartyRole"/>
              <w:rPr>
                <w:lang w:val="fr-CA"/>
              </w:rPr>
            </w:pPr>
            <w:r w:rsidRPr="00A1108B">
              <w:rPr>
                <w:lang w:val="fr-CA"/>
              </w:rPr>
              <w:t>Appelant</w:t>
            </w:r>
            <w:r w:rsidRPr="00A1108B">
              <w:rPr>
                <w:lang w:val="fr-CA"/>
              </w:rPr>
              <w:br/>
            </w:r>
          </w:p>
          <w:p w:rsidR="005E2347" w:rsidRPr="00A1108B" w:rsidRDefault="005E2347" w:rsidP="002032DC">
            <w:pPr>
              <w:pStyle w:val="SCCLsocVersus"/>
              <w:rPr>
                <w:lang w:val="fr-CA"/>
              </w:rPr>
            </w:pPr>
            <w:r w:rsidRPr="00A1108B">
              <w:rPr>
                <w:lang w:val="fr-CA"/>
              </w:rPr>
              <w:t>- et -</w:t>
            </w:r>
          </w:p>
          <w:p w:rsidR="005E2347" w:rsidRPr="00A1108B" w:rsidRDefault="005E2347" w:rsidP="002032DC">
            <w:pPr>
              <w:rPr>
                <w:lang w:val="fr-CA"/>
              </w:rPr>
            </w:pPr>
          </w:p>
          <w:p w:rsidR="005E2347" w:rsidRPr="00A1108B" w:rsidRDefault="005E2347" w:rsidP="002032DC">
            <w:pPr>
              <w:pStyle w:val="SCCLsocParty"/>
              <w:rPr>
                <w:b w:val="0"/>
                <w:lang w:val="fr-CA"/>
              </w:rPr>
            </w:pPr>
            <w:r w:rsidRPr="00A1108B">
              <w:rPr>
                <w:b w:val="0"/>
                <w:lang w:val="fr-CA"/>
              </w:rPr>
              <w:t>D.F.</w:t>
            </w:r>
            <w:r w:rsidRPr="00A1108B">
              <w:rPr>
                <w:b w:val="0"/>
                <w:lang w:val="fr-CA"/>
              </w:rPr>
              <w:br/>
            </w:r>
          </w:p>
          <w:p w:rsidR="005E2347" w:rsidRPr="004F02A0" w:rsidRDefault="005E2347" w:rsidP="002032DC">
            <w:pPr>
              <w:pStyle w:val="SCCLsocPartyRole"/>
              <w:rPr>
                <w:lang w:val="fr-CA"/>
              </w:rPr>
            </w:pPr>
            <w:r w:rsidRPr="00A1108B">
              <w:rPr>
                <w:lang w:val="fr-CA"/>
              </w:rPr>
              <w:t>Intimé</w:t>
            </w:r>
          </w:p>
        </w:tc>
      </w:tr>
      <w:tr w:rsidR="005E2347" w:rsidRPr="007A5EDD" w:rsidTr="002032DC">
        <w:tc>
          <w:tcPr>
            <w:tcW w:w="2269" w:type="pct"/>
            <w:tcMar>
              <w:top w:w="0" w:type="dxa"/>
              <w:bottom w:w="0" w:type="dxa"/>
            </w:tcMar>
          </w:tcPr>
          <w:p w:rsidR="005E2347" w:rsidRPr="004F02A0" w:rsidRDefault="005E2347" w:rsidP="002032DC">
            <w:pPr>
              <w:rPr>
                <w:lang w:val="fr-CA"/>
              </w:rPr>
            </w:pPr>
          </w:p>
        </w:tc>
        <w:tc>
          <w:tcPr>
            <w:tcW w:w="381" w:type="pct"/>
            <w:tcMar>
              <w:top w:w="0" w:type="dxa"/>
              <w:bottom w:w="0" w:type="dxa"/>
            </w:tcMar>
          </w:tcPr>
          <w:p w:rsidR="005E2347" w:rsidRPr="004F02A0" w:rsidRDefault="005E2347" w:rsidP="002032DC">
            <w:pPr>
              <w:rPr>
                <w:lang w:val="fr-CA"/>
              </w:rPr>
            </w:pPr>
          </w:p>
        </w:tc>
        <w:tc>
          <w:tcPr>
            <w:tcW w:w="2350" w:type="pct"/>
            <w:tcMar>
              <w:top w:w="0" w:type="dxa"/>
              <w:bottom w:w="0" w:type="dxa"/>
            </w:tcMar>
          </w:tcPr>
          <w:p w:rsidR="005E2347" w:rsidRPr="004F02A0" w:rsidRDefault="005E2347" w:rsidP="002032DC">
            <w:pPr>
              <w:rPr>
                <w:lang w:val="fr-CA"/>
              </w:rPr>
            </w:pPr>
          </w:p>
        </w:tc>
      </w:tr>
      <w:tr w:rsidR="005E2347" w:rsidRPr="007A5EDD" w:rsidTr="002032DC">
        <w:trPr>
          <w:trHeight w:val="185"/>
        </w:trPr>
        <w:tc>
          <w:tcPr>
            <w:tcW w:w="2269" w:type="pct"/>
          </w:tcPr>
          <w:p w:rsidR="005E2347" w:rsidRPr="00FE22F9" w:rsidRDefault="005E2347" w:rsidP="002032DC">
            <w:pPr>
              <w:jc w:val="center"/>
            </w:pPr>
            <w:r w:rsidRPr="00FE22F9">
              <w:t>JUDGMENT</w:t>
            </w:r>
          </w:p>
          <w:p w:rsidR="005E2347" w:rsidRPr="00FE22F9" w:rsidRDefault="005E2347" w:rsidP="002032DC">
            <w:pPr>
              <w:jc w:val="center"/>
            </w:pPr>
          </w:p>
          <w:p w:rsidR="005E2347" w:rsidRPr="00FE22F9" w:rsidRDefault="005E2347" w:rsidP="002032DC">
            <w:pPr>
              <w:jc w:val="both"/>
            </w:pPr>
            <w:r w:rsidRPr="00FE22F9">
              <w:t xml:space="preserve">The appeal from the judgment of the </w:t>
            </w:r>
            <w:r>
              <w:t xml:space="preserve">Court of </w:t>
            </w:r>
            <w:r w:rsidRPr="00CA1DFB">
              <w:t xml:space="preserve">Appeal for Ontario, Number C70499, </w:t>
            </w:r>
            <w:hyperlink r:id="rId9">
              <w:r w:rsidRPr="00CA1DFB">
                <w:rPr>
                  <w:rStyle w:val="Hyperlink"/>
                </w:rPr>
                <w:t>2023 ONCA 584</w:t>
              </w:r>
            </w:hyperlink>
            <w:r w:rsidRPr="00CA1DFB">
              <w:t>, dated September 11, 2023, was heard</w:t>
            </w:r>
            <w:r w:rsidRPr="00FE22F9">
              <w:t xml:space="preserve"> on </w:t>
            </w:r>
            <w:r>
              <w:t>April 22, 2024,</w:t>
            </w:r>
            <w:r w:rsidRPr="00FE22F9">
              <w:t xml:space="preserve"> and the Court on that day delivered the following judgment orally</w:t>
            </w:r>
            <w:r>
              <w:t>:</w:t>
            </w:r>
            <w:r w:rsidRPr="00FE22F9">
              <w:t xml:space="preserve"> </w:t>
            </w:r>
          </w:p>
          <w:p w:rsidR="005E2347" w:rsidRPr="00FE22F9" w:rsidRDefault="005E2347" w:rsidP="002032DC">
            <w:pPr>
              <w:jc w:val="both"/>
            </w:pPr>
          </w:p>
          <w:p w:rsidR="005E2347" w:rsidRPr="004F02A0" w:rsidRDefault="005E2347" w:rsidP="002032DC">
            <w:pPr>
              <w:jc w:val="both"/>
            </w:pPr>
          </w:p>
          <w:p w:rsidR="005E2347" w:rsidRPr="007376A2" w:rsidRDefault="005E2347" w:rsidP="002032DC">
            <w:pPr>
              <w:jc w:val="both"/>
            </w:pPr>
            <w:r w:rsidRPr="007376A2">
              <w:rPr>
                <w:smallCaps/>
              </w:rPr>
              <w:t>The Chief Justice</w:t>
            </w:r>
            <w:r w:rsidRPr="007376A2">
              <w:t xml:space="preserve"> </w:t>
            </w:r>
            <w:r w:rsidRPr="007376A2">
              <w:rPr>
                <w:rFonts w:cs="Times New Roman"/>
              </w:rPr>
              <w:t>—</w:t>
            </w:r>
            <w:r w:rsidRPr="007376A2">
              <w:t xml:space="preserve"> </w:t>
            </w:r>
            <w:r>
              <w:t xml:space="preserve">For the reasons of Hourigan J.A., dissenting at the Ontario Court of Appeal, a majority of this Court would allow the appeal. Justice Rowe, dissenting, would have dismissed the appeal, relying on paras. 50 and 52 of the reasons of Monahan J.A. relating to the legal error of failure by the trial judge to provide sufficient reasons. Therefore, the appeal is allowed, and the convictions for sexual interference and sexual assault are restored. </w:t>
            </w:r>
          </w:p>
          <w:p w:rsidR="005E2347" w:rsidRDefault="005E2347" w:rsidP="002032DC">
            <w:pPr>
              <w:jc w:val="both"/>
            </w:pPr>
          </w:p>
          <w:p w:rsidR="005E2347" w:rsidRPr="00FE22F9" w:rsidRDefault="005E2347" w:rsidP="002032DC">
            <w:pPr>
              <w:jc w:val="both"/>
            </w:pPr>
          </w:p>
        </w:tc>
        <w:tc>
          <w:tcPr>
            <w:tcW w:w="381" w:type="pct"/>
            <w:tcBorders>
              <w:left w:val="nil"/>
            </w:tcBorders>
          </w:tcPr>
          <w:p w:rsidR="005E2347" w:rsidRPr="00FE22F9" w:rsidRDefault="005E2347" w:rsidP="002032DC">
            <w:pPr>
              <w:jc w:val="center"/>
            </w:pPr>
          </w:p>
        </w:tc>
        <w:tc>
          <w:tcPr>
            <w:tcW w:w="2350" w:type="pct"/>
          </w:tcPr>
          <w:p w:rsidR="005E2347" w:rsidRPr="00FE22F9" w:rsidRDefault="005E2347" w:rsidP="002032DC">
            <w:pPr>
              <w:jc w:val="center"/>
              <w:rPr>
                <w:lang w:val="fr-CA"/>
              </w:rPr>
            </w:pPr>
            <w:r w:rsidRPr="00FE22F9">
              <w:rPr>
                <w:lang w:val="fr-CA"/>
              </w:rPr>
              <w:t>JUGEMENT</w:t>
            </w:r>
          </w:p>
          <w:p w:rsidR="005E2347" w:rsidRPr="00FE22F9" w:rsidRDefault="005E2347" w:rsidP="002032DC">
            <w:pPr>
              <w:jc w:val="center"/>
              <w:rPr>
                <w:lang w:val="fr-CA"/>
              </w:rPr>
            </w:pPr>
          </w:p>
          <w:p w:rsidR="005E2347" w:rsidRPr="00FE22F9" w:rsidRDefault="005E2347" w:rsidP="002032DC">
            <w:pPr>
              <w:jc w:val="both"/>
              <w:rPr>
                <w:lang w:val="fr-CA"/>
              </w:rPr>
            </w:pPr>
            <w:r w:rsidRPr="00FE22F9">
              <w:rPr>
                <w:lang w:val="fr-CA"/>
              </w:rPr>
              <w:t xml:space="preserve">L’appel </w:t>
            </w:r>
            <w:r>
              <w:rPr>
                <w:lang w:val="fr-CA"/>
              </w:rPr>
              <w:t>interjet</w:t>
            </w:r>
            <w:r w:rsidRPr="00FE22F9">
              <w:rPr>
                <w:lang w:val="fr-CA"/>
              </w:rPr>
              <w:t>é</w:t>
            </w:r>
            <w:r>
              <w:rPr>
                <w:lang w:val="fr-CA"/>
              </w:rPr>
              <w:t xml:space="preserve"> </w:t>
            </w:r>
            <w:r w:rsidRPr="00FE22F9">
              <w:rPr>
                <w:lang w:val="fr-CA"/>
              </w:rPr>
              <w:t xml:space="preserve">contre l’arrêt de la </w:t>
            </w:r>
            <w:r w:rsidRPr="00455BB7">
              <w:rPr>
                <w:lang w:val="fr-CA"/>
              </w:rPr>
              <w:t xml:space="preserve">Cour d’appel de </w:t>
            </w:r>
            <w:r w:rsidRPr="00CA1DFB">
              <w:rPr>
                <w:lang w:val="fr-CA"/>
              </w:rPr>
              <w:t xml:space="preserve">l’Ontario, numéro C70499, </w:t>
            </w:r>
            <w:hyperlink r:id="rId10">
              <w:hyperlink r:id="rId11">
                <w:r w:rsidRPr="00CA1DFB">
                  <w:rPr>
                    <w:rStyle w:val="Hyperlink"/>
                    <w:lang w:val="fr-CA"/>
                  </w:rPr>
                  <w:t>2023 ONCA 584</w:t>
                </w:r>
              </w:hyperlink>
            </w:hyperlink>
            <w:r w:rsidRPr="00CA1DFB">
              <w:rPr>
                <w:lang w:val="fr-CA"/>
              </w:rPr>
              <w:t>, daté d</w:t>
            </w:r>
            <w:r w:rsidRPr="00FE22F9">
              <w:rPr>
                <w:lang w:val="fr-CA"/>
              </w:rPr>
              <w:t xml:space="preserve">u </w:t>
            </w:r>
            <w:r w:rsidRPr="00455BB7">
              <w:rPr>
                <w:lang w:val="fr-CA"/>
              </w:rPr>
              <w:t>11 septembre 2023</w:t>
            </w:r>
            <w:r w:rsidRPr="00FE22F9">
              <w:rPr>
                <w:lang w:val="fr-CA"/>
              </w:rPr>
              <w:t xml:space="preserve">, a été entendu le </w:t>
            </w:r>
            <w:r w:rsidRPr="00455BB7">
              <w:rPr>
                <w:lang w:val="fr-CA"/>
              </w:rPr>
              <w:t>22 avril 2024</w:t>
            </w:r>
            <w:r w:rsidRPr="00FE22F9">
              <w:rPr>
                <w:lang w:val="fr-CA"/>
              </w:rPr>
              <w:t xml:space="preserve"> et la Cour a prononcé oralement le même jour le jugement suivant :</w:t>
            </w:r>
          </w:p>
          <w:p w:rsidR="005E2347" w:rsidRPr="00FE22F9" w:rsidRDefault="005E2347" w:rsidP="002032DC">
            <w:pPr>
              <w:jc w:val="both"/>
              <w:rPr>
                <w:lang w:val="fr-CA"/>
              </w:rPr>
            </w:pPr>
          </w:p>
          <w:p w:rsidR="005E2347" w:rsidRDefault="005E2347" w:rsidP="002032DC">
            <w:pPr>
              <w:jc w:val="both"/>
              <w:rPr>
                <w:lang w:val="fr-CA"/>
              </w:rPr>
            </w:pPr>
            <w:r>
              <w:rPr>
                <w:lang w:val="fr-CA"/>
              </w:rPr>
              <w:t>[</w:t>
            </w:r>
            <w:r w:rsidRPr="004F02A0">
              <w:rPr>
                <w:smallCaps/>
                <w:lang w:val="fr-CA"/>
              </w:rPr>
              <w:t>traduction</w:t>
            </w:r>
            <w:r>
              <w:rPr>
                <w:lang w:val="fr-CA"/>
              </w:rPr>
              <w:t>]</w:t>
            </w:r>
          </w:p>
          <w:p w:rsidR="005E2347" w:rsidRPr="007376A2" w:rsidRDefault="005E2347" w:rsidP="002032DC">
            <w:pPr>
              <w:jc w:val="both"/>
              <w:rPr>
                <w:lang w:val="fr-CA"/>
              </w:rPr>
            </w:pPr>
            <w:r w:rsidRPr="007376A2">
              <w:rPr>
                <w:smallCaps/>
                <w:lang w:val="fr-CA"/>
              </w:rPr>
              <w:t>Le juge en chef</w:t>
            </w:r>
            <w:r w:rsidRPr="007376A2">
              <w:rPr>
                <w:lang w:val="fr-CA"/>
              </w:rPr>
              <w:t xml:space="preserve"> </w:t>
            </w:r>
            <w:r w:rsidRPr="007376A2">
              <w:rPr>
                <w:rFonts w:cs="Times New Roman"/>
                <w:lang w:val="fr-CA"/>
              </w:rPr>
              <w:t>—</w:t>
            </w:r>
            <w:r w:rsidRPr="007376A2">
              <w:rPr>
                <w:lang w:val="fr-CA"/>
              </w:rPr>
              <w:t xml:space="preserve"> </w:t>
            </w:r>
            <w:r w:rsidRPr="00A45F99">
              <w:rPr>
                <w:lang w:val="fr-CA"/>
              </w:rPr>
              <w:t xml:space="preserve">Pour les motifs </w:t>
            </w:r>
            <w:r>
              <w:rPr>
                <w:lang w:val="fr-CA"/>
              </w:rPr>
              <w:t>exposés</w:t>
            </w:r>
            <w:r w:rsidRPr="00A45F99">
              <w:rPr>
                <w:lang w:val="fr-CA"/>
              </w:rPr>
              <w:t xml:space="preserve"> par le juge</w:t>
            </w:r>
            <w:r>
              <w:rPr>
                <w:lang w:val="fr-CA"/>
              </w:rPr>
              <w:t xml:space="preserve"> </w:t>
            </w:r>
            <w:r w:rsidRPr="00A45F99">
              <w:rPr>
                <w:lang w:val="fr-CA"/>
              </w:rPr>
              <w:t>Hourigan</w:t>
            </w:r>
            <w:r>
              <w:rPr>
                <w:lang w:val="fr-CA"/>
              </w:rPr>
              <w:t>, dissident</w:t>
            </w:r>
            <w:r w:rsidRPr="00A45F99">
              <w:rPr>
                <w:lang w:val="fr-CA"/>
              </w:rPr>
              <w:t xml:space="preserve"> </w:t>
            </w:r>
            <w:r>
              <w:rPr>
                <w:lang w:val="fr-CA"/>
              </w:rPr>
              <w:t>en</w:t>
            </w:r>
            <w:r w:rsidRPr="00A45F99">
              <w:rPr>
                <w:lang w:val="fr-CA"/>
              </w:rPr>
              <w:t xml:space="preserve"> Cour d’appel de l’Ontario, </w:t>
            </w:r>
            <w:r>
              <w:rPr>
                <w:lang w:val="fr-CA"/>
              </w:rPr>
              <w:t xml:space="preserve">notre Cour est majoritairement </w:t>
            </w:r>
            <w:r w:rsidRPr="00A45F99">
              <w:rPr>
                <w:lang w:val="fr-CA"/>
              </w:rPr>
              <w:t xml:space="preserve">d’avis d’accueillir l’appel. Le juge Rowe, dissident, aurait rejeté l’appel </w:t>
            </w:r>
            <w:r>
              <w:rPr>
                <w:lang w:val="fr-CA"/>
              </w:rPr>
              <w:t xml:space="preserve">en </w:t>
            </w:r>
            <w:r w:rsidRPr="005F0ADE">
              <w:rPr>
                <w:lang w:val="fr-CA"/>
              </w:rPr>
              <w:t>s’appuyant sur les par. 50 et 52 des motifs du juge d’appel Monahan concernant l’erreur de droit du juge du procès, à savoir l’omission de fournir des motifs suffisants.</w:t>
            </w:r>
            <w:r w:rsidRPr="00A45F99">
              <w:rPr>
                <w:lang w:val="fr-CA"/>
              </w:rPr>
              <w:t xml:space="preserve"> En conséquence, l’appel est accueilli</w:t>
            </w:r>
            <w:r>
              <w:rPr>
                <w:lang w:val="fr-CA"/>
              </w:rPr>
              <w:t>,</w:t>
            </w:r>
            <w:r w:rsidRPr="00A45F99">
              <w:rPr>
                <w:lang w:val="fr-CA"/>
              </w:rPr>
              <w:t xml:space="preserve"> et les déclarations de culpabilité pour contacts sexuels et agression sexuelle sont rétablies.</w:t>
            </w:r>
          </w:p>
          <w:p w:rsidR="005E2347" w:rsidRDefault="005E2347" w:rsidP="002032DC">
            <w:pPr>
              <w:jc w:val="both"/>
              <w:rPr>
                <w:lang w:val="fr-CA"/>
              </w:rPr>
            </w:pPr>
          </w:p>
          <w:p w:rsidR="005E2347" w:rsidRPr="00FE22F9" w:rsidRDefault="005E2347" w:rsidP="002032DC">
            <w:pPr>
              <w:jc w:val="both"/>
              <w:rPr>
                <w:lang w:val="fr-CA"/>
              </w:rPr>
            </w:pPr>
          </w:p>
        </w:tc>
      </w:tr>
    </w:tbl>
    <w:p w:rsidR="005E2347" w:rsidRPr="001F46B4" w:rsidRDefault="005E2347" w:rsidP="005E2347">
      <w:pPr>
        <w:rPr>
          <w:lang w:val="fr-CA"/>
        </w:rPr>
      </w:pPr>
    </w:p>
    <w:p w:rsidR="005E2347" w:rsidRDefault="005E2347" w:rsidP="005E2347">
      <w:pPr>
        <w:jc w:val="center"/>
        <w:rPr>
          <w:lang w:val="fr-CA"/>
        </w:rPr>
      </w:pPr>
    </w:p>
    <w:p w:rsidR="005E2347" w:rsidRDefault="005E2347" w:rsidP="005E2347">
      <w:pPr>
        <w:jc w:val="center"/>
        <w:rPr>
          <w:lang w:val="fr-CA"/>
        </w:rPr>
      </w:pPr>
    </w:p>
    <w:p w:rsidR="005E2347" w:rsidRPr="001F46B4" w:rsidRDefault="005E2347" w:rsidP="005E2347">
      <w:pPr>
        <w:jc w:val="center"/>
        <w:rPr>
          <w:lang w:val="fr-CA"/>
        </w:rPr>
      </w:pPr>
    </w:p>
    <w:p w:rsidR="005E2347" w:rsidRPr="001F46B4" w:rsidRDefault="005E2347" w:rsidP="005E2347">
      <w:pPr>
        <w:jc w:val="center"/>
        <w:rPr>
          <w:lang w:val="fr-CA"/>
        </w:rPr>
      </w:pPr>
    </w:p>
    <w:p w:rsidR="005E2347" w:rsidRPr="001F46B4" w:rsidRDefault="005E2347" w:rsidP="005E2347">
      <w:pPr>
        <w:jc w:val="center"/>
        <w:rPr>
          <w:lang w:val="fr-CA"/>
        </w:rPr>
      </w:pPr>
      <w:r w:rsidRPr="001F46B4">
        <w:rPr>
          <w:lang w:val="fr-CA"/>
        </w:rPr>
        <w:t>C.J.C.</w:t>
      </w:r>
    </w:p>
    <w:p w:rsidR="005E2347" w:rsidRPr="001F46B4" w:rsidRDefault="005E2347" w:rsidP="005E2347">
      <w:pPr>
        <w:jc w:val="center"/>
        <w:rPr>
          <w:lang w:val="fr-CA"/>
        </w:rPr>
      </w:pPr>
      <w:r w:rsidRPr="001F46B4">
        <w:rPr>
          <w:lang w:val="fr-CA"/>
        </w:rPr>
        <w:t>J.C.C.</w:t>
      </w:r>
    </w:p>
    <w:p w:rsidR="005E2347" w:rsidRPr="001F46B4" w:rsidRDefault="005E2347" w:rsidP="005E2347">
      <w:pPr>
        <w:jc w:val="center"/>
        <w:rPr>
          <w:lang w:val="fr-CA"/>
        </w:rPr>
      </w:pPr>
    </w:p>
    <w:p w:rsidR="00904937" w:rsidRPr="006B210C" w:rsidRDefault="00904937"/>
    <w:sectPr w:rsidR="00904937" w:rsidRPr="006B210C" w:rsidSect="00F72014">
      <w:pgSz w:w="12240" w:h="15840"/>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A9F" w:rsidRDefault="00AB2A9F" w:rsidP="00F72014">
      <w:r>
        <w:separator/>
      </w:r>
    </w:p>
  </w:endnote>
  <w:endnote w:type="continuationSeparator" w:id="0">
    <w:p w:rsidR="00AB2A9F" w:rsidRDefault="00AB2A9F" w:rsidP="00F7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A9F" w:rsidRDefault="00AB2A9F" w:rsidP="00F72014">
      <w:r>
        <w:separator/>
      </w:r>
    </w:p>
  </w:footnote>
  <w:footnote w:type="continuationSeparator" w:id="0">
    <w:p w:rsidR="00AB2A9F" w:rsidRDefault="00AB2A9F" w:rsidP="00F72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DA"/>
    <w:rsid w:val="00001315"/>
    <w:rsid w:val="0003087F"/>
    <w:rsid w:val="00076773"/>
    <w:rsid w:val="00087E50"/>
    <w:rsid w:val="001311DA"/>
    <w:rsid w:val="001412E4"/>
    <w:rsid w:val="001476E8"/>
    <w:rsid w:val="001648D4"/>
    <w:rsid w:val="001B0985"/>
    <w:rsid w:val="001B27ED"/>
    <w:rsid w:val="001B299D"/>
    <w:rsid w:val="001D6B8C"/>
    <w:rsid w:val="001F1F83"/>
    <w:rsid w:val="001F3E0C"/>
    <w:rsid w:val="00205C5C"/>
    <w:rsid w:val="00205C5D"/>
    <w:rsid w:val="00252460"/>
    <w:rsid w:val="00273D07"/>
    <w:rsid w:val="0028675F"/>
    <w:rsid w:val="002C1DA9"/>
    <w:rsid w:val="002C5A33"/>
    <w:rsid w:val="002D4FC9"/>
    <w:rsid w:val="00307011"/>
    <w:rsid w:val="00355967"/>
    <w:rsid w:val="00384384"/>
    <w:rsid w:val="003B2BE1"/>
    <w:rsid w:val="003B3C63"/>
    <w:rsid w:val="00451668"/>
    <w:rsid w:val="00460AFC"/>
    <w:rsid w:val="004E69EC"/>
    <w:rsid w:val="004F090E"/>
    <w:rsid w:val="00524C08"/>
    <w:rsid w:val="00540106"/>
    <w:rsid w:val="00564C88"/>
    <w:rsid w:val="00582136"/>
    <w:rsid w:val="005D2CFA"/>
    <w:rsid w:val="005D4801"/>
    <w:rsid w:val="005E2347"/>
    <w:rsid w:val="0061259C"/>
    <w:rsid w:val="00651FDF"/>
    <w:rsid w:val="006B210C"/>
    <w:rsid w:val="00701ABD"/>
    <w:rsid w:val="0074738A"/>
    <w:rsid w:val="007740CA"/>
    <w:rsid w:val="00815561"/>
    <w:rsid w:val="00842677"/>
    <w:rsid w:val="00843369"/>
    <w:rsid w:val="00852D4E"/>
    <w:rsid w:val="00855418"/>
    <w:rsid w:val="00880B14"/>
    <w:rsid w:val="00904937"/>
    <w:rsid w:val="0093524C"/>
    <w:rsid w:val="00962C82"/>
    <w:rsid w:val="00985242"/>
    <w:rsid w:val="00996510"/>
    <w:rsid w:val="0099776C"/>
    <w:rsid w:val="009B58B8"/>
    <w:rsid w:val="009E1B85"/>
    <w:rsid w:val="009E7065"/>
    <w:rsid w:val="00A1108B"/>
    <w:rsid w:val="00A15427"/>
    <w:rsid w:val="00A51D10"/>
    <w:rsid w:val="00A57778"/>
    <w:rsid w:val="00A853E1"/>
    <w:rsid w:val="00AB2201"/>
    <w:rsid w:val="00AB2A9F"/>
    <w:rsid w:val="00B60860"/>
    <w:rsid w:val="00BC2DFD"/>
    <w:rsid w:val="00BD415A"/>
    <w:rsid w:val="00BD4217"/>
    <w:rsid w:val="00C003E6"/>
    <w:rsid w:val="00CA1DFB"/>
    <w:rsid w:val="00CC6D40"/>
    <w:rsid w:val="00CE17A0"/>
    <w:rsid w:val="00D030DA"/>
    <w:rsid w:val="00D76BDF"/>
    <w:rsid w:val="00DA7B22"/>
    <w:rsid w:val="00DE1481"/>
    <w:rsid w:val="00DF15D7"/>
    <w:rsid w:val="00E22DBA"/>
    <w:rsid w:val="00E356C7"/>
    <w:rsid w:val="00E5364D"/>
    <w:rsid w:val="00E54E6E"/>
    <w:rsid w:val="00E64FA7"/>
    <w:rsid w:val="00E770CB"/>
    <w:rsid w:val="00EA6DB9"/>
    <w:rsid w:val="00EF0E44"/>
    <w:rsid w:val="00EF72F1"/>
    <w:rsid w:val="00F36AF0"/>
    <w:rsid w:val="00F72014"/>
    <w:rsid w:val="00F80029"/>
    <w:rsid w:val="00F9518C"/>
    <w:rsid w:val="00FA59EF"/>
    <w:rsid w:val="00FC2782"/>
    <w:rsid w:val="00FC70CB"/>
    <w:rsid w:val="00FE57D3"/>
    <w:rsid w:val="00FE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7E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030DA"/>
    <w:rPr>
      <w:color w:val="808080"/>
    </w:rPr>
  </w:style>
  <w:style w:type="paragraph" w:styleId="BalloonText">
    <w:name w:val="Balloon Text"/>
    <w:basedOn w:val="Normal"/>
    <w:link w:val="BalloonTextChar"/>
    <w:uiPriority w:val="99"/>
    <w:semiHidden/>
    <w:unhideWhenUsed/>
    <w:rsid w:val="00D030DA"/>
    <w:rPr>
      <w:rFonts w:ascii="Tahoma" w:hAnsi="Tahoma" w:cs="Tahoma"/>
      <w:sz w:val="16"/>
      <w:szCs w:val="16"/>
    </w:rPr>
  </w:style>
  <w:style w:type="character" w:customStyle="1" w:styleId="BalloonTextChar">
    <w:name w:val="Balloon Text Char"/>
    <w:basedOn w:val="DefaultParagraphFont"/>
    <w:link w:val="BalloonText"/>
    <w:uiPriority w:val="99"/>
    <w:semiHidden/>
    <w:rsid w:val="00D030DA"/>
    <w:rPr>
      <w:rFonts w:ascii="Tahoma" w:hAnsi="Tahoma" w:cs="Tahoma"/>
      <w:sz w:val="16"/>
      <w:szCs w:val="16"/>
    </w:rPr>
  </w:style>
  <w:style w:type="paragraph" w:styleId="Header">
    <w:name w:val="header"/>
    <w:basedOn w:val="Normal"/>
    <w:link w:val="HeaderChar"/>
    <w:uiPriority w:val="99"/>
    <w:unhideWhenUsed/>
    <w:rsid w:val="00F72014"/>
    <w:pPr>
      <w:tabs>
        <w:tab w:val="center" w:pos="4680"/>
        <w:tab w:val="right" w:pos="9360"/>
      </w:tabs>
    </w:pPr>
  </w:style>
  <w:style w:type="character" w:customStyle="1" w:styleId="HeaderChar">
    <w:name w:val="Header Char"/>
    <w:basedOn w:val="DefaultParagraphFont"/>
    <w:link w:val="Header"/>
    <w:uiPriority w:val="99"/>
    <w:rsid w:val="00F72014"/>
  </w:style>
  <w:style w:type="paragraph" w:styleId="Footer">
    <w:name w:val="footer"/>
    <w:basedOn w:val="Normal"/>
    <w:link w:val="FooterChar"/>
    <w:uiPriority w:val="99"/>
    <w:semiHidden/>
    <w:unhideWhenUsed/>
    <w:rsid w:val="00F72014"/>
    <w:pPr>
      <w:tabs>
        <w:tab w:val="center" w:pos="4680"/>
        <w:tab w:val="right" w:pos="9360"/>
      </w:tabs>
    </w:pPr>
  </w:style>
  <w:style w:type="character" w:customStyle="1" w:styleId="FooterChar">
    <w:name w:val="Footer Char"/>
    <w:basedOn w:val="DefaultParagraphFont"/>
    <w:link w:val="Footer"/>
    <w:uiPriority w:val="99"/>
    <w:semiHidden/>
    <w:rsid w:val="00F72014"/>
  </w:style>
  <w:style w:type="paragraph" w:customStyle="1" w:styleId="SCCRestrictionOnPublicationTitle">
    <w:name w:val="SCC.RestrictionOnPublicationTitle"/>
    <w:basedOn w:val="Normal"/>
    <w:next w:val="Normal"/>
    <w:link w:val="SCCRestrictionOnPublicationTitleChar"/>
    <w:rsid w:val="00252460"/>
    <w:rPr>
      <w:b/>
      <w:smallCaps/>
    </w:rPr>
  </w:style>
  <w:style w:type="character" w:customStyle="1" w:styleId="SCCRestrictionOnPublicationTitleChar">
    <w:name w:val="SCC.RestrictionOnPublicationTitle Char"/>
    <w:basedOn w:val="DefaultParagraphFont"/>
    <w:link w:val="SCCRestrictionOnPublicationTitle"/>
    <w:rsid w:val="00252460"/>
    <w:rPr>
      <w:b/>
      <w:smallCaps/>
      <w:lang w:val="en-CA"/>
    </w:rPr>
  </w:style>
  <w:style w:type="paragraph" w:customStyle="1" w:styleId="SCCRestrictionOnPublicationText">
    <w:name w:val="SCC.RestrictionOnPublicationText"/>
    <w:basedOn w:val="Normal"/>
    <w:next w:val="Normal"/>
    <w:link w:val="SCCRestrictionOnPublicationTextChar"/>
    <w:rsid w:val="00252460"/>
  </w:style>
  <w:style w:type="character" w:customStyle="1" w:styleId="SCCRestrictionOnPublicationTextChar">
    <w:name w:val="SCC.RestrictionOnPublicationText Char"/>
    <w:basedOn w:val="DefaultParagraphFont"/>
    <w:link w:val="SCCRestrictionOnPublicationText"/>
    <w:rsid w:val="00252460"/>
    <w:rPr>
      <w:lang w:val="en-CA"/>
    </w:rPr>
  </w:style>
  <w:style w:type="paragraph" w:customStyle="1" w:styleId="SCCLsocOtherPartyRole">
    <w:name w:val="SCC.Lsoc.OtherPartyRole"/>
    <w:basedOn w:val="Normal"/>
    <w:next w:val="Normal"/>
    <w:link w:val="SCCLsocOtherPartyRoleChar"/>
    <w:rsid w:val="0099776C"/>
    <w:pPr>
      <w:jc w:val="center"/>
    </w:pPr>
  </w:style>
  <w:style w:type="character" w:customStyle="1" w:styleId="SCCLsocOtherPartyRoleChar">
    <w:name w:val="SCC.Lsoc.OtherPartyRole Char"/>
    <w:basedOn w:val="DefaultParagraphFont"/>
    <w:link w:val="SCCLsocOtherPartyRole"/>
    <w:rsid w:val="0099776C"/>
    <w:rPr>
      <w:lang w:val="en-CA"/>
    </w:rPr>
  </w:style>
  <w:style w:type="paragraph" w:customStyle="1" w:styleId="SCCLsocParty">
    <w:name w:val="SCC.Lsoc.Party"/>
    <w:basedOn w:val="Normal"/>
    <w:next w:val="Normal"/>
    <w:link w:val="SCCLsocPartyChar"/>
    <w:rsid w:val="0099776C"/>
    <w:pPr>
      <w:jc w:val="center"/>
    </w:pPr>
    <w:rPr>
      <w:b/>
    </w:rPr>
  </w:style>
  <w:style w:type="character" w:customStyle="1" w:styleId="SCCLsocPartyChar">
    <w:name w:val="SCC.Lsoc.Party Char"/>
    <w:basedOn w:val="DefaultParagraphFont"/>
    <w:link w:val="SCCLsocParty"/>
    <w:rsid w:val="0099776C"/>
    <w:rPr>
      <w:b/>
      <w:lang w:val="en-CA"/>
    </w:rPr>
  </w:style>
  <w:style w:type="paragraph" w:customStyle="1" w:styleId="SCCLsocSubfileSeparator">
    <w:name w:val="SCC.Lsoc.SubfileSeparator"/>
    <w:basedOn w:val="Normal"/>
    <w:next w:val="Normal"/>
    <w:link w:val="SCCLsocSubfileSeparatorChar"/>
    <w:rsid w:val="00FE5ED5"/>
    <w:rPr>
      <w:b/>
      <w:smallCaps/>
    </w:rPr>
  </w:style>
  <w:style w:type="character" w:customStyle="1" w:styleId="SCCLsocSubfileSeparatorChar">
    <w:name w:val="SCC.Lsoc.SubfileSeparator Char"/>
    <w:basedOn w:val="DefaultParagraphFont"/>
    <w:link w:val="SCCLsocSubfileSeparator"/>
    <w:rsid w:val="00FE5ED5"/>
    <w:rPr>
      <w:b/>
      <w:smallCaps/>
      <w:lang w:val="en-CA"/>
    </w:rPr>
  </w:style>
  <w:style w:type="paragraph" w:customStyle="1" w:styleId="SCCLsocVersus">
    <w:name w:val="SCC.Lsoc.Versus"/>
    <w:basedOn w:val="Normal"/>
    <w:next w:val="Normal"/>
    <w:link w:val="SCCLsocVersusChar"/>
    <w:rsid w:val="0099776C"/>
    <w:pPr>
      <w:jc w:val="center"/>
    </w:pPr>
  </w:style>
  <w:style w:type="character" w:customStyle="1" w:styleId="SCCLsocVersusChar">
    <w:name w:val="SCC.Lsoc.Versus Char"/>
    <w:basedOn w:val="DefaultParagraphFont"/>
    <w:link w:val="SCCLsocVersus"/>
    <w:rsid w:val="0099776C"/>
    <w:rPr>
      <w:lang w:val="en-CA"/>
    </w:rPr>
  </w:style>
  <w:style w:type="paragraph" w:customStyle="1" w:styleId="SCCLsocPartyRole">
    <w:name w:val="SCC.Lsoc.PartyRole"/>
    <w:basedOn w:val="Normal"/>
    <w:next w:val="Normal"/>
    <w:link w:val="SCCLsocPartyRoleChar"/>
    <w:rsid w:val="0099776C"/>
    <w:pPr>
      <w:jc w:val="center"/>
    </w:pPr>
  </w:style>
  <w:style w:type="character" w:customStyle="1" w:styleId="SCCLsocPartyRoleChar">
    <w:name w:val="SCC.Lsoc.PartyRole Char"/>
    <w:basedOn w:val="DefaultParagraphFont"/>
    <w:link w:val="SCCLsocPartyRole"/>
    <w:rsid w:val="0099776C"/>
    <w:rPr>
      <w:lang w:val="en-CA"/>
    </w:rPr>
  </w:style>
  <w:style w:type="paragraph" w:customStyle="1" w:styleId="SCCLsocPrefix">
    <w:name w:val="SCC.Lsoc.Prefix"/>
    <w:basedOn w:val="Normal"/>
    <w:next w:val="Normal"/>
    <w:link w:val="SCCLsocPrefixChar"/>
    <w:rsid w:val="00FE5ED5"/>
    <w:rPr>
      <w:b/>
      <w:smallCaps/>
    </w:rPr>
  </w:style>
  <w:style w:type="character" w:customStyle="1" w:styleId="SCCLsocPrefixChar">
    <w:name w:val="SCC.Lsoc.Prefix Char"/>
    <w:basedOn w:val="DefaultParagraphFont"/>
    <w:link w:val="SCCLsocPrefix"/>
    <w:rsid w:val="00FE5ED5"/>
    <w:rPr>
      <w:b/>
      <w:smallCaps/>
      <w:lang w:val="en-CA"/>
    </w:rPr>
  </w:style>
  <w:style w:type="paragraph" w:customStyle="1" w:styleId="SCCHearingJudgmentDatesText">
    <w:name w:val="SCC.HearingJudgmentDatesText"/>
    <w:basedOn w:val="Normal"/>
    <w:next w:val="Normal"/>
    <w:link w:val="SCCHearingJudgmentDatesTextChar"/>
    <w:rsid w:val="00C003E6"/>
  </w:style>
  <w:style w:type="character" w:customStyle="1" w:styleId="SCCHearingJudgmentDatesTextChar">
    <w:name w:val="SCC.HearingJudgmentDatesText Char"/>
    <w:basedOn w:val="DefaultParagraphFont"/>
    <w:link w:val="SCCHearingJudgmentDatesText"/>
    <w:rsid w:val="00C003E6"/>
    <w:rPr>
      <w:lang w:val="en-CA"/>
    </w:rPr>
  </w:style>
  <w:style w:type="paragraph" w:customStyle="1" w:styleId="SCCHearingJudgmentDatesTitle">
    <w:name w:val="SCC.HearingJudgmentDatesTitle"/>
    <w:basedOn w:val="Normal"/>
    <w:next w:val="Normal"/>
    <w:link w:val="SCCHearingJudgmentDatesTitleChar"/>
    <w:rsid w:val="00C003E6"/>
    <w:rPr>
      <w:b/>
      <w:smallCaps/>
    </w:rPr>
  </w:style>
  <w:style w:type="character" w:customStyle="1" w:styleId="SCCHearingJudgmentDatesTitleChar">
    <w:name w:val="SCC.HearingJudgmentDatesTitle Char"/>
    <w:basedOn w:val="DefaultParagraphFont"/>
    <w:link w:val="SCCHearingJudgmentDatesTitle"/>
    <w:rsid w:val="00C003E6"/>
    <w:rPr>
      <w:b/>
      <w:smallCaps/>
      <w:lang w:val="en-CA"/>
    </w:rPr>
  </w:style>
  <w:style w:type="paragraph" w:customStyle="1" w:styleId="SCCLsocOtherPartySeparator">
    <w:name w:val="SCC.Lsoc.OtherPartySeparator"/>
    <w:basedOn w:val="Normal"/>
    <w:next w:val="Normal"/>
    <w:link w:val="SCCLsocOtherPartySeparatorChar"/>
    <w:rsid w:val="002C5A33"/>
    <w:pPr>
      <w:jc w:val="center"/>
    </w:pPr>
  </w:style>
  <w:style w:type="character" w:customStyle="1" w:styleId="SCCLsocOtherPartySeparatorChar">
    <w:name w:val="SCC.Lsoc.OtherPartySeparator Char"/>
    <w:basedOn w:val="DefaultParagraphFont"/>
    <w:link w:val="SCCLsocOtherPartySeparator"/>
    <w:rsid w:val="002C5A33"/>
    <w:rPr>
      <w:lang w:val="en-CA"/>
    </w:rPr>
  </w:style>
  <w:style w:type="paragraph" w:customStyle="1" w:styleId="SCCCounselName">
    <w:name w:val="SCC.CounselName"/>
    <w:basedOn w:val="Normal"/>
    <w:next w:val="Normal"/>
    <w:link w:val="SCCCounselNameChar"/>
    <w:rsid w:val="00962C82"/>
    <w:rPr>
      <w:i/>
    </w:rPr>
  </w:style>
  <w:style w:type="character" w:customStyle="1" w:styleId="SCCCounselNameChar">
    <w:name w:val="SCC.CounselName Char"/>
    <w:basedOn w:val="DefaultParagraphFont"/>
    <w:link w:val="SCCCounselName"/>
    <w:rsid w:val="00962C82"/>
    <w:rPr>
      <w:rFonts w:eastAsia="Times New Roman" w:cs="Times New Roman"/>
      <w:i/>
      <w:szCs w:val="20"/>
      <w:lang w:val="en-CA" w:eastAsia="en-CA"/>
    </w:rPr>
  </w:style>
  <w:style w:type="paragraph" w:customStyle="1" w:styleId="SCCCounselSeparator">
    <w:name w:val="SCC.CounselSeparator"/>
    <w:basedOn w:val="Normal"/>
    <w:next w:val="Normal"/>
    <w:link w:val="SCCCounselSeparatorChar"/>
    <w:rsid w:val="00962C82"/>
  </w:style>
  <w:style w:type="character" w:customStyle="1" w:styleId="SCCCounselSeparatorChar">
    <w:name w:val="SCC.CounselSeparator Char"/>
    <w:basedOn w:val="DefaultParagraphFont"/>
    <w:link w:val="SCCCounselSeparator"/>
    <w:rsid w:val="00962C82"/>
    <w:rPr>
      <w:rFonts w:eastAsia="Times New Roman" w:cs="Times New Roman"/>
      <w:szCs w:val="20"/>
      <w:lang w:val="en-CA" w:eastAsia="en-CA"/>
    </w:rPr>
  </w:style>
  <w:style w:type="paragraph" w:customStyle="1" w:styleId="SCCCounselPartyRole">
    <w:name w:val="SCC.CounselPartyRole"/>
    <w:basedOn w:val="Normal"/>
    <w:next w:val="Normal"/>
    <w:link w:val="SCCCounselPartyRoleChar"/>
    <w:rsid w:val="00962C82"/>
  </w:style>
  <w:style w:type="character" w:customStyle="1" w:styleId="SCCCounselPartyRoleChar">
    <w:name w:val="SCC.CounselPartyRole Char"/>
    <w:basedOn w:val="DefaultParagraphFont"/>
    <w:link w:val="SCCCounselPartyRole"/>
    <w:rsid w:val="00962C82"/>
    <w:rPr>
      <w:rFonts w:eastAsia="Times New Roman" w:cs="Times New Roman"/>
      <w:szCs w:val="20"/>
      <w:lang w:val="en-CA" w:eastAsia="en-CA"/>
    </w:rPr>
  </w:style>
  <w:style w:type="paragraph" w:customStyle="1" w:styleId="SCCBold">
    <w:name w:val="SCC.Bold"/>
    <w:basedOn w:val="Normal"/>
    <w:next w:val="Normal"/>
    <w:rsid w:val="005D2CFA"/>
    <w:rPr>
      <w:b/>
    </w:rPr>
  </w:style>
  <w:style w:type="paragraph" w:customStyle="1" w:styleId="SCCReasonsTitle">
    <w:name w:val="SCC.ReasonsTitle"/>
    <w:basedOn w:val="Normal"/>
    <w:next w:val="Normal"/>
    <w:link w:val="SCCReasonsTitleChar"/>
    <w:qFormat/>
    <w:rsid w:val="00076773"/>
    <w:rPr>
      <w:b/>
    </w:rPr>
  </w:style>
  <w:style w:type="character" w:customStyle="1" w:styleId="SCCReasonsTitleChar">
    <w:name w:val="SCC.ReasonsTitle Char"/>
    <w:basedOn w:val="DefaultParagraphFont"/>
    <w:link w:val="SCCReasonsTitle"/>
    <w:rsid w:val="001B27ED"/>
    <w:rPr>
      <w:b/>
      <w:lang w:val="en-CA"/>
    </w:rPr>
  </w:style>
  <w:style w:type="character" w:styleId="Hyperlink">
    <w:name w:val="Hyperlink"/>
    <w:basedOn w:val="DefaultParagraphFont"/>
    <w:uiPriority w:val="99"/>
    <w:unhideWhenUsed/>
    <w:rsid w:val="001476E8"/>
    <w:rPr>
      <w:color w:val="66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adecisions.ontariocourts.ca/coa/coa/en/21711/1/document.do" TargetMode="External"/><Relationship Id="rId5" Type="http://schemas.openxmlformats.org/officeDocument/2006/relationships/footnotes" Target="footnotes.xml"/><Relationship Id="rId10" Type="http://schemas.openxmlformats.org/officeDocument/2006/relationships/hyperlink" Target="https://www.canlii.org/en/on/onca/doc/2023/2023onca584/2023onca584.html?resultIndex=1&amp;resultId=47a5d467ce6f46a7aeed41c5f8a76293&amp;searchId=2c17857558fb4051a7330d9d9e07ef15" TargetMode="External"/><Relationship Id="rId4" Type="http://schemas.openxmlformats.org/officeDocument/2006/relationships/webSettings" Target="webSettings.xml"/><Relationship Id="rId9" Type="http://schemas.openxmlformats.org/officeDocument/2006/relationships/hyperlink" Target="https://coadecisions.ontariocourts.ca/coa/coa/en/21711/1/document.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410C5-152A-47D2-8E12-3C9304D3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457</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2024-04-23T14:11:00Z</dcterms:created>
  <dcterms:modified xsi:type="dcterms:W3CDTF">2024-04-24T16:23:00Z</dcterms:modified>
</cp:coreProperties>
</file>