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RPr="0027124E" w:rsidTr="009B58B8">
        <w:trPr>
          <w:trHeight w:val="2103"/>
        </w:trPr>
        <w:tc>
          <w:tcPr>
            <w:tcW w:w="5000" w:type="pct"/>
            <w:gridSpan w:val="4"/>
          </w:tcPr>
          <w:p w:rsidR="00EF72F1" w:rsidRPr="0027124E" w:rsidRDefault="00EF72F1" w:rsidP="001F3E0C">
            <w:pPr>
              <w:pStyle w:val="SCCBold"/>
              <w:jc w:val="center"/>
            </w:pPr>
            <w:r w:rsidRPr="0027124E">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Pr="0027124E" w:rsidRDefault="00EF72F1" w:rsidP="009764CA">
            <w:pPr>
              <w:spacing w:before="120" w:after="100" w:afterAutospacing="1"/>
              <w:jc w:val="center"/>
              <w:rPr>
                <w:rFonts w:eastAsia="Calibri"/>
              </w:rPr>
            </w:pPr>
            <w:r w:rsidRPr="0027124E">
              <w:rPr>
                <w:rFonts w:eastAsia="Calibri"/>
                <w:b/>
              </w:rPr>
              <w:t>SUPREME COURT OF CANADA</w:t>
            </w:r>
          </w:p>
        </w:tc>
      </w:tr>
      <w:tr w:rsidR="00EF72F1" w:rsidRPr="0027124E" w:rsidTr="009B58B8">
        <w:tblPrEx>
          <w:tblCellMar>
            <w:top w:w="58" w:type="dxa"/>
            <w:left w:w="58" w:type="dxa"/>
            <w:bottom w:w="58" w:type="dxa"/>
            <w:right w:w="58" w:type="dxa"/>
          </w:tblCellMar>
        </w:tblPrEx>
        <w:trPr>
          <w:cantSplit/>
        </w:trPr>
        <w:tc>
          <w:tcPr>
            <w:tcW w:w="2078" w:type="pct"/>
            <w:gridSpan w:val="2"/>
          </w:tcPr>
          <w:p w:rsidR="00EF72F1" w:rsidRPr="0027124E" w:rsidRDefault="00EF72F1" w:rsidP="00FC2782">
            <w:pPr>
              <w:rPr>
                <w:b/>
                <w:smallCaps/>
                <w:lang w:val="fr-CA"/>
              </w:rPr>
            </w:pPr>
          </w:p>
          <w:p w:rsidR="00E50991" w:rsidRPr="0027124E" w:rsidRDefault="00EF72F1" w:rsidP="00E50991">
            <w:pPr>
              <w:rPr>
                <w:lang w:val="fr-CA"/>
              </w:rPr>
            </w:pPr>
            <w:r w:rsidRPr="0027124E">
              <w:rPr>
                <w:b/>
                <w:smallCaps/>
                <w:lang w:val="fr-CA"/>
              </w:rPr>
              <w:t>Citation:</w:t>
            </w:r>
            <w:r w:rsidRPr="0027124E">
              <w:rPr>
                <w:lang w:val="fr-CA"/>
              </w:rPr>
              <w:t xml:space="preserve"> </w:t>
            </w:r>
            <w:bookmarkStart w:id="0" w:name="_MailEndCompose"/>
            <w:r w:rsidR="00E50991" w:rsidRPr="0027124E">
              <w:rPr>
                <w:lang w:val="fr-CA"/>
              </w:rPr>
              <w:t xml:space="preserve">R. </w:t>
            </w:r>
            <w:r w:rsidR="00E50991" w:rsidRPr="0027124E">
              <w:rPr>
                <w:i/>
                <w:lang w:val="fr-CA"/>
              </w:rPr>
              <w:t>v.</w:t>
            </w:r>
            <w:r w:rsidR="007A121F" w:rsidRPr="0027124E">
              <w:rPr>
                <w:lang w:val="fr-CA"/>
              </w:rPr>
              <w:t xml:space="preserve"> Landry</w:t>
            </w:r>
            <w:r w:rsidR="00E50991" w:rsidRPr="0027124E">
              <w:rPr>
                <w:lang w:val="fr-CA"/>
              </w:rPr>
              <w:t xml:space="preserve">, 2024 SCC </w:t>
            </w:r>
            <w:bookmarkEnd w:id="0"/>
            <w:r w:rsidR="007A121F" w:rsidRPr="0027124E">
              <w:rPr>
                <w:lang w:val="fr-CA"/>
              </w:rPr>
              <w:t>2</w:t>
            </w:r>
          </w:p>
          <w:p w:rsidR="00EF72F1" w:rsidRPr="0027124E" w:rsidRDefault="00EF72F1" w:rsidP="00FC2782">
            <w:pPr>
              <w:rPr>
                <w:b/>
                <w:smallCaps/>
                <w:lang w:val="fr-CA"/>
              </w:rPr>
            </w:pPr>
          </w:p>
        </w:tc>
        <w:tc>
          <w:tcPr>
            <w:tcW w:w="781" w:type="pct"/>
          </w:tcPr>
          <w:p w:rsidR="00EF72F1" w:rsidRPr="0027124E" w:rsidRDefault="00EF72F1" w:rsidP="00FC2782">
            <w:pPr>
              <w:rPr>
                <w:lang w:val="fr-CA"/>
              </w:rPr>
            </w:pPr>
          </w:p>
        </w:tc>
        <w:tc>
          <w:tcPr>
            <w:tcW w:w="2141" w:type="pct"/>
          </w:tcPr>
          <w:p w:rsidR="00EF72F1" w:rsidRPr="0027124E" w:rsidRDefault="00EF72F1" w:rsidP="00451668">
            <w:pPr>
              <w:rPr>
                <w:b/>
                <w:smallCaps/>
                <w:lang w:val="fr-CA"/>
              </w:rPr>
            </w:pPr>
          </w:p>
          <w:p w:rsidR="00EF72F1" w:rsidRPr="0027124E" w:rsidRDefault="00EF72F1" w:rsidP="00EA6DB9">
            <w:pPr>
              <w:jc w:val="both"/>
            </w:pPr>
            <w:r w:rsidRPr="0027124E">
              <w:rPr>
                <w:b/>
                <w:smallCaps/>
              </w:rPr>
              <w:t>Appeal Heard:</w:t>
            </w:r>
            <w:r w:rsidRPr="0027124E">
              <w:t xml:space="preserve"> </w:t>
            </w:r>
            <w:r w:rsidR="007A121F" w:rsidRPr="0027124E">
              <w:t>January 17</w:t>
            </w:r>
            <w:r w:rsidR="00E50991" w:rsidRPr="0027124E">
              <w:t xml:space="preserve">, </w:t>
            </w:r>
            <w:r w:rsidRPr="0027124E">
              <w:t>2024</w:t>
            </w:r>
          </w:p>
          <w:p w:rsidR="00EF72F1" w:rsidRPr="0027124E" w:rsidRDefault="00EF72F1">
            <w:r w:rsidRPr="0027124E">
              <w:rPr>
                <w:b/>
                <w:smallCaps/>
              </w:rPr>
              <w:t>Judgment Rendered:</w:t>
            </w:r>
            <w:r w:rsidRPr="0027124E">
              <w:t xml:space="preserve"> </w:t>
            </w:r>
            <w:r w:rsidR="007A121F" w:rsidRPr="0027124E">
              <w:t>January 17</w:t>
            </w:r>
            <w:r w:rsidR="00E50991" w:rsidRPr="0027124E">
              <w:t>, 2024</w:t>
            </w:r>
          </w:p>
          <w:p w:rsidR="00EF72F1" w:rsidRPr="0027124E" w:rsidRDefault="00EF72F1" w:rsidP="00540106">
            <w:r w:rsidRPr="0027124E">
              <w:rPr>
                <w:b/>
                <w:smallCaps/>
              </w:rPr>
              <w:t>Docket:</w:t>
            </w:r>
            <w:r w:rsidR="007A121F" w:rsidRPr="0027124E">
              <w:t xml:space="preserve"> 40394</w:t>
            </w:r>
          </w:p>
        </w:tc>
      </w:tr>
      <w:tr w:rsidR="00EF72F1" w:rsidRPr="0027124E" w:rsidTr="009B58B8">
        <w:tblPrEx>
          <w:tblCellMar>
            <w:top w:w="58" w:type="dxa"/>
            <w:left w:w="58" w:type="dxa"/>
            <w:bottom w:w="58" w:type="dxa"/>
            <w:right w:w="58" w:type="dxa"/>
          </w:tblCellMar>
        </w:tblPrEx>
        <w:trPr>
          <w:cantSplit/>
        </w:trPr>
        <w:tc>
          <w:tcPr>
            <w:tcW w:w="5000" w:type="pct"/>
            <w:gridSpan w:val="4"/>
          </w:tcPr>
          <w:p w:rsidR="00EF72F1" w:rsidRPr="0027124E" w:rsidRDefault="00EF72F1" w:rsidP="00EF72F1"/>
          <w:p w:rsidR="00382BC9" w:rsidRPr="0027124E" w:rsidRDefault="008710E3">
            <w:pPr>
              <w:pStyle w:val="SCCLsocPrefix"/>
            </w:pPr>
            <w:r w:rsidRPr="0027124E">
              <w:t>Between:</w:t>
            </w:r>
          </w:p>
          <w:p w:rsidR="00E50991" w:rsidRPr="0027124E" w:rsidRDefault="00E50991" w:rsidP="00E50991"/>
          <w:p w:rsidR="00382BC9" w:rsidRPr="0027124E" w:rsidRDefault="007A121F">
            <w:pPr>
              <w:pStyle w:val="SCCLsocParty"/>
            </w:pPr>
            <w:r w:rsidRPr="0027124E">
              <w:t>Nicolas Landry</w:t>
            </w:r>
          </w:p>
          <w:p w:rsidR="00382BC9" w:rsidRPr="0027124E" w:rsidRDefault="008710E3">
            <w:pPr>
              <w:pStyle w:val="SCCLsocPartyRole"/>
            </w:pPr>
            <w:r w:rsidRPr="0027124E">
              <w:t>Appellant</w:t>
            </w:r>
          </w:p>
          <w:p w:rsidR="00382BC9" w:rsidRPr="0027124E" w:rsidRDefault="00382BC9"/>
          <w:p w:rsidR="00382BC9" w:rsidRPr="0027124E" w:rsidRDefault="00E50991">
            <w:pPr>
              <w:pStyle w:val="SCCLsocVersus"/>
              <w:rPr>
                <w:lang w:val="en-US"/>
              </w:rPr>
            </w:pPr>
            <w:r w:rsidRPr="0027124E">
              <w:rPr>
                <w:lang w:val="en-US"/>
              </w:rPr>
              <w:t>and</w:t>
            </w:r>
          </w:p>
          <w:p w:rsidR="00382BC9" w:rsidRPr="0027124E" w:rsidRDefault="00382BC9">
            <w:pPr>
              <w:rPr>
                <w:lang w:val="en-US"/>
              </w:rPr>
            </w:pPr>
          </w:p>
          <w:p w:rsidR="00382BC9" w:rsidRPr="0027124E" w:rsidRDefault="007A121F">
            <w:pPr>
              <w:pStyle w:val="SCCLsocParty"/>
              <w:rPr>
                <w:lang w:val="en-US"/>
              </w:rPr>
            </w:pPr>
            <w:r w:rsidRPr="0027124E">
              <w:rPr>
                <w:lang w:val="en-US"/>
              </w:rPr>
              <w:t>His Majesty The King</w:t>
            </w:r>
          </w:p>
          <w:p w:rsidR="00382BC9" w:rsidRPr="0027124E" w:rsidRDefault="008710E3">
            <w:pPr>
              <w:pStyle w:val="SCCLsocPartyRole"/>
              <w:rPr>
                <w:lang w:val="en-US"/>
              </w:rPr>
            </w:pPr>
            <w:r w:rsidRPr="0027124E">
              <w:rPr>
                <w:lang w:val="en-US"/>
              </w:rPr>
              <w:t>Respondent</w:t>
            </w:r>
          </w:p>
          <w:p w:rsidR="00843369" w:rsidRPr="0027124E" w:rsidRDefault="00843369" w:rsidP="00EF72F1">
            <w:pPr>
              <w:rPr>
                <w:lang w:val="en-US"/>
              </w:rPr>
            </w:pPr>
          </w:p>
          <w:p w:rsidR="00EF72F1" w:rsidRPr="0027124E" w:rsidRDefault="001432DC" w:rsidP="00EF72F1">
            <w:pPr>
              <w:jc w:val="center"/>
              <w:rPr>
                <w:b/>
                <w:smallCaps/>
              </w:rPr>
            </w:pPr>
            <w:r w:rsidRPr="0027124E">
              <w:rPr>
                <w:b/>
                <w:smallCaps/>
              </w:rPr>
              <w:t>Official English Translation</w:t>
            </w:r>
          </w:p>
          <w:p w:rsidR="00EF72F1" w:rsidRPr="0027124E" w:rsidRDefault="00EF72F1" w:rsidP="00EF72F1"/>
          <w:p w:rsidR="00EF72F1" w:rsidRPr="0027124E" w:rsidRDefault="00EF72F1" w:rsidP="00EF72F1">
            <w:r w:rsidRPr="0027124E">
              <w:rPr>
                <w:b/>
                <w:smallCaps/>
              </w:rPr>
              <w:t>Coram:</w:t>
            </w:r>
            <w:r w:rsidRPr="0027124E">
              <w:t xml:space="preserve"> </w:t>
            </w:r>
            <w:r w:rsidR="007A121F" w:rsidRPr="0027124E">
              <w:t>Karakatsanis, Côté, Kasirer, O’Bonsawin and Moreau</w:t>
            </w:r>
            <w:r w:rsidR="00E50991" w:rsidRPr="0027124E">
              <w:t> JJ.</w:t>
            </w:r>
          </w:p>
          <w:p w:rsidR="00EF72F1" w:rsidRPr="0027124E" w:rsidRDefault="00EF72F1" w:rsidP="00451668">
            <w:pPr>
              <w:rPr>
                <w:b/>
                <w:smallCaps/>
              </w:rPr>
            </w:pPr>
          </w:p>
        </w:tc>
      </w:tr>
      <w:tr w:rsidR="004E69EC" w:rsidRPr="0027124E" w:rsidTr="002C1DA9">
        <w:tblPrEx>
          <w:tblCellMar>
            <w:top w:w="58" w:type="dxa"/>
            <w:left w:w="58" w:type="dxa"/>
            <w:bottom w:w="58" w:type="dxa"/>
            <w:right w:w="58" w:type="dxa"/>
          </w:tblCellMar>
        </w:tblPrEx>
        <w:trPr>
          <w:cantSplit/>
        </w:trPr>
        <w:tc>
          <w:tcPr>
            <w:tcW w:w="1231" w:type="pct"/>
          </w:tcPr>
          <w:p w:rsidR="00E50991" w:rsidRPr="0027124E" w:rsidRDefault="00E50991" w:rsidP="00E50991">
            <w:r w:rsidRPr="0027124E">
              <w:rPr>
                <w:b/>
                <w:smallCaps/>
              </w:rPr>
              <w:t>Judgment Read By</w:t>
            </w:r>
            <w:r w:rsidRPr="0027124E">
              <w:rPr>
                <w:b/>
              </w:rPr>
              <w:t>:</w:t>
            </w:r>
          </w:p>
          <w:p w:rsidR="00E50991" w:rsidRPr="0027124E" w:rsidRDefault="00E50991" w:rsidP="00E50991">
            <w:r w:rsidRPr="0027124E">
              <w:t>(paras. </w:t>
            </w:r>
            <w:r w:rsidR="008710E3" w:rsidRPr="0027124E">
              <w:t>1</w:t>
            </w:r>
            <w:r w:rsidRPr="0027124E">
              <w:t xml:space="preserve"> to </w:t>
            </w:r>
            <w:r w:rsidR="001C0E7C" w:rsidRPr="0027124E">
              <w:t>4</w:t>
            </w:r>
            <w:r w:rsidRPr="0027124E">
              <w:t>)</w:t>
            </w:r>
          </w:p>
          <w:p w:rsidR="004E69EC" w:rsidRPr="0027124E" w:rsidRDefault="004E69EC" w:rsidP="00540106"/>
        </w:tc>
        <w:tc>
          <w:tcPr>
            <w:tcW w:w="3769" w:type="pct"/>
            <w:gridSpan w:val="3"/>
          </w:tcPr>
          <w:p w:rsidR="004E69EC" w:rsidRPr="0027124E" w:rsidRDefault="007A121F">
            <w:r w:rsidRPr="0027124E">
              <w:t>Karakatsanis </w:t>
            </w:r>
            <w:r w:rsidR="00E50991" w:rsidRPr="0027124E">
              <w:t>J.</w:t>
            </w:r>
          </w:p>
        </w:tc>
      </w:tr>
      <w:tr w:rsidR="00E50991" w:rsidRPr="0027124E" w:rsidTr="002C1DA9">
        <w:tblPrEx>
          <w:tblCellMar>
            <w:top w:w="58" w:type="dxa"/>
            <w:left w:w="58" w:type="dxa"/>
            <w:bottom w:w="58" w:type="dxa"/>
            <w:right w:w="58" w:type="dxa"/>
          </w:tblCellMar>
        </w:tblPrEx>
        <w:trPr>
          <w:cantSplit/>
        </w:trPr>
        <w:tc>
          <w:tcPr>
            <w:tcW w:w="1231" w:type="pct"/>
          </w:tcPr>
          <w:p w:rsidR="00E50991" w:rsidRPr="0027124E" w:rsidRDefault="00E50991" w:rsidP="00E50991">
            <w:pPr>
              <w:rPr>
                <w:b/>
                <w:smallCaps/>
              </w:rPr>
            </w:pPr>
            <w:r w:rsidRPr="0027124E">
              <w:rPr>
                <w:b/>
                <w:smallCaps/>
              </w:rPr>
              <w:t>Majority:</w:t>
            </w:r>
          </w:p>
          <w:p w:rsidR="00E50991" w:rsidRPr="0027124E" w:rsidRDefault="00E50991" w:rsidP="00E50991">
            <w:pPr>
              <w:rPr>
                <w:b/>
                <w:smallCaps/>
              </w:rPr>
            </w:pPr>
          </w:p>
        </w:tc>
        <w:tc>
          <w:tcPr>
            <w:tcW w:w="3769" w:type="pct"/>
            <w:gridSpan w:val="3"/>
          </w:tcPr>
          <w:p w:rsidR="00E50991" w:rsidRPr="0027124E" w:rsidRDefault="007A121F">
            <w:r w:rsidRPr="0027124E">
              <w:t>Karakatsanis, Kasirer, O’Bonsawin and Moreau</w:t>
            </w:r>
            <w:r w:rsidR="00E50991" w:rsidRPr="0027124E">
              <w:t> JJ.</w:t>
            </w:r>
          </w:p>
        </w:tc>
      </w:tr>
      <w:tr w:rsidR="00E50991" w:rsidRPr="0027124E" w:rsidTr="002C1DA9">
        <w:tblPrEx>
          <w:tblCellMar>
            <w:top w:w="58" w:type="dxa"/>
            <w:left w:w="58" w:type="dxa"/>
            <w:bottom w:w="58" w:type="dxa"/>
            <w:right w:w="58" w:type="dxa"/>
          </w:tblCellMar>
        </w:tblPrEx>
        <w:trPr>
          <w:cantSplit/>
        </w:trPr>
        <w:tc>
          <w:tcPr>
            <w:tcW w:w="1231" w:type="pct"/>
          </w:tcPr>
          <w:p w:rsidR="00E50991" w:rsidRPr="0027124E" w:rsidRDefault="00E50991" w:rsidP="00E50991">
            <w:pPr>
              <w:rPr>
                <w:b/>
                <w:smallCaps/>
              </w:rPr>
            </w:pPr>
            <w:r w:rsidRPr="0027124E">
              <w:rPr>
                <w:b/>
                <w:smallCaps/>
              </w:rPr>
              <w:t>Dissent:</w:t>
            </w:r>
          </w:p>
          <w:p w:rsidR="00E50991" w:rsidRPr="0027124E" w:rsidRDefault="00E50991" w:rsidP="00E50991">
            <w:pPr>
              <w:rPr>
                <w:b/>
                <w:smallCaps/>
              </w:rPr>
            </w:pPr>
          </w:p>
        </w:tc>
        <w:tc>
          <w:tcPr>
            <w:tcW w:w="3769" w:type="pct"/>
            <w:gridSpan w:val="3"/>
          </w:tcPr>
          <w:p w:rsidR="00E50991" w:rsidRPr="0027124E" w:rsidRDefault="007A121F">
            <w:r w:rsidRPr="0027124E">
              <w:t>Côté</w:t>
            </w:r>
            <w:r w:rsidR="00E50991" w:rsidRPr="0027124E">
              <w:t> J.</w:t>
            </w:r>
          </w:p>
        </w:tc>
      </w:tr>
      <w:tr w:rsidR="00E50991" w:rsidRPr="0027124E" w:rsidTr="007E70DA">
        <w:tblPrEx>
          <w:tblCellMar>
            <w:top w:w="58" w:type="dxa"/>
            <w:left w:w="58" w:type="dxa"/>
            <w:bottom w:w="58" w:type="dxa"/>
            <w:right w:w="58" w:type="dxa"/>
          </w:tblCellMar>
        </w:tblPrEx>
        <w:trPr>
          <w:cantSplit/>
        </w:trPr>
        <w:tc>
          <w:tcPr>
            <w:tcW w:w="1" w:type="pct"/>
            <w:gridSpan w:val="4"/>
          </w:tcPr>
          <w:p w:rsidR="00E50991" w:rsidRPr="0027124E" w:rsidRDefault="00E50991" w:rsidP="00A277C7"/>
        </w:tc>
      </w:tr>
    </w:tbl>
    <w:p w:rsidR="00382BC9" w:rsidRPr="0027124E" w:rsidRDefault="00382BC9"/>
    <w:p w:rsidR="00904937" w:rsidRPr="0027124E" w:rsidRDefault="00904937" w:rsidP="00076773">
      <w:pPr>
        <w:pStyle w:val="SCCBold"/>
        <w:rPr>
          <w:b w:val="0"/>
        </w:rPr>
      </w:pPr>
      <w:r w:rsidRPr="0027124E">
        <w:rPr>
          <w:smallCaps/>
        </w:rPr>
        <w:t>Note:</w:t>
      </w:r>
      <w:r w:rsidRPr="0027124E">
        <w:t xml:space="preserve"> </w:t>
      </w:r>
      <w:r w:rsidRPr="0027124E">
        <w:rPr>
          <w:b w:val="0"/>
        </w:rPr>
        <w:t>This do</w:t>
      </w:r>
      <w:r w:rsidR="009E7065" w:rsidRPr="0027124E">
        <w:rPr>
          <w:b w:val="0"/>
        </w:rPr>
        <w:t>c</w:t>
      </w:r>
      <w:r w:rsidRPr="0027124E">
        <w:rPr>
          <w:b w:val="0"/>
        </w:rPr>
        <w:t xml:space="preserve">ument is subject to editorial revision before its reproduction in final form in the </w:t>
      </w:r>
      <w:r w:rsidRPr="0027124E">
        <w:rPr>
          <w:b w:val="0"/>
          <w:i/>
        </w:rPr>
        <w:t>Canada Supreme Court Reports</w:t>
      </w:r>
      <w:r w:rsidRPr="0027124E">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RPr="0027124E" w:rsidTr="003375C9">
        <w:tc>
          <w:tcPr>
            <w:tcW w:w="1500" w:type="pct"/>
            <w:tcMar>
              <w:top w:w="284" w:type="dxa"/>
            </w:tcMar>
          </w:tcPr>
          <w:p w:rsidR="00087E50" w:rsidRPr="0027124E" w:rsidRDefault="00087E50" w:rsidP="003375C9">
            <w:pPr>
              <w:rPr>
                <w:rFonts w:eastAsia="Calibri"/>
              </w:rPr>
            </w:pPr>
          </w:p>
        </w:tc>
        <w:tc>
          <w:tcPr>
            <w:tcW w:w="2000" w:type="pct"/>
            <w:tcBorders>
              <w:bottom w:val="single" w:sz="4" w:space="0" w:color="auto"/>
            </w:tcBorders>
            <w:tcMar>
              <w:top w:w="284" w:type="dxa"/>
            </w:tcMar>
          </w:tcPr>
          <w:p w:rsidR="00087E50" w:rsidRPr="0027124E" w:rsidRDefault="00087E50" w:rsidP="003375C9">
            <w:pPr>
              <w:rPr>
                <w:rFonts w:eastAsia="Calibri"/>
              </w:rPr>
            </w:pPr>
          </w:p>
        </w:tc>
        <w:tc>
          <w:tcPr>
            <w:tcW w:w="1500" w:type="pct"/>
            <w:tcMar>
              <w:top w:w="284" w:type="dxa"/>
            </w:tcMar>
          </w:tcPr>
          <w:p w:rsidR="00087E50" w:rsidRPr="0027124E" w:rsidRDefault="00087E50" w:rsidP="003375C9">
            <w:pPr>
              <w:rPr>
                <w:rFonts w:eastAsia="Calibri"/>
              </w:rPr>
            </w:pPr>
          </w:p>
        </w:tc>
      </w:tr>
    </w:tbl>
    <w:p w:rsidR="00904937" w:rsidRDefault="00904937"/>
    <w:p w:rsidR="00A277C7" w:rsidRDefault="00A277C7" w:rsidP="00A277C7">
      <w:pPr>
        <w:tabs>
          <w:tab w:val="right" w:pos="8222"/>
        </w:tabs>
        <w:spacing w:after="720"/>
        <w:rPr>
          <w:rFonts w:eastAsia="Times New Roman" w:cs="Times New Roman"/>
          <w:b/>
          <w:szCs w:val="20"/>
          <w:lang w:val="en-US" w:eastAsia="en-CA"/>
        </w:rPr>
      </w:pPr>
    </w:p>
    <w:p w:rsidR="00A277C7" w:rsidRPr="00A277C7" w:rsidRDefault="00A277C7" w:rsidP="00A277C7">
      <w:pPr>
        <w:tabs>
          <w:tab w:val="right" w:pos="8222"/>
        </w:tabs>
        <w:spacing w:after="720"/>
        <w:rPr>
          <w:rFonts w:eastAsia="Times New Roman" w:cs="Times New Roman"/>
          <w:b/>
          <w:szCs w:val="20"/>
          <w:lang w:val="en-US" w:eastAsia="en-CA"/>
        </w:rPr>
      </w:pPr>
      <w:r w:rsidRPr="00A277C7">
        <w:rPr>
          <w:rFonts w:eastAsia="Times New Roman" w:cs="Times New Roman"/>
          <w:b/>
          <w:szCs w:val="20"/>
          <w:lang w:val="en-US" w:eastAsia="en-CA"/>
        </w:rPr>
        <w:t>Nicolas Landry</w:t>
      </w:r>
      <w:r w:rsidRPr="00A277C7">
        <w:rPr>
          <w:rFonts w:eastAsia="Times New Roman" w:cs="Times New Roman"/>
          <w:i/>
          <w:szCs w:val="20"/>
          <w:lang w:val="en-US" w:eastAsia="en-CA"/>
        </w:rPr>
        <w:tab/>
        <w:t>Appellant</w:t>
      </w:r>
    </w:p>
    <w:p w:rsidR="00A277C7" w:rsidRPr="00A277C7" w:rsidRDefault="00A277C7" w:rsidP="00A277C7">
      <w:pPr>
        <w:spacing w:after="720"/>
        <w:rPr>
          <w:rFonts w:eastAsia="Times New Roman" w:cs="Times New Roman"/>
          <w:i/>
          <w:szCs w:val="20"/>
          <w:lang w:eastAsia="en-CA"/>
        </w:rPr>
      </w:pPr>
      <w:r w:rsidRPr="00A277C7">
        <w:rPr>
          <w:rFonts w:eastAsia="Times New Roman" w:cs="Times New Roman"/>
          <w:i/>
          <w:szCs w:val="20"/>
          <w:lang w:eastAsia="en-CA"/>
        </w:rPr>
        <w:t>v.</w:t>
      </w:r>
    </w:p>
    <w:p w:rsidR="00A277C7" w:rsidRPr="00A277C7" w:rsidRDefault="00A277C7" w:rsidP="00A277C7">
      <w:pPr>
        <w:tabs>
          <w:tab w:val="right" w:pos="8222"/>
        </w:tabs>
        <w:spacing w:after="720"/>
        <w:rPr>
          <w:rFonts w:eastAsia="Times New Roman" w:cs="Times New Roman"/>
          <w:b/>
          <w:szCs w:val="20"/>
          <w:lang w:eastAsia="en-CA"/>
        </w:rPr>
      </w:pPr>
      <w:r w:rsidRPr="00A277C7">
        <w:rPr>
          <w:rFonts w:eastAsia="Times New Roman" w:cs="Times New Roman"/>
          <w:b/>
          <w:szCs w:val="20"/>
          <w:lang w:eastAsia="en-CA"/>
        </w:rPr>
        <w:t>His Majesty The King</w:t>
      </w:r>
      <w:r w:rsidRPr="00A277C7">
        <w:rPr>
          <w:rFonts w:eastAsia="Times New Roman" w:cs="Times New Roman"/>
          <w:i/>
          <w:szCs w:val="20"/>
          <w:lang w:eastAsia="en-CA"/>
        </w:rPr>
        <w:tab/>
        <w:t>Respondent</w:t>
      </w:r>
    </w:p>
    <w:p w:rsidR="00A277C7" w:rsidRPr="00A277C7" w:rsidRDefault="00A277C7" w:rsidP="00A277C7">
      <w:pPr>
        <w:spacing w:after="720"/>
        <w:jc w:val="both"/>
        <w:rPr>
          <w:rFonts w:eastAsia="Times New Roman" w:cs="Times New Roman"/>
          <w:b/>
          <w:szCs w:val="20"/>
          <w:lang w:eastAsia="en-CA"/>
        </w:rPr>
      </w:pPr>
      <w:r w:rsidRPr="00A277C7">
        <w:rPr>
          <w:rFonts w:eastAsia="Times New Roman" w:cs="Times New Roman"/>
          <w:b/>
          <w:szCs w:val="20"/>
          <w:lang w:eastAsia="en-CA"/>
        </w:rPr>
        <w:t xml:space="preserve">Indexed as: R. </w:t>
      </w:r>
      <w:r w:rsidRPr="00A277C7">
        <w:rPr>
          <w:rFonts w:eastAsia="Times New Roman" w:cs="Times New Roman"/>
          <w:b/>
          <w:i/>
          <w:szCs w:val="20"/>
          <w:lang w:eastAsia="en-CA"/>
        </w:rPr>
        <w:t>v.</w:t>
      </w:r>
      <w:r w:rsidRPr="00A277C7">
        <w:rPr>
          <w:rFonts w:eastAsia="Times New Roman" w:cs="Times New Roman"/>
          <w:b/>
          <w:szCs w:val="20"/>
          <w:lang w:eastAsia="en-CA"/>
        </w:rPr>
        <w:t xml:space="preserve"> Landry</w:t>
      </w:r>
    </w:p>
    <w:p w:rsidR="00A277C7" w:rsidRPr="00A277C7" w:rsidRDefault="00A277C7" w:rsidP="00A277C7">
      <w:pPr>
        <w:spacing w:after="720"/>
        <w:jc w:val="both"/>
        <w:rPr>
          <w:rFonts w:eastAsia="Times New Roman" w:cs="Times New Roman"/>
          <w:b/>
          <w:szCs w:val="20"/>
          <w:lang w:eastAsia="en-CA"/>
        </w:rPr>
      </w:pPr>
      <w:r w:rsidRPr="00A277C7">
        <w:rPr>
          <w:rFonts w:eastAsia="Times New Roman" w:cs="Times New Roman"/>
          <w:b/>
          <w:szCs w:val="20"/>
          <w:lang w:eastAsia="en-CA"/>
        </w:rPr>
        <w:t>2024 SCC 2</w:t>
      </w:r>
    </w:p>
    <w:p w:rsidR="00A277C7" w:rsidRPr="00A277C7" w:rsidRDefault="00A277C7" w:rsidP="00A277C7">
      <w:pPr>
        <w:spacing w:after="720"/>
        <w:jc w:val="both"/>
        <w:rPr>
          <w:rFonts w:eastAsia="Times New Roman" w:cs="Times New Roman"/>
          <w:szCs w:val="20"/>
          <w:lang w:eastAsia="en-CA"/>
        </w:rPr>
      </w:pPr>
      <w:r w:rsidRPr="00A277C7">
        <w:rPr>
          <w:rFonts w:eastAsia="Times New Roman" w:cs="Times New Roman"/>
          <w:szCs w:val="20"/>
          <w:lang w:eastAsia="en-CA"/>
        </w:rPr>
        <w:t>File No.: 40394.</w:t>
      </w:r>
    </w:p>
    <w:p w:rsidR="00A277C7" w:rsidRPr="00A277C7" w:rsidRDefault="00A277C7" w:rsidP="00A277C7">
      <w:pPr>
        <w:spacing w:after="720"/>
        <w:jc w:val="both"/>
        <w:rPr>
          <w:rFonts w:eastAsia="Times New Roman" w:cs="Times New Roman"/>
          <w:szCs w:val="20"/>
          <w:lang w:eastAsia="en-CA"/>
        </w:rPr>
      </w:pPr>
      <w:r w:rsidRPr="00A277C7">
        <w:rPr>
          <w:rFonts w:eastAsia="Times New Roman" w:cs="Times New Roman"/>
          <w:szCs w:val="20"/>
          <w:lang w:eastAsia="en-CA"/>
        </w:rPr>
        <w:t>2024: January 17.</w:t>
      </w:r>
    </w:p>
    <w:p w:rsidR="00A277C7" w:rsidRPr="00A277C7" w:rsidRDefault="00A277C7" w:rsidP="00A277C7">
      <w:pPr>
        <w:spacing w:after="720"/>
        <w:jc w:val="both"/>
        <w:rPr>
          <w:rFonts w:eastAsia="Times New Roman" w:cs="Times New Roman"/>
          <w:szCs w:val="20"/>
          <w:lang w:eastAsia="en-CA"/>
        </w:rPr>
      </w:pPr>
      <w:r w:rsidRPr="00A277C7">
        <w:rPr>
          <w:rFonts w:eastAsia="Times New Roman" w:cs="Times New Roman"/>
          <w:szCs w:val="20"/>
          <w:lang w:eastAsia="en-CA"/>
        </w:rPr>
        <w:t>Present: Karakatsanis, Côté, Kasirer, O’Bonsawin and Moreau JJ.</w:t>
      </w:r>
    </w:p>
    <w:p w:rsidR="00A277C7" w:rsidRPr="00A277C7" w:rsidRDefault="00A277C7" w:rsidP="00A277C7">
      <w:pPr>
        <w:tabs>
          <w:tab w:val="left" w:pos="1168"/>
        </w:tabs>
        <w:spacing w:after="720"/>
        <w:jc w:val="both"/>
        <w:rPr>
          <w:rFonts w:eastAsia="Times New Roman" w:cs="Times New Roman"/>
          <w:smallCaps/>
          <w:szCs w:val="20"/>
          <w:lang w:eastAsia="en-CA"/>
        </w:rPr>
      </w:pPr>
      <w:r w:rsidRPr="00A277C7">
        <w:rPr>
          <w:rFonts w:eastAsia="Times New Roman" w:cs="Times New Roman"/>
          <w:smallCaps/>
          <w:szCs w:val="20"/>
          <w:lang w:eastAsia="en-CA"/>
        </w:rPr>
        <w:t>on appeal from the court of appeal for quebec</w:t>
      </w:r>
    </w:p>
    <w:p w:rsidR="00A277C7" w:rsidRPr="00A277C7" w:rsidRDefault="00A277C7" w:rsidP="00A277C7">
      <w:pPr>
        <w:tabs>
          <w:tab w:val="left" w:pos="1168"/>
        </w:tabs>
        <w:spacing w:after="480" w:line="480" w:lineRule="auto"/>
        <w:jc w:val="both"/>
        <w:rPr>
          <w:rFonts w:eastAsia="Times New Roman" w:cs="Times New Roman"/>
          <w:i/>
          <w:szCs w:val="20"/>
          <w:lang w:eastAsia="en-CA"/>
        </w:rPr>
      </w:pPr>
      <w:r w:rsidRPr="00A277C7">
        <w:rPr>
          <w:rFonts w:eastAsia="Times New Roman" w:cs="Times New Roman"/>
          <w:i/>
          <w:szCs w:val="20"/>
          <w:lang w:eastAsia="en-CA"/>
        </w:rPr>
        <w:tab/>
        <w:t>Criminal law — Fraud — Elements of offence — Deprivation — Causal connection — Police officer convicted of defrauding his employer of sum of money exceeding five thousand dollars — Trial judge finding that accused lied and wilfully failed to provide certain information during assessment by physician</w:t>
      </w:r>
      <w:r w:rsidRPr="00A277C7">
        <w:rPr>
          <w:rFonts w:eastAsia="Times New Roman" w:cs="Times New Roman"/>
          <w:i/>
          <w:szCs w:val="20"/>
          <w:lang w:eastAsia="en-CA"/>
        </w:rPr>
        <w:noBreakHyphen/>
        <w:t>arbitrator responsible for final decision on his diagnosis of disability, with underhanded design which had effect of or engendered risk of depriving employer of what belonged to it, and that, by reason of sufficient causal connection, accused had subjective knowledge that his dishonest acts would lead to deprivation of employer — Majority of Court of Appeal upholding conviction — Dissenting judge of opinion that trial judge erred in finding deprivation and that accused should be convicted of</w:t>
      </w:r>
      <w:r w:rsidR="005A77D7">
        <w:rPr>
          <w:rFonts w:eastAsia="Times New Roman" w:cs="Times New Roman"/>
          <w:i/>
          <w:szCs w:val="20"/>
          <w:lang w:eastAsia="en-CA"/>
        </w:rPr>
        <w:t xml:space="preserve"> </w:t>
      </w:r>
      <w:bookmarkStart w:id="1" w:name="_GoBack"/>
      <w:bookmarkEnd w:id="1"/>
      <w:r w:rsidRPr="00A277C7">
        <w:rPr>
          <w:rFonts w:eastAsia="Times New Roman" w:cs="Times New Roman"/>
          <w:i/>
          <w:szCs w:val="20"/>
          <w:lang w:eastAsia="en-CA"/>
        </w:rPr>
        <w:t xml:space="preserve">attempted fraud </w:t>
      </w:r>
      <w:r w:rsidRPr="00A277C7">
        <w:rPr>
          <w:rFonts w:eastAsia="Times New Roman" w:cs="Times New Roman"/>
          <w:szCs w:val="20"/>
          <w:lang w:eastAsia="en-CA"/>
        </w:rPr>
        <w:t>—</w:t>
      </w:r>
      <w:r w:rsidRPr="00A277C7">
        <w:rPr>
          <w:rFonts w:eastAsia="Times New Roman" w:cs="Times New Roman"/>
          <w:i/>
          <w:szCs w:val="20"/>
          <w:lang w:eastAsia="en-CA"/>
        </w:rPr>
        <w:t xml:space="preserve"> Conviction upheld.</w:t>
      </w:r>
    </w:p>
    <w:p w:rsidR="00A277C7" w:rsidRPr="00A277C7" w:rsidRDefault="00A277C7" w:rsidP="00A277C7">
      <w:pPr>
        <w:widowControl w:val="0"/>
        <w:tabs>
          <w:tab w:val="left" w:pos="1168"/>
        </w:tabs>
        <w:spacing w:after="480" w:line="480" w:lineRule="auto"/>
        <w:jc w:val="both"/>
        <w:rPr>
          <w:rFonts w:eastAsia="Times New Roman" w:cs="Times New Roman"/>
          <w:i/>
          <w:szCs w:val="20"/>
          <w:lang w:eastAsia="en-CA"/>
        </w:rPr>
      </w:pPr>
      <w:r w:rsidRPr="00A277C7">
        <w:rPr>
          <w:rFonts w:eastAsia="Times New Roman" w:cs="Times New Roman"/>
          <w:i/>
          <w:szCs w:val="20"/>
          <w:lang w:eastAsia="en-CA"/>
        </w:rPr>
        <w:tab/>
        <w:t xml:space="preserve">Criminal law — Appeals — Appeals to Supreme Court of Canada — Appeal as of right — Dissent on question of law — Trial judge convicting accused of fraud and majority of Court of Appeal upholding conviction — Dissenting Court of Appeal judge of opinion that attempted fraud conviction should be substituted for fraud conviction — Since dissenting judge’s opinion was disagreement that affected result, appeal is appeal as of right from judgment that was subject of </w:t>
      </w:r>
      <w:r w:rsidRPr="00A277C7">
        <w:rPr>
          <w:i/>
        </w:rPr>
        <w:t>dissent on question of law</w:t>
      </w:r>
      <w:r w:rsidRPr="00A277C7">
        <w:rPr>
          <w:rFonts w:eastAsia="Times New Roman" w:cs="Times New Roman"/>
          <w:i/>
          <w:szCs w:val="20"/>
          <w:lang w:eastAsia="en-CA"/>
        </w:rPr>
        <w:t>.</w:t>
      </w:r>
    </w:p>
    <w:p w:rsidR="00A277C7" w:rsidRPr="00A277C7" w:rsidRDefault="00A277C7" w:rsidP="00A277C7">
      <w:pPr>
        <w:widowControl w:val="0"/>
        <w:tabs>
          <w:tab w:val="left" w:pos="1168"/>
        </w:tabs>
        <w:spacing w:after="720"/>
        <w:jc w:val="both"/>
        <w:rPr>
          <w:rFonts w:eastAsia="Times New Roman" w:cs="Times New Roman"/>
          <w:b/>
          <w:szCs w:val="20"/>
          <w:lang w:eastAsia="en-CA"/>
        </w:rPr>
      </w:pPr>
      <w:r w:rsidRPr="00A277C7">
        <w:rPr>
          <w:rFonts w:eastAsia="Times New Roman" w:cs="Times New Roman"/>
          <w:b/>
          <w:szCs w:val="20"/>
          <w:lang w:eastAsia="en-CA"/>
        </w:rPr>
        <w:t>Cases Cited</w:t>
      </w:r>
    </w:p>
    <w:p w:rsidR="00A277C7" w:rsidRPr="00A277C7" w:rsidRDefault="00A277C7" w:rsidP="00A277C7">
      <w:pPr>
        <w:widowControl w:val="0"/>
        <w:tabs>
          <w:tab w:val="left" w:pos="1168"/>
        </w:tabs>
        <w:spacing w:after="480" w:line="480" w:lineRule="auto"/>
        <w:jc w:val="both"/>
        <w:rPr>
          <w:rFonts w:eastAsia="Times New Roman" w:cs="Times New Roman"/>
          <w:szCs w:val="20"/>
          <w:lang w:val="en-US" w:eastAsia="en-CA"/>
        </w:rPr>
      </w:pPr>
      <w:r w:rsidRPr="00A277C7">
        <w:rPr>
          <w:rFonts w:eastAsia="Times New Roman" w:cs="Times New Roman"/>
          <w:szCs w:val="20"/>
          <w:lang w:eastAsia="en-CA"/>
        </w:rPr>
        <w:tab/>
      </w:r>
      <w:r w:rsidRPr="00A277C7">
        <w:rPr>
          <w:rFonts w:eastAsia="Times New Roman" w:cs="Times New Roman"/>
          <w:b/>
          <w:szCs w:val="20"/>
          <w:lang w:eastAsia="en-CA"/>
        </w:rPr>
        <w:t>Referred to:</w:t>
      </w:r>
      <w:r w:rsidRPr="00A277C7">
        <w:rPr>
          <w:rFonts w:eastAsia="Times New Roman" w:cs="Times New Roman"/>
          <w:szCs w:val="20"/>
          <w:lang w:eastAsia="en-CA"/>
        </w:rPr>
        <w:t xml:space="preserve"> </w:t>
      </w:r>
      <w:r w:rsidRPr="00A277C7">
        <w:rPr>
          <w:rFonts w:eastAsia="Times New Roman" w:cs="Times New Roman"/>
          <w:i/>
          <w:szCs w:val="20"/>
          <w:lang w:val="en-US" w:eastAsia="en-CA"/>
        </w:rPr>
        <w:t>R. v. D’Amico</w:t>
      </w:r>
      <w:r w:rsidRPr="00A277C7">
        <w:rPr>
          <w:rFonts w:eastAsia="Times New Roman" w:cs="Times New Roman"/>
          <w:szCs w:val="20"/>
          <w:lang w:val="en-US" w:eastAsia="en-CA"/>
        </w:rPr>
        <w:t>, 2019 SCC 23, [2019] 2 S.C.R. 394.</w:t>
      </w:r>
    </w:p>
    <w:p w:rsidR="00A277C7" w:rsidRPr="00A277C7" w:rsidRDefault="00A277C7" w:rsidP="00A277C7">
      <w:pPr>
        <w:tabs>
          <w:tab w:val="left" w:pos="1168"/>
        </w:tabs>
        <w:spacing w:after="480" w:line="480" w:lineRule="auto"/>
        <w:jc w:val="both"/>
        <w:rPr>
          <w:rFonts w:eastAsia="Times New Roman" w:cs="Times New Roman"/>
          <w:szCs w:val="20"/>
          <w:lang w:eastAsia="en-CA"/>
        </w:rPr>
      </w:pPr>
      <w:r w:rsidRPr="00A277C7">
        <w:rPr>
          <w:rFonts w:eastAsia="Times New Roman" w:cs="Times New Roman"/>
          <w:szCs w:val="20"/>
          <w:lang w:eastAsia="en-CA"/>
        </w:rPr>
        <w:tab/>
        <w:t xml:space="preserve">APPEAL from a judgment of the Quebec Court of Appeal (Hogue, Cotnam and Cournoyer JJ.A.), </w:t>
      </w:r>
      <w:hyperlink r:id="rId9" w:history="1">
        <w:r w:rsidRPr="00A277C7">
          <w:rPr>
            <w:rFonts w:eastAsia="Times New Roman" w:cs="Times New Roman"/>
            <w:color w:val="660000"/>
            <w:szCs w:val="20"/>
            <w:lang w:eastAsia="en-CA"/>
          </w:rPr>
          <w:t>2022 QCCA 1186</w:t>
        </w:r>
      </w:hyperlink>
      <w:r w:rsidRPr="00A277C7">
        <w:rPr>
          <w:rFonts w:eastAsia="Times New Roman" w:cs="Times New Roman"/>
          <w:szCs w:val="20"/>
          <w:lang w:eastAsia="en-CA"/>
        </w:rPr>
        <w:t>, [2022] AZ</w:t>
      </w:r>
      <w:r w:rsidRPr="00A277C7">
        <w:rPr>
          <w:rFonts w:eastAsia="Times New Roman" w:cs="Times New Roman"/>
          <w:szCs w:val="20"/>
          <w:lang w:eastAsia="en-CA"/>
        </w:rPr>
        <w:noBreakHyphen/>
        <w:t>51877852, [2022] J.Q. n</w:t>
      </w:r>
      <w:r w:rsidRPr="00A277C7">
        <w:rPr>
          <w:rFonts w:eastAsia="Times New Roman" w:cs="Times New Roman"/>
          <w:szCs w:val="20"/>
          <w:vertAlign w:val="superscript"/>
          <w:lang w:eastAsia="en-CA"/>
        </w:rPr>
        <w:t>o</w:t>
      </w:r>
      <w:r w:rsidRPr="00A277C7">
        <w:rPr>
          <w:rFonts w:eastAsia="Times New Roman" w:cs="Times New Roman"/>
          <w:szCs w:val="20"/>
          <w:lang w:eastAsia="en-CA"/>
        </w:rPr>
        <w:t> 8674 (Lexis), 2022 CarswellQue 13194 (WL), affirming the conviction of the accused for fraud. Appeal dismissed, Côté J. dissenting.</w:t>
      </w:r>
    </w:p>
    <w:p w:rsidR="00A277C7" w:rsidRPr="00A277C7" w:rsidRDefault="00A277C7" w:rsidP="00A277C7">
      <w:pPr>
        <w:tabs>
          <w:tab w:val="left" w:pos="1168"/>
        </w:tabs>
        <w:spacing w:after="480" w:line="480" w:lineRule="auto"/>
        <w:jc w:val="both"/>
        <w:rPr>
          <w:rFonts w:eastAsia="Times New Roman" w:cs="Times New Roman"/>
          <w:szCs w:val="20"/>
          <w:lang w:eastAsia="en-CA"/>
        </w:rPr>
      </w:pPr>
      <w:r w:rsidRPr="00A277C7">
        <w:rPr>
          <w:rFonts w:eastAsia="Times New Roman" w:cs="Times New Roman"/>
          <w:i/>
          <w:szCs w:val="20"/>
          <w:lang w:eastAsia="en-CA"/>
        </w:rPr>
        <w:tab/>
        <w:t>Ariane Gagnon</w:t>
      </w:r>
      <w:r w:rsidRPr="00A277C7">
        <w:rPr>
          <w:rFonts w:eastAsia="Times New Roman" w:cs="Times New Roman"/>
          <w:i/>
          <w:szCs w:val="20"/>
          <w:lang w:eastAsia="en-CA"/>
        </w:rPr>
        <w:noBreakHyphen/>
        <w:t>Rocque</w:t>
      </w:r>
      <w:r w:rsidRPr="00A277C7">
        <w:rPr>
          <w:rFonts w:eastAsia="Times New Roman" w:cs="Times New Roman"/>
          <w:szCs w:val="20"/>
          <w:lang w:eastAsia="en-CA"/>
        </w:rPr>
        <w:t xml:space="preserve"> and </w:t>
      </w:r>
      <w:r w:rsidRPr="00A277C7">
        <w:rPr>
          <w:rFonts w:eastAsia="Times New Roman" w:cs="Times New Roman"/>
          <w:i/>
          <w:szCs w:val="20"/>
          <w:lang w:eastAsia="en-CA"/>
        </w:rPr>
        <w:t>Maude Cloutier</w:t>
      </w:r>
      <w:r w:rsidRPr="00A277C7">
        <w:rPr>
          <w:rFonts w:eastAsia="Times New Roman" w:cs="Times New Roman"/>
          <w:szCs w:val="20"/>
          <w:lang w:eastAsia="en-CA"/>
        </w:rPr>
        <w:t>, for the appellant.</w:t>
      </w:r>
    </w:p>
    <w:p w:rsidR="00A277C7" w:rsidRPr="00A277C7" w:rsidRDefault="00A277C7" w:rsidP="00A277C7">
      <w:pPr>
        <w:tabs>
          <w:tab w:val="left" w:pos="1168"/>
        </w:tabs>
        <w:spacing w:after="480" w:line="480" w:lineRule="auto"/>
        <w:jc w:val="both"/>
        <w:rPr>
          <w:rFonts w:eastAsia="Times New Roman" w:cs="Times New Roman"/>
          <w:szCs w:val="20"/>
          <w:lang w:eastAsia="en-CA"/>
        </w:rPr>
      </w:pPr>
      <w:r w:rsidRPr="00A277C7">
        <w:rPr>
          <w:rFonts w:eastAsia="Times New Roman" w:cs="Times New Roman"/>
          <w:i/>
          <w:szCs w:val="20"/>
          <w:lang w:eastAsia="en-CA"/>
        </w:rPr>
        <w:tab/>
        <w:t>Patrick Cardinal</w:t>
      </w:r>
      <w:r w:rsidRPr="00A277C7">
        <w:rPr>
          <w:rFonts w:eastAsia="Times New Roman" w:cs="Times New Roman"/>
          <w:szCs w:val="20"/>
          <w:lang w:eastAsia="en-CA"/>
        </w:rPr>
        <w:t xml:space="preserve"> and </w:t>
      </w:r>
      <w:r w:rsidRPr="00A277C7">
        <w:rPr>
          <w:rFonts w:eastAsia="Times New Roman" w:cs="Times New Roman"/>
          <w:i/>
          <w:szCs w:val="20"/>
          <w:lang w:eastAsia="en-CA"/>
        </w:rPr>
        <w:t>Nicolas Abran</w:t>
      </w:r>
      <w:r w:rsidRPr="00A277C7">
        <w:rPr>
          <w:rFonts w:eastAsia="Times New Roman" w:cs="Times New Roman"/>
          <w:szCs w:val="20"/>
          <w:lang w:eastAsia="en-CA"/>
        </w:rPr>
        <w:t>, for the respondent.</w:t>
      </w:r>
    </w:p>
    <w:p w:rsidR="00A277C7" w:rsidRPr="00A277C7" w:rsidRDefault="00A277C7" w:rsidP="00A277C7">
      <w:pPr>
        <w:tabs>
          <w:tab w:val="left" w:pos="1168"/>
        </w:tabs>
        <w:spacing w:after="480" w:line="480" w:lineRule="auto"/>
        <w:jc w:val="both"/>
        <w:rPr>
          <w:rFonts w:eastAsia="Times New Roman" w:cs="Times New Roman"/>
          <w:szCs w:val="20"/>
          <w:lang w:eastAsia="en-CA"/>
        </w:rPr>
      </w:pPr>
      <w:r w:rsidRPr="00A277C7">
        <w:rPr>
          <w:rFonts w:eastAsia="Times New Roman" w:cs="Times New Roman"/>
          <w:i/>
          <w:szCs w:val="20"/>
          <w:lang w:eastAsia="en-CA"/>
        </w:rPr>
        <w:tab/>
      </w:r>
      <w:r w:rsidRPr="00A277C7">
        <w:rPr>
          <w:rFonts w:eastAsia="Times New Roman" w:cs="Times New Roman"/>
          <w:szCs w:val="20"/>
          <w:lang w:eastAsia="en-CA"/>
        </w:rPr>
        <w:t>English version of the judgment of the Court delivered orally by</w:t>
      </w:r>
    </w:p>
    <w:p w:rsidR="00A277C7" w:rsidRPr="00A277C7" w:rsidRDefault="00A277C7" w:rsidP="00A277C7">
      <w:pPr>
        <w:tabs>
          <w:tab w:val="num" w:pos="1152"/>
        </w:tabs>
        <w:spacing w:before="480" w:after="480" w:line="480" w:lineRule="auto"/>
        <w:jc w:val="both"/>
        <w:rPr>
          <w:rFonts w:eastAsiaTheme="minorEastAsia"/>
          <w:szCs w:val="22"/>
        </w:rPr>
      </w:pPr>
      <w:r w:rsidRPr="00A277C7">
        <w:rPr>
          <w:rFonts w:eastAsiaTheme="minorEastAsia"/>
          <w:szCs w:val="22"/>
          <w:lang w:val="en-US"/>
        </w:rPr>
        <w:t>[1]</w:t>
      </w:r>
      <w:r w:rsidRPr="00A277C7">
        <w:rPr>
          <w:rFonts w:eastAsiaTheme="minorEastAsia"/>
          <w:szCs w:val="22"/>
          <w:lang w:val="en-US"/>
        </w:rPr>
        <w:tab/>
      </w:r>
      <w:r w:rsidRPr="00A277C7">
        <w:rPr>
          <w:rFonts w:eastAsiaTheme="minorEastAsia"/>
          <w:smallCaps/>
          <w:szCs w:val="22"/>
          <w:lang w:val="en-US"/>
        </w:rPr>
        <w:t>Karakatsanis J.</w:t>
      </w:r>
      <w:r w:rsidRPr="00A277C7">
        <w:rPr>
          <w:rFonts w:eastAsiaTheme="minorEastAsia"/>
          <w:szCs w:val="22"/>
          <w:lang w:val="en-US"/>
        </w:rPr>
        <w:t xml:space="preserve"> — </w:t>
      </w:r>
      <w:r w:rsidRPr="00A277C7">
        <w:rPr>
          <w:rFonts w:eastAsiaTheme="minorEastAsia"/>
          <w:szCs w:val="22"/>
        </w:rPr>
        <w:t xml:space="preserve">This is an appeal as of right from a judgment that was the subject of dissent on a question of law. In this case, the majority of the Quebec Court of Appeal upheld the fraud conviction and the dissenting judge would have substituted a verdict of attempted fraud for that verdict. There is therefore a “disagreement which affects the result” within the meaning of </w:t>
      </w:r>
      <w:r w:rsidRPr="00A277C7">
        <w:rPr>
          <w:rFonts w:eastAsiaTheme="minorEastAsia"/>
          <w:i/>
          <w:szCs w:val="22"/>
        </w:rPr>
        <w:t>R. v. D’Amico</w:t>
      </w:r>
      <w:r w:rsidRPr="00A277C7">
        <w:rPr>
          <w:rFonts w:eastAsiaTheme="minorEastAsia"/>
          <w:szCs w:val="22"/>
        </w:rPr>
        <w:t>, 2019 SCC 23, [2019] 2 S.C.R. 394, at para. 3.</w:t>
      </w:r>
    </w:p>
    <w:p w:rsidR="00A277C7" w:rsidRPr="00A277C7" w:rsidRDefault="00A277C7" w:rsidP="00A277C7">
      <w:pPr>
        <w:tabs>
          <w:tab w:val="num" w:pos="1152"/>
        </w:tabs>
        <w:spacing w:before="480" w:after="480" w:line="480" w:lineRule="auto"/>
        <w:jc w:val="both"/>
        <w:rPr>
          <w:rFonts w:eastAsiaTheme="minorEastAsia"/>
          <w:szCs w:val="22"/>
        </w:rPr>
      </w:pPr>
      <w:r w:rsidRPr="00A277C7">
        <w:rPr>
          <w:lang w:val="en-US"/>
        </w:rPr>
        <w:t>[2]</w:t>
      </w:r>
      <w:r w:rsidRPr="00A277C7">
        <w:rPr>
          <w:lang w:val="en-US"/>
        </w:rPr>
        <w:tab/>
      </w:r>
      <w:r w:rsidRPr="00A277C7">
        <w:rPr>
          <w:rFonts w:eastAsiaTheme="minorEastAsia"/>
          <w:szCs w:val="22"/>
        </w:rPr>
        <w:t>The majority of the Court is of the view that the appeal should be dismissed, substantially for the reasons of the majority of the Court of Appeal.</w:t>
      </w:r>
    </w:p>
    <w:p w:rsidR="00A277C7" w:rsidRPr="00A277C7" w:rsidRDefault="00A277C7" w:rsidP="00A277C7">
      <w:pPr>
        <w:tabs>
          <w:tab w:val="num" w:pos="1152"/>
        </w:tabs>
        <w:spacing w:before="480" w:after="480" w:line="480" w:lineRule="auto"/>
        <w:jc w:val="both"/>
        <w:rPr>
          <w:rFonts w:eastAsiaTheme="minorEastAsia"/>
          <w:szCs w:val="22"/>
        </w:rPr>
      </w:pPr>
      <w:r w:rsidRPr="00A277C7">
        <w:rPr>
          <w:rFonts w:eastAsiaTheme="minorEastAsia"/>
          <w:szCs w:val="22"/>
          <w:lang w:val="en-US"/>
        </w:rPr>
        <w:t>[3]</w:t>
      </w:r>
      <w:r w:rsidRPr="00A277C7">
        <w:rPr>
          <w:rFonts w:eastAsiaTheme="minorEastAsia"/>
          <w:szCs w:val="22"/>
          <w:lang w:val="en-US"/>
        </w:rPr>
        <w:tab/>
      </w:r>
      <w:r w:rsidRPr="00A277C7">
        <w:rPr>
          <w:rFonts w:eastAsiaTheme="minorEastAsia"/>
          <w:szCs w:val="22"/>
        </w:rPr>
        <w:t>Côté J., for her part, would have allowed the appeal in part to substitute an attempted fraud conviction for the fraud conviction, substantially for the reasons of Cotnam J.A., and would have remitted the matter to the trial court for sentencing.</w:t>
      </w:r>
    </w:p>
    <w:p w:rsidR="00A277C7" w:rsidRPr="00A277C7" w:rsidRDefault="00A277C7" w:rsidP="00A277C7">
      <w:pPr>
        <w:tabs>
          <w:tab w:val="num" w:pos="1152"/>
        </w:tabs>
        <w:spacing w:before="480" w:after="480" w:line="480" w:lineRule="auto"/>
        <w:jc w:val="both"/>
        <w:rPr>
          <w:rFonts w:eastAsiaTheme="minorEastAsia"/>
          <w:szCs w:val="22"/>
          <w:lang w:val="en-US"/>
        </w:rPr>
      </w:pPr>
      <w:r w:rsidRPr="00A277C7">
        <w:rPr>
          <w:rFonts w:eastAsiaTheme="minorEastAsia"/>
          <w:szCs w:val="22"/>
          <w:lang w:val="en-US"/>
        </w:rPr>
        <w:t>[4]</w:t>
      </w:r>
      <w:r w:rsidRPr="00A277C7">
        <w:rPr>
          <w:rFonts w:eastAsiaTheme="minorEastAsia"/>
          <w:szCs w:val="22"/>
          <w:lang w:val="en-US"/>
        </w:rPr>
        <w:tab/>
      </w:r>
      <w:r w:rsidRPr="00A277C7">
        <w:rPr>
          <w:rFonts w:eastAsiaTheme="minorEastAsia"/>
          <w:szCs w:val="22"/>
        </w:rPr>
        <w:t>Therefore, the appeal is dismissed.</w:t>
      </w:r>
    </w:p>
    <w:p w:rsidR="00A277C7" w:rsidRPr="00A277C7" w:rsidRDefault="00A277C7" w:rsidP="00A277C7">
      <w:pPr>
        <w:tabs>
          <w:tab w:val="left" w:pos="1168"/>
        </w:tabs>
        <w:spacing w:after="480" w:line="480" w:lineRule="auto"/>
        <w:jc w:val="both"/>
        <w:rPr>
          <w:rFonts w:eastAsia="Times New Roman" w:cs="Times New Roman"/>
          <w:i/>
          <w:szCs w:val="20"/>
          <w:lang w:val="en-US" w:eastAsia="en-CA"/>
        </w:rPr>
      </w:pPr>
      <w:r w:rsidRPr="00A277C7">
        <w:rPr>
          <w:rFonts w:eastAsia="Times New Roman" w:cs="Times New Roman"/>
          <w:i/>
          <w:szCs w:val="20"/>
          <w:lang w:val="en-US" w:eastAsia="en-CA"/>
        </w:rPr>
        <w:tab/>
        <w:t>Judgment accordingly.</w:t>
      </w:r>
    </w:p>
    <w:p w:rsidR="00A277C7" w:rsidRPr="00A277C7" w:rsidRDefault="00A277C7" w:rsidP="00A277C7">
      <w:pPr>
        <w:tabs>
          <w:tab w:val="left" w:pos="1168"/>
        </w:tabs>
        <w:spacing w:after="480" w:line="480" w:lineRule="auto"/>
        <w:jc w:val="both"/>
        <w:rPr>
          <w:rFonts w:eastAsia="Times New Roman" w:cs="Times New Roman"/>
          <w:i/>
          <w:szCs w:val="20"/>
          <w:lang w:val="en-US" w:eastAsia="en-CA"/>
        </w:rPr>
      </w:pPr>
      <w:r w:rsidRPr="00A277C7">
        <w:rPr>
          <w:rFonts w:eastAsia="Times New Roman" w:cs="Times New Roman"/>
          <w:i/>
          <w:szCs w:val="20"/>
          <w:lang w:val="en-US" w:eastAsia="en-CA"/>
        </w:rPr>
        <w:tab/>
        <w:t>Solicitors for the appellant: Roy &amp; Charbonneau, Québec.</w:t>
      </w:r>
    </w:p>
    <w:p w:rsidR="00A277C7" w:rsidRPr="00A277C7" w:rsidRDefault="00A277C7" w:rsidP="00A277C7">
      <w:pPr>
        <w:tabs>
          <w:tab w:val="left" w:pos="1168"/>
        </w:tabs>
        <w:spacing w:after="480" w:line="480" w:lineRule="auto"/>
        <w:jc w:val="both"/>
        <w:rPr>
          <w:lang w:val="en-US"/>
        </w:rPr>
      </w:pPr>
      <w:r w:rsidRPr="00A277C7">
        <w:rPr>
          <w:rFonts w:eastAsia="Times New Roman" w:cs="Times New Roman"/>
          <w:i/>
          <w:szCs w:val="20"/>
          <w:lang w:val="en-US" w:eastAsia="en-CA"/>
        </w:rPr>
        <w:tab/>
        <w:t>Solicitor for the respondent: Director of Criminal and Penal Prosecutions, Salaberry</w:t>
      </w:r>
      <w:r w:rsidRPr="00A277C7">
        <w:rPr>
          <w:rFonts w:eastAsia="Times New Roman" w:cs="Times New Roman"/>
          <w:i/>
          <w:szCs w:val="20"/>
          <w:lang w:val="en-US" w:eastAsia="en-CA"/>
        </w:rPr>
        <w:noBreakHyphen/>
        <w:t>de</w:t>
      </w:r>
      <w:r w:rsidRPr="00A277C7">
        <w:rPr>
          <w:rFonts w:eastAsia="Times New Roman" w:cs="Times New Roman"/>
          <w:i/>
          <w:szCs w:val="20"/>
          <w:lang w:val="en-US" w:eastAsia="en-CA"/>
        </w:rPr>
        <w:noBreakHyphen/>
        <w:t>Valleyfield, Que.</w:t>
      </w:r>
    </w:p>
    <w:sectPr w:rsidR="00A277C7" w:rsidRPr="00A277C7"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44" w:rsidRDefault="00EF0E44" w:rsidP="00F72014">
      <w:r>
        <w:separator/>
      </w:r>
    </w:p>
  </w:endnote>
  <w:endnote w:type="continuationSeparator" w:id="0">
    <w:p w:rsidR="00EF0E44" w:rsidRDefault="00EF0E44"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44" w:rsidRDefault="00EF0E44" w:rsidP="00F72014">
      <w:r>
        <w:separator/>
      </w:r>
    </w:p>
  </w:footnote>
  <w:footnote w:type="continuationSeparator" w:id="0">
    <w:p w:rsidR="00EF0E44" w:rsidRDefault="00EF0E44"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3087F"/>
    <w:rsid w:val="00076773"/>
    <w:rsid w:val="00087E50"/>
    <w:rsid w:val="001311DA"/>
    <w:rsid w:val="001412E4"/>
    <w:rsid w:val="001432DC"/>
    <w:rsid w:val="001648D4"/>
    <w:rsid w:val="00192779"/>
    <w:rsid w:val="001B0985"/>
    <w:rsid w:val="001B27ED"/>
    <w:rsid w:val="001B299D"/>
    <w:rsid w:val="001C0E7C"/>
    <w:rsid w:val="001D6B8C"/>
    <w:rsid w:val="001F1F83"/>
    <w:rsid w:val="001F3E0C"/>
    <w:rsid w:val="00205C5C"/>
    <w:rsid w:val="00205C5D"/>
    <w:rsid w:val="00252460"/>
    <w:rsid w:val="0027124E"/>
    <w:rsid w:val="00273D07"/>
    <w:rsid w:val="0028675F"/>
    <w:rsid w:val="002C1DA9"/>
    <w:rsid w:val="002C5A33"/>
    <w:rsid w:val="002D4FC9"/>
    <w:rsid w:val="00307011"/>
    <w:rsid w:val="00355967"/>
    <w:rsid w:val="00382BC9"/>
    <w:rsid w:val="00384384"/>
    <w:rsid w:val="003B2BE1"/>
    <w:rsid w:val="003B3C63"/>
    <w:rsid w:val="00451668"/>
    <w:rsid w:val="00460AFC"/>
    <w:rsid w:val="004E69EC"/>
    <w:rsid w:val="004F090E"/>
    <w:rsid w:val="00524C08"/>
    <w:rsid w:val="00540106"/>
    <w:rsid w:val="00564C88"/>
    <w:rsid w:val="00582136"/>
    <w:rsid w:val="005A77D7"/>
    <w:rsid w:val="005D2CFA"/>
    <w:rsid w:val="005D4801"/>
    <w:rsid w:val="0061259C"/>
    <w:rsid w:val="00620074"/>
    <w:rsid w:val="006B210C"/>
    <w:rsid w:val="00701ABD"/>
    <w:rsid w:val="00713039"/>
    <w:rsid w:val="007740CA"/>
    <w:rsid w:val="007A121F"/>
    <w:rsid w:val="00815561"/>
    <w:rsid w:val="00842677"/>
    <w:rsid w:val="00843369"/>
    <w:rsid w:val="00852D4E"/>
    <w:rsid w:val="00865EC9"/>
    <w:rsid w:val="008710E3"/>
    <w:rsid w:val="00880B14"/>
    <w:rsid w:val="00904937"/>
    <w:rsid w:val="0093524C"/>
    <w:rsid w:val="00935B3D"/>
    <w:rsid w:val="00962C82"/>
    <w:rsid w:val="00996510"/>
    <w:rsid w:val="0099776C"/>
    <w:rsid w:val="009B58B8"/>
    <w:rsid w:val="009D070E"/>
    <w:rsid w:val="009E1B85"/>
    <w:rsid w:val="009E7065"/>
    <w:rsid w:val="00A15427"/>
    <w:rsid w:val="00A277C7"/>
    <w:rsid w:val="00A51D10"/>
    <w:rsid w:val="00A57778"/>
    <w:rsid w:val="00AB2201"/>
    <w:rsid w:val="00BC2DFD"/>
    <w:rsid w:val="00BD4217"/>
    <w:rsid w:val="00BD7D76"/>
    <w:rsid w:val="00C003E6"/>
    <w:rsid w:val="00C757F3"/>
    <w:rsid w:val="00CE17A0"/>
    <w:rsid w:val="00D030DA"/>
    <w:rsid w:val="00D76BDF"/>
    <w:rsid w:val="00DA7B22"/>
    <w:rsid w:val="00DF15D7"/>
    <w:rsid w:val="00E05CE8"/>
    <w:rsid w:val="00E22DBA"/>
    <w:rsid w:val="00E356C7"/>
    <w:rsid w:val="00E50991"/>
    <w:rsid w:val="00E5364D"/>
    <w:rsid w:val="00E54E6E"/>
    <w:rsid w:val="00E64FA7"/>
    <w:rsid w:val="00E723B9"/>
    <w:rsid w:val="00E770CB"/>
    <w:rsid w:val="00EA6DB9"/>
    <w:rsid w:val="00EF0E44"/>
    <w:rsid w:val="00EF72F1"/>
    <w:rsid w:val="00F36AF0"/>
    <w:rsid w:val="00F72014"/>
    <w:rsid w:val="00F8523E"/>
    <w:rsid w:val="00F9518C"/>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unhideWhenUsed/>
    <w:rsid w:val="006D0B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soquij.ca/q8S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22380-6DEC-4E6F-A9A0-2944C46E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2024-01-19T16:13:00Z</dcterms:created>
  <dcterms:modified xsi:type="dcterms:W3CDTF">2024-02-28T19:04:00Z</dcterms:modified>
</cp:coreProperties>
</file>