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5F5184" w:rsidRPr="005F5184" w14:paraId="16BF5839" w14:textId="77777777" w:rsidTr="0046319F">
        <w:trPr>
          <w:trHeight w:val="2103"/>
        </w:trPr>
        <w:tc>
          <w:tcPr>
            <w:tcW w:w="5000" w:type="pct"/>
            <w:gridSpan w:val="4"/>
          </w:tcPr>
          <w:p w14:paraId="664F72FE" w14:textId="77777777" w:rsidR="005F5184" w:rsidRPr="005F5184" w:rsidRDefault="005F5184" w:rsidP="005F5184">
            <w:pPr>
              <w:jc w:val="center"/>
              <w:rPr>
                <w:b/>
              </w:rPr>
            </w:pPr>
            <w:r w:rsidRPr="005F5184">
              <w:rPr>
                <w:b/>
                <w:noProof/>
              </w:rPr>
              <w:drawing>
                <wp:inline distT="0" distB="0" distL="0" distR="0" wp14:anchorId="52256BA4" wp14:editId="009F50EB">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0FB60DA" w14:textId="77777777" w:rsidR="005F5184" w:rsidRPr="005F5184" w:rsidRDefault="005F5184" w:rsidP="005F5184">
            <w:pPr>
              <w:spacing w:before="120" w:after="100" w:afterAutospacing="1"/>
              <w:jc w:val="center"/>
            </w:pPr>
            <w:r w:rsidRPr="005F5184">
              <w:rPr>
                <w:b/>
              </w:rPr>
              <w:t>SUPREME COURT OF CANADA</w:t>
            </w:r>
          </w:p>
        </w:tc>
      </w:tr>
      <w:tr w:rsidR="005F5184" w:rsidRPr="005F5184" w14:paraId="2ABC67A8" w14:textId="77777777" w:rsidTr="0046319F">
        <w:tblPrEx>
          <w:tblCellMar>
            <w:top w:w="58" w:type="dxa"/>
            <w:left w:w="58" w:type="dxa"/>
            <w:bottom w:w="58" w:type="dxa"/>
            <w:right w:w="58" w:type="dxa"/>
          </w:tblCellMar>
        </w:tblPrEx>
        <w:trPr>
          <w:cantSplit/>
        </w:trPr>
        <w:tc>
          <w:tcPr>
            <w:tcW w:w="2078" w:type="pct"/>
            <w:gridSpan w:val="2"/>
          </w:tcPr>
          <w:p w14:paraId="45A8520E" w14:textId="77777777" w:rsidR="005F5184" w:rsidRPr="005F5184" w:rsidRDefault="005F5184" w:rsidP="005F5184">
            <w:pPr>
              <w:rPr>
                <w:b/>
                <w:smallCaps/>
              </w:rPr>
            </w:pPr>
          </w:p>
          <w:p w14:paraId="6560CAA3" w14:textId="77777777" w:rsidR="005F5184" w:rsidRPr="005F5184" w:rsidRDefault="005F5184" w:rsidP="005F5184">
            <w:pPr>
              <w:rPr>
                <w:b/>
                <w:smallCaps/>
              </w:rPr>
            </w:pPr>
            <w:r w:rsidRPr="005F5184">
              <w:rPr>
                <w:b/>
                <w:smallCaps/>
              </w:rPr>
              <w:t>Citation:</w:t>
            </w:r>
            <w:r w:rsidRPr="005F5184">
              <w:t xml:space="preserve"> York Region District School Board</w:t>
            </w:r>
            <w:r w:rsidRPr="005F5184" w:rsidDel="00A84B8B">
              <w:t xml:space="preserve"> </w:t>
            </w:r>
            <w:r w:rsidRPr="005F5184">
              <w:rPr>
                <w:i/>
              </w:rPr>
              <w:t>v.</w:t>
            </w:r>
            <w:r w:rsidRPr="005F5184">
              <w:t xml:space="preserve"> Elementary Teachers’ Federation of Ontario, 2024 SCC 22</w:t>
            </w:r>
          </w:p>
        </w:tc>
        <w:tc>
          <w:tcPr>
            <w:tcW w:w="781" w:type="pct"/>
          </w:tcPr>
          <w:p w14:paraId="4D4AAA1A" w14:textId="77777777" w:rsidR="005F5184" w:rsidRPr="005F5184" w:rsidRDefault="005F5184" w:rsidP="005F5184"/>
        </w:tc>
        <w:tc>
          <w:tcPr>
            <w:tcW w:w="2141" w:type="pct"/>
          </w:tcPr>
          <w:p w14:paraId="446C8DF3" w14:textId="77777777" w:rsidR="005F5184" w:rsidRPr="005F5184" w:rsidRDefault="005F5184" w:rsidP="005F5184">
            <w:pPr>
              <w:rPr>
                <w:b/>
                <w:smallCaps/>
              </w:rPr>
            </w:pPr>
          </w:p>
          <w:p w14:paraId="138E6957" w14:textId="77777777" w:rsidR="005F5184" w:rsidRPr="005F5184" w:rsidRDefault="005F5184" w:rsidP="005F5184">
            <w:pPr>
              <w:jc w:val="both"/>
            </w:pPr>
            <w:r w:rsidRPr="005F5184">
              <w:rPr>
                <w:b/>
                <w:smallCaps/>
              </w:rPr>
              <w:t>Appeal Heard:</w:t>
            </w:r>
            <w:r w:rsidRPr="005F5184">
              <w:t xml:space="preserve"> October 18, 2023</w:t>
            </w:r>
          </w:p>
          <w:p w14:paraId="596BDBB6" w14:textId="77777777" w:rsidR="005F5184" w:rsidRPr="005F5184" w:rsidRDefault="005F5184" w:rsidP="005F5184">
            <w:r w:rsidRPr="005F5184">
              <w:rPr>
                <w:b/>
                <w:smallCaps/>
              </w:rPr>
              <w:t>Judgment Rendered:</w:t>
            </w:r>
            <w:r w:rsidRPr="005F5184">
              <w:t xml:space="preserve"> June 21, 2024</w:t>
            </w:r>
          </w:p>
          <w:p w14:paraId="19D8BC4C" w14:textId="77777777" w:rsidR="005F5184" w:rsidRPr="005F5184" w:rsidRDefault="005F5184" w:rsidP="005F5184">
            <w:r w:rsidRPr="005F5184">
              <w:rPr>
                <w:b/>
                <w:smallCaps/>
              </w:rPr>
              <w:t>Docket:</w:t>
            </w:r>
            <w:r w:rsidRPr="005F5184">
              <w:t xml:space="preserve"> 40360</w:t>
            </w:r>
          </w:p>
        </w:tc>
      </w:tr>
      <w:tr w:rsidR="005F5184" w:rsidRPr="005F5184" w14:paraId="73372C1D" w14:textId="77777777" w:rsidTr="0046319F">
        <w:tblPrEx>
          <w:tblCellMar>
            <w:top w:w="58" w:type="dxa"/>
            <w:left w:w="58" w:type="dxa"/>
            <w:bottom w:w="58" w:type="dxa"/>
            <w:right w:w="58" w:type="dxa"/>
          </w:tblCellMar>
        </w:tblPrEx>
        <w:trPr>
          <w:cantSplit/>
        </w:trPr>
        <w:tc>
          <w:tcPr>
            <w:tcW w:w="5000" w:type="pct"/>
            <w:gridSpan w:val="4"/>
          </w:tcPr>
          <w:p w14:paraId="18E16CC7" w14:textId="77777777" w:rsidR="005F5184" w:rsidRPr="005F5184" w:rsidRDefault="005F5184" w:rsidP="005F5184"/>
          <w:p w14:paraId="1B16D27B" w14:textId="77777777" w:rsidR="005F5184" w:rsidRPr="005F5184" w:rsidRDefault="005F5184" w:rsidP="005F5184">
            <w:pPr>
              <w:rPr>
                <w:b/>
                <w:smallCaps/>
              </w:rPr>
            </w:pPr>
            <w:r w:rsidRPr="005F5184">
              <w:rPr>
                <w:b/>
                <w:smallCaps/>
              </w:rPr>
              <w:t>Between:</w:t>
            </w:r>
          </w:p>
          <w:p w14:paraId="55957766" w14:textId="77777777" w:rsidR="005F5184" w:rsidRPr="005F5184" w:rsidRDefault="005F5184" w:rsidP="005F5184"/>
          <w:p w14:paraId="62125F2A" w14:textId="77777777" w:rsidR="005F5184" w:rsidRPr="005F5184" w:rsidRDefault="005F5184" w:rsidP="005F5184">
            <w:pPr>
              <w:jc w:val="center"/>
              <w:rPr>
                <w:b/>
              </w:rPr>
            </w:pPr>
            <w:r w:rsidRPr="005F5184">
              <w:rPr>
                <w:b/>
              </w:rPr>
              <w:t>York Region District School Board</w:t>
            </w:r>
          </w:p>
          <w:p w14:paraId="75D9C9A9" w14:textId="77777777" w:rsidR="005F5184" w:rsidRPr="005F5184" w:rsidRDefault="005F5184" w:rsidP="005F5184">
            <w:pPr>
              <w:jc w:val="center"/>
            </w:pPr>
            <w:r w:rsidRPr="005F5184">
              <w:t>Appellant</w:t>
            </w:r>
          </w:p>
          <w:p w14:paraId="3F1A5ED1" w14:textId="77777777" w:rsidR="005F5184" w:rsidRPr="005F5184" w:rsidRDefault="005F5184" w:rsidP="005F5184"/>
          <w:p w14:paraId="71B44CAB" w14:textId="77777777" w:rsidR="005F5184" w:rsidRPr="005F5184" w:rsidRDefault="005F5184" w:rsidP="005F5184">
            <w:pPr>
              <w:jc w:val="center"/>
            </w:pPr>
            <w:r w:rsidRPr="005F5184">
              <w:t>and</w:t>
            </w:r>
          </w:p>
          <w:p w14:paraId="2CEE26AC" w14:textId="77777777" w:rsidR="005F5184" w:rsidRPr="005F5184" w:rsidRDefault="005F5184" w:rsidP="005F5184"/>
          <w:p w14:paraId="474E5359" w14:textId="77777777" w:rsidR="005F5184" w:rsidRPr="005F5184" w:rsidRDefault="005F5184" w:rsidP="005F5184">
            <w:pPr>
              <w:jc w:val="center"/>
              <w:rPr>
                <w:b/>
              </w:rPr>
            </w:pPr>
            <w:r w:rsidRPr="005F5184">
              <w:rPr>
                <w:b/>
              </w:rPr>
              <w:t>Elementary Teachers’ Federation of Ontario</w:t>
            </w:r>
          </w:p>
          <w:p w14:paraId="22E06662" w14:textId="77777777" w:rsidR="005F5184" w:rsidRPr="005F5184" w:rsidRDefault="005F5184" w:rsidP="005F5184">
            <w:pPr>
              <w:jc w:val="center"/>
            </w:pPr>
            <w:r w:rsidRPr="005F5184">
              <w:t>Respondent</w:t>
            </w:r>
          </w:p>
          <w:p w14:paraId="15C48A68" w14:textId="77777777" w:rsidR="005F5184" w:rsidRPr="005F5184" w:rsidRDefault="005F5184" w:rsidP="005F5184"/>
          <w:p w14:paraId="2FFE723A" w14:textId="77777777" w:rsidR="005F5184" w:rsidRPr="005F5184" w:rsidRDefault="005F5184" w:rsidP="005F5184">
            <w:pPr>
              <w:jc w:val="center"/>
            </w:pPr>
            <w:r w:rsidRPr="005F5184">
              <w:t>- and -</w:t>
            </w:r>
          </w:p>
          <w:p w14:paraId="4F70E89F" w14:textId="77777777" w:rsidR="005F5184" w:rsidRPr="005F5184" w:rsidRDefault="005F5184" w:rsidP="005F5184"/>
          <w:p w14:paraId="3998F587" w14:textId="77777777" w:rsidR="005F5184" w:rsidRPr="005F5184" w:rsidRDefault="005F5184" w:rsidP="005F5184">
            <w:pPr>
              <w:jc w:val="center"/>
              <w:rPr>
                <w:b/>
              </w:rPr>
            </w:pPr>
            <w:r w:rsidRPr="005F5184">
              <w:rPr>
                <w:b/>
              </w:rPr>
              <w:t>Attorney General of Canada, Attorney General of Ontario, Attorney General of Quebec, British Columbia Civil Liberties Association, British Columbia Teachers’ Federation, Centre for Free Expression, Ontario College of Teachers, Power Workers’ Union, Society of United Professionals, National Police Federation, Ontario Principals’ Council, Canadian Association of Counsel to Employers, Egale Canada, David Asper Centre for Constitutional Rights, Canadian Civil Liberties Association, Centrale des syndicats du Québec and Queen’s Prison Law Clinic</w:t>
            </w:r>
          </w:p>
          <w:p w14:paraId="3C1006BF" w14:textId="77777777" w:rsidR="005F5184" w:rsidRPr="005F5184" w:rsidRDefault="005F5184" w:rsidP="005F5184">
            <w:pPr>
              <w:jc w:val="center"/>
            </w:pPr>
            <w:r w:rsidRPr="005F5184">
              <w:t>Interveners</w:t>
            </w:r>
          </w:p>
          <w:p w14:paraId="4DDFAAE6" w14:textId="77777777" w:rsidR="005F5184" w:rsidRPr="005F5184" w:rsidRDefault="005F5184" w:rsidP="005F5184"/>
          <w:p w14:paraId="18AC0768" w14:textId="77777777" w:rsidR="005F5184" w:rsidRPr="005F5184" w:rsidRDefault="005F5184" w:rsidP="005F5184">
            <w:pPr>
              <w:jc w:val="center"/>
              <w:rPr>
                <w:b/>
                <w:smallCaps/>
              </w:rPr>
            </w:pPr>
          </w:p>
          <w:p w14:paraId="1AA4F00F" w14:textId="77777777" w:rsidR="005F5184" w:rsidRPr="005F5184" w:rsidRDefault="005F5184" w:rsidP="005F5184"/>
          <w:p w14:paraId="449A29AB" w14:textId="77777777" w:rsidR="005F5184" w:rsidRPr="005F5184" w:rsidRDefault="005F5184" w:rsidP="005F5184">
            <w:r w:rsidRPr="005F5184">
              <w:rPr>
                <w:b/>
                <w:smallCaps/>
              </w:rPr>
              <w:t>Coram:</w:t>
            </w:r>
            <w:r w:rsidRPr="005F5184">
              <w:t xml:space="preserve"> Wagner C.J. and Karakatsanis, Côté, Rowe, Martin, Kasirer and Jamal JJ.</w:t>
            </w:r>
          </w:p>
          <w:p w14:paraId="693D6421" w14:textId="77777777" w:rsidR="005F5184" w:rsidRPr="005F5184" w:rsidRDefault="005F5184" w:rsidP="005F5184">
            <w:pPr>
              <w:rPr>
                <w:b/>
                <w:smallCaps/>
              </w:rPr>
            </w:pPr>
          </w:p>
        </w:tc>
      </w:tr>
      <w:tr w:rsidR="005F5184" w:rsidRPr="005F5184" w14:paraId="3E3A6313" w14:textId="77777777" w:rsidTr="0046319F">
        <w:tblPrEx>
          <w:tblCellMar>
            <w:top w:w="58" w:type="dxa"/>
            <w:left w:w="58" w:type="dxa"/>
            <w:bottom w:w="58" w:type="dxa"/>
            <w:right w:w="58" w:type="dxa"/>
          </w:tblCellMar>
        </w:tblPrEx>
        <w:trPr>
          <w:cantSplit/>
        </w:trPr>
        <w:tc>
          <w:tcPr>
            <w:tcW w:w="1231" w:type="pct"/>
          </w:tcPr>
          <w:p w14:paraId="26A4447B" w14:textId="77777777" w:rsidR="005F5184" w:rsidRPr="005F5184" w:rsidRDefault="005F5184" w:rsidP="005F5184">
            <w:pPr>
              <w:rPr>
                <w:smallCaps/>
              </w:rPr>
            </w:pPr>
            <w:r w:rsidRPr="003163C7">
              <w:rPr>
                <w:b/>
                <w:smallCaps/>
              </w:rPr>
              <w:t>Reasons for Judgment:</w:t>
            </w:r>
            <w:r w:rsidRPr="005F5184">
              <w:rPr>
                <w:smallCaps/>
              </w:rPr>
              <w:t xml:space="preserve"> </w:t>
            </w:r>
          </w:p>
          <w:p w14:paraId="06E3E48D" w14:textId="77777777" w:rsidR="005F5184" w:rsidRPr="005F5184" w:rsidRDefault="005F5184" w:rsidP="005F5184">
            <w:pPr>
              <w:rPr>
                <w:smallCaps/>
              </w:rPr>
            </w:pPr>
            <w:r w:rsidRPr="005F5184">
              <w:t>(paras. 1 to 107)</w:t>
            </w:r>
          </w:p>
        </w:tc>
        <w:tc>
          <w:tcPr>
            <w:tcW w:w="3769" w:type="pct"/>
            <w:gridSpan w:val="3"/>
          </w:tcPr>
          <w:p w14:paraId="6FC39BBC" w14:textId="77777777" w:rsidR="005F5184" w:rsidRPr="005F5184" w:rsidRDefault="005F5184" w:rsidP="005F5184">
            <w:r w:rsidRPr="005F5184">
              <w:t>Rowe J. (Wagner C.J. and Côté, Kasirer and Jamal JJ. concurring)</w:t>
            </w:r>
          </w:p>
        </w:tc>
      </w:tr>
      <w:tr w:rsidR="005F5184" w:rsidRPr="005F5184" w14:paraId="383DB01C" w14:textId="77777777" w:rsidTr="0046319F">
        <w:tblPrEx>
          <w:tblCellMar>
            <w:top w:w="58" w:type="dxa"/>
            <w:left w:w="58" w:type="dxa"/>
            <w:bottom w:w="58" w:type="dxa"/>
            <w:right w:w="58" w:type="dxa"/>
          </w:tblCellMar>
        </w:tblPrEx>
        <w:trPr>
          <w:cantSplit/>
        </w:trPr>
        <w:tc>
          <w:tcPr>
            <w:tcW w:w="1231" w:type="pct"/>
          </w:tcPr>
          <w:p w14:paraId="60F79968" w14:textId="77777777" w:rsidR="005F5184" w:rsidRPr="005F5184" w:rsidRDefault="005F5184" w:rsidP="005F5184">
            <w:r w:rsidRPr="003163C7">
              <w:rPr>
                <w:b/>
                <w:smallCaps/>
              </w:rPr>
              <w:t>Joint Concurring Reasons</w:t>
            </w:r>
            <w:r w:rsidRPr="003163C7">
              <w:rPr>
                <w:b/>
              </w:rPr>
              <w:t>:</w:t>
            </w:r>
          </w:p>
          <w:p w14:paraId="15C50BE4" w14:textId="77777777" w:rsidR="005F5184" w:rsidRPr="005F5184" w:rsidRDefault="005F5184" w:rsidP="005F5184">
            <w:r w:rsidRPr="005F5184">
              <w:t>(paras. 108 to 143)</w:t>
            </w:r>
          </w:p>
        </w:tc>
        <w:tc>
          <w:tcPr>
            <w:tcW w:w="3769" w:type="pct"/>
            <w:gridSpan w:val="3"/>
          </w:tcPr>
          <w:p w14:paraId="4365ECE4" w14:textId="77777777" w:rsidR="005F5184" w:rsidRPr="005F5184" w:rsidRDefault="005F5184" w:rsidP="005F5184">
            <w:r w:rsidRPr="005F5184">
              <w:t>Karakatsanis and Martin JJ.</w:t>
            </w:r>
          </w:p>
        </w:tc>
      </w:tr>
    </w:tbl>
    <w:p w14:paraId="3199EE60" w14:textId="77777777" w:rsidR="005F5184" w:rsidRPr="005F5184" w:rsidRDefault="005F5184" w:rsidP="005F5184">
      <w:pPr>
        <w:rPr>
          <w:rFonts w:eastAsiaTheme="minorHAnsi" w:cstheme="minorBidi"/>
          <w:szCs w:val="24"/>
          <w:lang w:val="fr-CA" w:eastAsia="en-US"/>
        </w:rPr>
      </w:pPr>
    </w:p>
    <w:p w14:paraId="795AA84C" w14:textId="77777777" w:rsidR="005F5184" w:rsidRPr="005F5184" w:rsidRDefault="005F5184" w:rsidP="005F5184">
      <w:pPr>
        <w:rPr>
          <w:rFonts w:eastAsiaTheme="minorHAnsi" w:cstheme="minorBidi"/>
          <w:szCs w:val="24"/>
          <w:lang w:val="fr-CA" w:eastAsia="en-US"/>
        </w:rPr>
      </w:pPr>
    </w:p>
    <w:p w14:paraId="25F75A21" w14:textId="77777777" w:rsidR="005F5184" w:rsidRPr="005F5184" w:rsidRDefault="005F5184" w:rsidP="005F5184">
      <w:pPr>
        <w:rPr>
          <w:rFonts w:eastAsiaTheme="minorHAnsi" w:cstheme="minorBidi"/>
          <w:szCs w:val="24"/>
          <w:lang w:val="fr-CA" w:eastAsia="en-US"/>
        </w:rPr>
      </w:pPr>
    </w:p>
    <w:p w14:paraId="1D497AD5" w14:textId="77777777" w:rsidR="005F5184" w:rsidRPr="005F5184" w:rsidRDefault="005F5184" w:rsidP="005F5184">
      <w:pPr>
        <w:rPr>
          <w:rFonts w:eastAsiaTheme="minorHAnsi" w:cstheme="minorBidi"/>
          <w:szCs w:val="24"/>
          <w:lang w:eastAsia="en-US"/>
        </w:rPr>
      </w:pPr>
      <w:r w:rsidRPr="005F5184">
        <w:rPr>
          <w:rFonts w:eastAsiaTheme="minorHAnsi" w:cstheme="minorBidi"/>
          <w:b/>
          <w:smallCaps/>
          <w:szCs w:val="24"/>
          <w:lang w:eastAsia="en-US"/>
        </w:rPr>
        <w:t>Note:</w:t>
      </w:r>
      <w:r w:rsidRPr="005F5184">
        <w:rPr>
          <w:rFonts w:eastAsiaTheme="minorHAnsi" w:cstheme="minorBidi"/>
          <w:b/>
          <w:szCs w:val="24"/>
          <w:lang w:eastAsia="en-US"/>
        </w:rPr>
        <w:t xml:space="preserve"> </w:t>
      </w:r>
      <w:r w:rsidRPr="005F5184">
        <w:rPr>
          <w:rFonts w:eastAsiaTheme="minorHAnsi" w:cstheme="minorBidi"/>
          <w:szCs w:val="24"/>
          <w:lang w:eastAsia="en-US"/>
        </w:rPr>
        <w:t xml:space="preserve">This document is subject to editorial revision before its reproduction in final form in the </w:t>
      </w:r>
      <w:r w:rsidRPr="005F5184">
        <w:rPr>
          <w:rFonts w:eastAsiaTheme="minorHAnsi" w:cstheme="minorBidi"/>
          <w:i/>
          <w:szCs w:val="24"/>
          <w:lang w:eastAsia="en-US"/>
        </w:rPr>
        <w:t>Canada Supreme Court Reports</w:t>
      </w:r>
      <w:r w:rsidRPr="005F5184">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5F5184" w:rsidRPr="005F5184" w14:paraId="1652AE05" w14:textId="77777777" w:rsidTr="0046319F">
        <w:tc>
          <w:tcPr>
            <w:tcW w:w="1500" w:type="pct"/>
            <w:tcMar>
              <w:top w:w="284" w:type="dxa"/>
            </w:tcMar>
          </w:tcPr>
          <w:p w14:paraId="26FA04DD" w14:textId="77777777" w:rsidR="005F5184" w:rsidRPr="005F5184" w:rsidRDefault="005F5184" w:rsidP="005F5184"/>
        </w:tc>
        <w:tc>
          <w:tcPr>
            <w:tcW w:w="2000" w:type="pct"/>
            <w:tcBorders>
              <w:bottom w:val="single" w:sz="4" w:space="0" w:color="auto"/>
            </w:tcBorders>
            <w:tcMar>
              <w:top w:w="284" w:type="dxa"/>
            </w:tcMar>
          </w:tcPr>
          <w:p w14:paraId="609950B3" w14:textId="77777777" w:rsidR="005F5184" w:rsidRPr="005F5184" w:rsidRDefault="005F5184" w:rsidP="005F5184"/>
        </w:tc>
        <w:tc>
          <w:tcPr>
            <w:tcW w:w="1500" w:type="pct"/>
            <w:tcMar>
              <w:top w:w="284" w:type="dxa"/>
            </w:tcMar>
          </w:tcPr>
          <w:p w14:paraId="74B9C8A1" w14:textId="77777777" w:rsidR="005F5184" w:rsidRPr="005F5184" w:rsidRDefault="005F5184" w:rsidP="005F5184"/>
        </w:tc>
      </w:tr>
    </w:tbl>
    <w:p w14:paraId="7CEAAE16" w14:textId="77777777" w:rsidR="005F5184" w:rsidRPr="005F5184" w:rsidRDefault="005F5184" w:rsidP="005F5184">
      <w:pPr>
        <w:rPr>
          <w:rFonts w:eastAsiaTheme="minorHAnsi" w:cstheme="minorBidi"/>
          <w:szCs w:val="24"/>
          <w:lang w:eastAsia="en-US"/>
        </w:rPr>
      </w:pPr>
    </w:p>
    <w:p w14:paraId="0D4A6523" w14:textId="77777777" w:rsidR="005F5184" w:rsidRPr="003163C7" w:rsidRDefault="005F5184">
      <w:pPr>
        <w:rPr>
          <w:b/>
        </w:rPr>
      </w:pPr>
      <w:r w:rsidRPr="003163C7">
        <w:br w:type="page"/>
      </w:r>
    </w:p>
    <w:p w14:paraId="2CC560DA" w14:textId="2B62EDD2" w:rsidR="005A7078" w:rsidRPr="003163C7" w:rsidRDefault="003138F3">
      <w:pPr>
        <w:pStyle w:val="SCCLsocLastPartyInRole"/>
      </w:pPr>
      <w:r w:rsidRPr="003163C7">
        <w:t>York Region District School Board</w:t>
      </w:r>
      <w:r w:rsidRPr="003163C7">
        <w:rPr>
          <w:rStyle w:val="SCCLsocPartyRole"/>
        </w:rPr>
        <w:tab/>
        <w:t>Appellant</w:t>
      </w:r>
    </w:p>
    <w:p w14:paraId="2B215DEB" w14:textId="77777777" w:rsidR="005A7078" w:rsidRPr="003163C7" w:rsidRDefault="003138F3">
      <w:pPr>
        <w:pStyle w:val="SCCLsocVersus"/>
      </w:pPr>
      <w:proofErr w:type="gramStart"/>
      <w:r w:rsidRPr="003163C7">
        <w:t>v</w:t>
      </w:r>
      <w:proofErr w:type="gramEnd"/>
      <w:r w:rsidRPr="003163C7">
        <w:t>.</w:t>
      </w:r>
    </w:p>
    <w:p w14:paraId="3A1CC83A" w14:textId="77777777" w:rsidR="005A7078" w:rsidRPr="003163C7" w:rsidRDefault="003138F3">
      <w:pPr>
        <w:pStyle w:val="SCCLsocLastPartyInRole"/>
      </w:pPr>
      <w:r w:rsidRPr="003163C7">
        <w:t>Elementary Teachers</w:t>
      </w:r>
      <w:r w:rsidR="008C7709" w:rsidRPr="003163C7">
        <w:t>’</w:t>
      </w:r>
      <w:r w:rsidRPr="003163C7">
        <w:t xml:space="preserve"> Federation of Ontario</w:t>
      </w:r>
      <w:r w:rsidRPr="003163C7">
        <w:rPr>
          <w:rStyle w:val="SCCLsocPartyRole"/>
        </w:rPr>
        <w:tab/>
        <w:t>Respondent</w:t>
      </w:r>
    </w:p>
    <w:p w14:paraId="7D3A3A53" w14:textId="77777777" w:rsidR="005A7078" w:rsidRPr="003163C7" w:rsidRDefault="003138F3">
      <w:pPr>
        <w:pStyle w:val="SCCLsocOtherPartySeparator"/>
      </w:pPr>
      <w:proofErr w:type="gramStart"/>
      <w:r w:rsidRPr="003163C7">
        <w:t>and</w:t>
      </w:r>
      <w:proofErr w:type="gramEnd"/>
    </w:p>
    <w:p w14:paraId="3DDC7983" w14:textId="77777777" w:rsidR="005A7078" w:rsidRPr="003163C7" w:rsidRDefault="003138F3">
      <w:pPr>
        <w:pStyle w:val="SCCLsocParty"/>
      </w:pPr>
      <w:r w:rsidRPr="003163C7">
        <w:t>Attorney General of Canada,</w:t>
      </w:r>
    </w:p>
    <w:p w14:paraId="4E2E7E11" w14:textId="77777777" w:rsidR="005A7078" w:rsidRPr="003163C7" w:rsidRDefault="003138F3">
      <w:pPr>
        <w:pStyle w:val="SCCLsocParty"/>
      </w:pPr>
      <w:r w:rsidRPr="003163C7">
        <w:t>Attorney General of Ontario,</w:t>
      </w:r>
    </w:p>
    <w:p w14:paraId="68A72618" w14:textId="77777777" w:rsidR="005A7078" w:rsidRPr="003163C7" w:rsidRDefault="003138F3">
      <w:pPr>
        <w:pStyle w:val="SCCLsocParty"/>
      </w:pPr>
      <w:r w:rsidRPr="003163C7">
        <w:t>Attorney General of Quebec,</w:t>
      </w:r>
    </w:p>
    <w:p w14:paraId="6F6D5157" w14:textId="77777777" w:rsidR="005A7078" w:rsidRPr="003163C7" w:rsidRDefault="003138F3">
      <w:pPr>
        <w:pStyle w:val="SCCLsocParty"/>
      </w:pPr>
      <w:r w:rsidRPr="003163C7">
        <w:t>British Columbia Civil Liberties Association,</w:t>
      </w:r>
    </w:p>
    <w:p w14:paraId="4FD662A7" w14:textId="2EDB3644" w:rsidR="005A7078" w:rsidRPr="003163C7" w:rsidRDefault="003138F3">
      <w:pPr>
        <w:pStyle w:val="SCCLsocParty"/>
      </w:pPr>
      <w:r w:rsidRPr="003163C7">
        <w:t>British Columbia Teachers</w:t>
      </w:r>
      <w:r w:rsidR="008C7709" w:rsidRPr="003163C7">
        <w:t>’</w:t>
      </w:r>
      <w:r w:rsidRPr="003163C7">
        <w:t xml:space="preserve"> Federation,</w:t>
      </w:r>
      <w:r w:rsidR="00D60C94" w:rsidRPr="003163C7">
        <w:t xml:space="preserve"> </w:t>
      </w:r>
    </w:p>
    <w:p w14:paraId="2A68238E" w14:textId="61CFA90E" w:rsidR="005A7078" w:rsidRPr="003163C7" w:rsidRDefault="003138F3">
      <w:pPr>
        <w:pStyle w:val="SCCLsocParty"/>
      </w:pPr>
      <w:r w:rsidRPr="003163C7">
        <w:t>Centre for Free Expression,</w:t>
      </w:r>
      <w:r w:rsidR="00D60C94" w:rsidRPr="003163C7">
        <w:t xml:space="preserve"> </w:t>
      </w:r>
      <w:r w:rsidRPr="003163C7">
        <w:t>Ontario College of Teachers,</w:t>
      </w:r>
    </w:p>
    <w:p w14:paraId="5134A895" w14:textId="5CCD9493" w:rsidR="005A7078" w:rsidRPr="003163C7" w:rsidRDefault="003138F3">
      <w:pPr>
        <w:pStyle w:val="SCCLsocParty"/>
      </w:pPr>
      <w:r w:rsidRPr="003163C7">
        <w:t>Power Workers</w:t>
      </w:r>
      <w:r w:rsidR="008C7709" w:rsidRPr="003163C7">
        <w:t>’ Union,</w:t>
      </w:r>
      <w:r w:rsidR="00D60C94" w:rsidRPr="003163C7">
        <w:t xml:space="preserve"> </w:t>
      </w:r>
      <w:r w:rsidRPr="003163C7">
        <w:t>Society of United Professionals,</w:t>
      </w:r>
    </w:p>
    <w:p w14:paraId="2874CEDF" w14:textId="371C676F" w:rsidR="005A7078" w:rsidRPr="003163C7" w:rsidRDefault="003138F3">
      <w:pPr>
        <w:pStyle w:val="SCCLsocParty"/>
      </w:pPr>
      <w:r w:rsidRPr="003163C7">
        <w:t>National Police Federation,</w:t>
      </w:r>
      <w:r w:rsidR="00D60C94" w:rsidRPr="003163C7">
        <w:t xml:space="preserve"> </w:t>
      </w:r>
      <w:r w:rsidRPr="003163C7">
        <w:t>Ontario Principals</w:t>
      </w:r>
      <w:r w:rsidR="008C7709" w:rsidRPr="003163C7">
        <w:t>’</w:t>
      </w:r>
      <w:r w:rsidRPr="003163C7">
        <w:t xml:space="preserve"> Council,</w:t>
      </w:r>
    </w:p>
    <w:p w14:paraId="0B0DECCD" w14:textId="695B6104" w:rsidR="005A7078" w:rsidRPr="003163C7" w:rsidRDefault="003138F3">
      <w:pPr>
        <w:pStyle w:val="SCCLsocParty"/>
      </w:pPr>
      <w:r w:rsidRPr="003163C7">
        <w:t>Canadian Association of Counsel to Employers,</w:t>
      </w:r>
      <w:r w:rsidR="00D60C94" w:rsidRPr="003163C7">
        <w:t xml:space="preserve"> </w:t>
      </w:r>
      <w:r w:rsidRPr="003163C7">
        <w:t>Egale Canada,</w:t>
      </w:r>
    </w:p>
    <w:p w14:paraId="3042324A" w14:textId="77777777" w:rsidR="005A7078" w:rsidRPr="003163C7" w:rsidRDefault="003138F3">
      <w:pPr>
        <w:pStyle w:val="SCCLsocParty"/>
      </w:pPr>
      <w:r w:rsidRPr="003163C7">
        <w:t>David Asper Centre for Constitutional Rights,</w:t>
      </w:r>
    </w:p>
    <w:p w14:paraId="76901519" w14:textId="4A9701D6" w:rsidR="005A7078" w:rsidRPr="003163C7" w:rsidRDefault="003138F3">
      <w:pPr>
        <w:pStyle w:val="SCCLsocParty"/>
        <w:rPr>
          <w:lang w:val="fr-CA"/>
        </w:rPr>
      </w:pPr>
      <w:r w:rsidRPr="003163C7">
        <w:rPr>
          <w:lang w:val="fr-CA"/>
        </w:rPr>
        <w:t>Canadian Civil Liberties Association,</w:t>
      </w:r>
      <w:r w:rsidR="00E1460E" w:rsidRPr="003163C7">
        <w:rPr>
          <w:lang w:val="fr-CA"/>
        </w:rPr>
        <w:t xml:space="preserve"> </w:t>
      </w:r>
    </w:p>
    <w:p w14:paraId="0F1A1768" w14:textId="69C50682" w:rsidR="008C7709" w:rsidRPr="003163C7" w:rsidRDefault="003138F3" w:rsidP="000D6204">
      <w:pPr>
        <w:pStyle w:val="SCCLsocParty"/>
        <w:rPr>
          <w:lang w:val="fr-CA"/>
        </w:rPr>
      </w:pPr>
      <w:r w:rsidRPr="003163C7">
        <w:rPr>
          <w:lang w:val="fr-CA"/>
        </w:rPr>
        <w:t>C</w:t>
      </w:r>
      <w:r w:rsidR="008C7709" w:rsidRPr="003163C7">
        <w:rPr>
          <w:lang w:val="fr-CA"/>
        </w:rPr>
        <w:t>entrale des syndicats du Québec</w:t>
      </w:r>
      <w:r w:rsidR="000747F8" w:rsidRPr="003163C7">
        <w:rPr>
          <w:lang w:val="fr-CA"/>
        </w:rPr>
        <w:t xml:space="preserve"> </w:t>
      </w:r>
      <w:r w:rsidR="008C7709" w:rsidRPr="003163C7">
        <w:rPr>
          <w:lang w:val="fr-CA"/>
        </w:rPr>
        <w:t>and</w:t>
      </w:r>
      <w:r w:rsidR="00E1460E" w:rsidRPr="003163C7">
        <w:rPr>
          <w:lang w:val="fr-CA"/>
        </w:rPr>
        <w:t xml:space="preserve"> </w:t>
      </w:r>
    </w:p>
    <w:p w14:paraId="7700A9E0" w14:textId="77777777" w:rsidR="005A7078" w:rsidRPr="003163C7" w:rsidRDefault="003138F3" w:rsidP="007270F8">
      <w:pPr>
        <w:pStyle w:val="SCCLsocLastPartyInRole"/>
      </w:pPr>
      <w:r w:rsidRPr="003163C7">
        <w:t>Queen</w:t>
      </w:r>
      <w:r w:rsidR="008C7709" w:rsidRPr="003163C7">
        <w:t>’</w:t>
      </w:r>
      <w:r w:rsidRPr="003163C7">
        <w:t>s Prison Law Clinic</w:t>
      </w:r>
      <w:r w:rsidRPr="003163C7">
        <w:rPr>
          <w:rStyle w:val="SCCLsocPartyRole"/>
        </w:rPr>
        <w:tab/>
        <w:t>Interveners</w:t>
      </w:r>
    </w:p>
    <w:p w14:paraId="42995904" w14:textId="4C7DC08E" w:rsidR="00426659" w:rsidRPr="003163C7" w:rsidRDefault="00426659" w:rsidP="007270F8">
      <w:pPr>
        <w:spacing w:after="720"/>
        <w:jc w:val="both"/>
        <w:rPr>
          <w:b/>
        </w:rPr>
      </w:pPr>
      <w:r w:rsidRPr="003163C7">
        <w:rPr>
          <w:b/>
        </w:rPr>
        <w:t>Indexed as:</w:t>
      </w:r>
      <w:r w:rsidR="008C7709" w:rsidRPr="003163C7">
        <w:rPr>
          <w:b/>
        </w:rPr>
        <w:t xml:space="preserve"> </w:t>
      </w:r>
      <w:r w:rsidR="00A84B8B" w:rsidRPr="003163C7">
        <w:rPr>
          <w:b/>
        </w:rPr>
        <w:t>York Region District School Board</w:t>
      </w:r>
      <w:r w:rsidR="00A84B8B" w:rsidRPr="003163C7" w:rsidDel="00A84B8B">
        <w:rPr>
          <w:b/>
        </w:rPr>
        <w:t xml:space="preserve"> </w:t>
      </w:r>
      <w:r w:rsidR="00A84B8B" w:rsidRPr="003163C7">
        <w:rPr>
          <w:b/>
          <w:i/>
        </w:rPr>
        <w:t>v.</w:t>
      </w:r>
      <w:r w:rsidR="00A84B8B" w:rsidRPr="003163C7">
        <w:rPr>
          <w:b/>
        </w:rPr>
        <w:t xml:space="preserve"> Elementary Teachers’ Federation of Ontario</w:t>
      </w:r>
    </w:p>
    <w:p w14:paraId="4FAE17D4" w14:textId="3A0820D0" w:rsidR="00426659" w:rsidRPr="003163C7" w:rsidRDefault="008C7709" w:rsidP="007270F8">
      <w:pPr>
        <w:pStyle w:val="SCCSystemYear"/>
        <w:spacing w:after="720"/>
        <w:jc w:val="both"/>
      </w:pPr>
      <w:r w:rsidRPr="003163C7">
        <w:t>2024</w:t>
      </w:r>
      <w:r w:rsidR="003D0399" w:rsidRPr="003163C7">
        <w:t xml:space="preserve"> </w:t>
      </w:r>
      <w:r w:rsidR="007270F8" w:rsidRPr="003163C7">
        <w:t xml:space="preserve">SCC </w:t>
      </w:r>
      <w:r w:rsidR="00021260" w:rsidRPr="003163C7">
        <w:t>22</w:t>
      </w:r>
    </w:p>
    <w:p w14:paraId="4BBCEA68" w14:textId="77777777" w:rsidR="008322BD" w:rsidRPr="003163C7" w:rsidRDefault="009B57B3" w:rsidP="007270F8">
      <w:pPr>
        <w:spacing w:after="720"/>
        <w:jc w:val="both"/>
      </w:pPr>
      <w:r w:rsidRPr="003163C7">
        <w:t>File No.:</w:t>
      </w:r>
      <w:r w:rsidR="008C7709" w:rsidRPr="003163C7">
        <w:t xml:space="preserve"> </w:t>
      </w:r>
      <w:r w:rsidRPr="003163C7">
        <w:t>40360.</w:t>
      </w:r>
    </w:p>
    <w:p w14:paraId="412D9512" w14:textId="460ADA63" w:rsidR="008322BD" w:rsidRPr="003163C7" w:rsidRDefault="00B80321" w:rsidP="007270F8">
      <w:pPr>
        <w:spacing w:after="720"/>
        <w:jc w:val="both"/>
      </w:pPr>
      <w:r w:rsidRPr="003163C7">
        <w:t>2023: October </w:t>
      </w:r>
      <w:r w:rsidR="00AE4535" w:rsidRPr="003163C7">
        <w:t>18</w:t>
      </w:r>
      <w:r w:rsidR="009B57B3" w:rsidRPr="003163C7">
        <w:t xml:space="preserve">; </w:t>
      </w:r>
      <w:r w:rsidRPr="003163C7">
        <w:t>2024: June </w:t>
      </w:r>
      <w:r w:rsidR="00890AB4" w:rsidRPr="003163C7">
        <w:t>21</w:t>
      </w:r>
      <w:r w:rsidR="009B57B3" w:rsidRPr="003163C7">
        <w:t>.</w:t>
      </w:r>
    </w:p>
    <w:p w14:paraId="51F45CC3" w14:textId="5055579B" w:rsidR="008322BD" w:rsidRPr="003163C7" w:rsidRDefault="009B57B3" w:rsidP="007270F8">
      <w:pPr>
        <w:spacing w:after="720"/>
        <w:jc w:val="both"/>
      </w:pPr>
      <w:r w:rsidRPr="003163C7">
        <w:t>Present:</w:t>
      </w:r>
      <w:r w:rsidR="008C7709" w:rsidRPr="003163C7">
        <w:t xml:space="preserve"> </w:t>
      </w:r>
      <w:r w:rsidR="005068B4" w:rsidRPr="003163C7">
        <w:t>Wagner </w:t>
      </w:r>
      <w:r w:rsidRPr="003163C7">
        <w:t xml:space="preserve">C.J. and Karakatsanis, Côté, </w:t>
      </w:r>
      <w:r w:rsidR="00B80321" w:rsidRPr="003163C7">
        <w:t>Rowe, Martin, Kasirer and Jamal </w:t>
      </w:r>
      <w:r w:rsidRPr="003163C7">
        <w:t>JJ.</w:t>
      </w:r>
    </w:p>
    <w:p w14:paraId="7C3B8885" w14:textId="77777777" w:rsidR="00B80321" w:rsidRPr="003163C7" w:rsidRDefault="00B80321" w:rsidP="00B80321">
      <w:pPr>
        <w:pStyle w:val="SCCLowerCourtNameLowercase"/>
        <w:spacing w:after="480"/>
      </w:pPr>
      <w:r w:rsidRPr="003163C7">
        <w:t>on appeal from the court of appeal for ontario</w:t>
      </w:r>
    </w:p>
    <w:p w14:paraId="12F143DD" w14:textId="77777777" w:rsidR="00B80321" w:rsidRPr="003163C7" w:rsidRDefault="00B80321" w:rsidP="00B80321">
      <w:pPr>
        <w:pStyle w:val="SCCNormalDoubleSpacing"/>
        <w:spacing w:after="480"/>
        <w:rPr>
          <w:i/>
        </w:rPr>
      </w:pPr>
      <w:r w:rsidRPr="003163C7">
        <w:lastRenderedPageBreak/>
        <w:tab/>
      </w:r>
      <w:r w:rsidRPr="003163C7">
        <w:rPr>
          <w:i/>
        </w:rPr>
        <w:t>Constitutional law — Charter of Rights</w:t>
      </w:r>
      <w:r w:rsidRPr="003163C7">
        <w:t xml:space="preserve"> </w:t>
      </w:r>
      <w:r w:rsidRPr="003163C7">
        <w:rPr>
          <w:i/>
        </w:rPr>
        <w:t>— Application — Search and seizure — Teachers’ right to privacy at work — Ontario public school board principal taking screenshots of teachers’ private communications on school laptop — Communications forming basis for written reprimands grieved by teachers’ union on ground that teachers’ right to privacy violated — Arbitrator dismissing grievance — Whether Charter applies to public school boards in Ontario — If so, whether arbitrator’s decision should be set aside — Canadian Charter of Rights and Freedoms, ss. 8, 32.</w:t>
      </w:r>
    </w:p>
    <w:p w14:paraId="4CC53E57" w14:textId="77777777" w:rsidR="00B80321" w:rsidRPr="003163C7" w:rsidRDefault="00B80321" w:rsidP="00B80321">
      <w:pPr>
        <w:pStyle w:val="SCCNormalDoubleSpacing"/>
        <w:spacing w:after="480"/>
        <w:rPr>
          <w:i/>
        </w:rPr>
      </w:pPr>
      <w:r w:rsidRPr="003163C7">
        <w:tab/>
      </w:r>
      <w:r w:rsidRPr="003163C7">
        <w:rPr>
          <w:i/>
        </w:rPr>
        <w:t xml:space="preserve">Administrative law — Judicial review — Standard of review —Constitutional questions — Teachers grieving reprimand arising from screenshots taken by principal of their private communications on school laptop — Arbitrator dismissing grievance — Standard of review applicable to arbitrator’s decision as to whether teachers’ right to privacy violated. </w:t>
      </w:r>
    </w:p>
    <w:p w14:paraId="45F56D44" w14:textId="712DC98F" w:rsidR="00B80321" w:rsidRPr="003163C7" w:rsidRDefault="00B80321" w:rsidP="00B80321">
      <w:pPr>
        <w:pStyle w:val="SCCNormalDoubleSpacing"/>
        <w:spacing w:after="480"/>
      </w:pPr>
      <w:r w:rsidRPr="003163C7">
        <w:tab/>
        <w:t>Two teachers</w:t>
      </w:r>
      <w:r w:rsidR="00D41AB7" w:rsidRPr="003163C7">
        <w:t xml:space="preserve"> </w:t>
      </w:r>
      <w:r w:rsidRPr="003163C7">
        <w:t>employed by an Ontario public school board recorded their private communications regarding workplace</w:t>
      </w:r>
      <w:r w:rsidR="00D41AB7" w:rsidRPr="003163C7">
        <w:t xml:space="preserve"> </w:t>
      </w:r>
      <w:r w:rsidRPr="003163C7">
        <w:t>concerns</w:t>
      </w:r>
      <w:r w:rsidR="00D41AB7" w:rsidRPr="003163C7">
        <w:t xml:space="preserve"> </w:t>
      </w:r>
      <w:r w:rsidRPr="003163C7">
        <w:t>on</w:t>
      </w:r>
      <w:r w:rsidR="00D41AB7" w:rsidRPr="003163C7">
        <w:t xml:space="preserve"> </w:t>
      </w:r>
      <w:r w:rsidRPr="003163C7">
        <w:t>a shared</w:t>
      </w:r>
      <w:r w:rsidR="00D41AB7" w:rsidRPr="003163C7">
        <w:t xml:space="preserve"> </w:t>
      </w:r>
      <w:r w:rsidRPr="003163C7">
        <w:t>personal, password</w:t>
      </w:r>
      <w:r w:rsidRPr="003163C7">
        <w:noBreakHyphen/>
        <w:t>protected log stored in the cloud. The school principal, who had been made aware of the log, entered the classroom of one of the teachers</w:t>
      </w:r>
      <w:r w:rsidR="00D41AB7" w:rsidRPr="003163C7">
        <w:t xml:space="preserve"> </w:t>
      </w:r>
      <w:r w:rsidRPr="003163C7">
        <w:t xml:space="preserve">and, in her absence, touched the mousepad of her board laptop, saw the log that opened on the screen, read what was visible, then scrolled through the document and took screenshots with his cellphone. These communications then formed the basis for the school board to issue written reprimands. The teachers’ union grieved the discipline, claiming that the search </w:t>
      </w:r>
      <w:r w:rsidRPr="003163C7">
        <w:lastRenderedPageBreak/>
        <w:t xml:space="preserve">violated the teachers’ right to privacy at work. No </w:t>
      </w:r>
      <w:r w:rsidRPr="003163C7">
        <w:rPr>
          <w:i/>
        </w:rPr>
        <w:t>Charter</w:t>
      </w:r>
      <w:r w:rsidRPr="003163C7">
        <w:t xml:space="preserve"> breach was alleged. A labour arbitrator, appointed pursuant to the collective agreement, dismissed the grievance. Applying the arbitral balancing of </w:t>
      </w:r>
      <w:proofErr w:type="gramStart"/>
      <w:r w:rsidRPr="003163C7">
        <w:t>interests</w:t>
      </w:r>
      <w:proofErr w:type="gramEnd"/>
      <w:r w:rsidRPr="003163C7">
        <w:t xml:space="preserve"> framework, the arbitrator found there was no breach of the teachers’ reasonable expectation of privacy when balanced against the school board’s interest in managing the workplace.</w:t>
      </w:r>
    </w:p>
    <w:p w14:paraId="736DA57D" w14:textId="5C6C5610" w:rsidR="00B80321" w:rsidRPr="003163C7" w:rsidRDefault="00B80321" w:rsidP="00B80321">
      <w:pPr>
        <w:pStyle w:val="SCCNormalDoubleSpacing"/>
        <w:spacing w:after="480"/>
      </w:pPr>
      <w:r w:rsidRPr="003163C7">
        <w:tab/>
        <w:t xml:space="preserve">On judicial review, the majority of the Divisional Court upheld the reasonableness of the arbitrator’s decision. The majority held that no </w:t>
      </w:r>
      <w:r w:rsidRPr="003163C7">
        <w:rPr>
          <w:i/>
        </w:rPr>
        <w:t xml:space="preserve">Charter </w:t>
      </w:r>
      <w:r w:rsidRPr="003163C7">
        <w:t xml:space="preserve">issues arose from the search because an employee does not have the right under s. 8 of the </w:t>
      </w:r>
      <w:r w:rsidRPr="003163C7">
        <w:rPr>
          <w:i/>
        </w:rPr>
        <w:t>Charter</w:t>
      </w:r>
      <w:r w:rsidRPr="003163C7">
        <w:t xml:space="preserve"> to be secure against</w:t>
      </w:r>
      <w:r w:rsidR="00D41AB7" w:rsidRPr="003163C7">
        <w:t xml:space="preserve"> unreasonable search or seizure </w:t>
      </w:r>
      <w:r w:rsidRPr="003163C7">
        <w:t xml:space="preserve">in a workplace environment, unlike in a criminal context. The dissent found that the </w:t>
      </w:r>
      <w:r w:rsidRPr="003163C7">
        <w:rPr>
          <w:i/>
        </w:rPr>
        <w:t xml:space="preserve">Charter </w:t>
      </w:r>
      <w:r w:rsidRPr="003163C7">
        <w:t xml:space="preserve">applied and the arbitrator’s decision was unreasonable because she misunderstood the nature of the s. 8 right. The Court of Appeal unanimously allowed the </w:t>
      </w:r>
      <w:r w:rsidR="00AC110E" w:rsidRPr="003163C7">
        <w:t xml:space="preserve">union’s </w:t>
      </w:r>
      <w:r w:rsidRPr="003163C7">
        <w:t xml:space="preserve">appeal and quashed the arbitrator’s decision. It held that the majority of the Divisional Court erred in concluding that s. 8 did not apply. The Court of Appeal conducted a correctness review of the arbitrator’s decision and held that the search was unreasonable under s. 8 of the </w:t>
      </w:r>
      <w:r w:rsidRPr="003163C7">
        <w:rPr>
          <w:i/>
        </w:rPr>
        <w:t>Charter</w:t>
      </w:r>
      <w:r w:rsidRPr="003163C7">
        <w:t xml:space="preserve">. </w:t>
      </w:r>
    </w:p>
    <w:p w14:paraId="507299CE" w14:textId="77777777" w:rsidR="00B80321" w:rsidRPr="003163C7" w:rsidRDefault="00B80321" w:rsidP="00B80321">
      <w:pPr>
        <w:pStyle w:val="SCCNormalDoubleSpacing"/>
        <w:spacing w:after="480"/>
      </w:pPr>
      <w:r w:rsidRPr="003163C7">
        <w:tab/>
      </w:r>
      <w:r w:rsidRPr="003163C7">
        <w:rPr>
          <w:i/>
          <w:iCs/>
        </w:rPr>
        <w:t>Held:</w:t>
      </w:r>
      <w:r w:rsidRPr="003163C7">
        <w:t xml:space="preserve"> The appeal should be dismissed.</w:t>
      </w:r>
    </w:p>
    <w:p w14:paraId="5783552B" w14:textId="3FCFA6EA" w:rsidR="00B80321" w:rsidRPr="003163C7" w:rsidRDefault="00B80321" w:rsidP="00B80321">
      <w:pPr>
        <w:pStyle w:val="SCCNormalDoubleSpacing"/>
        <w:spacing w:after="480"/>
      </w:pPr>
      <w:r w:rsidRPr="003163C7">
        <w:tab/>
      </w:r>
      <w:r w:rsidRPr="003163C7">
        <w:rPr>
          <w:i/>
        </w:rPr>
        <w:t>Per</w:t>
      </w:r>
      <w:r w:rsidRPr="003163C7">
        <w:t xml:space="preserve"> Wagner C.J. and Côté, </w:t>
      </w:r>
      <w:r w:rsidRPr="003163C7">
        <w:rPr>
          <w:b/>
        </w:rPr>
        <w:t>Rowe</w:t>
      </w:r>
      <w:r w:rsidRPr="003163C7">
        <w:t xml:space="preserve">, Kasirer and Jamal JJ.: Ontario public school board teachers are protected by s. 8 of the </w:t>
      </w:r>
      <w:r w:rsidRPr="003163C7">
        <w:rPr>
          <w:i/>
        </w:rPr>
        <w:t>Charter</w:t>
      </w:r>
      <w:r w:rsidRPr="003163C7">
        <w:t xml:space="preserve"> in the workplace, as these boards are inherently governmental for the purposes of s. 32 of the </w:t>
      </w:r>
      <w:r w:rsidRPr="003163C7">
        <w:rPr>
          <w:i/>
        </w:rPr>
        <w:t>Charter</w:t>
      </w:r>
      <w:r w:rsidRPr="003163C7">
        <w:t xml:space="preserve">. </w:t>
      </w:r>
      <w:r w:rsidRPr="003163C7">
        <w:lastRenderedPageBreak/>
        <w:t xml:space="preserve">Consequently, the grievance at issue implicated an alleged violation of a </w:t>
      </w:r>
      <w:r w:rsidRPr="003163C7">
        <w:rPr>
          <w:i/>
        </w:rPr>
        <w:t xml:space="preserve">Charter </w:t>
      </w:r>
      <w:r w:rsidRPr="003163C7">
        <w:t>right, and s. 8 of the</w:t>
      </w:r>
      <w:r w:rsidRPr="003163C7">
        <w:rPr>
          <w:i/>
        </w:rPr>
        <w:t xml:space="preserve"> Charter</w:t>
      </w:r>
      <w:r w:rsidRPr="003163C7">
        <w:t xml:space="preserve"> was a legal constraint bearing</w:t>
      </w:r>
      <w:r w:rsidR="00D41AB7" w:rsidRPr="003163C7">
        <w:t xml:space="preserve"> on the arbitrator’s analysis. </w:t>
      </w:r>
      <w:r w:rsidRPr="003163C7">
        <w:t>On review, applying the correctness standard, the arbitrator erred by limiting her inquiry to the arbitral framework without regard for the legal framework under s. 8 that, as a matter of law, she was required to respect. This error is fatal and</w:t>
      </w:r>
      <w:r w:rsidR="00D41AB7" w:rsidRPr="003163C7">
        <w:t xml:space="preserve"> </w:t>
      </w:r>
      <w:r w:rsidRPr="003163C7">
        <w:t xml:space="preserve">the arbitrator’s decision should be set aside. </w:t>
      </w:r>
    </w:p>
    <w:p w14:paraId="64672A96" w14:textId="25E72533" w:rsidR="00B80321" w:rsidRPr="003163C7" w:rsidRDefault="00B80321" w:rsidP="00B80321">
      <w:pPr>
        <w:pStyle w:val="SCCNormalDoubleSpacing"/>
        <w:spacing w:after="480"/>
      </w:pPr>
      <w:r w:rsidRPr="003163C7">
        <w:tab/>
        <w:t xml:space="preserve">Section 32 of the </w:t>
      </w:r>
      <w:r w:rsidRPr="003163C7">
        <w:rPr>
          <w:i/>
        </w:rPr>
        <w:t>Constitution Act, 1982</w:t>
      </w:r>
      <w:r w:rsidRPr="003163C7">
        <w:t xml:space="preserve"> sets out the scope of the </w:t>
      </w:r>
      <w:r w:rsidRPr="003163C7">
        <w:rPr>
          <w:i/>
        </w:rPr>
        <w:t>Charter</w:t>
      </w:r>
      <w:r w:rsidRPr="003163C7">
        <w:t xml:space="preserve">’s application. The Court in </w:t>
      </w:r>
      <w:r w:rsidRPr="003163C7">
        <w:rPr>
          <w:i/>
        </w:rPr>
        <w:t>Eldridge v. British Columbia (Attorney General)</w:t>
      </w:r>
      <w:r w:rsidRPr="003163C7">
        <w:t>, [1997] 3 S.C.R. 624, established a two</w:t>
      </w:r>
      <w:r w:rsidRPr="003163C7">
        <w:noBreakHyphen/>
        <w:t xml:space="preserve">branch framework to determine when the </w:t>
      </w:r>
      <w:r w:rsidRPr="003163C7">
        <w:rPr>
          <w:i/>
        </w:rPr>
        <w:t>Charter</w:t>
      </w:r>
      <w:r w:rsidRPr="003163C7">
        <w:t xml:space="preserve"> applies to an entity. Under the first branch of the </w:t>
      </w:r>
      <w:r w:rsidRPr="003163C7">
        <w:rPr>
          <w:i/>
        </w:rPr>
        <w:t xml:space="preserve">Eldridge </w:t>
      </w:r>
      <w:r w:rsidRPr="003163C7">
        <w:t xml:space="preserve">framework, it may be determined that an entity is itself “government” for the purposes of s. 32 where, by (1) its very nature or (2) the degree of governmental control exercised over it, the entity is akin to a government. Under this branch, where the entity is found to be “government”, the </w:t>
      </w:r>
      <w:r w:rsidRPr="003163C7">
        <w:rPr>
          <w:i/>
        </w:rPr>
        <w:t xml:space="preserve">Charter </w:t>
      </w:r>
      <w:r w:rsidRPr="003163C7">
        <w:t>applies to all its actions.</w:t>
      </w:r>
    </w:p>
    <w:p w14:paraId="64D99FC5" w14:textId="531245A8" w:rsidR="00B80321" w:rsidRPr="003163C7" w:rsidRDefault="00B80321" w:rsidP="00B80321">
      <w:pPr>
        <w:pStyle w:val="SCCNormalDoubleSpacing"/>
        <w:spacing w:after="480"/>
      </w:pPr>
      <w:r w:rsidRPr="003163C7">
        <w:tab/>
        <w:t xml:space="preserve">A review of Ontario’s </w:t>
      </w:r>
      <w:r w:rsidRPr="003163C7">
        <w:rPr>
          <w:i/>
        </w:rPr>
        <w:t>Education Act</w:t>
      </w:r>
      <w:r w:rsidRPr="003163C7">
        <w:t xml:space="preserve"> confirms that Ontario public school boards are government by nature and therefore are subject to the </w:t>
      </w:r>
      <w:r w:rsidRPr="003163C7">
        <w:rPr>
          <w:i/>
        </w:rPr>
        <w:t xml:space="preserve">Charter </w:t>
      </w:r>
      <w:r w:rsidRPr="003163C7">
        <w:t xml:space="preserve">under </w:t>
      </w:r>
      <w:r w:rsidRPr="003163C7">
        <w:rPr>
          <w:i/>
        </w:rPr>
        <w:t>Eldridge</w:t>
      </w:r>
      <w:r w:rsidRPr="003163C7">
        <w:t xml:space="preserve">’s first branch. They are, in effect, an arm of government, in that they exercise powers conferred on them by the provincial legislature, powers and functions which the legislature would otherwise have to perform itself. Public education is inherently a governmental function. It has a unique constitutional quality, as exemplified by s. 93 of the </w:t>
      </w:r>
      <w:r w:rsidRPr="003163C7">
        <w:rPr>
          <w:i/>
        </w:rPr>
        <w:t>Constitution Act, 1867</w:t>
      </w:r>
      <w:r w:rsidRPr="003163C7">
        <w:t xml:space="preserve"> and by s. 23 of the </w:t>
      </w:r>
      <w:r w:rsidRPr="003163C7">
        <w:rPr>
          <w:i/>
        </w:rPr>
        <w:t>Charter</w:t>
      </w:r>
      <w:r w:rsidRPr="003163C7">
        <w:t xml:space="preserve">. All actions carried on by Ontario public school boards are subject to </w:t>
      </w:r>
      <w:r w:rsidRPr="003163C7">
        <w:rPr>
          <w:i/>
        </w:rPr>
        <w:t xml:space="preserve">Charter </w:t>
      </w:r>
      <w:r w:rsidRPr="003163C7">
        <w:t xml:space="preserve">scrutiny, including the principal’s actions in the instant case, as he acted in his official capacity as an agent of the board, a statutory delegate, and not in his personal capacity. </w:t>
      </w:r>
    </w:p>
    <w:p w14:paraId="0BD33C42" w14:textId="540F3145" w:rsidR="00B80321" w:rsidRPr="003163C7" w:rsidRDefault="00B80321" w:rsidP="00B80321">
      <w:pPr>
        <w:pStyle w:val="SCCNormalDoubleSpacing"/>
        <w:spacing w:after="480"/>
      </w:pPr>
      <w:r w:rsidRPr="003163C7">
        <w:tab/>
        <w:t xml:space="preserve">Administrative tribunals are competent to and tasked with the work of adjudicating </w:t>
      </w:r>
      <w:r w:rsidRPr="003163C7">
        <w:rPr>
          <w:i/>
        </w:rPr>
        <w:t xml:space="preserve">Charter </w:t>
      </w:r>
      <w:r w:rsidRPr="003163C7">
        <w:t xml:space="preserve">questions where they arise. Administrative tribunals with the power to decide questions of law, and from whom constitutional jurisdiction has not been clearly withdrawn, have the authority to resolve constitutional questions that are linked to matters properly before them and must act consistently with the </w:t>
      </w:r>
      <w:r w:rsidRPr="003163C7">
        <w:rPr>
          <w:i/>
        </w:rPr>
        <w:t>Charter</w:t>
      </w:r>
      <w:r w:rsidRPr="003163C7">
        <w:t xml:space="preserve"> and its values when exercising its statutory function. The principles governing remedial jurisdiction under the </w:t>
      </w:r>
      <w:r w:rsidRPr="003163C7">
        <w:rPr>
          <w:i/>
        </w:rPr>
        <w:t>Charter</w:t>
      </w:r>
      <w:r w:rsidRPr="003163C7">
        <w:t xml:space="preserve"> apply to both court</w:t>
      </w:r>
      <w:r w:rsidR="00CD3521" w:rsidRPr="003163C7">
        <w:t>s and administrative tribunals.</w:t>
      </w:r>
      <w:r w:rsidRPr="003163C7">
        <w:t xml:space="preserve"> Tribunals should play a primary role in the determination of </w:t>
      </w:r>
      <w:r w:rsidRPr="003163C7">
        <w:rPr>
          <w:i/>
        </w:rPr>
        <w:t>Charter</w:t>
      </w:r>
      <w:r w:rsidRPr="003163C7">
        <w:t xml:space="preserve"> issues falling within their specialized jurisdiction. This is in part an access to justice issue: there are practical advantages and a constitutional basis for allowing Canadians to assert their </w:t>
      </w:r>
      <w:r w:rsidRPr="003163C7">
        <w:rPr>
          <w:i/>
        </w:rPr>
        <w:t>Charter</w:t>
      </w:r>
      <w:r w:rsidRPr="003163C7">
        <w:t xml:space="preserve"> rights in the most accessible forum available. </w:t>
      </w:r>
      <w:r w:rsidRPr="003163C7">
        <w:rPr>
          <w:i/>
        </w:rPr>
        <w:t>Charter</w:t>
      </w:r>
      <w:r w:rsidRPr="003163C7">
        <w:t xml:space="preserve"> rights can be effectively vindicated through the exercise of statutory powers and processes, meaning that claimants do not need to have separate recourse to the courts for their </w:t>
      </w:r>
      <w:r w:rsidRPr="003163C7">
        <w:rPr>
          <w:i/>
        </w:rPr>
        <w:t>Charter</w:t>
      </w:r>
      <w:r w:rsidRPr="003163C7">
        <w:t xml:space="preserve"> rights to be vindicated. Where a </w:t>
      </w:r>
      <w:r w:rsidRPr="003163C7">
        <w:rPr>
          <w:i/>
        </w:rPr>
        <w:t>Charter</w:t>
      </w:r>
      <w:r w:rsidRPr="003163C7">
        <w:t xml:space="preserve"> right applies, an administrative decision</w:t>
      </w:r>
      <w:r w:rsidRPr="003163C7">
        <w:noBreakHyphen/>
        <w:t xml:space="preserve">maker should therefore perform an analysis that is consistent with the relevant </w:t>
      </w:r>
      <w:r w:rsidRPr="003163C7">
        <w:rPr>
          <w:i/>
        </w:rPr>
        <w:t>Charter</w:t>
      </w:r>
      <w:r w:rsidRPr="003163C7">
        <w:t xml:space="preserve"> provision. </w:t>
      </w:r>
    </w:p>
    <w:p w14:paraId="41BB74D6" w14:textId="42CEF896" w:rsidR="00B80321" w:rsidRPr="003163C7" w:rsidRDefault="00B80321" w:rsidP="00B80321">
      <w:pPr>
        <w:pStyle w:val="SCCNormalDoubleSpacing"/>
        <w:spacing w:after="480"/>
      </w:pPr>
      <w:r w:rsidRPr="003163C7">
        <w:tab/>
        <w:t xml:space="preserve">The arbitrator in the instant case is broadly empowered, by Ontario’s </w:t>
      </w:r>
      <w:r w:rsidRPr="003163C7">
        <w:rPr>
          <w:i/>
        </w:rPr>
        <w:t>Labour Relations Act, 1995</w:t>
      </w:r>
      <w:r w:rsidRPr="003163C7">
        <w:t xml:space="preserve">, to answer questions regarding all differences between the parties arising from the interpretation, application, administration or alleged violation of the collective agreement, including any question as to whether a matter is </w:t>
      </w:r>
      <w:proofErr w:type="spellStart"/>
      <w:r w:rsidRPr="003163C7">
        <w:t>arbitrable</w:t>
      </w:r>
      <w:proofErr w:type="spellEnd"/>
      <w:r w:rsidRPr="003163C7">
        <w:t>. Thus, the arbitrator has the power to decide questions of law, and</w:t>
      </w:r>
      <w:r w:rsidR="00D41AB7" w:rsidRPr="003163C7">
        <w:t xml:space="preserve"> </w:t>
      </w:r>
      <w:r w:rsidRPr="003163C7">
        <w:t xml:space="preserve">was therefore required to decide the grievance consistent with the requirements of s. 8 of the </w:t>
      </w:r>
      <w:r w:rsidRPr="003163C7">
        <w:rPr>
          <w:i/>
        </w:rPr>
        <w:t>Charter</w:t>
      </w:r>
      <w:r w:rsidRPr="003163C7">
        <w:t>. This would properly entail drawing on both the relevant body of arbitral decisions</w:t>
      </w:r>
      <w:r w:rsidR="005068B4" w:rsidRPr="003163C7">
        <w:t xml:space="preserve"> and the s. </w:t>
      </w:r>
      <w:r w:rsidRPr="003163C7">
        <w:t xml:space="preserve">8 jurisprudence. However, the arbitrator approached her task differently, conducting an analysis by reference to management rights versus privacy interests of employees. When a </w:t>
      </w:r>
      <w:r w:rsidRPr="003163C7">
        <w:rPr>
          <w:i/>
        </w:rPr>
        <w:t xml:space="preserve">Charter </w:t>
      </w:r>
      <w:r w:rsidRPr="003163C7">
        <w:t xml:space="preserve">right applies, it is not sufficient that the arbitrator made some references to the </w:t>
      </w:r>
      <w:r w:rsidRPr="003163C7">
        <w:rPr>
          <w:i/>
        </w:rPr>
        <w:t xml:space="preserve">Charter </w:t>
      </w:r>
      <w:r w:rsidRPr="003163C7">
        <w:t>jurisprudence. There must be clear acknowledgment of and analysis of that right. While administrative justice may not always take the form of judicial justice, nowhere in the arbitrator’s reasons, read functionally and h</w:t>
      </w:r>
      <w:r w:rsidR="005068B4" w:rsidRPr="003163C7">
        <w:t>olistically, did it indicate s. </w:t>
      </w:r>
      <w:r w:rsidRPr="003163C7">
        <w:t xml:space="preserve">8 </w:t>
      </w:r>
      <w:r w:rsidRPr="003163C7">
        <w:rPr>
          <w:i/>
        </w:rPr>
        <w:t>Charter</w:t>
      </w:r>
      <w:r w:rsidRPr="003163C7">
        <w:t xml:space="preserve"> rights were being considered. </w:t>
      </w:r>
    </w:p>
    <w:p w14:paraId="4F7E0CCF" w14:textId="1E733440" w:rsidR="00B80321" w:rsidRPr="003163C7" w:rsidRDefault="00B80321" w:rsidP="00B80321">
      <w:pPr>
        <w:pStyle w:val="SCCNormalDoubleSpacing"/>
        <w:spacing w:after="480"/>
      </w:pPr>
      <w:r w:rsidRPr="003163C7">
        <w:tab/>
        <w:t xml:space="preserve">While the Court of Appeal properly applied a correctness standard of review to the question of whether the teachers had a reasonable expectation of privacy, the court erred in deriving the standard of review from </w:t>
      </w:r>
      <w:r w:rsidRPr="003163C7">
        <w:rPr>
          <w:i/>
          <w:iCs/>
        </w:rPr>
        <w:t>R. v. Shepherd</w:t>
      </w:r>
      <w:r w:rsidR="005068B4" w:rsidRPr="003163C7">
        <w:t xml:space="preserve">, </w:t>
      </w:r>
      <w:r w:rsidRPr="003163C7">
        <w:t>2009 SCC 35,</w:t>
      </w:r>
      <w:r w:rsidR="00B84D81" w:rsidRPr="003163C7">
        <w:t xml:space="preserve"> </w:t>
      </w:r>
      <w:r w:rsidRPr="003163C7">
        <w:t xml:space="preserve">[2009] 2 S.C.R. 527, dealing with an appellate standard of review. Where a court reviews a decision of an administrative tribunal, the standard of review must be determined on the basis of administrative law principles. Accordingly, this appeal is governed by </w:t>
      </w:r>
      <w:r w:rsidRPr="003163C7">
        <w:rPr>
          <w:i/>
        </w:rPr>
        <w:t>Canada (Minister of Citizenship and Immigration</w:t>
      </w:r>
      <w:r w:rsidR="000D0315" w:rsidRPr="003163C7">
        <w:rPr>
          <w:i/>
        </w:rPr>
        <w:t>)</w:t>
      </w:r>
      <w:r w:rsidRPr="003163C7">
        <w:rPr>
          <w:i/>
        </w:rPr>
        <w:t xml:space="preserve"> v. Vavilov</w:t>
      </w:r>
      <w:r w:rsidRPr="003163C7">
        <w:t xml:space="preserve">, 2019 SCC 65, [2019] 4 S.C.R. 653. Correctness applies because the issue of constitutionality on judicial review — of whether a </w:t>
      </w:r>
      <w:r w:rsidRPr="003163C7">
        <w:rPr>
          <w:i/>
        </w:rPr>
        <w:t>Charter</w:t>
      </w:r>
      <w:r w:rsidRPr="003163C7">
        <w:t xml:space="preserve"> right arises, the scope of its protection, and the appropriate framework of the analysis — is a constitutional question that requires a final and determinate answer from the courts and therefore falls within the rule of law exception. </w:t>
      </w:r>
      <w:r w:rsidRPr="003163C7">
        <w:rPr>
          <w:i/>
        </w:rPr>
        <w:t>Vavilov</w:t>
      </w:r>
      <w:r w:rsidRPr="003163C7">
        <w:t xml:space="preserve"> does not restrict the scope of “constitutional questions” to only issues of federalism and the constitutional delegation of state power to administrative decision</w:t>
      </w:r>
      <w:r w:rsidRPr="003163C7">
        <w:noBreakHyphen/>
        <w:t>makers; it used non</w:t>
      </w:r>
      <w:r w:rsidRPr="003163C7">
        <w:noBreakHyphen/>
        <w:t>exhaustive language in articulating the constitutional questions category, including within it “other constitutional matters”. This category should not be unduly narrowed.</w:t>
      </w:r>
    </w:p>
    <w:p w14:paraId="30D2E3FF" w14:textId="4F865D0F" w:rsidR="00DD07E5" w:rsidRPr="003163C7" w:rsidRDefault="00DD07E5" w:rsidP="00DD07E5">
      <w:pPr>
        <w:pStyle w:val="SCCNormalDoubleSpacing"/>
        <w:spacing w:after="480"/>
      </w:pPr>
      <w:r w:rsidRPr="003163C7">
        <w:rPr>
          <w:i/>
        </w:rPr>
        <w:tab/>
        <w:t>Per</w:t>
      </w:r>
      <w:r w:rsidRPr="003163C7">
        <w:t xml:space="preserve"> </w:t>
      </w:r>
      <w:r w:rsidRPr="003163C7">
        <w:rPr>
          <w:b/>
        </w:rPr>
        <w:t xml:space="preserve">Karakatsanis </w:t>
      </w:r>
      <w:r w:rsidRPr="003163C7">
        <w:t xml:space="preserve">and </w:t>
      </w:r>
      <w:r w:rsidRPr="003163C7">
        <w:rPr>
          <w:b/>
        </w:rPr>
        <w:t>Martin</w:t>
      </w:r>
      <w:r w:rsidR="00B84D81" w:rsidRPr="003163C7">
        <w:t> </w:t>
      </w:r>
      <w:r w:rsidRPr="003163C7">
        <w:t xml:space="preserve">JJ.: There is agreement with the majority that the </w:t>
      </w:r>
      <w:r w:rsidRPr="003163C7">
        <w:rPr>
          <w:i/>
        </w:rPr>
        <w:t xml:space="preserve">Charter </w:t>
      </w:r>
      <w:r w:rsidRPr="003163C7">
        <w:t xml:space="preserve">applies to Ontario </w:t>
      </w:r>
      <w:r w:rsidR="00034BD8" w:rsidRPr="003163C7">
        <w:t xml:space="preserve">public </w:t>
      </w:r>
      <w:r w:rsidRPr="003163C7">
        <w:t xml:space="preserve">school boards. However, there is disagreement as to how the majority reviews the arbitrator’s decision. Reviewing the arbitrator’s decision on the correctness standard overshoots the ambit of the correctness exceptions laid down in </w:t>
      </w:r>
      <w:r w:rsidRPr="003163C7">
        <w:rPr>
          <w:i/>
        </w:rPr>
        <w:t>Vavilov</w:t>
      </w:r>
      <w:r w:rsidRPr="003163C7">
        <w:t xml:space="preserve">. The issue before the arbitrator was whether the teachers’ privacy rights had been breached, an application and assessment which heavily depended on the specific factual and statutory context. </w:t>
      </w:r>
      <w:r w:rsidR="00D41AB7" w:rsidRPr="003163C7">
        <w:t>A</w:t>
      </w:r>
      <w:r w:rsidRPr="003163C7">
        <w:t xml:space="preserve">s a result, the presumption of reasonableness review applies. Reviewing the arbitrator’s reasons </w:t>
      </w:r>
      <w:r w:rsidR="00D41AB7" w:rsidRPr="003163C7">
        <w:t xml:space="preserve">on that standard, </w:t>
      </w:r>
      <w:r w:rsidRPr="003163C7">
        <w:t>the arbitrator’s reasoning is not consistent with the principle of content neutrality, which lies at the heart of s.</w:t>
      </w:r>
      <w:r w:rsidR="00B84D81" w:rsidRPr="003163C7">
        <w:t> </w:t>
      </w:r>
      <w:r w:rsidRPr="003163C7">
        <w:t xml:space="preserve">8’s normative approach to privacy, and therefore her decision is unreasonable. </w:t>
      </w:r>
    </w:p>
    <w:p w14:paraId="25817100" w14:textId="5B37712F" w:rsidR="00DD07E5" w:rsidRPr="003163C7" w:rsidRDefault="00DD07E5" w:rsidP="00DD07E5">
      <w:pPr>
        <w:pStyle w:val="SCCNormalDoubleSpacing"/>
        <w:spacing w:after="480"/>
      </w:pPr>
      <w:r w:rsidRPr="003163C7">
        <w:tab/>
      </w:r>
      <w:r w:rsidRPr="003163C7">
        <w:tab/>
      </w:r>
      <w:r w:rsidRPr="003163C7">
        <w:rPr>
          <w:i/>
        </w:rPr>
        <w:t>Vavilov</w:t>
      </w:r>
      <w:r w:rsidRPr="003163C7">
        <w:t xml:space="preserve"> was intended to provide a stable framework for determining and applying the standard of review and to encourage parties to focus instead on the merits. The Court affirmed a broad presumption of reasonableness review. The correctness exception for constitutional questions is justified by the need for consistency, finality, and determinate answers; but, importantly, </w:t>
      </w:r>
      <w:r w:rsidRPr="003163C7">
        <w:rPr>
          <w:i/>
        </w:rPr>
        <w:t xml:space="preserve">Vavilov </w:t>
      </w:r>
      <w:r w:rsidRPr="003163C7">
        <w:t xml:space="preserve">was clear that constitutional matters not requiring courts to supply final and determinate answers fall outside the exception to the presumption of reasonableness review. Accordingly, individualized decisions involving the application of the </w:t>
      </w:r>
      <w:r w:rsidRPr="003163C7">
        <w:rPr>
          <w:i/>
        </w:rPr>
        <w:t>Charter</w:t>
      </w:r>
      <w:r w:rsidRPr="003163C7">
        <w:t xml:space="preserve"> that are intrinsically linked to a specific factual and statutory context will generally not engage the same rule of law concern about potential inconsistency as that which motivated the correctness exception for constitutional questions in </w:t>
      </w:r>
      <w:r w:rsidRPr="003163C7">
        <w:rPr>
          <w:i/>
        </w:rPr>
        <w:t>Vavilov</w:t>
      </w:r>
      <w:r w:rsidRPr="003163C7">
        <w:t xml:space="preserve">. Courts do not possess a monopoly over the adjudication of </w:t>
      </w:r>
      <w:r w:rsidRPr="003163C7">
        <w:rPr>
          <w:i/>
        </w:rPr>
        <w:t>Charter</w:t>
      </w:r>
      <w:r w:rsidR="00B84D81" w:rsidRPr="003163C7">
        <w:noBreakHyphen/>
      </w:r>
      <w:r w:rsidRPr="003163C7">
        <w:t>related issues in the administrative context.</w:t>
      </w:r>
    </w:p>
    <w:p w14:paraId="71D8CBCA" w14:textId="5D04EC3A" w:rsidR="00DD07E5" w:rsidRPr="003163C7" w:rsidRDefault="00DD07E5" w:rsidP="00DD07E5">
      <w:pPr>
        <w:pStyle w:val="SCCNormalDoubleSpacing"/>
        <w:spacing w:after="480"/>
      </w:pPr>
      <w:r w:rsidRPr="003163C7">
        <w:tab/>
        <w:t>Although the arbitrator’s decision in the instant case is unreasonable, there is disagreement with the majority that</w:t>
      </w:r>
      <w:r w:rsidR="00D41AB7" w:rsidRPr="003163C7">
        <w:t xml:space="preserve"> </w:t>
      </w:r>
      <w:r w:rsidRPr="003163C7">
        <w:t>it must be quashed because the arbitrator did not expressly state that s.</w:t>
      </w:r>
      <w:r w:rsidR="00B84D81" w:rsidRPr="003163C7">
        <w:t> </w:t>
      </w:r>
      <w:r w:rsidRPr="003163C7">
        <w:t xml:space="preserve">8 of the </w:t>
      </w:r>
      <w:r w:rsidRPr="003163C7">
        <w:rPr>
          <w:i/>
        </w:rPr>
        <w:t>Charter</w:t>
      </w:r>
      <w:r w:rsidRPr="003163C7">
        <w:t xml:space="preserve"> </w:t>
      </w:r>
      <w:r w:rsidR="00AC110E" w:rsidRPr="003163C7">
        <w:t>applied</w:t>
      </w:r>
      <w:r w:rsidRPr="003163C7">
        <w:t xml:space="preserve"> or that she conducted her analysis without regard to the legal framework under s.</w:t>
      </w:r>
      <w:r w:rsidR="00B84D81" w:rsidRPr="003163C7">
        <w:t> </w:t>
      </w:r>
      <w:r w:rsidRPr="003163C7">
        <w:t xml:space="preserve">8. That conclusion seizes on form, contrary to </w:t>
      </w:r>
      <w:r w:rsidRPr="003163C7">
        <w:rPr>
          <w:i/>
        </w:rPr>
        <w:t>Vavilov</w:t>
      </w:r>
      <w:r w:rsidRPr="003163C7">
        <w:t>’s teachings. Administrative decisions are to be considered functionally, with an eye to substance, not form. The Court’s s.</w:t>
      </w:r>
      <w:r w:rsidR="00B84D81" w:rsidRPr="003163C7">
        <w:t> </w:t>
      </w:r>
      <w:r w:rsidRPr="003163C7">
        <w:t xml:space="preserve">8 </w:t>
      </w:r>
      <w:r w:rsidRPr="003163C7">
        <w:rPr>
          <w:i/>
        </w:rPr>
        <w:t>Charter</w:t>
      </w:r>
      <w:r w:rsidRPr="003163C7">
        <w:t xml:space="preserve"> jurisprudence was specifically argued by the parties, and the arbitrator’s reasons clearly demonstrate she appreciated that the s.</w:t>
      </w:r>
      <w:r w:rsidR="00B84D81" w:rsidRPr="003163C7">
        <w:t> </w:t>
      </w:r>
      <w:r w:rsidRPr="003163C7">
        <w:t xml:space="preserve">8 privacy framework constrained her decision. The arbitrator’s reasons demonstrate she was reviewing the challenged conduct using the s. 8 </w:t>
      </w:r>
      <w:r w:rsidRPr="003163C7">
        <w:rPr>
          <w:i/>
        </w:rPr>
        <w:t>Charter</w:t>
      </w:r>
      <w:r w:rsidRPr="003163C7">
        <w:t xml:space="preserve"> framework as a touchstone. The arbitrator understood that administrative decision-makers must act consistently with the </w:t>
      </w:r>
      <w:r w:rsidRPr="003163C7">
        <w:rPr>
          <w:i/>
        </w:rPr>
        <w:t>Charter</w:t>
      </w:r>
      <w:r w:rsidRPr="003163C7">
        <w:t xml:space="preserve"> and its values when exercising statutory functions. Reading the arbitrator’s decision as a whole as </w:t>
      </w:r>
      <w:r w:rsidRPr="003163C7">
        <w:rPr>
          <w:i/>
        </w:rPr>
        <w:t>Vavilov</w:t>
      </w:r>
      <w:r w:rsidRPr="003163C7">
        <w:t xml:space="preserve"> instructs, and with sensitivity to the institutional and procedural context in which it was made, she plainly understood that the </w:t>
      </w:r>
      <w:r w:rsidRPr="003163C7">
        <w:rPr>
          <w:i/>
        </w:rPr>
        <w:t>Charter</w:t>
      </w:r>
      <w:r w:rsidRPr="003163C7">
        <w:t xml:space="preserve"> and s.</w:t>
      </w:r>
      <w:r w:rsidR="00B84D81" w:rsidRPr="003163C7">
        <w:t> </w:t>
      </w:r>
      <w:r w:rsidRPr="003163C7">
        <w:t xml:space="preserve">8 jurisprudence bore on the grievance. </w:t>
      </w:r>
    </w:p>
    <w:p w14:paraId="47316792" w14:textId="782D65D4" w:rsidR="00A149DF" w:rsidRPr="003163C7" w:rsidRDefault="002E6705" w:rsidP="00BC12F3">
      <w:pPr>
        <w:pStyle w:val="SCCNormalDoubleSpacing"/>
        <w:widowControl w:val="0"/>
        <w:spacing w:after="720" w:line="240" w:lineRule="auto"/>
        <w:rPr>
          <w:b/>
        </w:rPr>
      </w:pPr>
      <w:r w:rsidRPr="003163C7">
        <w:rPr>
          <w:b/>
        </w:rPr>
        <w:t>Cases Cited</w:t>
      </w:r>
    </w:p>
    <w:p w14:paraId="6B9F4AB7" w14:textId="71E88F3E" w:rsidR="00A26CD5" w:rsidRPr="003163C7" w:rsidRDefault="005068B4" w:rsidP="00BC12F3">
      <w:pPr>
        <w:pStyle w:val="SCCNormalDoubleSpacing"/>
        <w:widowControl w:val="0"/>
        <w:spacing w:after="720" w:line="240" w:lineRule="auto"/>
      </w:pPr>
      <w:r w:rsidRPr="003163C7">
        <w:t>By Rowe </w:t>
      </w:r>
      <w:r w:rsidR="00A26CD5" w:rsidRPr="003163C7">
        <w:t>J.</w:t>
      </w:r>
    </w:p>
    <w:p w14:paraId="1F359C6B" w14:textId="47A083C6" w:rsidR="00136355" w:rsidRPr="003163C7" w:rsidRDefault="002E6705" w:rsidP="00677420">
      <w:pPr>
        <w:pStyle w:val="SCCNormalDoubleSpacing"/>
        <w:widowControl w:val="0"/>
        <w:spacing w:after="480"/>
      </w:pPr>
      <w:r w:rsidRPr="003163C7">
        <w:tab/>
      </w:r>
      <w:r w:rsidR="00FE1C86" w:rsidRPr="003163C7">
        <w:rPr>
          <w:b/>
        </w:rPr>
        <w:t>Applied:</w:t>
      </w:r>
      <w:r w:rsidR="00FE1C86" w:rsidRPr="003163C7">
        <w:t xml:space="preserve"> </w:t>
      </w:r>
      <w:r w:rsidR="00FE1C86" w:rsidRPr="003163C7">
        <w:rPr>
          <w:i/>
          <w:iCs/>
        </w:rPr>
        <w:t>Canada (Minister of Citizenship and Immigration) v. Vavilov</w:t>
      </w:r>
      <w:r w:rsidR="00FE1C86" w:rsidRPr="003163C7">
        <w:t xml:space="preserve">, 2019 SCC 65, [2019] 4 S.C.R. 653; </w:t>
      </w:r>
      <w:r w:rsidR="00FE1C86" w:rsidRPr="003163C7">
        <w:rPr>
          <w:i/>
        </w:rPr>
        <w:t>Eldridge v. British Columbia (Attorney General)</w:t>
      </w:r>
      <w:r w:rsidR="00FE1C86" w:rsidRPr="003163C7">
        <w:t>,</w:t>
      </w:r>
      <w:r w:rsidR="00FE1C86" w:rsidRPr="003163C7">
        <w:rPr>
          <w:i/>
        </w:rPr>
        <w:t xml:space="preserve"> </w:t>
      </w:r>
      <w:r w:rsidR="00FE1C86" w:rsidRPr="003163C7">
        <w:t xml:space="preserve">[1997] 3 S.C.R. 624; </w:t>
      </w:r>
      <w:r w:rsidR="00FE1C86" w:rsidRPr="003163C7">
        <w:rPr>
          <w:i/>
        </w:rPr>
        <w:t>R. v. Conway</w:t>
      </w:r>
      <w:r w:rsidR="00FE1C86" w:rsidRPr="003163C7">
        <w:t>, 2010 SCC 22, [2010] 1 S.C.R. 765;</w:t>
      </w:r>
      <w:r w:rsidR="00FE1C86" w:rsidRPr="003163C7">
        <w:rPr>
          <w:i/>
        </w:rPr>
        <w:t xml:space="preserve"> </w:t>
      </w:r>
      <w:r w:rsidR="00FE1C86" w:rsidRPr="003163C7">
        <w:rPr>
          <w:b/>
        </w:rPr>
        <w:t>considered:</w:t>
      </w:r>
      <w:r w:rsidR="00FE1C86" w:rsidRPr="003163C7">
        <w:rPr>
          <w:i/>
          <w:iCs/>
          <w:lang w:bidi="en-US"/>
        </w:rPr>
        <w:t xml:space="preserve"> </w:t>
      </w:r>
      <w:r w:rsidR="00FE1C86" w:rsidRPr="003163C7">
        <w:rPr>
          <w:i/>
          <w:iCs/>
        </w:rPr>
        <w:t>R. v. Cole</w:t>
      </w:r>
      <w:r w:rsidR="00FE1C86" w:rsidRPr="003163C7">
        <w:t xml:space="preserve">, 2012 SCC 53, [2012] 3 S.C.R. 34; </w:t>
      </w:r>
      <w:r w:rsidR="00FE1C86" w:rsidRPr="003163C7">
        <w:rPr>
          <w:b/>
        </w:rPr>
        <w:t>r</w:t>
      </w:r>
      <w:r w:rsidRPr="003163C7">
        <w:rPr>
          <w:b/>
        </w:rPr>
        <w:t>eferred to:</w:t>
      </w:r>
      <w:r w:rsidR="00BD0E9E" w:rsidRPr="003163C7">
        <w:t xml:space="preserve"> </w:t>
      </w:r>
      <w:proofErr w:type="spellStart"/>
      <w:r w:rsidR="00827C1D" w:rsidRPr="003163C7">
        <w:rPr>
          <w:i/>
          <w:iCs/>
          <w:color w:val="000000"/>
        </w:rPr>
        <w:t>Doré</w:t>
      </w:r>
      <w:proofErr w:type="spellEnd"/>
      <w:r w:rsidR="00827C1D" w:rsidRPr="003163C7">
        <w:rPr>
          <w:i/>
          <w:iCs/>
          <w:color w:val="000000"/>
        </w:rPr>
        <w:t xml:space="preserve"> v. Barreau du Québec</w:t>
      </w:r>
      <w:r w:rsidR="00827C1D" w:rsidRPr="003163C7">
        <w:rPr>
          <w:color w:val="000000"/>
        </w:rPr>
        <w:t xml:space="preserve">, 2012 SCC 12, [2012] 1 S.C.R. 395; </w:t>
      </w:r>
      <w:r w:rsidR="00827C1D" w:rsidRPr="003163C7">
        <w:rPr>
          <w:i/>
        </w:rPr>
        <w:t>R. v. Marakah</w:t>
      </w:r>
      <w:r w:rsidR="00827C1D" w:rsidRPr="003163C7">
        <w:t xml:space="preserve">, 2017 SCC 59, [2017] 2 S.C.R 608; </w:t>
      </w:r>
      <w:r w:rsidR="00827C1D" w:rsidRPr="003163C7">
        <w:rPr>
          <w:i/>
        </w:rPr>
        <w:t>R. v. Wong</w:t>
      </w:r>
      <w:r w:rsidR="00827C1D" w:rsidRPr="003163C7">
        <w:t xml:space="preserve">, [1990] 3 S.C.R. 36; </w:t>
      </w:r>
      <w:r w:rsidR="00827C1D" w:rsidRPr="003163C7">
        <w:rPr>
          <w:i/>
        </w:rPr>
        <w:t>R. v. Shepherd</w:t>
      </w:r>
      <w:r w:rsidR="00827C1D" w:rsidRPr="003163C7">
        <w:t xml:space="preserve">, 2009 SCC 35, [2009] 2 S.C.R. 527; </w:t>
      </w:r>
      <w:r w:rsidR="00827C1D" w:rsidRPr="003163C7">
        <w:rPr>
          <w:i/>
        </w:rPr>
        <w:t>Agraira v. Canada (Public Safety and Emergency Preparedness)</w:t>
      </w:r>
      <w:r w:rsidR="00827C1D" w:rsidRPr="003163C7">
        <w:t>,</w:t>
      </w:r>
      <w:r w:rsidR="00827C1D" w:rsidRPr="003163C7">
        <w:rPr>
          <w:i/>
        </w:rPr>
        <w:t xml:space="preserve"> </w:t>
      </w:r>
      <w:r w:rsidR="00827C1D" w:rsidRPr="003163C7">
        <w:t xml:space="preserve">2013 SCC 36, [2013] 2 S.C.R. 559; </w:t>
      </w:r>
      <w:proofErr w:type="spellStart"/>
      <w:r w:rsidR="00827C1D" w:rsidRPr="003163C7">
        <w:rPr>
          <w:i/>
        </w:rPr>
        <w:t>Longueépée</w:t>
      </w:r>
      <w:proofErr w:type="spellEnd"/>
      <w:r w:rsidR="00827C1D" w:rsidRPr="003163C7">
        <w:rPr>
          <w:i/>
        </w:rPr>
        <w:t xml:space="preserve"> v. University of Waterloo</w:t>
      </w:r>
      <w:r w:rsidR="00827C1D" w:rsidRPr="003163C7">
        <w:t xml:space="preserve">, 2020 ONCA 830, 153 O.R. (3d) 641; </w:t>
      </w:r>
      <w:r w:rsidR="00827C1D" w:rsidRPr="003163C7">
        <w:rPr>
          <w:i/>
        </w:rPr>
        <w:t>R</w:t>
      </w:r>
      <w:r w:rsidR="007270F8" w:rsidRPr="003163C7">
        <w:rPr>
          <w:i/>
        </w:rPr>
        <w:t xml:space="preserve">. v. M. </w:t>
      </w:r>
      <w:r w:rsidR="00827C1D" w:rsidRPr="003163C7">
        <w:rPr>
          <w:i/>
        </w:rPr>
        <w:t>(M.R.)</w:t>
      </w:r>
      <w:r w:rsidR="00827C1D" w:rsidRPr="003163C7">
        <w:t xml:space="preserve">, [1998] 3 S.C.R. 393; </w:t>
      </w:r>
      <w:r w:rsidR="00827C1D" w:rsidRPr="003163C7">
        <w:rPr>
          <w:i/>
        </w:rPr>
        <w:t>Godbout v. Longue</w:t>
      </w:r>
      <w:r w:rsidR="0019625D" w:rsidRPr="003163C7">
        <w:rPr>
          <w:i/>
        </w:rPr>
        <w:t>u</w:t>
      </w:r>
      <w:r w:rsidR="00827C1D" w:rsidRPr="003163C7">
        <w:rPr>
          <w:i/>
        </w:rPr>
        <w:t>il (</w:t>
      </w:r>
      <w:r w:rsidR="00A44E0C" w:rsidRPr="003163C7">
        <w:rPr>
          <w:i/>
        </w:rPr>
        <w:t>City</w:t>
      </w:r>
      <w:r w:rsidR="00827C1D" w:rsidRPr="003163C7">
        <w:rPr>
          <w:i/>
        </w:rPr>
        <w:t>)</w:t>
      </w:r>
      <w:r w:rsidR="0019625D" w:rsidRPr="003163C7">
        <w:t>,</w:t>
      </w:r>
      <w:r w:rsidR="00827C1D" w:rsidRPr="003163C7">
        <w:t xml:space="preserve"> </w:t>
      </w:r>
      <w:r w:rsidR="00827C1D" w:rsidRPr="003163C7">
        <w:rPr>
          <w:lang w:val="en-US"/>
        </w:rPr>
        <w:t xml:space="preserve">[1997] 3 S.C.R. 844; </w:t>
      </w:r>
      <w:r w:rsidR="00827C1D" w:rsidRPr="003163C7">
        <w:rPr>
          <w:i/>
          <w:lang w:val="en-US"/>
        </w:rPr>
        <w:t>R. v. Collins</w:t>
      </w:r>
      <w:r w:rsidR="00827C1D" w:rsidRPr="003163C7">
        <w:rPr>
          <w:lang w:val="en-US"/>
        </w:rPr>
        <w:t xml:space="preserve">, [1987] 1 S.C.R. 26; </w:t>
      </w:r>
      <w:r w:rsidR="00B246B8" w:rsidRPr="003163C7">
        <w:rPr>
          <w:i/>
          <w:iCs/>
          <w:lang w:val="en-US" w:bidi="en-US"/>
        </w:rPr>
        <w:t>Law Society of British Columbia v. Trinity Western University</w:t>
      </w:r>
      <w:r w:rsidR="00AF0696" w:rsidRPr="003163C7">
        <w:rPr>
          <w:lang w:val="en-US" w:bidi="en-US"/>
        </w:rPr>
        <w:t xml:space="preserve">, </w:t>
      </w:r>
      <w:r w:rsidR="00B246B8" w:rsidRPr="003163C7">
        <w:rPr>
          <w:lang w:val="en-US" w:bidi="en-US"/>
        </w:rPr>
        <w:t xml:space="preserve">2018 SCC 32, [2018] 2 S.C.R. 293; </w:t>
      </w:r>
      <w:r w:rsidR="00B246B8" w:rsidRPr="003163C7">
        <w:rPr>
          <w:i/>
          <w:lang w:bidi="en-US"/>
        </w:rPr>
        <w:t>Canadian Broadcasting Corp. v. Ferrier</w:t>
      </w:r>
      <w:r w:rsidR="00B246B8" w:rsidRPr="003163C7">
        <w:rPr>
          <w:lang w:bidi="en-US"/>
        </w:rPr>
        <w:t xml:space="preserve">, 2019 ONCA 1025, 148 O.R. (3d) 705; </w:t>
      </w:r>
      <w:r w:rsidR="00711511" w:rsidRPr="003163C7">
        <w:rPr>
          <w:i/>
        </w:rPr>
        <w:t>Société des casinos du Québec inc. v. Association des cadres de la Société des casinos du Québec</w:t>
      </w:r>
      <w:r w:rsidR="00711511" w:rsidRPr="003163C7">
        <w:t>, 2024 SCC 13;</w:t>
      </w:r>
      <w:r w:rsidR="00711511" w:rsidRPr="003163C7">
        <w:rPr>
          <w:lang w:bidi="en-US"/>
        </w:rPr>
        <w:t xml:space="preserve"> </w:t>
      </w:r>
      <w:r w:rsidR="00711511" w:rsidRPr="003163C7">
        <w:rPr>
          <w:i/>
          <w:iCs/>
        </w:rPr>
        <w:t>Canadian Broadcasting Corporation v. Canada (Parole Board)</w:t>
      </w:r>
      <w:r w:rsidR="00711511" w:rsidRPr="003163C7">
        <w:t xml:space="preserve">, 2023 FCA 166, 429 C.C.C. (3d) 69; </w:t>
      </w:r>
      <w:proofErr w:type="spellStart"/>
      <w:r w:rsidR="00506C16" w:rsidRPr="003163C7">
        <w:rPr>
          <w:i/>
        </w:rPr>
        <w:t>Mouvement</w:t>
      </w:r>
      <w:proofErr w:type="spellEnd"/>
      <w:r w:rsidR="00506C16" w:rsidRPr="003163C7">
        <w:rPr>
          <w:i/>
        </w:rPr>
        <w:t xml:space="preserve"> </w:t>
      </w:r>
      <w:proofErr w:type="spellStart"/>
      <w:r w:rsidR="00506C16" w:rsidRPr="003163C7">
        <w:rPr>
          <w:i/>
        </w:rPr>
        <w:t>laïque</w:t>
      </w:r>
      <w:proofErr w:type="spellEnd"/>
      <w:r w:rsidR="00506C16" w:rsidRPr="003163C7">
        <w:rPr>
          <w:i/>
        </w:rPr>
        <w:t xml:space="preserve"> québécois v. Saguenay (City)</w:t>
      </w:r>
      <w:r w:rsidR="00506C16" w:rsidRPr="003163C7">
        <w:t xml:space="preserve">, 2015 SCC 16, [2015] 2 S.C.R. 3; </w:t>
      </w:r>
      <w:proofErr w:type="spellStart"/>
      <w:r w:rsidR="00711511" w:rsidRPr="003163C7">
        <w:rPr>
          <w:i/>
        </w:rPr>
        <w:t>Multani</w:t>
      </w:r>
      <w:proofErr w:type="spellEnd"/>
      <w:r w:rsidR="00711511" w:rsidRPr="003163C7">
        <w:rPr>
          <w:i/>
        </w:rPr>
        <w:t xml:space="preserve"> v. Commission scolaire Marguerite</w:t>
      </w:r>
      <w:r w:rsidR="00711511" w:rsidRPr="003163C7">
        <w:rPr>
          <w:i/>
        </w:rPr>
        <w:noBreakHyphen/>
      </w:r>
      <w:proofErr w:type="spellStart"/>
      <w:r w:rsidR="00711511" w:rsidRPr="003163C7">
        <w:rPr>
          <w:i/>
        </w:rPr>
        <w:t>Bourgeoys</w:t>
      </w:r>
      <w:proofErr w:type="spellEnd"/>
      <w:r w:rsidR="00711511" w:rsidRPr="003163C7">
        <w:t xml:space="preserve">, 2006 SCC 6, [2006] 1 S.C.R. 256; </w:t>
      </w:r>
      <w:r w:rsidR="00711511" w:rsidRPr="003163C7">
        <w:rPr>
          <w:i/>
        </w:rPr>
        <w:t>Chamberlain v. Surrey School District No. 36</w:t>
      </w:r>
      <w:r w:rsidR="00711511" w:rsidRPr="003163C7">
        <w:t xml:space="preserve">, 2002 SCC 86, [2002] 4 S.C.R. 710; </w:t>
      </w:r>
      <w:r w:rsidR="00711511" w:rsidRPr="003163C7">
        <w:rPr>
          <w:i/>
        </w:rPr>
        <w:t>British Columbia Public School Employers’ Assn. v. B.C.T.F.</w:t>
      </w:r>
      <w:r w:rsidR="00711511" w:rsidRPr="003163C7">
        <w:t>, 2005 BCCA 393, 257 D.L.R. (4th)</w:t>
      </w:r>
      <w:r w:rsidR="00711511" w:rsidRPr="003163C7">
        <w:rPr>
          <w:vertAlign w:val="superscript"/>
        </w:rPr>
        <w:t xml:space="preserve"> </w:t>
      </w:r>
      <w:r w:rsidR="00711511" w:rsidRPr="003163C7">
        <w:t xml:space="preserve">385; </w:t>
      </w:r>
      <w:proofErr w:type="spellStart"/>
      <w:r w:rsidR="00711511" w:rsidRPr="003163C7">
        <w:rPr>
          <w:i/>
        </w:rPr>
        <w:t>Gillies</w:t>
      </w:r>
      <w:proofErr w:type="spellEnd"/>
      <w:r w:rsidR="00711511" w:rsidRPr="003163C7">
        <w:rPr>
          <w:i/>
        </w:rPr>
        <w:t xml:space="preserve"> (Litigation Guardian of) v. Toronto District School Board</w:t>
      </w:r>
      <w:r w:rsidR="00711511" w:rsidRPr="003163C7">
        <w:t>,</w:t>
      </w:r>
      <w:r w:rsidR="00711511" w:rsidRPr="003163C7">
        <w:rPr>
          <w:i/>
        </w:rPr>
        <w:t xml:space="preserve"> </w:t>
      </w:r>
      <w:r w:rsidR="00711511" w:rsidRPr="003163C7">
        <w:t xml:space="preserve">2015 ONSC 1038, 125 O.R. (3d) 17; </w:t>
      </w:r>
      <w:r w:rsidR="00711511" w:rsidRPr="003163C7">
        <w:rPr>
          <w:i/>
        </w:rPr>
        <w:t>Calgary Roman Catholic Separate School District No. 1 v. O’Malley</w:t>
      </w:r>
      <w:r w:rsidR="00711511" w:rsidRPr="003163C7">
        <w:t xml:space="preserve">, 2007 ABQB 574, 81 Alta. L.R. (4th) 261; </w:t>
      </w:r>
      <w:r w:rsidR="00711511" w:rsidRPr="003163C7">
        <w:rPr>
          <w:i/>
        </w:rPr>
        <w:t>Hamilton v. Rocky View School Division No. 41</w:t>
      </w:r>
      <w:r w:rsidR="00711511" w:rsidRPr="003163C7">
        <w:t xml:space="preserve">, 2009 ABQB 225, 192 C.R.R. (2d) 22; </w:t>
      </w:r>
      <w:r w:rsidR="00711511" w:rsidRPr="003163C7">
        <w:rPr>
          <w:i/>
        </w:rPr>
        <w:t>Greater Vancouver Transportation Authority v. Canadian Federation of Students — British Columbia Component</w:t>
      </w:r>
      <w:r w:rsidR="00711511" w:rsidRPr="003163C7">
        <w:t xml:space="preserve">, 2009 SCC 31, [2009] 2 S.C.R. 295; </w:t>
      </w:r>
      <w:proofErr w:type="spellStart"/>
      <w:r w:rsidR="00711511" w:rsidRPr="003163C7">
        <w:rPr>
          <w:i/>
        </w:rPr>
        <w:t>UAlberta</w:t>
      </w:r>
      <w:proofErr w:type="spellEnd"/>
      <w:r w:rsidR="00711511" w:rsidRPr="003163C7">
        <w:rPr>
          <w:i/>
        </w:rPr>
        <w:t xml:space="preserve"> Pro</w:t>
      </w:r>
      <w:r w:rsidR="00B84D81" w:rsidRPr="003163C7">
        <w:rPr>
          <w:i/>
        </w:rPr>
        <w:noBreakHyphen/>
      </w:r>
      <w:r w:rsidR="00711511" w:rsidRPr="003163C7">
        <w:rPr>
          <w:i/>
        </w:rPr>
        <w:t>Life v. Governors of the University of Alberta</w:t>
      </w:r>
      <w:r w:rsidR="00711511" w:rsidRPr="003163C7">
        <w:t xml:space="preserve">, 2020 ABCA 1, 98 Alta. L.R. (6th) 252; </w:t>
      </w:r>
      <w:r w:rsidR="007645D8" w:rsidRPr="003163C7">
        <w:rPr>
          <w:i/>
        </w:rPr>
        <w:t>Cooper v. Canada (Human Rights Commission</w:t>
      </w:r>
      <w:r w:rsidR="007645D8" w:rsidRPr="003163C7">
        <w:t xml:space="preserve">), [1996] 3 S.C.R. 854; </w:t>
      </w:r>
      <w:r w:rsidR="00136355" w:rsidRPr="003163C7">
        <w:rPr>
          <w:i/>
        </w:rPr>
        <w:t>R. v. Bird</w:t>
      </w:r>
      <w:r w:rsidR="00136355" w:rsidRPr="003163C7">
        <w:t>, 2019 SCC 7, [2019] 1 S.C.R. 409</w:t>
      </w:r>
      <w:r w:rsidR="006F6C0F" w:rsidRPr="003163C7">
        <w:rPr>
          <w:szCs w:val="24"/>
        </w:rPr>
        <w:t xml:space="preserve">; </w:t>
      </w:r>
      <w:r w:rsidR="00136355" w:rsidRPr="003163C7">
        <w:rPr>
          <w:i/>
        </w:rPr>
        <w:t xml:space="preserve">R. v. </w:t>
      </w:r>
      <w:proofErr w:type="spellStart"/>
      <w:r w:rsidR="00136355" w:rsidRPr="003163C7">
        <w:rPr>
          <w:i/>
        </w:rPr>
        <w:t>McKinlay</w:t>
      </w:r>
      <w:proofErr w:type="spellEnd"/>
      <w:r w:rsidR="00136355" w:rsidRPr="003163C7">
        <w:rPr>
          <w:i/>
        </w:rPr>
        <w:t xml:space="preserve"> Transport Ltd.</w:t>
      </w:r>
      <w:r w:rsidR="00136355" w:rsidRPr="003163C7">
        <w:t xml:space="preserve">, [1990] 1 S.C.R. 627; </w:t>
      </w:r>
      <w:proofErr w:type="spellStart"/>
      <w:r w:rsidR="00136355" w:rsidRPr="003163C7">
        <w:rPr>
          <w:i/>
        </w:rPr>
        <w:t>Comité</w:t>
      </w:r>
      <w:proofErr w:type="spellEnd"/>
      <w:r w:rsidR="00136355" w:rsidRPr="003163C7">
        <w:rPr>
          <w:i/>
        </w:rPr>
        <w:t xml:space="preserve"> </w:t>
      </w:r>
      <w:proofErr w:type="spellStart"/>
      <w:r w:rsidR="00136355" w:rsidRPr="003163C7">
        <w:rPr>
          <w:i/>
        </w:rPr>
        <w:t>paritaire</w:t>
      </w:r>
      <w:proofErr w:type="spellEnd"/>
      <w:r w:rsidR="00136355" w:rsidRPr="003163C7">
        <w:rPr>
          <w:i/>
        </w:rPr>
        <w:t xml:space="preserve"> de </w:t>
      </w:r>
      <w:proofErr w:type="spellStart"/>
      <w:r w:rsidR="00136355" w:rsidRPr="003163C7">
        <w:rPr>
          <w:i/>
        </w:rPr>
        <w:t>l’industrie</w:t>
      </w:r>
      <w:proofErr w:type="spellEnd"/>
      <w:r w:rsidR="00136355" w:rsidRPr="003163C7">
        <w:rPr>
          <w:i/>
        </w:rPr>
        <w:t xml:space="preserve"> de la chemise v. Potash</w:t>
      </w:r>
      <w:r w:rsidR="00136355" w:rsidRPr="003163C7">
        <w:t>, [1994] 2 S.C.R. 406</w:t>
      </w:r>
      <w:r w:rsidR="00C676FE" w:rsidRPr="003163C7">
        <w:t xml:space="preserve">; </w:t>
      </w:r>
      <w:r w:rsidR="00506C16" w:rsidRPr="003163C7">
        <w:rPr>
          <w:i/>
        </w:rPr>
        <w:t>R. v. Edwards</w:t>
      </w:r>
      <w:r w:rsidR="00506C16" w:rsidRPr="003163C7">
        <w:t xml:space="preserve">, [1996] 1 S.C.R. 128; </w:t>
      </w:r>
      <w:r w:rsidR="00C676FE" w:rsidRPr="003163C7">
        <w:rPr>
          <w:i/>
        </w:rPr>
        <w:t>R. v. Tessling</w:t>
      </w:r>
      <w:r w:rsidR="00C676FE" w:rsidRPr="003163C7">
        <w:t>, 2004 SCC 67, [2004] 3 S.C.R. 432;</w:t>
      </w:r>
      <w:r w:rsidR="0006339E" w:rsidRPr="003163C7">
        <w:t xml:space="preserve"> </w:t>
      </w:r>
      <w:r w:rsidR="0006339E" w:rsidRPr="003163C7">
        <w:rPr>
          <w:i/>
        </w:rPr>
        <w:t>R. v. Plant</w:t>
      </w:r>
      <w:r w:rsidR="0006339E" w:rsidRPr="003163C7">
        <w:t>, [1993] 3 S.C.R. 281;</w:t>
      </w:r>
      <w:r w:rsidR="00C676FE" w:rsidRPr="003163C7">
        <w:t xml:space="preserve"> </w:t>
      </w:r>
      <w:r w:rsidR="00B261C8" w:rsidRPr="003163C7">
        <w:rPr>
          <w:i/>
        </w:rPr>
        <w:t xml:space="preserve">R. v. </w:t>
      </w:r>
      <w:proofErr w:type="spellStart"/>
      <w:r w:rsidR="00B261C8" w:rsidRPr="003163C7">
        <w:rPr>
          <w:i/>
        </w:rPr>
        <w:t>Gomboc</w:t>
      </w:r>
      <w:proofErr w:type="spellEnd"/>
      <w:r w:rsidR="00B261C8" w:rsidRPr="003163C7">
        <w:t>, 2010 SCC 55, [2010] 3 S.C.R. 211</w:t>
      </w:r>
      <w:r w:rsidR="00C676FE" w:rsidRPr="003163C7">
        <w:t xml:space="preserve">; </w:t>
      </w:r>
      <w:r w:rsidR="00C676FE" w:rsidRPr="003163C7">
        <w:rPr>
          <w:i/>
        </w:rPr>
        <w:t>R. v. Patrick</w:t>
      </w:r>
      <w:r w:rsidR="00C676FE" w:rsidRPr="003163C7">
        <w:t>,</w:t>
      </w:r>
      <w:r w:rsidR="00D524CA" w:rsidRPr="003163C7">
        <w:t xml:space="preserve"> 2009 SCC 17,</w:t>
      </w:r>
      <w:r w:rsidR="00C676FE" w:rsidRPr="003163C7">
        <w:t xml:space="preserve"> [2009] 1 S.C.R. 579;</w:t>
      </w:r>
      <w:r w:rsidR="00B261C8" w:rsidRPr="003163C7">
        <w:t xml:space="preserve"> </w:t>
      </w:r>
      <w:r w:rsidR="00DE0242" w:rsidRPr="003163C7">
        <w:rPr>
          <w:i/>
          <w:lang w:val="x-none"/>
        </w:rPr>
        <w:t>Thomson Newspapers Ltd. v. Canada (Director of Investigation and Research</w:t>
      </w:r>
      <w:r w:rsidR="00DE0242" w:rsidRPr="003163C7">
        <w:rPr>
          <w:i/>
        </w:rPr>
        <w:t>, Restrictive Trade Practices Commission</w:t>
      </w:r>
      <w:r w:rsidR="00DE0242" w:rsidRPr="003163C7">
        <w:rPr>
          <w:i/>
          <w:lang w:val="x-none"/>
        </w:rPr>
        <w:t>)</w:t>
      </w:r>
      <w:r w:rsidR="00DE0242" w:rsidRPr="003163C7">
        <w:rPr>
          <w:lang w:val="x-none"/>
        </w:rPr>
        <w:t>,</w:t>
      </w:r>
      <w:r w:rsidR="00DE0242" w:rsidRPr="003163C7">
        <w:rPr>
          <w:i/>
          <w:lang w:val="x-none"/>
        </w:rPr>
        <w:t xml:space="preserve"> </w:t>
      </w:r>
      <w:r w:rsidR="00DE0242" w:rsidRPr="003163C7">
        <w:rPr>
          <w:lang w:val="x-none"/>
        </w:rPr>
        <w:t>[1990] 1 S</w:t>
      </w:r>
      <w:r w:rsidR="00DE0242" w:rsidRPr="003163C7">
        <w:t>.</w:t>
      </w:r>
      <w:r w:rsidR="00DE0242" w:rsidRPr="003163C7">
        <w:rPr>
          <w:lang w:val="x-none"/>
        </w:rPr>
        <w:t>C</w:t>
      </w:r>
      <w:r w:rsidR="00DE0242" w:rsidRPr="003163C7">
        <w:t>.</w:t>
      </w:r>
      <w:r w:rsidR="00DE0242" w:rsidRPr="003163C7">
        <w:rPr>
          <w:lang w:val="x-none"/>
        </w:rPr>
        <w:t>R</w:t>
      </w:r>
      <w:r w:rsidR="00DE0242" w:rsidRPr="003163C7">
        <w:t xml:space="preserve">. </w:t>
      </w:r>
      <w:r w:rsidR="00DE0242" w:rsidRPr="003163C7">
        <w:rPr>
          <w:lang w:val="x-none"/>
        </w:rPr>
        <w:t>425</w:t>
      </w:r>
      <w:r w:rsidR="00B261C8" w:rsidRPr="003163C7">
        <w:t xml:space="preserve">; </w:t>
      </w:r>
      <w:r w:rsidR="00B261C8" w:rsidRPr="003163C7">
        <w:rPr>
          <w:i/>
          <w:iCs/>
        </w:rPr>
        <w:t>Doman Forest Products Ltd</w:t>
      </w:r>
      <w:r w:rsidR="00D524CA" w:rsidRPr="003163C7">
        <w:rPr>
          <w:i/>
          <w:iCs/>
        </w:rPr>
        <w:t>.</w:t>
      </w:r>
      <w:r w:rsidR="00B261C8" w:rsidRPr="003163C7">
        <w:rPr>
          <w:i/>
          <w:iCs/>
        </w:rPr>
        <w:t xml:space="preserve"> and I.W.A., Loc.</w:t>
      </w:r>
      <w:r w:rsidR="007270F8" w:rsidRPr="003163C7">
        <w:rPr>
          <w:i/>
          <w:iCs/>
        </w:rPr>
        <w:t xml:space="preserve"> 1</w:t>
      </w:r>
      <w:r w:rsidR="007270F8" w:rsidRPr="003163C7">
        <w:rPr>
          <w:i/>
          <w:iCs/>
        </w:rPr>
        <w:noBreakHyphen/>
      </w:r>
      <w:r w:rsidR="00B261C8" w:rsidRPr="003163C7">
        <w:rPr>
          <w:i/>
          <w:iCs/>
        </w:rPr>
        <w:t xml:space="preserve">357, Re </w:t>
      </w:r>
      <w:r w:rsidR="00506C16" w:rsidRPr="003163C7">
        <w:rPr>
          <w:iCs/>
        </w:rPr>
        <w:t>(</w:t>
      </w:r>
      <w:r w:rsidR="00B261C8" w:rsidRPr="003163C7">
        <w:rPr>
          <w:iCs/>
        </w:rPr>
        <w:t>1990)</w:t>
      </w:r>
      <w:r w:rsidR="00B261C8" w:rsidRPr="003163C7">
        <w:t xml:space="preserve">, 13 L.A.C. (4th) 275; </w:t>
      </w:r>
      <w:r w:rsidR="00B261C8" w:rsidRPr="003163C7">
        <w:rPr>
          <w:i/>
        </w:rPr>
        <w:t>Toronto Transit Commission and A.T.U., Loc</w:t>
      </w:r>
      <w:r w:rsidR="00D524CA" w:rsidRPr="003163C7">
        <w:rPr>
          <w:i/>
        </w:rPr>
        <w:t>.</w:t>
      </w:r>
      <w:r w:rsidR="00B261C8" w:rsidRPr="003163C7">
        <w:rPr>
          <w:i/>
        </w:rPr>
        <w:t xml:space="preserve"> 113 (Belsito) (Re)</w:t>
      </w:r>
      <w:r w:rsidR="00B261C8" w:rsidRPr="003163C7">
        <w:t xml:space="preserve"> (1999), 95 L.A.C. (4th) 402</w:t>
      </w:r>
      <w:r w:rsidR="007A1B7F" w:rsidRPr="003163C7">
        <w:t>.</w:t>
      </w:r>
    </w:p>
    <w:p w14:paraId="680EB03B" w14:textId="11E1EBE9" w:rsidR="00A26CD5" w:rsidRPr="003163C7" w:rsidRDefault="002C5913" w:rsidP="00A26CD5">
      <w:pPr>
        <w:pStyle w:val="SCCNormalDoubleSpacing"/>
        <w:widowControl w:val="0"/>
        <w:spacing w:after="480"/>
        <w:rPr>
          <w:bCs/>
        </w:rPr>
      </w:pPr>
      <w:r w:rsidRPr="003163C7">
        <w:rPr>
          <w:bCs/>
        </w:rPr>
        <w:t xml:space="preserve">By </w:t>
      </w:r>
      <w:r w:rsidR="005068B4" w:rsidRPr="003163C7">
        <w:rPr>
          <w:bCs/>
        </w:rPr>
        <w:t>Karakatsanis and Martin </w:t>
      </w:r>
      <w:r w:rsidRPr="003163C7">
        <w:rPr>
          <w:bCs/>
        </w:rPr>
        <w:t>JJ.</w:t>
      </w:r>
    </w:p>
    <w:p w14:paraId="168BAA57" w14:textId="1DEFD2F7" w:rsidR="00A26CD5" w:rsidRPr="003163C7" w:rsidRDefault="00A26CD5" w:rsidP="00A26CD5">
      <w:pPr>
        <w:pStyle w:val="SCCNormalDoubleSpacing"/>
        <w:widowControl w:val="0"/>
        <w:spacing w:after="480"/>
        <w:rPr>
          <w:bCs/>
        </w:rPr>
      </w:pPr>
      <w:r w:rsidRPr="003163C7">
        <w:rPr>
          <w:bCs/>
        </w:rPr>
        <w:tab/>
      </w:r>
      <w:r w:rsidR="00FE1C86" w:rsidRPr="003163C7">
        <w:rPr>
          <w:b/>
          <w:bCs/>
        </w:rPr>
        <w:t>Applied:</w:t>
      </w:r>
      <w:r w:rsidR="00FE1C86" w:rsidRPr="003163C7">
        <w:rPr>
          <w:bCs/>
        </w:rPr>
        <w:t xml:space="preserve"> </w:t>
      </w:r>
      <w:r w:rsidR="00FE1C86" w:rsidRPr="003163C7">
        <w:rPr>
          <w:bCs/>
          <w:i/>
          <w:iCs/>
        </w:rPr>
        <w:t>Canada (Minister of Citizenship and Immigration) v. Vavilov</w:t>
      </w:r>
      <w:r w:rsidR="00FE1C86" w:rsidRPr="003163C7">
        <w:rPr>
          <w:bCs/>
        </w:rPr>
        <w:t xml:space="preserve">, 2019 SCC 65, [2019] 4 S.C.R. 653; </w:t>
      </w:r>
      <w:r w:rsidR="00FE1C86" w:rsidRPr="003163C7">
        <w:rPr>
          <w:b/>
          <w:bCs/>
        </w:rPr>
        <w:t>distinguished:</w:t>
      </w:r>
      <w:r w:rsidR="00FE1C86" w:rsidRPr="003163C7">
        <w:rPr>
          <w:bCs/>
        </w:rPr>
        <w:t xml:space="preserve"> </w:t>
      </w:r>
      <w:r w:rsidR="00FE1C86" w:rsidRPr="003163C7">
        <w:rPr>
          <w:bCs/>
          <w:i/>
        </w:rPr>
        <w:t>Société des casinos du Québec inc. v. Association des cadres de la Société des casinos du Québec</w:t>
      </w:r>
      <w:r w:rsidR="00FE1C86" w:rsidRPr="003163C7">
        <w:rPr>
          <w:bCs/>
        </w:rPr>
        <w:t xml:space="preserve">, 2024 SCC 13; </w:t>
      </w:r>
      <w:r w:rsidR="00FE1C86" w:rsidRPr="003163C7">
        <w:rPr>
          <w:b/>
          <w:bCs/>
        </w:rPr>
        <w:t>r</w:t>
      </w:r>
      <w:r w:rsidR="00A64A6F" w:rsidRPr="003163C7">
        <w:rPr>
          <w:b/>
        </w:rPr>
        <w:t>eferred to:</w:t>
      </w:r>
      <w:r w:rsidR="00A64A6F" w:rsidRPr="003163C7">
        <w:t xml:space="preserve"> </w:t>
      </w:r>
      <w:r w:rsidRPr="003163C7">
        <w:rPr>
          <w:i/>
        </w:rPr>
        <w:t>Eldridge v. British Columbia (Attorney General)</w:t>
      </w:r>
      <w:r w:rsidRPr="003163C7">
        <w:t>,</w:t>
      </w:r>
      <w:r w:rsidRPr="003163C7">
        <w:rPr>
          <w:i/>
        </w:rPr>
        <w:t xml:space="preserve"> </w:t>
      </w:r>
      <w:r w:rsidRPr="003163C7">
        <w:t>[1997] 3 S.C.R. 624</w:t>
      </w:r>
      <w:r w:rsidR="005E5168" w:rsidRPr="003163C7">
        <w:rPr>
          <w:bCs/>
        </w:rPr>
        <w:t xml:space="preserve">; </w:t>
      </w:r>
      <w:r w:rsidR="005E5168" w:rsidRPr="003163C7">
        <w:rPr>
          <w:i/>
        </w:rPr>
        <w:t>R. v. Conway</w:t>
      </w:r>
      <w:r w:rsidR="005E5168" w:rsidRPr="003163C7">
        <w:t xml:space="preserve">, 2010 SCC 22, [2010] 1 S.C.R. 765; </w:t>
      </w:r>
      <w:r w:rsidR="005E5168" w:rsidRPr="003163C7">
        <w:rPr>
          <w:i/>
        </w:rPr>
        <w:t>R. v. Bird</w:t>
      </w:r>
      <w:r w:rsidR="005E5168" w:rsidRPr="003163C7">
        <w:t>, 2019 SCC 7, [2019] 1 S.C.R. 409;</w:t>
      </w:r>
      <w:r w:rsidR="00E26175" w:rsidRPr="003163C7">
        <w:t xml:space="preserve"> </w:t>
      </w:r>
      <w:proofErr w:type="spellStart"/>
      <w:r w:rsidR="00E26175" w:rsidRPr="003163C7">
        <w:rPr>
          <w:i/>
        </w:rPr>
        <w:t>Slaight</w:t>
      </w:r>
      <w:proofErr w:type="spellEnd"/>
      <w:r w:rsidR="00E26175" w:rsidRPr="003163C7">
        <w:rPr>
          <w:i/>
        </w:rPr>
        <w:t xml:space="preserve"> Communications Inc. v. Davidson</w:t>
      </w:r>
      <w:r w:rsidR="00E26175" w:rsidRPr="003163C7">
        <w:t xml:space="preserve">, [1989] 1 S.C.R. 1038; </w:t>
      </w:r>
      <w:proofErr w:type="spellStart"/>
      <w:r w:rsidR="00801B86" w:rsidRPr="003163C7">
        <w:rPr>
          <w:i/>
        </w:rPr>
        <w:t>Dagenais</w:t>
      </w:r>
      <w:proofErr w:type="spellEnd"/>
      <w:r w:rsidR="00801B86" w:rsidRPr="003163C7">
        <w:rPr>
          <w:i/>
        </w:rPr>
        <w:t xml:space="preserve"> v. Canadian Broadcasting Corp.</w:t>
      </w:r>
      <w:r w:rsidR="00801B86" w:rsidRPr="003163C7">
        <w:t xml:space="preserve">, [1994] 3 S.C.R. 835; </w:t>
      </w:r>
      <w:r w:rsidR="00E26175" w:rsidRPr="003163C7">
        <w:rPr>
          <w:i/>
        </w:rPr>
        <w:t>Baker v. Canada (Minister of Citizenship and Immigration)</w:t>
      </w:r>
      <w:r w:rsidR="00E26175" w:rsidRPr="003163C7">
        <w:t xml:space="preserve">, [1999] 2 S.C.R. 817; </w:t>
      </w:r>
      <w:r w:rsidR="00E4794A" w:rsidRPr="003163C7">
        <w:rPr>
          <w:i/>
        </w:rPr>
        <w:t xml:space="preserve">R. v. </w:t>
      </w:r>
      <w:proofErr w:type="spellStart"/>
      <w:r w:rsidR="00E4794A" w:rsidRPr="003163C7">
        <w:rPr>
          <w:i/>
        </w:rPr>
        <w:t>McKinlay</w:t>
      </w:r>
      <w:proofErr w:type="spellEnd"/>
      <w:r w:rsidR="00E4794A" w:rsidRPr="003163C7">
        <w:rPr>
          <w:i/>
        </w:rPr>
        <w:t xml:space="preserve"> Transport Ltd.</w:t>
      </w:r>
      <w:r w:rsidR="00E4794A" w:rsidRPr="003163C7">
        <w:t xml:space="preserve">, [1990] 1 S.C.R. 627; </w:t>
      </w:r>
      <w:proofErr w:type="spellStart"/>
      <w:r w:rsidR="00E4794A" w:rsidRPr="003163C7">
        <w:rPr>
          <w:i/>
        </w:rPr>
        <w:t>Comité</w:t>
      </w:r>
      <w:proofErr w:type="spellEnd"/>
      <w:r w:rsidR="00E4794A" w:rsidRPr="003163C7">
        <w:rPr>
          <w:i/>
        </w:rPr>
        <w:t xml:space="preserve"> </w:t>
      </w:r>
      <w:proofErr w:type="spellStart"/>
      <w:r w:rsidR="00E4794A" w:rsidRPr="003163C7">
        <w:rPr>
          <w:i/>
        </w:rPr>
        <w:t>paritaire</w:t>
      </w:r>
      <w:proofErr w:type="spellEnd"/>
      <w:r w:rsidR="00E4794A" w:rsidRPr="003163C7">
        <w:rPr>
          <w:i/>
        </w:rPr>
        <w:t xml:space="preserve"> de </w:t>
      </w:r>
      <w:proofErr w:type="spellStart"/>
      <w:r w:rsidR="00E4794A" w:rsidRPr="003163C7">
        <w:rPr>
          <w:i/>
        </w:rPr>
        <w:t>l’industrie</w:t>
      </w:r>
      <w:proofErr w:type="spellEnd"/>
      <w:r w:rsidR="00E4794A" w:rsidRPr="003163C7">
        <w:rPr>
          <w:i/>
        </w:rPr>
        <w:t xml:space="preserve"> de la chemise v. Potash</w:t>
      </w:r>
      <w:r w:rsidR="00E4794A" w:rsidRPr="003163C7">
        <w:t xml:space="preserve">, [1994] 2 S.C.R. 406; </w:t>
      </w:r>
      <w:r w:rsidR="00E4794A" w:rsidRPr="003163C7">
        <w:rPr>
          <w:i/>
        </w:rPr>
        <w:t>R. v. Wholesale Travel Group Inc.</w:t>
      </w:r>
      <w:r w:rsidR="00E4794A" w:rsidRPr="003163C7">
        <w:t>, [1991] 3 S.C.R. 154;</w:t>
      </w:r>
      <w:r w:rsidR="00BC4C2A" w:rsidRPr="003163C7">
        <w:t xml:space="preserve"> </w:t>
      </w:r>
      <w:r w:rsidR="00B246B8" w:rsidRPr="003163C7">
        <w:rPr>
          <w:i/>
          <w:iCs/>
          <w:color w:val="000000"/>
        </w:rPr>
        <w:t>Newfoundland an</w:t>
      </w:r>
      <w:r w:rsidR="00B246B8" w:rsidRPr="003163C7">
        <w:rPr>
          <w:i/>
          <w:iCs/>
        </w:rPr>
        <w:t>d Labrador Nurses’</w:t>
      </w:r>
      <w:r w:rsidR="00BC4C2A" w:rsidRPr="003163C7">
        <w:rPr>
          <w:i/>
          <w:iCs/>
        </w:rPr>
        <w:t xml:space="preserve"> Union v. Newfoundland and Labrador (Treasury Board)</w:t>
      </w:r>
      <w:r w:rsidR="00BC4C2A" w:rsidRPr="003163C7">
        <w:t>, 2011 SCC 62, [2011] 3 S.C.R. 708;</w:t>
      </w:r>
      <w:r w:rsidR="000F6A31" w:rsidRPr="003163C7">
        <w:t xml:space="preserve"> </w:t>
      </w:r>
      <w:r w:rsidR="000F6A31" w:rsidRPr="003163C7">
        <w:rPr>
          <w:i/>
        </w:rPr>
        <w:t>Mason v. Canada (Citizenship and Immigration)</w:t>
      </w:r>
      <w:r w:rsidR="000F6A31" w:rsidRPr="003163C7">
        <w:t>, 2023 SCC 21;</w:t>
      </w:r>
      <w:r w:rsidR="008A4AC0" w:rsidRPr="003163C7">
        <w:t xml:space="preserve"> </w:t>
      </w:r>
      <w:r w:rsidR="008A4AC0" w:rsidRPr="003163C7">
        <w:rPr>
          <w:i/>
        </w:rPr>
        <w:t>Syndicat canadien de la fonction publique, section locale 1108 v. CHU de Québec — Université Laval</w:t>
      </w:r>
      <w:r w:rsidR="008A4AC0" w:rsidRPr="003163C7">
        <w:t>, 2020 QCCA 857;</w:t>
      </w:r>
      <w:r w:rsidR="007B3264" w:rsidRPr="003163C7">
        <w:t xml:space="preserve"> </w:t>
      </w:r>
      <w:r w:rsidR="00B246B8" w:rsidRPr="003163C7">
        <w:rPr>
          <w:i/>
        </w:rPr>
        <w:t>Canadian Broadcasting Corp. v. Ferrier</w:t>
      </w:r>
      <w:r w:rsidR="00B246B8" w:rsidRPr="003163C7">
        <w:t>, 2019 ONCA 1025, 148 O.R. (3d) 705;</w:t>
      </w:r>
      <w:r w:rsidR="00BB1DDC" w:rsidRPr="003163C7">
        <w:rPr>
          <w:i/>
        </w:rPr>
        <w:t xml:space="preserve"> R. v. M. (M.R.)</w:t>
      </w:r>
      <w:r w:rsidR="00BB1DDC" w:rsidRPr="003163C7">
        <w:t>, [1998] 3 S.C.R. 393;</w:t>
      </w:r>
      <w:r w:rsidR="00BB1DDC" w:rsidRPr="003163C7">
        <w:rPr>
          <w:i/>
        </w:rPr>
        <w:t xml:space="preserve"> R. v. Cole</w:t>
      </w:r>
      <w:r w:rsidR="00BB1DDC" w:rsidRPr="003163C7">
        <w:t xml:space="preserve">, 2012 SCC 53, [2012] 3 S.C.R. 34; </w:t>
      </w:r>
      <w:r w:rsidR="00DC7045" w:rsidRPr="003163C7">
        <w:rPr>
          <w:i/>
          <w:szCs w:val="24"/>
        </w:rPr>
        <w:t xml:space="preserve">Hunter v. </w:t>
      </w:r>
      <w:proofErr w:type="spellStart"/>
      <w:r w:rsidR="00DC7045" w:rsidRPr="003163C7">
        <w:rPr>
          <w:i/>
          <w:szCs w:val="24"/>
        </w:rPr>
        <w:t>Southam</w:t>
      </w:r>
      <w:proofErr w:type="spellEnd"/>
      <w:r w:rsidR="00DC7045" w:rsidRPr="003163C7">
        <w:rPr>
          <w:i/>
          <w:szCs w:val="24"/>
        </w:rPr>
        <w:t xml:space="preserve"> Inc.</w:t>
      </w:r>
      <w:r w:rsidR="00DC7045" w:rsidRPr="003163C7">
        <w:rPr>
          <w:szCs w:val="24"/>
        </w:rPr>
        <w:t xml:space="preserve">, [1984] 2 S.C.R. 145; </w:t>
      </w:r>
      <w:r w:rsidR="00D25119" w:rsidRPr="003163C7">
        <w:rPr>
          <w:i/>
          <w:szCs w:val="24"/>
        </w:rPr>
        <w:t>R. v. Wong</w:t>
      </w:r>
      <w:r w:rsidR="00D25119" w:rsidRPr="003163C7">
        <w:rPr>
          <w:szCs w:val="24"/>
        </w:rPr>
        <w:t xml:space="preserve">, [1990] 3 S.C.R. 36; </w:t>
      </w:r>
      <w:r w:rsidR="00BE169D" w:rsidRPr="003163C7">
        <w:rPr>
          <w:i/>
          <w:szCs w:val="24"/>
        </w:rPr>
        <w:t>R. v.</w:t>
      </w:r>
      <w:r w:rsidR="00BE169D" w:rsidRPr="003163C7">
        <w:rPr>
          <w:szCs w:val="24"/>
        </w:rPr>
        <w:t xml:space="preserve"> </w:t>
      </w:r>
      <w:r w:rsidR="00BE169D" w:rsidRPr="003163C7">
        <w:rPr>
          <w:i/>
          <w:szCs w:val="24"/>
        </w:rPr>
        <w:t>Marakah</w:t>
      </w:r>
      <w:r w:rsidR="00BE169D" w:rsidRPr="003163C7">
        <w:rPr>
          <w:szCs w:val="24"/>
        </w:rPr>
        <w:t xml:space="preserve">, 2017 SCC 59, [2017] 2 S.C.R. 608; </w:t>
      </w:r>
      <w:r w:rsidR="00BE169D" w:rsidRPr="003163C7">
        <w:rPr>
          <w:i/>
          <w:szCs w:val="24"/>
        </w:rPr>
        <w:t>R. v. Patrick</w:t>
      </w:r>
      <w:r w:rsidR="00BE169D" w:rsidRPr="003163C7">
        <w:rPr>
          <w:szCs w:val="24"/>
        </w:rPr>
        <w:t xml:space="preserve">, 2009 SCC 17, [2009] 1 S.C.R. 579; </w:t>
      </w:r>
      <w:r w:rsidR="00BB1DDC" w:rsidRPr="003163C7">
        <w:rPr>
          <w:i/>
        </w:rPr>
        <w:t>R. v. Morelli</w:t>
      </w:r>
      <w:r w:rsidR="00BB1DDC" w:rsidRPr="003163C7">
        <w:t xml:space="preserve">, 2010 SCC 8, [2010] 1 S.C.R. 253; </w:t>
      </w:r>
      <w:r w:rsidR="00BB1DDC" w:rsidRPr="003163C7">
        <w:rPr>
          <w:i/>
        </w:rPr>
        <w:t>R. v. Reeves</w:t>
      </w:r>
      <w:r w:rsidR="00BB1DDC" w:rsidRPr="003163C7">
        <w:t>, 2018 SCC 56, [2018] 3 S.C.R. 531.</w:t>
      </w:r>
    </w:p>
    <w:p w14:paraId="3B2DBB4A" w14:textId="77777777" w:rsidR="003B215F" w:rsidRPr="003163C7" w:rsidRDefault="002E6705" w:rsidP="007270F8">
      <w:pPr>
        <w:pStyle w:val="SCCNormalDoubleSpacing"/>
        <w:widowControl w:val="0"/>
        <w:spacing w:after="720" w:line="240" w:lineRule="auto"/>
        <w:rPr>
          <w:b/>
        </w:rPr>
      </w:pPr>
      <w:r w:rsidRPr="003163C7">
        <w:rPr>
          <w:b/>
        </w:rPr>
        <w:t>Statutes and Regulations Cite</w:t>
      </w:r>
      <w:r w:rsidR="00A41805" w:rsidRPr="003163C7">
        <w:rPr>
          <w:b/>
        </w:rPr>
        <w:t>d</w:t>
      </w:r>
    </w:p>
    <w:p w14:paraId="277C71C7" w14:textId="5183CA6B" w:rsidR="00827C1D" w:rsidRPr="003163C7" w:rsidRDefault="00827C1D" w:rsidP="007270F8">
      <w:pPr>
        <w:pStyle w:val="SCCNormalDoubleSpacing"/>
        <w:widowControl w:val="0"/>
        <w:spacing w:after="240" w:line="240" w:lineRule="auto"/>
      </w:pPr>
      <w:r w:rsidRPr="003163C7">
        <w:rPr>
          <w:i/>
        </w:rPr>
        <w:t>Canadian Charter of Rights and Freedoms</w:t>
      </w:r>
      <w:r w:rsidR="007270F8" w:rsidRPr="003163C7">
        <w:t>, ss. </w:t>
      </w:r>
      <w:r w:rsidRPr="003163C7">
        <w:t>8,</w:t>
      </w:r>
      <w:r w:rsidR="0083438A" w:rsidRPr="003163C7">
        <w:t xml:space="preserve"> 23</w:t>
      </w:r>
      <w:r w:rsidR="00A44E0C" w:rsidRPr="003163C7">
        <w:t>, 32</w:t>
      </w:r>
      <w:r w:rsidR="007270F8" w:rsidRPr="003163C7">
        <w:t>.</w:t>
      </w:r>
    </w:p>
    <w:p w14:paraId="0260CB4A" w14:textId="30FA4B83" w:rsidR="00827C1D" w:rsidRPr="003163C7" w:rsidRDefault="00827C1D" w:rsidP="007270F8">
      <w:pPr>
        <w:pStyle w:val="SCCNormalDoubleSpacing"/>
        <w:widowControl w:val="0"/>
        <w:spacing w:after="240" w:line="240" w:lineRule="auto"/>
      </w:pPr>
      <w:r w:rsidRPr="003163C7">
        <w:rPr>
          <w:i/>
        </w:rPr>
        <w:t>Constitution Act, 1867</w:t>
      </w:r>
      <w:r w:rsidRPr="003163C7">
        <w:t xml:space="preserve">, </w:t>
      </w:r>
      <w:r w:rsidR="00136355" w:rsidRPr="003163C7">
        <w:t>s</w:t>
      </w:r>
      <w:r w:rsidR="007270F8" w:rsidRPr="003163C7">
        <w:t>. </w:t>
      </w:r>
      <w:r w:rsidR="00136355" w:rsidRPr="003163C7">
        <w:t>93.</w:t>
      </w:r>
    </w:p>
    <w:p w14:paraId="7C32419B" w14:textId="46703324" w:rsidR="00827C1D" w:rsidRPr="003163C7" w:rsidRDefault="00827C1D" w:rsidP="007270F8">
      <w:pPr>
        <w:pStyle w:val="SCCNormalDoubleSpacing"/>
        <w:widowControl w:val="0"/>
        <w:spacing w:after="240" w:line="240" w:lineRule="auto"/>
        <w:rPr>
          <w:szCs w:val="24"/>
        </w:rPr>
      </w:pPr>
      <w:r w:rsidRPr="003163C7">
        <w:rPr>
          <w:i/>
        </w:rPr>
        <w:t>Education Act</w:t>
      </w:r>
      <w:r w:rsidRPr="003163C7">
        <w:rPr>
          <w:szCs w:val="24"/>
        </w:rPr>
        <w:t>, R.S.O. 1990, c.</w:t>
      </w:r>
      <w:r w:rsidR="007270F8" w:rsidRPr="003163C7">
        <w:rPr>
          <w:szCs w:val="24"/>
        </w:rPr>
        <w:t> </w:t>
      </w:r>
      <w:r w:rsidRPr="003163C7">
        <w:rPr>
          <w:szCs w:val="24"/>
        </w:rPr>
        <w:t>E.2, ss. 8, 265.</w:t>
      </w:r>
    </w:p>
    <w:p w14:paraId="5EB76C12" w14:textId="2DC69F3D" w:rsidR="007645D8" w:rsidRPr="003163C7" w:rsidRDefault="007645D8" w:rsidP="007270F8">
      <w:pPr>
        <w:pStyle w:val="SCCNormalDoubleSpacing"/>
        <w:spacing w:after="720" w:line="240" w:lineRule="auto"/>
      </w:pPr>
      <w:r w:rsidRPr="003163C7">
        <w:rPr>
          <w:i/>
        </w:rPr>
        <w:t>Labour Relations Act, 1995</w:t>
      </w:r>
      <w:r w:rsidRPr="003163C7">
        <w:t>, S.O. 1995, c. 1, Sch. A, s. 48(1).</w:t>
      </w:r>
    </w:p>
    <w:p w14:paraId="5BDD9C84" w14:textId="77777777" w:rsidR="002E6705" w:rsidRPr="003163C7" w:rsidRDefault="002E6705" w:rsidP="007270F8">
      <w:pPr>
        <w:pStyle w:val="SCCNormalDoubleSpacing"/>
        <w:spacing w:after="720" w:line="240" w:lineRule="auto"/>
        <w:rPr>
          <w:b/>
        </w:rPr>
      </w:pPr>
      <w:r w:rsidRPr="003163C7">
        <w:rPr>
          <w:b/>
        </w:rPr>
        <w:t>Authors Cited</w:t>
      </w:r>
    </w:p>
    <w:p w14:paraId="6CE09A69" w14:textId="77777777" w:rsidR="0015151E" w:rsidRPr="003163C7" w:rsidRDefault="002412B5" w:rsidP="0015151E">
      <w:pPr>
        <w:pStyle w:val="SCCNormalDoubleSpacing"/>
        <w:spacing w:after="240" w:line="240" w:lineRule="auto"/>
        <w:ind w:left="547" w:hanging="547"/>
      </w:pPr>
      <w:r w:rsidRPr="003163C7">
        <w:t xml:space="preserve">Daly, Paul. </w:t>
      </w:r>
      <w:r w:rsidRPr="003163C7">
        <w:rPr>
          <w:i/>
        </w:rPr>
        <w:t>A Culture of Justification: Vavilov and the Future of Administrative Law</w:t>
      </w:r>
      <w:r w:rsidRPr="003163C7">
        <w:t>. Vancouver:</w:t>
      </w:r>
      <w:r w:rsidRPr="003163C7">
        <w:rPr>
          <w:i/>
        </w:rPr>
        <w:t xml:space="preserve"> </w:t>
      </w:r>
      <w:r w:rsidRPr="003163C7">
        <w:t>UBC Press, 2023.</w:t>
      </w:r>
    </w:p>
    <w:p w14:paraId="123D9B47" w14:textId="41FC1B8D" w:rsidR="00EA7F13" w:rsidRPr="003163C7" w:rsidRDefault="0015151E" w:rsidP="00EA7F13">
      <w:pPr>
        <w:pStyle w:val="SCCNormalDoubleSpacing"/>
        <w:spacing w:after="240" w:line="240" w:lineRule="auto"/>
        <w:ind w:left="547" w:hanging="547"/>
      </w:pPr>
      <w:r w:rsidRPr="003163C7">
        <w:t>Daly, Paul. “Big Bang Theory: Vavilov’s New Framework for Substantive Review”, in Colleen</w:t>
      </w:r>
      <w:r w:rsidR="00B84D81" w:rsidRPr="003163C7">
        <w:t> </w:t>
      </w:r>
      <w:r w:rsidRPr="003163C7">
        <w:t xml:space="preserve">M. Flood and Paul Daly, eds., </w:t>
      </w:r>
      <w:r w:rsidRPr="003163C7">
        <w:rPr>
          <w:i/>
        </w:rPr>
        <w:t>Administrative Law in Context</w:t>
      </w:r>
      <w:r w:rsidRPr="003163C7">
        <w:t>, 4th ed. Toronto: Edmond Montgomery, 2022, 327.</w:t>
      </w:r>
    </w:p>
    <w:p w14:paraId="038E6AD3" w14:textId="607ABF55" w:rsidR="00EA7F13" w:rsidRPr="003163C7" w:rsidRDefault="00EA7F13" w:rsidP="00EA7F13">
      <w:pPr>
        <w:pStyle w:val="SCCNormalDoubleSpacing"/>
        <w:spacing w:after="240" w:line="240" w:lineRule="auto"/>
        <w:ind w:left="547" w:hanging="547"/>
      </w:pPr>
      <w:r w:rsidRPr="003163C7">
        <w:t xml:space="preserve">Daly, Paul. “Unresolved Issues after </w:t>
      </w:r>
      <w:r w:rsidRPr="003163C7">
        <w:rPr>
          <w:i/>
        </w:rPr>
        <w:t>Vavilov</w:t>
      </w:r>
      <w:r w:rsidRPr="003163C7">
        <w:t xml:space="preserve">” (2022), 85 </w:t>
      </w:r>
      <w:r w:rsidRPr="003163C7">
        <w:rPr>
          <w:i/>
        </w:rPr>
        <w:t>Sask. L. Rev.</w:t>
      </w:r>
      <w:r w:rsidRPr="003163C7">
        <w:t xml:space="preserve"> 89.</w:t>
      </w:r>
    </w:p>
    <w:p w14:paraId="77E09317" w14:textId="40A4C97E" w:rsidR="00E4794A" w:rsidRPr="003163C7" w:rsidRDefault="00E4794A" w:rsidP="0015151E">
      <w:pPr>
        <w:pStyle w:val="SCCNormalDoubleSpacing"/>
        <w:spacing w:after="240" w:line="240" w:lineRule="auto"/>
        <w:ind w:left="547" w:hanging="547"/>
      </w:pPr>
      <w:r w:rsidRPr="003163C7">
        <w:rPr>
          <w:rStyle w:val="solexhl"/>
          <w:rFonts w:eastAsiaTheme="majorEastAsia"/>
          <w:color w:val="000000"/>
        </w:rPr>
        <w:t>Hasan</w:t>
      </w:r>
      <w:r w:rsidRPr="003163C7">
        <w:rPr>
          <w:color w:val="000000"/>
        </w:rPr>
        <w:t xml:space="preserve">, Nader, et al. </w:t>
      </w:r>
      <w:r w:rsidRPr="003163C7">
        <w:rPr>
          <w:rStyle w:val="solexhl"/>
          <w:rFonts w:eastAsiaTheme="majorEastAsia"/>
          <w:i/>
          <w:iCs/>
          <w:color w:val="000000"/>
        </w:rPr>
        <w:t>Search and Seizure</w:t>
      </w:r>
      <w:r w:rsidRPr="003163C7">
        <w:rPr>
          <w:color w:val="000000"/>
        </w:rPr>
        <w:t>. Toronto: Emond Montgomery, 2021.</w:t>
      </w:r>
    </w:p>
    <w:p w14:paraId="50F65645" w14:textId="4C8A41F0" w:rsidR="0015151E" w:rsidRPr="003163C7" w:rsidRDefault="0015151E" w:rsidP="0015151E">
      <w:pPr>
        <w:pStyle w:val="SCCNormalDoubleSpacing"/>
        <w:spacing w:after="720" w:line="240" w:lineRule="auto"/>
        <w:ind w:left="547" w:hanging="547"/>
      </w:pPr>
      <w:r w:rsidRPr="003163C7">
        <w:t xml:space="preserve">Mancini, Mark. “The Conceptual Gap Between </w:t>
      </w:r>
      <w:proofErr w:type="spellStart"/>
      <w:r w:rsidRPr="003163C7">
        <w:rPr>
          <w:i/>
        </w:rPr>
        <w:t>Doré</w:t>
      </w:r>
      <w:proofErr w:type="spellEnd"/>
      <w:r w:rsidRPr="003163C7">
        <w:t xml:space="preserve"> and </w:t>
      </w:r>
      <w:r w:rsidRPr="003163C7">
        <w:rPr>
          <w:i/>
        </w:rPr>
        <w:t>Vavilov</w:t>
      </w:r>
      <w:r w:rsidRPr="003163C7">
        <w:t>” (2020)</w:t>
      </w:r>
      <w:r w:rsidR="00963455" w:rsidRPr="003163C7">
        <w:t>,</w:t>
      </w:r>
      <w:r w:rsidRPr="003163C7">
        <w:t xml:space="preserve"> 43 </w:t>
      </w:r>
      <w:r w:rsidRPr="003163C7">
        <w:rPr>
          <w:i/>
        </w:rPr>
        <w:t>Dal. L.J.</w:t>
      </w:r>
      <w:r w:rsidRPr="003163C7">
        <w:t xml:space="preserve"> 793.</w:t>
      </w:r>
    </w:p>
    <w:p w14:paraId="67F9A816" w14:textId="5FB2B22D" w:rsidR="008C7709" w:rsidRPr="003163C7" w:rsidRDefault="008C7709" w:rsidP="007270F8">
      <w:pPr>
        <w:pStyle w:val="SCCNormalDoubleSpacing"/>
        <w:spacing w:after="480"/>
      </w:pPr>
      <w:r w:rsidRPr="003163C7">
        <w:tab/>
        <w:t xml:space="preserve">APPEAL from a judgment of the </w:t>
      </w:r>
      <w:r w:rsidR="00562A19" w:rsidRPr="003163C7">
        <w:t xml:space="preserve">Ontario </w:t>
      </w:r>
      <w:r w:rsidRPr="003163C7">
        <w:t xml:space="preserve">Court of Appeal (Doherty, Benotto and </w:t>
      </w:r>
      <w:r w:rsidR="00562A19" w:rsidRPr="003163C7">
        <w:t>Huscroft </w:t>
      </w:r>
      <w:r w:rsidRPr="003163C7">
        <w:t xml:space="preserve">JJ.A.), </w:t>
      </w:r>
      <w:hyperlink r:id="rId10" w:history="1">
        <w:r w:rsidRPr="003163C7">
          <w:rPr>
            <w:rStyle w:val="Hyperlink"/>
          </w:rPr>
          <w:t>2022 ONCA 476</w:t>
        </w:r>
      </w:hyperlink>
      <w:r w:rsidRPr="003163C7">
        <w:t>, 474 D.L.R. (4th) 297, 513 C.R.R. (2d) 6, 100 Admin. L.R. (6th) 1, 340 L.A.C. (4th) 365, 81 C.C.E.L. (4th) 17,</w:t>
      </w:r>
      <w:r w:rsidR="003C759C" w:rsidRPr="003163C7">
        <w:t xml:space="preserve"> 2022 CLLC ¶220-057, </w:t>
      </w:r>
      <w:r w:rsidR="00562A19" w:rsidRPr="003163C7">
        <w:t>[2022] O.J. No. </w:t>
      </w:r>
      <w:r w:rsidRPr="003163C7">
        <w:t>2824 (</w:t>
      </w:r>
      <w:r w:rsidR="00AC7A90" w:rsidRPr="003163C7">
        <w:rPr>
          <w:lang w:val="en-US"/>
        </w:rPr>
        <w:t>Lexis</w:t>
      </w:r>
      <w:r w:rsidRPr="003163C7">
        <w:t xml:space="preserve">), 2022 CarswellOnt 8666 (WL), setting aside a decision of </w:t>
      </w:r>
      <w:r w:rsidR="00697598" w:rsidRPr="003163C7">
        <w:t>the Divisional Court (</w:t>
      </w:r>
      <w:r w:rsidRPr="003163C7">
        <w:t>Kiteley, Sachs and O</w:t>
      </w:r>
      <w:r w:rsidR="000D6204" w:rsidRPr="003163C7">
        <w:t>’</w:t>
      </w:r>
      <w:r w:rsidRPr="003163C7">
        <w:t>Bonsawin</w:t>
      </w:r>
      <w:r w:rsidR="00F634F1" w:rsidRPr="003163C7">
        <w:t> </w:t>
      </w:r>
      <w:r w:rsidRPr="003163C7">
        <w:t>JJ.</w:t>
      </w:r>
      <w:r w:rsidR="00697598" w:rsidRPr="003163C7">
        <w:t>)</w:t>
      </w:r>
      <w:r w:rsidRPr="003163C7">
        <w:t xml:space="preserve">, 2020 ONSC 3685, 464 C.R.R. (2d) 100, 76 Admin. L.R. (6th) 101, </w:t>
      </w:r>
      <w:r w:rsidR="0064097A" w:rsidRPr="003163C7">
        <w:t xml:space="preserve">316 L.A.C. (4th) 1, </w:t>
      </w:r>
      <w:r w:rsidR="007D0615" w:rsidRPr="003163C7">
        <w:t>[2020] O.J. No. </w:t>
      </w:r>
      <w:r w:rsidRPr="003163C7">
        <w:t>271</w:t>
      </w:r>
      <w:r w:rsidR="007D0615" w:rsidRPr="003163C7">
        <w:t>4</w:t>
      </w:r>
      <w:r w:rsidRPr="003163C7">
        <w:t xml:space="preserve"> (</w:t>
      </w:r>
      <w:r w:rsidR="00AC7A90" w:rsidRPr="003163C7">
        <w:rPr>
          <w:lang w:val="en-US"/>
        </w:rPr>
        <w:t>Lexis</w:t>
      </w:r>
      <w:r w:rsidRPr="003163C7">
        <w:t>), 2020 CarswellOnt 8238 (WL)</w:t>
      </w:r>
      <w:r w:rsidR="00D3662C" w:rsidRPr="003163C7">
        <w:t xml:space="preserve">, dismissing an application for judicial review </w:t>
      </w:r>
      <w:r w:rsidR="00DE2B30" w:rsidRPr="003163C7">
        <w:t xml:space="preserve">of an arbitrator’s decision, </w:t>
      </w:r>
      <w:r w:rsidR="004F38B9" w:rsidRPr="003163C7">
        <w:t>294 L.A.C. (4th) 341, [2018] O.L.A.A. No. 273 (</w:t>
      </w:r>
      <w:r w:rsidR="00AC7A90" w:rsidRPr="003163C7">
        <w:rPr>
          <w:lang w:val="en-US"/>
        </w:rPr>
        <w:t>Lexis</w:t>
      </w:r>
      <w:r w:rsidR="004F38B9" w:rsidRPr="003163C7">
        <w:t>), 2018 CarswellOnt 13256 (WL)</w:t>
      </w:r>
      <w:r w:rsidRPr="003163C7">
        <w:t xml:space="preserve">. Appeal </w:t>
      </w:r>
      <w:r w:rsidR="00031D2C" w:rsidRPr="003163C7">
        <w:t>dismissed</w:t>
      </w:r>
      <w:r w:rsidRPr="003163C7">
        <w:t>.</w:t>
      </w:r>
    </w:p>
    <w:p w14:paraId="23809FF0" w14:textId="77777777" w:rsidR="005A7078" w:rsidRPr="003163C7" w:rsidRDefault="003138F3" w:rsidP="007270F8">
      <w:pPr>
        <w:pStyle w:val="SCCNormalDoubleSpacing"/>
        <w:spacing w:after="480"/>
      </w:pPr>
      <w:r w:rsidRPr="003163C7">
        <w:rPr>
          <w:rStyle w:val="SCCCounselNameChar"/>
        </w:rPr>
        <w:tab/>
        <w:t xml:space="preserve">Frank </w:t>
      </w:r>
      <w:proofErr w:type="spellStart"/>
      <w:r w:rsidRPr="003163C7">
        <w:rPr>
          <w:rStyle w:val="SCCCounselNameChar"/>
        </w:rPr>
        <w:t>Cesario</w:t>
      </w:r>
      <w:proofErr w:type="spellEnd"/>
      <w:r w:rsidRPr="003163C7">
        <w:rPr>
          <w:rStyle w:val="SCCCounselNameChar"/>
          <w:i w:val="0"/>
        </w:rPr>
        <w:t>,</w:t>
      </w:r>
      <w:r w:rsidRPr="003163C7">
        <w:rPr>
          <w:rStyle w:val="SCCCounselNameChar"/>
        </w:rPr>
        <w:t xml:space="preserve"> Sean Sells</w:t>
      </w:r>
      <w:r w:rsidRPr="003163C7">
        <w:rPr>
          <w:rStyle w:val="SCCCounselSeparatorChar"/>
        </w:rPr>
        <w:t xml:space="preserve"> and </w:t>
      </w:r>
      <w:r w:rsidRPr="003163C7">
        <w:rPr>
          <w:rStyle w:val="SCCCounselNameChar"/>
        </w:rPr>
        <w:t>Lesley Campbell</w:t>
      </w:r>
      <w:r w:rsidRPr="003163C7">
        <w:rPr>
          <w:rStyle w:val="SCCCounselPartyRoleChar"/>
        </w:rPr>
        <w:t>, for the appellant.</w:t>
      </w:r>
    </w:p>
    <w:p w14:paraId="2F01FB4E" w14:textId="77777777" w:rsidR="005A7078" w:rsidRPr="003163C7" w:rsidRDefault="00E92B51" w:rsidP="007270F8">
      <w:pPr>
        <w:pStyle w:val="SCCNormalDoubleSpacing"/>
        <w:spacing w:after="480"/>
      </w:pPr>
      <w:r w:rsidRPr="003163C7">
        <w:rPr>
          <w:rStyle w:val="SCCCounselNameChar"/>
        </w:rPr>
        <w:tab/>
        <w:t xml:space="preserve">Howard Goldblatt </w:t>
      </w:r>
      <w:r w:rsidR="003138F3" w:rsidRPr="003163C7">
        <w:rPr>
          <w:rStyle w:val="SCCCounselSeparatorChar"/>
        </w:rPr>
        <w:t xml:space="preserve">and </w:t>
      </w:r>
      <w:r w:rsidR="003138F3" w:rsidRPr="003163C7">
        <w:rPr>
          <w:rStyle w:val="SCCCounselNameChar"/>
        </w:rPr>
        <w:t>Kiran Kang</w:t>
      </w:r>
      <w:r w:rsidR="003138F3" w:rsidRPr="003163C7">
        <w:rPr>
          <w:rStyle w:val="SCCCounselPartyRoleChar"/>
        </w:rPr>
        <w:t>, for the respondent.</w:t>
      </w:r>
    </w:p>
    <w:p w14:paraId="73172F60" w14:textId="1181F8A9" w:rsidR="005A7078" w:rsidRPr="003163C7" w:rsidRDefault="00E92B51" w:rsidP="007270F8">
      <w:pPr>
        <w:pStyle w:val="SCCNormalDoubleSpacing"/>
        <w:spacing w:after="480"/>
        <w:rPr>
          <w:rStyle w:val="SCCCounselPartyRoleChar"/>
        </w:rPr>
      </w:pPr>
      <w:r w:rsidRPr="003163C7">
        <w:rPr>
          <w:rStyle w:val="SCCCounselNameChar"/>
        </w:rPr>
        <w:tab/>
        <w:t>BJ</w:t>
      </w:r>
      <w:r w:rsidR="003138F3" w:rsidRPr="003163C7">
        <w:rPr>
          <w:rStyle w:val="SCCCounselNameChar"/>
        </w:rPr>
        <w:t xml:space="preserve"> Wray</w:t>
      </w:r>
      <w:r w:rsidR="003138F3" w:rsidRPr="003163C7">
        <w:rPr>
          <w:rStyle w:val="SCCCounselSeparatorChar"/>
        </w:rPr>
        <w:t xml:space="preserve"> and </w:t>
      </w:r>
      <w:r w:rsidR="003138F3" w:rsidRPr="003163C7">
        <w:rPr>
          <w:rStyle w:val="SCCCounselNameChar"/>
        </w:rPr>
        <w:t>Joseph Cheng</w:t>
      </w:r>
      <w:r w:rsidR="003138F3" w:rsidRPr="003163C7">
        <w:rPr>
          <w:rStyle w:val="SCCCounselPartyRoleChar"/>
        </w:rPr>
        <w:t>, for the intervener</w:t>
      </w:r>
      <w:r w:rsidR="003F1D4E" w:rsidRPr="003163C7">
        <w:rPr>
          <w:rStyle w:val="SCCCounselPartyRoleChar"/>
        </w:rPr>
        <w:t xml:space="preserve"> the</w:t>
      </w:r>
      <w:r w:rsidR="003138F3" w:rsidRPr="003163C7">
        <w:rPr>
          <w:rStyle w:val="SCCCounselPartyRoleChar"/>
        </w:rPr>
        <w:t xml:space="preserve"> Attorney General of Canada.</w:t>
      </w:r>
    </w:p>
    <w:p w14:paraId="4C2920D4" w14:textId="2353C2A3" w:rsidR="00607382" w:rsidRPr="003163C7" w:rsidRDefault="00607382" w:rsidP="007270F8">
      <w:pPr>
        <w:pStyle w:val="SCCNormalDoubleSpacing"/>
        <w:spacing w:after="480"/>
        <w:rPr>
          <w:rStyle w:val="SCCCounselPartyRoleChar"/>
        </w:rPr>
      </w:pPr>
      <w:r w:rsidRPr="003163C7">
        <w:rPr>
          <w:rStyle w:val="SCCCounselNameChar"/>
        </w:rPr>
        <w:tab/>
        <w:t xml:space="preserve">Daniel </w:t>
      </w:r>
      <w:proofErr w:type="spellStart"/>
      <w:r w:rsidRPr="003163C7">
        <w:rPr>
          <w:rStyle w:val="SCCCounselNameChar"/>
        </w:rPr>
        <w:t>Huffaker</w:t>
      </w:r>
      <w:proofErr w:type="spellEnd"/>
      <w:r w:rsidRPr="003163C7">
        <w:rPr>
          <w:rStyle w:val="SCCCounselSeparatorChar"/>
        </w:rPr>
        <w:t xml:space="preserve"> and </w:t>
      </w:r>
      <w:r w:rsidRPr="003163C7">
        <w:rPr>
          <w:rStyle w:val="SCCCounselNameChar"/>
        </w:rPr>
        <w:t>Waleed Malik</w:t>
      </w:r>
      <w:r w:rsidRPr="003163C7">
        <w:rPr>
          <w:rStyle w:val="SCCCounselPartyRoleChar"/>
        </w:rPr>
        <w:t>, for the intervener the Attorney General of Ontario.</w:t>
      </w:r>
    </w:p>
    <w:p w14:paraId="0DB61062" w14:textId="27DABC86" w:rsidR="008C7709" w:rsidRPr="003163C7" w:rsidRDefault="007270F8" w:rsidP="007270F8">
      <w:pPr>
        <w:pStyle w:val="SCCNormalDoubleSpacing"/>
        <w:spacing w:after="480"/>
      </w:pPr>
      <w:r w:rsidRPr="003163C7">
        <w:rPr>
          <w:rStyle w:val="SCCCounselNameChar"/>
        </w:rPr>
        <w:tab/>
        <w:t>Jean</w:t>
      </w:r>
      <w:r w:rsidRPr="003163C7">
        <w:rPr>
          <w:rStyle w:val="SCCCounselNameChar"/>
        </w:rPr>
        <w:noBreakHyphen/>
      </w:r>
      <w:r w:rsidR="00E92B51" w:rsidRPr="003163C7">
        <w:rPr>
          <w:rStyle w:val="SCCCounselNameChar"/>
        </w:rPr>
        <w:t>Vincent Lacroix</w:t>
      </w:r>
      <w:r w:rsidR="00E92B51" w:rsidRPr="003163C7">
        <w:rPr>
          <w:rStyle w:val="SCCCounselNameChar"/>
          <w:i w:val="0"/>
        </w:rPr>
        <w:t>,</w:t>
      </w:r>
      <w:r w:rsidR="00E92B51" w:rsidRPr="003163C7">
        <w:rPr>
          <w:rStyle w:val="SCCCounselSeparatorChar"/>
        </w:rPr>
        <w:t xml:space="preserve"> </w:t>
      </w:r>
      <w:r w:rsidR="00E92B51" w:rsidRPr="003163C7">
        <w:rPr>
          <w:rStyle w:val="SCCCounselNameChar"/>
        </w:rPr>
        <w:t xml:space="preserve">Brigitte Bussières </w:t>
      </w:r>
      <w:r w:rsidR="008C7709" w:rsidRPr="003163C7">
        <w:rPr>
          <w:rStyle w:val="SCCCounselSeparatorChar"/>
        </w:rPr>
        <w:t xml:space="preserve">and </w:t>
      </w:r>
      <w:r w:rsidRPr="003163C7">
        <w:rPr>
          <w:rStyle w:val="SCCCounselNameChar"/>
        </w:rPr>
        <w:t>Geneviève Martin</w:t>
      </w:r>
      <w:r w:rsidRPr="003163C7">
        <w:rPr>
          <w:rStyle w:val="SCCCounselNameChar"/>
        </w:rPr>
        <w:noBreakHyphen/>
      </w:r>
      <w:proofErr w:type="spellStart"/>
      <w:r w:rsidR="008C7709" w:rsidRPr="003163C7">
        <w:rPr>
          <w:rStyle w:val="SCCCounselNameChar"/>
        </w:rPr>
        <w:t>Lafleur</w:t>
      </w:r>
      <w:proofErr w:type="spellEnd"/>
      <w:r w:rsidR="008C7709" w:rsidRPr="003163C7">
        <w:rPr>
          <w:rStyle w:val="SCCCounselPartyRoleChar"/>
        </w:rPr>
        <w:t xml:space="preserve">, for the intervener </w:t>
      </w:r>
      <w:r w:rsidR="003F1D4E" w:rsidRPr="003163C7">
        <w:rPr>
          <w:rStyle w:val="SCCCounselPartyRoleChar"/>
        </w:rPr>
        <w:t xml:space="preserve">the </w:t>
      </w:r>
      <w:r w:rsidR="008C7709" w:rsidRPr="003163C7">
        <w:rPr>
          <w:rStyle w:val="SCCCounselPartyRoleChar"/>
        </w:rPr>
        <w:t>Attorney General of Quebec.</w:t>
      </w:r>
    </w:p>
    <w:p w14:paraId="21CDBF92" w14:textId="77777777" w:rsidR="005A7078" w:rsidRPr="003163C7" w:rsidRDefault="003138F3" w:rsidP="007270F8">
      <w:pPr>
        <w:pStyle w:val="SCCNormalDoubleSpacing"/>
        <w:spacing w:after="480"/>
      </w:pPr>
      <w:r w:rsidRPr="003163C7">
        <w:rPr>
          <w:rStyle w:val="SCCCounselNameChar"/>
        </w:rPr>
        <w:tab/>
        <w:t>Fraser Harland</w:t>
      </w:r>
      <w:r w:rsidRPr="003163C7">
        <w:rPr>
          <w:rStyle w:val="SCCCounselPartyRoleChar"/>
        </w:rPr>
        <w:t xml:space="preserve">, for the intervener </w:t>
      </w:r>
      <w:r w:rsidR="00E92B51" w:rsidRPr="003163C7">
        <w:rPr>
          <w:rStyle w:val="SCCCounselPartyRoleChar"/>
        </w:rPr>
        <w:t xml:space="preserve">the </w:t>
      </w:r>
      <w:r w:rsidRPr="003163C7">
        <w:rPr>
          <w:rStyle w:val="SCCCounselPartyRoleChar"/>
        </w:rPr>
        <w:t>British Columbia Civil Liberties Association.</w:t>
      </w:r>
    </w:p>
    <w:p w14:paraId="0C165F08" w14:textId="77777777" w:rsidR="005A7078" w:rsidRPr="003163C7" w:rsidRDefault="003138F3" w:rsidP="007270F8">
      <w:pPr>
        <w:pStyle w:val="SCCNormalDoubleSpacing"/>
        <w:spacing w:after="480"/>
      </w:pPr>
      <w:r w:rsidRPr="003163C7">
        <w:rPr>
          <w:rStyle w:val="SCCCounselNameChar"/>
        </w:rPr>
        <w:tab/>
      </w:r>
      <w:r w:rsidR="00E92B51" w:rsidRPr="003163C7">
        <w:rPr>
          <w:rStyle w:val="SCCCounselNameChar"/>
        </w:rPr>
        <w:t>Robyn Trask</w:t>
      </w:r>
      <w:r w:rsidR="00E92B51" w:rsidRPr="003163C7">
        <w:rPr>
          <w:rStyle w:val="SCCCounselPartyRoleChar"/>
        </w:rPr>
        <w:t xml:space="preserve">, </w:t>
      </w:r>
      <w:r w:rsidR="00E92B51" w:rsidRPr="003163C7">
        <w:rPr>
          <w:rStyle w:val="SCCCounselPartyRoleChar"/>
          <w:i/>
        </w:rPr>
        <w:t xml:space="preserve">Michael </w:t>
      </w:r>
      <w:proofErr w:type="spellStart"/>
      <w:r w:rsidR="00E92B51" w:rsidRPr="003163C7">
        <w:rPr>
          <w:rStyle w:val="SCCCounselPartyRoleChar"/>
          <w:i/>
        </w:rPr>
        <w:t>Sobkin</w:t>
      </w:r>
      <w:proofErr w:type="spellEnd"/>
      <w:r w:rsidR="00E92B51" w:rsidRPr="003163C7">
        <w:rPr>
          <w:rStyle w:val="SCCCounselPartyRoleChar"/>
        </w:rPr>
        <w:t xml:space="preserve"> and </w:t>
      </w:r>
      <w:r w:rsidR="00E92B51" w:rsidRPr="003163C7">
        <w:rPr>
          <w:rStyle w:val="SCCCounselPartyRoleChar"/>
          <w:i/>
        </w:rPr>
        <w:t>Vivian Wan</w:t>
      </w:r>
      <w:r w:rsidRPr="003163C7">
        <w:rPr>
          <w:rStyle w:val="SCCCounselPartyRoleChar"/>
        </w:rPr>
        <w:t>, for the intervener</w:t>
      </w:r>
      <w:r w:rsidR="00E92B51" w:rsidRPr="003163C7">
        <w:rPr>
          <w:rStyle w:val="SCCCounselPartyRoleChar"/>
        </w:rPr>
        <w:t xml:space="preserve"> the</w:t>
      </w:r>
      <w:r w:rsidRPr="003163C7">
        <w:rPr>
          <w:rStyle w:val="SCCCounselPartyRoleChar"/>
        </w:rPr>
        <w:t xml:space="preserve"> British Columbia Teachers</w:t>
      </w:r>
      <w:r w:rsidR="008C7709" w:rsidRPr="003163C7">
        <w:rPr>
          <w:rStyle w:val="SCCCounselPartyRoleChar"/>
        </w:rPr>
        <w:t>’</w:t>
      </w:r>
      <w:r w:rsidRPr="003163C7">
        <w:rPr>
          <w:rStyle w:val="SCCCounselPartyRoleChar"/>
        </w:rPr>
        <w:t xml:space="preserve"> Federation.</w:t>
      </w:r>
    </w:p>
    <w:p w14:paraId="624A62E9" w14:textId="49C29979" w:rsidR="005A7078" w:rsidRPr="003163C7" w:rsidRDefault="003138F3" w:rsidP="007270F8">
      <w:pPr>
        <w:pStyle w:val="SCCNormalDoubleSpacing"/>
        <w:spacing w:after="480"/>
      </w:pPr>
      <w:r w:rsidRPr="003163C7">
        <w:rPr>
          <w:rStyle w:val="SCCCounselNameChar"/>
        </w:rPr>
        <w:tab/>
        <w:t>David Wright</w:t>
      </w:r>
      <w:r w:rsidR="00795EEA" w:rsidRPr="003163C7">
        <w:rPr>
          <w:rStyle w:val="SCCCounselSeparatorChar"/>
        </w:rPr>
        <w:t>,</w:t>
      </w:r>
      <w:r w:rsidRPr="003163C7">
        <w:rPr>
          <w:rStyle w:val="SCCCounselSeparatorChar"/>
        </w:rPr>
        <w:t xml:space="preserve"> </w:t>
      </w:r>
      <w:r w:rsidR="005068B4" w:rsidRPr="003163C7">
        <w:rPr>
          <w:rStyle w:val="SCCCounselNameChar"/>
        </w:rPr>
        <w:t>Mae </w:t>
      </w:r>
      <w:r w:rsidRPr="003163C7">
        <w:rPr>
          <w:rStyle w:val="SCCCounselNameChar"/>
        </w:rPr>
        <w:t>J. Nam</w:t>
      </w:r>
      <w:r w:rsidR="00795EEA" w:rsidRPr="003163C7">
        <w:rPr>
          <w:rStyle w:val="SCCCounselNameChar"/>
        </w:rPr>
        <w:t xml:space="preserve"> </w:t>
      </w:r>
      <w:r w:rsidR="00795EEA" w:rsidRPr="003163C7">
        <w:rPr>
          <w:rStyle w:val="SCCCounselNameChar"/>
          <w:i w:val="0"/>
        </w:rPr>
        <w:t xml:space="preserve">and </w:t>
      </w:r>
      <w:r w:rsidR="00795EEA" w:rsidRPr="003163C7">
        <w:rPr>
          <w:rStyle w:val="SCCCounselNameChar"/>
        </w:rPr>
        <w:t>Rebecca Jones</w:t>
      </w:r>
      <w:r w:rsidRPr="003163C7">
        <w:rPr>
          <w:rStyle w:val="SCCCounselPartyRoleChar"/>
        </w:rPr>
        <w:t xml:space="preserve">, for the intervener </w:t>
      </w:r>
      <w:r w:rsidR="003F1D4E" w:rsidRPr="003163C7">
        <w:rPr>
          <w:rStyle w:val="SCCCounselPartyRoleChar"/>
        </w:rPr>
        <w:t xml:space="preserve">the </w:t>
      </w:r>
      <w:r w:rsidRPr="003163C7">
        <w:rPr>
          <w:rStyle w:val="SCCCounselPartyRoleChar"/>
        </w:rPr>
        <w:t>Centre for Free Expression.</w:t>
      </w:r>
    </w:p>
    <w:p w14:paraId="4871FFC9" w14:textId="77777777" w:rsidR="005A7078" w:rsidRPr="003163C7" w:rsidRDefault="003138F3" w:rsidP="007270F8">
      <w:pPr>
        <w:pStyle w:val="SCCNormalDoubleSpacing"/>
        <w:spacing w:after="480"/>
      </w:pPr>
      <w:r w:rsidRPr="003163C7">
        <w:rPr>
          <w:rStyle w:val="SCCCounselNameChar"/>
        </w:rPr>
        <w:tab/>
      </w:r>
      <w:r w:rsidR="00E92B51" w:rsidRPr="003163C7">
        <w:rPr>
          <w:rStyle w:val="SCCCounselNameChar"/>
        </w:rPr>
        <w:t>Caroline Zayid</w:t>
      </w:r>
      <w:r w:rsidR="00E92B51" w:rsidRPr="003163C7">
        <w:rPr>
          <w:rStyle w:val="SCCCounselSeparatorChar"/>
        </w:rPr>
        <w:t xml:space="preserve">, </w:t>
      </w:r>
      <w:r w:rsidR="00E92B51" w:rsidRPr="003163C7">
        <w:rPr>
          <w:rStyle w:val="SCCCounselNameChar"/>
        </w:rPr>
        <w:t xml:space="preserve">David Hakim </w:t>
      </w:r>
      <w:r w:rsidR="00E92B51" w:rsidRPr="003163C7">
        <w:rPr>
          <w:rStyle w:val="SCCCounselNameChar"/>
          <w:i w:val="0"/>
        </w:rPr>
        <w:t xml:space="preserve">and </w:t>
      </w:r>
      <w:r w:rsidR="00E92B51" w:rsidRPr="003163C7">
        <w:rPr>
          <w:rStyle w:val="SCCCounselNameChar"/>
        </w:rPr>
        <w:t>Lauren Weaver</w:t>
      </w:r>
      <w:r w:rsidRPr="003163C7">
        <w:rPr>
          <w:rStyle w:val="SCCCounselPartyRoleChar"/>
        </w:rPr>
        <w:t xml:space="preserve">, for the intervener </w:t>
      </w:r>
      <w:r w:rsidR="00E92B51" w:rsidRPr="003163C7">
        <w:rPr>
          <w:rStyle w:val="SCCCounselPartyRoleChar"/>
        </w:rPr>
        <w:t xml:space="preserve">the </w:t>
      </w:r>
      <w:r w:rsidRPr="003163C7">
        <w:rPr>
          <w:rStyle w:val="SCCCounselPartyRoleChar"/>
        </w:rPr>
        <w:t>Ontario College of Teachers.</w:t>
      </w:r>
    </w:p>
    <w:p w14:paraId="27C8484D" w14:textId="4E51186F" w:rsidR="005A7078" w:rsidRPr="003163C7" w:rsidRDefault="003138F3" w:rsidP="007270F8">
      <w:pPr>
        <w:pStyle w:val="SCCNormalDoubleSpacing"/>
        <w:spacing w:after="480"/>
      </w:pPr>
      <w:r w:rsidRPr="003163C7">
        <w:rPr>
          <w:rStyle w:val="SCCCounselNameChar"/>
        </w:rPr>
        <w:tab/>
        <w:t xml:space="preserve">Andrew </w:t>
      </w:r>
      <w:proofErr w:type="spellStart"/>
      <w:r w:rsidRPr="003163C7">
        <w:rPr>
          <w:rStyle w:val="SCCCounselNameChar"/>
        </w:rPr>
        <w:t>Lokan</w:t>
      </w:r>
      <w:proofErr w:type="spellEnd"/>
      <w:r w:rsidRPr="003163C7">
        <w:rPr>
          <w:rStyle w:val="SCCCounselNameChar"/>
          <w:i w:val="0"/>
        </w:rPr>
        <w:t>,</w:t>
      </w:r>
      <w:r w:rsidR="00795EEA" w:rsidRPr="003163C7">
        <w:rPr>
          <w:rStyle w:val="SCCCounselNameChar"/>
        </w:rPr>
        <w:t xml:space="preserve"> Michael Wright</w:t>
      </w:r>
      <w:r w:rsidR="00795EEA" w:rsidRPr="003163C7">
        <w:rPr>
          <w:rStyle w:val="SCCCounselNameChar"/>
          <w:i w:val="0"/>
        </w:rPr>
        <w:t>,</w:t>
      </w:r>
      <w:r w:rsidR="00795EEA" w:rsidRPr="003163C7">
        <w:rPr>
          <w:rStyle w:val="SCCCounselNameChar"/>
        </w:rPr>
        <w:t xml:space="preserve"> Douglas Montgomery</w:t>
      </w:r>
      <w:r w:rsidRPr="003163C7">
        <w:rPr>
          <w:rStyle w:val="SCCCounselNameChar"/>
        </w:rPr>
        <w:t xml:space="preserve"> </w:t>
      </w:r>
      <w:r w:rsidRPr="003163C7">
        <w:rPr>
          <w:rStyle w:val="SCCCounselSeparatorChar"/>
        </w:rPr>
        <w:t xml:space="preserve">and </w:t>
      </w:r>
      <w:r w:rsidRPr="003163C7">
        <w:rPr>
          <w:rStyle w:val="SCCCounselNameChar"/>
        </w:rPr>
        <w:t>Nora Parker</w:t>
      </w:r>
      <w:r w:rsidRPr="003163C7">
        <w:rPr>
          <w:rStyle w:val="SCCCounselPartyRoleChar"/>
        </w:rPr>
        <w:t>, for the intervener</w:t>
      </w:r>
      <w:r w:rsidR="00795EEA" w:rsidRPr="003163C7">
        <w:rPr>
          <w:rStyle w:val="SCCCounselPartyRoleChar"/>
        </w:rPr>
        <w:t>s the</w:t>
      </w:r>
      <w:r w:rsidRPr="003163C7">
        <w:rPr>
          <w:rStyle w:val="SCCCounselPartyRoleChar"/>
        </w:rPr>
        <w:t xml:space="preserve"> Power Workers</w:t>
      </w:r>
      <w:r w:rsidR="008C7709" w:rsidRPr="003163C7">
        <w:rPr>
          <w:rStyle w:val="SCCCounselPartyRoleChar"/>
        </w:rPr>
        <w:t>’</w:t>
      </w:r>
      <w:r w:rsidRPr="003163C7">
        <w:rPr>
          <w:rStyle w:val="SCCCounselPartyRoleChar"/>
        </w:rPr>
        <w:t xml:space="preserve"> Union and </w:t>
      </w:r>
      <w:r w:rsidR="004F6057" w:rsidRPr="003163C7">
        <w:rPr>
          <w:rStyle w:val="SCCCounselPartyRoleChar"/>
        </w:rPr>
        <w:t xml:space="preserve">the </w:t>
      </w:r>
      <w:r w:rsidRPr="003163C7">
        <w:rPr>
          <w:rStyle w:val="SCCCounselPartyRoleChar"/>
        </w:rPr>
        <w:t>Society of United Professionals.</w:t>
      </w:r>
    </w:p>
    <w:p w14:paraId="5FFDA072" w14:textId="77777777" w:rsidR="005A7078" w:rsidRPr="003163C7" w:rsidRDefault="003138F3" w:rsidP="007270F8">
      <w:pPr>
        <w:pStyle w:val="SCCNormalDoubleSpacing"/>
        <w:spacing w:after="480"/>
      </w:pPr>
      <w:r w:rsidRPr="003163C7">
        <w:rPr>
          <w:rStyle w:val="SCCCounselNameChar"/>
        </w:rPr>
        <w:tab/>
      </w:r>
      <w:proofErr w:type="spellStart"/>
      <w:r w:rsidRPr="003163C7">
        <w:rPr>
          <w:rStyle w:val="SCCCounselNameChar"/>
        </w:rPr>
        <w:t>Malini</w:t>
      </w:r>
      <w:proofErr w:type="spellEnd"/>
      <w:r w:rsidRPr="003163C7">
        <w:rPr>
          <w:rStyle w:val="SCCCounselNameChar"/>
        </w:rPr>
        <w:t xml:space="preserve"> </w:t>
      </w:r>
      <w:proofErr w:type="spellStart"/>
      <w:r w:rsidRPr="003163C7">
        <w:rPr>
          <w:rStyle w:val="SCCCounselNameChar"/>
        </w:rPr>
        <w:t>Vijaykumar</w:t>
      </w:r>
      <w:proofErr w:type="spellEnd"/>
      <w:r w:rsidRPr="003163C7">
        <w:rPr>
          <w:rStyle w:val="SCCCounselSeparatorChar"/>
        </w:rPr>
        <w:t xml:space="preserve"> and </w:t>
      </w:r>
      <w:r w:rsidRPr="003163C7">
        <w:rPr>
          <w:rStyle w:val="SCCCounselNameChar"/>
        </w:rPr>
        <w:t xml:space="preserve">Claire Kane </w:t>
      </w:r>
      <w:proofErr w:type="spellStart"/>
      <w:r w:rsidRPr="003163C7">
        <w:rPr>
          <w:rStyle w:val="SCCCounselNameChar"/>
        </w:rPr>
        <w:t>Boychuk</w:t>
      </w:r>
      <w:proofErr w:type="spellEnd"/>
      <w:r w:rsidRPr="003163C7">
        <w:rPr>
          <w:rStyle w:val="SCCCounselPartyRoleChar"/>
        </w:rPr>
        <w:t xml:space="preserve">, for the intervener </w:t>
      </w:r>
      <w:r w:rsidR="003F1D4E" w:rsidRPr="003163C7">
        <w:rPr>
          <w:rStyle w:val="SCCCounselPartyRoleChar"/>
        </w:rPr>
        <w:t xml:space="preserve">the </w:t>
      </w:r>
      <w:r w:rsidRPr="003163C7">
        <w:rPr>
          <w:rStyle w:val="SCCCounselPartyRoleChar"/>
        </w:rPr>
        <w:t>National Police Federation.</w:t>
      </w:r>
    </w:p>
    <w:p w14:paraId="6414BDE3" w14:textId="169D8D12" w:rsidR="005A7078" w:rsidRPr="003163C7" w:rsidRDefault="003138F3" w:rsidP="007270F8">
      <w:pPr>
        <w:pStyle w:val="SCCNormalDoubleSpacing"/>
        <w:spacing w:after="480"/>
      </w:pPr>
      <w:r w:rsidRPr="003163C7">
        <w:rPr>
          <w:rStyle w:val="SCCCounselNameChar"/>
        </w:rPr>
        <w:tab/>
      </w:r>
      <w:r w:rsidR="00795EEA" w:rsidRPr="003163C7">
        <w:rPr>
          <w:rStyle w:val="SCCCounselNameChar"/>
        </w:rPr>
        <w:t>C</w:t>
      </w:r>
      <w:r w:rsidR="005068B4" w:rsidRPr="003163C7">
        <w:rPr>
          <w:rStyle w:val="SCCCounselNameChar"/>
        </w:rPr>
        <w:t>aroline </w:t>
      </w:r>
      <w:r w:rsidR="00795EEA" w:rsidRPr="003163C7">
        <w:rPr>
          <w:rStyle w:val="SCCCounselNameChar"/>
        </w:rPr>
        <w:t>V. (</w:t>
      </w:r>
      <w:proofErr w:type="spellStart"/>
      <w:r w:rsidR="00795EEA" w:rsidRPr="003163C7">
        <w:rPr>
          <w:rStyle w:val="SCCCounselNameChar"/>
        </w:rPr>
        <w:t>Nini</w:t>
      </w:r>
      <w:proofErr w:type="spellEnd"/>
      <w:r w:rsidR="00795EEA" w:rsidRPr="003163C7">
        <w:rPr>
          <w:rStyle w:val="SCCCounselNameChar"/>
        </w:rPr>
        <w:t>) Jones</w:t>
      </w:r>
      <w:r w:rsidR="00795EEA" w:rsidRPr="003163C7">
        <w:rPr>
          <w:rStyle w:val="SCCCounselSeparatorChar"/>
        </w:rPr>
        <w:t xml:space="preserve"> and </w:t>
      </w:r>
      <w:r w:rsidR="00795EEA" w:rsidRPr="003163C7">
        <w:rPr>
          <w:rStyle w:val="SCCCounselNameChar"/>
        </w:rPr>
        <w:t>Cassandra</w:t>
      </w:r>
      <w:r w:rsidR="00B84D81" w:rsidRPr="003163C7">
        <w:rPr>
          <w:rStyle w:val="SCCCounselNameChar"/>
        </w:rPr>
        <w:t> </w:t>
      </w:r>
      <w:r w:rsidR="00795EEA" w:rsidRPr="003163C7">
        <w:rPr>
          <w:rStyle w:val="SCCCounselNameChar"/>
        </w:rPr>
        <w:t>E. Jarvis</w:t>
      </w:r>
      <w:r w:rsidRPr="003163C7">
        <w:rPr>
          <w:rStyle w:val="SCCCounselPartyRoleChar"/>
        </w:rPr>
        <w:t xml:space="preserve">, for the intervener </w:t>
      </w:r>
      <w:r w:rsidR="003F1D4E" w:rsidRPr="003163C7">
        <w:rPr>
          <w:rStyle w:val="SCCCounselPartyRoleChar"/>
        </w:rPr>
        <w:t xml:space="preserve">the </w:t>
      </w:r>
      <w:r w:rsidRPr="003163C7">
        <w:rPr>
          <w:rStyle w:val="SCCCounselPartyRoleChar"/>
        </w:rPr>
        <w:t>Ontario Principals</w:t>
      </w:r>
      <w:r w:rsidR="008C7709" w:rsidRPr="003163C7">
        <w:rPr>
          <w:rStyle w:val="SCCCounselPartyRoleChar"/>
        </w:rPr>
        <w:t>’</w:t>
      </w:r>
      <w:r w:rsidRPr="003163C7">
        <w:rPr>
          <w:rStyle w:val="SCCCounselPartyRoleChar"/>
        </w:rPr>
        <w:t xml:space="preserve"> Council.</w:t>
      </w:r>
    </w:p>
    <w:p w14:paraId="58D2F6C3" w14:textId="77777777" w:rsidR="005A7078" w:rsidRPr="003163C7" w:rsidRDefault="003138F3" w:rsidP="007270F8">
      <w:pPr>
        <w:pStyle w:val="SCCNormalDoubleSpacing"/>
        <w:spacing w:after="480"/>
      </w:pPr>
      <w:r w:rsidRPr="003163C7">
        <w:rPr>
          <w:rStyle w:val="SCCCounselNameChar"/>
        </w:rPr>
        <w:tab/>
        <w:t xml:space="preserve">George </w:t>
      </w:r>
      <w:proofErr w:type="spellStart"/>
      <w:r w:rsidRPr="003163C7">
        <w:rPr>
          <w:rStyle w:val="SCCCounselNameChar"/>
        </w:rPr>
        <w:t>Avraam</w:t>
      </w:r>
      <w:proofErr w:type="spellEnd"/>
      <w:r w:rsidRPr="003163C7">
        <w:rPr>
          <w:rStyle w:val="SCCCounselNameChar"/>
          <w:i w:val="0"/>
        </w:rPr>
        <w:t>,</w:t>
      </w:r>
      <w:r w:rsidRPr="003163C7">
        <w:rPr>
          <w:rStyle w:val="SCCCounselNameChar"/>
        </w:rPr>
        <w:t xml:space="preserve"> </w:t>
      </w:r>
      <w:proofErr w:type="spellStart"/>
      <w:r w:rsidRPr="003163C7">
        <w:rPr>
          <w:rStyle w:val="SCCCounselNameChar"/>
        </w:rPr>
        <w:t>Ajanthana</w:t>
      </w:r>
      <w:proofErr w:type="spellEnd"/>
      <w:r w:rsidRPr="003163C7">
        <w:rPr>
          <w:rStyle w:val="SCCCounselNameChar"/>
        </w:rPr>
        <w:t xml:space="preserve"> </w:t>
      </w:r>
      <w:proofErr w:type="spellStart"/>
      <w:r w:rsidRPr="003163C7">
        <w:rPr>
          <w:rStyle w:val="SCCCounselNameChar"/>
        </w:rPr>
        <w:t>Anandarajah</w:t>
      </w:r>
      <w:proofErr w:type="spellEnd"/>
      <w:r w:rsidRPr="003163C7">
        <w:rPr>
          <w:rStyle w:val="SCCCounselSeparatorChar"/>
        </w:rPr>
        <w:t xml:space="preserve"> and </w:t>
      </w:r>
      <w:r w:rsidRPr="003163C7">
        <w:rPr>
          <w:rStyle w:val="SCCCounselNameChar"/>
        </w:rPr>
        <w:t xml:space="preserve">Juliette </w:t>
      </w:r>
      <w:proofErr w:type="spellStart"/>
      <w:r w:rsidRPr="003163C7">
        <w:rPr>
          <w:rStyle w:val="SCCCounselNameChar"/>
        </w:rPr>
        <w:t>Mestre</w:t>
      </w:r>
      <w:proofErr w:type="spellEnd"/>
      <w:r w:rsidRPr="003163C7">
        <w:rPr>
          <w:rStyle w:val="SCCCounselPartyRoleChar"/>
        </w:rPr>
        <w:t xml:space="preserve">, for the intervener </w:t>
      </w:r>
      <w:r w:rsidR="00E92B51" w:rsidRPr="003163C7">
        <w:rPr>
          <w:rStyle w:val="SCCCounselPartyRoleChar"/>
        </w:rPr>
        <w:t xml:space="preserve">the </w:t>
      </w:r>
      <w:r w:rsidRPr="003163C7">
        <w:rPr>
          <w:rStyle w:val="SCCCounselPartyRoleChar"/>
        </w:rPr>
        <w:t>Canadian Association of Counsel to Employers.</w:t>
      </w:r>
    </w:p>
    <w:p w14:paraId="424DB300" w14:textId="62121339" w:rsidR="005A7078" w:rsidRPr="003163C7" w:rsidRDefault="007270F8" w:rsidP="007270F8">
      <w:pPr>
        <w:pStyle w:val="SCCNormalDoubleSpacing"/>
        <w:spacing w:after="480"/>
      </w:pPr>
      <w:r w:rsidRPr="003163C7">
        <w:rPr>
          <w:rStyle w:val="SCCCounselNameChar"/>
        </w:rPr>
        <w:tab/>
        <w:t>Brendan MacArthur</w:t>
      </w:r>
      <w:r w:rsidRPr="003163C7">
        <w:rPr>
          <w:rStyle w:val="SCCCounselNameChar"/>
        </w:rPr>
        <w:noBreakHyphen/>
      </w:r>
      <w:r w:rsidR="001F27B4" w:rsidRPr="003163C7">
        <w:rPr>
          <w:rStyle w:val="SCCCounselNameChar"/>
        </w:rPr>
        <w:t>Stevens</w:t>
      </w:r>
      <w:r w:rsidR="001F27B4" w:rsidRPr="003163C7">
        <w:rPr>
          <w:rStyle w:val="SCCCounselNameChar"/>
          <w:i w:val="0"/>
        </w:rPr>
        <w:t>,</w:t>
      </w:r>
      <w:r w:rsidR="001F27B4" w:rsidRPr="003163C7">
        <w:rPr>
          <w:rStyle w:val="SCCCounselSeparatorChar"/>
        </w:rPr>
        <w:t xml:space="preserve"> </w:t>
      </w:r>
      <w:r w:rsidR="001F27B4" w:rsidRPr="003163C7">
        <w:rPr>
          <w:rStyle w:val="SCCCounselNameChar"/>
        </w:rPr>
        <w:t xml:space="preserve">Bennett Jensen </w:t>
      </w:r>
      <w:r w:rsidR="003138F3" w:rsidRPr="003163C7">
        <w:rPr>
          <w:rStyle w:val="SCCCounselSeparatorChar"/>
        </w:rPr>
        <w:t xml:space="preserve">and </w:t>
      </w:r>
      <w:r w:rsidR="003138F3" w:rsidRPr="003163C7">
        <w:rPr>
          <w:rStyle w:val="SCCCounselNameChar"/>
        </w:rPr>
        <w:t>Gregory Sheppard</w:t>
      </w:r>
      <w:r w:rsidR="003138F3" w:rsidRPr="003163C7">
        <w:rPr>
          <w:rStyle w:val="SCCCounselPartyRoleChar"/>
        </w:rPr>
        <w:t>, for the intervener Egale Canada.</w:t>
      </w:r>
    </w:p>
    <w:p w14:paraId="4F50741F" w14:textId="77777777" w:rsidR="005A7078" w:rsidRPr="003163C7" w:rsidRDefault="003138F3" w:rsidP="007270F8">
      <w:pPr>
        <w:pStyle w:val="SCCNormalDoubleSpacing"/>
        <w:spacing w:after="480"/>
      </w:pPr>
      <w:r w:rsidRPr="003163C7">
        <w:rPr>
          <w:rStyle w:val="SCCCounselNameChar"/>
        </w:rPr>
        <w:tab/>
        <w:t xml:space="preserve">Susan </w:t>
      </w:r>
      <w:proofErr w:type="spellStart"/>
      <w:r w:rsidRPr="003163C7">
        <w:rPr>
          <w:rStyle w:val="SCCCounselNameChar"/>
        </w:rPr>
        <w:t>Ursel</w:t>
      </w:r>
      <w:proofErr w:type="spellEnd"/>
      <w:r w:rsidRPr="003163C7">
        <w:rPr>
          <w:rStyle w:val="SCCCounselSeparatorChar"/>
        </w:rPr>
        <w:t xml:space="preserve"> and </w:t>
      </w:r>
      <w:r w:rsidRPr="003163C7">
        <w:rPr>
          <w:rStyle w:val="SCCCounselNameChar"/>
        </w:rPr>
        <w:t>Kristen Allen</w:t>
      </w:r>
      <w:r w:rsidRPr="003163C7">
        <w:rPr>
          <w:rStyle w:val="SCCCounselPartyRoleChar"/>
        </w:rPr>
        <w:t xml:space="preserve">, for the intervener </w:t>
      </w:r>
      <w:r w:rsidR="000E2E08" w:rsidRPr="003163C7">
        <w:rPr>
          <w:rStyle w:val="SCCCounselPartyRoleChar"/>
        </w:rPr>
        <w:t xml:space="preserve">the </w:t>
      </w:r>
      <w:r w:rsidRPr="003163C7">
        <w:rPr>
          <w:rStyle w:val="SCCCounselPartyRoleChar"/>
        </w:rPr>
        <w:t>David Asper Centre for Constitutional Rights.</w:t>
      </w:r>
    </w:p>
    <w:p w14:paraId="446D8794" w14:textId="77777777" w:rsidR="005A7078" w:rsidRPr="003163C7" w:rsidRDefault="003138F3" w:rsidP="007270F8">
      <w:pPr>
        <w:pStyle w:val="SCCNormalDoubleSpacing"/>
        <w:spacing w:after="480"/>
      </w:pPr>
      <w:r w:rsidRPr="003163C7">
        <w:rPr>
          <w:rStyle w:val="SCCCounselNameChar"/>
        </w:rPr>
        <w:tab/>
        <w:t>Gerald Chan</w:t>
      </w:r>
      <w:r w:rsidRPr="003163C7">
        <w:rPr>
          <w:rStyle w:val="SCCCounselSeparatorChar"/>
        </w:rPr>
        <w:t xml:space="preserve"> and </w:t>
      </w:r>
      <w:r w:rsidRPr="003163C7">
        <w:rPr>
          <w:rStyle w:val="SCCCounselNameChar"/>
        </w:rPr>
        <w:t>Olivia Eng</w:t>
      </w:r>
      <w:r w:rsidRPr="003163C7">
        <w:rPr>
          <w:rStyle w:val="SCCCounselPartyRoleChar"/>
        </w:rPr>
        <w:t xml:space="preserve">, for the intervener </w:t>
      </w:r>
      <w:r w:rsidR="000E2E08" w:rsidRPr="003163C7">
        <w:rPr>
          <w:rStyle w:val="SCCCounselPartyRoleChar"/>
        </w:rPr>
        <w:t xml:space="preserve">the </w:t>
      </w:r>
      <w:r w:rsidRPr="003163C7">
        <w:rPr>
          <w:rStyle w:val="SCCCounselPartyRoleChar"/>
        </w:rPr>
        <w:t>Canadian Civil Liberties Association.</w:t>
      </w:r>
    </w:p>
    <w:p w14:paraId="796F1787" w14:textId="39666273" w:rsidR="005A7078" w:rsidRPr="003163C7" w:rsidRDefault="003138F3" w:rsidP="007270F8">
      <w:pPr>
        <w:pStyle w:val="SCCNormalDoubleSpacing"/>
        <w:spacing w:after="480"/>
        <w:rPr>
          <w:lang w:val="fr-CA"/>
        </w:rPr>
      </w:pPr>
      <w:r w:rsidRPr="003163C7">
        <w:rPr>
          <w:rStyle w:val="SCCCounselNameChar"/>
        </w:rPr>
        <w:tab/>
      </w:r>
      <w:r w:rsidRPr="003163C7">
        <w:rPr>
          <w:rStyle w:val="SCCCounselNameChar"/>
          <w:lang w:val="fr-CA"/>
        </w:rPr>
        <w:t>Amy Nguyen</w:t>
      </w:r>
      <w:r w:rsidRPr="003163C7">
        <w:rPr>
          <w:rStyle w:val="SCCCounselPartyRoleChar"/>
          <w:lang w:val="fr-CA"/>
        </w:rPr>
        <w:t>,</w:t>
      </w:r>
      <w:r w:rsidR="000E2E08" w:rsidRPr="003163C7">
        <w:rPr>
          <w:rStyle w:val="SCCCounselPartyRoleChar"/>
          <w:lang w:val="fr-CA"/>
        </w:rPr>
        <w:t xml:space="preserve"> </w:t>
      </w:r>
      <w:r w:rsidR="000E2E08" w:rsidRPr="003163C7">
        <w:rPr>
          <w:rStyle w:val="SCCCounselPartyRoleChar"/>
          <w:i/>
          <w:lang w:val="fr-CA"/>
        </w:rPr>
        <w:t>Marc Daoud</w:t>
      </w:r>
      <w:r w:rsidR="000E2E08" w:rsidRPr="003163C7">
        <w:rPr>
          <w:rStyle w:val="SCCCounselPartyRoleChar"/>
          <w:lang w:val="fr-CA"/>
        </w:rPr>
        <w:t xml:space="preserve"> and </w:t>
      </w:r>
      <w:r w:rsidR="007270F8" w:rsidRPr="003163C7">
        <w:rPr>
          <w:rStyle w:val="SCCCounselPartyRoleChar"/>
          <w:i/>
          <w:lang w:val="fr-CA"/>
        </w:rPr>
        <w:t xml:space="preserve">Laurence </w:t>
      </w:r>
      <w:proofErr w:type="spellStart"/>
      <w:r w:rsidR="007270F8" w:rsidRPr="003163C7">
        <w:rPr>
          <w:rStyle w:val="SCCCounselPartyRoleChar"/>
          <w:i/>
          <w:lang w:val="fr-CA"/>
        </w:rPr>
        <w:t>Dufault</w:t>
      </w:r>
      <w:proofErr w:type="spellEnd"/>
      <w:r w:rsidR="007270F8" w:rsidRPr="003163C7">
        <w:rPr>
          <w:rStyle w:val="SCCCounselPartyRoleChar"/>
          <w:i/>
          <w:lang w:val="fr-CA"/>
        </w:rPr>
        <w:noBreakHyphen/>
      </w:r>
      <w:r w:rsidR="000E2E08" w:rsidRPr="003163C7">
        <w:rPr>
          <w:rStyle w:val="SCCCounselPartyRoleChar"/>
          <w:i/>
          <w:lang w:val="fr-CA"/>
        </w:rPr>
        <w:t>Arsenault</w:t>
      </w:r>
      <w:r w:rsidR="000E2E08" w:rsidRPr="003163C7">
        <w:rPr>
          <w:rStyle w:val="SCCCounselPartyRoleChar"/>
          <w:lang w:val="fr-CA"/>
        </w:rPr>
        <w:t>,</w:t>
      </w:r>
      <w:r w:rsidRPr="003163C7">
        <w:rPr>
          <w:rStyle w:val="SCCCounselPartyRoleChar"/>
          <w:lang w:val="fr-CA"/>
        </w:rPr>
        <w:t xml:space="preserve"> for the intervener Centrale des syndicats du Québec.</w:t>
      </w:r>
    </w:p>
    <w:p w14:paraId="6BB6EE44" w14:textId="77777777" w:rsidR="005A7078" w:rsidRPr="003163C7" w:rsidRDefault="003138F3" w:rsidP="007270F8">
      <w:pPr>
        <w:pStyle w:val="SCCNormalDoubleSpacing"/>
        <w:spacing w:after="480"/>
        <w:rPr>
          <w:rStyle w:val="SCCCounselPartyRoleChar"/>
        </w:rPr>
      </w:pPr>
      <w:r w:rsidRPr="003163C7">
        <w:rPr>
          <w:rStyle w:val="SCCCounselNameChar"/>
          <w:lang w:val="fr-CA"/>
        </w:rPr>
        <w:tab/>
      </w:r>
      <w:r w:rsidRPr="003163C7">
        <w:rPr>
          <w:rStyle w:val="SCCCounselNameChar"/>
        </w:rPr>
        <w:t xml:space="preserve">Jared </w:t>
      </w:r>
      <w:proofErr w:type="gramStart"/>
      <w:r w:rsidRPr="003163C7">
        <w:rPr>
          <w:rStyle w:val="SCCCounselNameChar"/>
        </w:rPr>
        <w:t>Will</w:t>
      </w:r>
      <w:proofErr w:type="gramEnd"/>
      <w:r w:rsidRPr="003163C7">
        <w:rPr>
          <w:rStyle w:val="SCCCounselPartyRoleChar"/>
        </w:rPr>
        <w:t>, for the intervener</w:t>
      </w:r>
      <w:r w:rsidR="000E2E08" w:rsidRPr="003163C7">
        <w:rPr>
          <w:rStyle w:val="SCCCounselPartyRoleChar"/>
        </w:rPr>
        <w:t xml:space="preserve"> the</w:t>
      </w:r>
      <w:r w:rsidRPr="003163C7">
        <w:rPr>
          <w:rStyle w:val="SCCCounselPartyRoleChar"/>
        </w:rPr>
        <w:t xml:space="preserve"> Queen</w:t>
      </w:r>
      <w:r w:rsidR="008C7709" w:rsidRPr="003163C7">
        <w:rPr>
          <w:rStyle w:val="SCCCounselPartyRoleChar"/>
        </w:rPr>
        <w:t>’</w:t>
      </w:r>
      <w:r w:rsidRPr="003163C7">
        <w:rPr>
          <w:rStyle w:val="SCCCounselPartyRoleChar"/>
        </w:rPr>
        <w:t>s Prison Law Clinic.</w:t>
      </w:r>
    </w:p>
    <w:p w14:paraId="101EC5F4" w14:textId="77777777" w:rsidR="005F5184" w:rsidRPr="003163C7" w:rsidRDefault="005F5184" w:rsidP="005F5184">
      <w:pPr>
        <w:tabs>
          <w:tab w:val="left" w:pos="1134"/>
        </w:tabs>
        <w:spacing w:after="480" w:line="480" w:lineRule="auto"/>
        <w:jc w:val="both"/>
        <w:rPr>
          <w:lang w:val="en-US"/>
        </w:rPr>
      </w:pPr>
      <w:r w:rsidRPr="003163C7">
        <w:tab/>
      </w:r>
      <w:r w:rsidRPr="003163C7">
        <w:rPr>
          <w:lang w:val="en-US"/>
        </w:rPr>
        <w:t xml:space="preserve">The judgment of Wagner C.J. and Côté, Rowe, Kasirer and Jamal JJ. </w:t>
      </w:r>
      <w:proofErr w:type="gramStart"/>
      <w:r w:rsidRPr="003163C7">
        <w:rPr>
          <w:lang w:val="en-US"/>
        </w:rPr>
        <w:t>was</w:t>
      </w:r>
      <w:proofErr w:type="gramEnd"/>
      <w:r w:rsidRPr="003163C7">
        <w:rPr>
          <w:lang w:val="en-US"/>
        </w:rPr>
        <w:t xml:space="preserve"> delivered by</w:t>
      </w:r>
    </w:p>
    <w:p w14:paraId="03952B33" w14:textId="77777777" w:rsidR="005F5184" w:rsidRPr="003163C7" w:rsidRDefault="005F5184" w:rsidP="004C2DD3">
      <w:pPr>
        <w:pStyle w:val="JudgeJuge"/>
        <w:tabs>
          <w:tab w:val="clear" w:pos="1166"/>
          <w:tab w:val="left" w:pos="1134"/>
        </w:tabs>
      </w:pPr>
      <w:r w:rsidRPr="003163C7">
        <w:tab/>
        <w:t xml:space="preserve">Rowe J. — </w:t>
      </w:r>
    </w:p>
    <w:p w14:paraId="0CA6EE51" w14:textId="77777777" w:rsidR="005F5184" w:rsidRPr="003163C7" w:rsidRDefault="005F5184" w:rsidP="005F5184">
      <w:pPr>
        <w:rPr>
          <w:smallCaps/>
        </w:rPr>
      </w:pP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5F5184" w:rsidRPr="003163C7" w14:paraId="29A77F2D" w14:textId="77777777" w:rsidTr="0046319F">
        <w:trPr>
          <w:trHeight w:val="432"/>
        </w:trPr>
        <w:tc>
          <w:tcPr>
            <w:tcW w:w="9356" w:type="dxa"/>
            <w:gridSpan w:val="2"/>
          </w:tcPr>
          <w:p w14:paraId="7B114209" w14:textId="77777777" w:rsidR="005F5184" w:rsidRPr="003163C7" w:rsidRDefault="005F5184" w:rsidP="0046319F">
            <w:pPr>
              <w:tabs>
                <w:tab w:val="center" w:pos="4050"/>
              </w:tabs>
              <w:rPr>
                <w:b/>
                <w:szCs w:val="24"/>
                <w:lang w:val="fr-FR"/>
              </w:rPr>
            </w:pPr>
            <w:bookmarkStart w:id="0" w:name="_Toc151736605"/>
            <w:bookmarkStart w:id="1" w:name="_Toc152516436"/>
            <w:bookmarkStart w:id="2" w:name="_Toc152600202"/>
            <w:bookmarkStart w:id="3" w:name="_Toc152697183"/>
            <w:bookmarkStart w:id="4" w:name="_Toc155875194"/>
            <w:bookmarkStart w:id="5" w:name="_Toc158295300"/>
            <w:bookmarkStart w:id="6" w:name="_Toc162277482"/>
            <w:bookmarkStart w:id="7" w:name="_Toc151455726"/>
            <w:bookmarkStart w:id="8" w:name="_Toc149218062"/>
            <w:r w:rsidRPr="003163C7">
              <w:rPr>
                <w:b/>
                <w:szCs w:val="24"/>
              </w:rPr>
              <w:tab/>
            </w:r>
            <w:r w:rsidRPr="003163C7">
              <w:rPr>
                <w:b/>
                <w:szCs w:val="24"/>
                <w:lang w:val="fr-FR"/>
              </w:rPr>
              <w:t>TABLE OF CONTENTS</w:t>
            </w:r>
          </w:p>
          <w:p w14:paraId="601F3E57" w14:textId="77777777" w:rsidR="005F5184" w:rsidRPr="003163C7" w:rsidRDefault="005F5184" w:rsidP="0046319F">
            <w:pPr>
              <w:tabs>
                <w:tab w:val="center" w:pos="4050"/>
              </w:tabs>
              <w:rPr>
                <w:b/>
                <w:szCs w:val="24"/>
              </w:rPr>
            </w:pPr>
          </w:p>
        </w:tc>
      </w:tr>
      <w:tr w:rsidR="005F5184" w:rsidRPr="003163C7" w14:paraId="74F175AC" w14:textId="77777777" w:rsidTr="0046319F">
        <w:trPr>
          <w:trHeight w:val="432"/>
        </w:trPr>
        <w:tc>
          <w:tcPr>
            <w:tcW w:w="9356" w:type="dxa"/>
            <w:gridSpan w:val="2"/>
          </w:tcPr>
          <w:p w14:paraId="19C6A696" w14:textId="77777777" w:rsidR="005F5184" w:rsidRPr="003163C7" w:rsidRDefault="005F5184" w:rsidP="0046319F">
            <w:pPr>
              <w:tabs>
                <w:tab w:val="center" w:pos="4050"/>
              </w:tabs>
              <w:jc w:val="right"/>
              <w:rPr>
                <w:szCs w:val="24"/>
              </w:rPr>
            </w:pPr>
            <w:r w:rsidRPr="003163C7">
              <w:rPr>
                <w:szCs w:val="24"/>
              </w:rPr>
              <w:t>Paragraph</w:t>
            </w:r>
          </w:p>
        </w:tc>
      </w:tr>
      <w:tr w:rsidR="005F5184" w:rsidRPr="003163C7" w14:paraId="0021D63B" w14:textId="77777777" w:rsidTr="0046319F">
        <w:trPr>
          <w:trHeight w:val="432"/>
        </w:trPr>
        <w:tc>
          <w:tcPr>
            <w:tcW w:w="8505" w:type="dxa"/>
          </w:tcPr>
          <w:p w14:paraId="6E3C35A0" w14:textId="77777777" w:rsidR="005F5184" w:rsidRPr="003163C7" w:rsidRDefault="005F5184" w:rsidP="0046319F">
            <w:pPr>
              <w:tabs>
                <w:tab w:val="left" w:pos="480"/>
                <w:tab w:val="right" w:leader="dot" w:pos="8270"/>
              </w:tabs>
              <w:spacing w:after="100"/>
              <w:rPr>
                <w:noProof/>
                <w:szCs w:val="24"/>
                <w:u w:val="single"/>
                <w:lang w:val="en-US"/>
              </w:rPr>
            </w:pPr>
            <w:r w:rsidRPr="003163C7">
              <w:rPr>
                <w:noProof/>
                <w:szCs w:val="24"/>
                <w:lang w:bidi="en-US"/>
              </w:rPr>
              <w:t>I.</w:t>
            </w:r>
            <w:r w:rsidRPr="003163C7">
              <w:rPr>
                <w:noProof/>
                <w:szCs w:val="24"/>
                <w:lang w:val="en-US"/>
              </w:rPr>
              <w:tab/>
            </w:r>
            <w:r w:rsidRPr="003163C7">
              <w:rPr>
                <w:noProof/>
                <w:szCs w:val="24"/>
                <w:u w:val="single"/>
                <w:lang w:val="en-US"/>
              </w:rPr>
              <w:t>Overview</w:t>
            </w:r>
          </w:p>
        </w:tc>
        <w:tc>
          <w:tcPr>
            <w:tcW w:w="851" w:type="dxa"/>
          </w:tcPr>
          <w:p w14:paraId="16E23BEE" w14:textId="77777777" w:rsidR="005F5184" w:rsidRPr="003163C7" w:rsidRDefault="005F5184" w:rsidP="0046319F">
            <w:pPr>
              <w:tabs>
                <w:tab w:val="left" w:pos="480"/>
                <w:tab w:val="right" w:leader="dot" w:pos="8270"/>
              </w:tabs>
              <w:spacing w:after="100"/>
              <w:jc w:val="right"/>
              <w:rPr>
                <w:szCs w:val="24"/>
                <w:lang w:val="en-US" w:bidi="en-US"/>
              </w:rPr>
            </w:pPr>
            <w:r w:rsidRPr="003163C7">
              <w:rPr>
                <w:szCs w:val="24"/>
                <w:lang w:val="en-US" w:bidi="en-US"/>
              </w:rPr>
              <w:t>1</w:t>
            </w:r>
          </w:p>
        </w:tc>
      </w:tr>
      <w:tr w:rsidR="005F5184" w:rsidRPr="003163C7" w14:paraId="01B8A3D2" w14:textId="77777777" w:rsidTr="0046319F">
        <w:trPr>
          <w:trHeight w:val="432"/>
        </w:trPr>
        <w:tc>
          <w:tcPr>
            <w:tcW w:w="8505" w:type="dxa"/>
          </w:tcPr>
          <w:p w14:paraId="2D2454D3" w14:textId="77777777" w:rsidR="005F5184" w:rsidRPr="003163C7" w:rsidRDefault="005F5184" w:rsidP="0046319F">
            <w:pPr>
              <w:tabs>
                <w:tab w:val="left" w:pos="480"/>
                <w:tab w:val="right" w:leader="dot" w:pos="8270"/>
              </w:tabs>
              <w:spacing w:after="100"/>
              <w:rPr>
                <w:noProof/>
                <w:szCs w:val="24"/>
                <w:u w:val="single"/>
              </w:rPr>
            </w:pPr>
            <w:r w:rsidRPr="003163C7">
              <w:rPr>
                <w:noProof/>
                <w:szCs w:val="24"/>
                <w:lang w:bidi="en-US"/>
              </w:rPr>
              <w:t>II.</w:t>
            </w:r>
            <w:r w:rsidRPr="003163C7">
              <w:rPr>
                <w:noProof/>
                <w:szCs w:val="24"/>
                <w:lang w:val="en-US"/>
              </w:rPr>
              <w:tab/>
            </w:r>
            <w:r w:rsidRPr="003163C7">
              <w:rPr>
                <w:noProof/>
                <w:szCs w:val="24"/>
                <w:u w:val="single"/>
                <w:lang w:val="en-US"/>
              </w:rPr>
              <w:t>Factual Context</w:t>
            </w:r>
          </w:p>
        </w:tc>
        <w:tc>
          <w:tcPr>
            <w:tcW w:w="851" w:type="dxa"/>
          </w:tcPr>
          <w:p w14:paraId="65D6EFC1"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val="en-US" w:bidi="en-US"/>
              </w:rPr>
              <w:t>6</w:t>
            </w:r>
          </w:p>
        </w:tc>
      </w:tr>
      <w:tr w:rsidR="005F5184" w:rsidRPr="003163C7" w14:paraId="759C5CC4" w14:textId="77777777" w:rsidTr="0046319F">
        <w:trPr>
          <w:trHeight w:val="432"/>
        </w:trPr>
        <w:tc>
          <w:tcPr>
            <w:tcW w:w="8505" w:type="dxa"/>
          </w:tcPr>
          <w:p w14:paraId="23716790" w14:textId="77777777" w:rsidR="005F5184" w:rsidRPr="003163C7" w:rsidRDefault="005F5184" w:rsidP="0046319F">
            <w:pPr>
              <w:tabs>
                <w:tab w:val="left" w:pos="480"/>
                <w:tab w:val="right" w:leader="dot" w:pos="8270"/>
              </w:tabs>
              <w:spacing w:after="100"/>
              <w:rPr>
                <w:noProof/>
                <w:szCs w:val="24"/>
                <w:u w:val="single"/>
                <w:lang w:bidi="en-US"/>
              </w:rPr>
            </w:pPr>
            <w:r w:rsidRPr="003163C7">
              <w:rPr>
                <w:noProof/>
                <w:szCs w:val="24"/>
                <w:lang w:bidi="en-US"/>
              </w:rPr>
              <w:t>III.</w:t>
            </w:r>
            <w:r w:rsidRPr="003163C7">
              <w:rPr>
                <w:noProof/>
                <w:szCs w:val="24"/>
                <w:lang w:val="en-US"/>
              </w:rPr>
              <w:t xml:space="preserve"> </w:t>
            </w:r>
            <w:r w:rsidRPr="003163C7">
              <w:rPr>
                <w:noProof/>
                <w:szCs w:val="24"/>
                <w:lang w:val="en-US"/>
              </w:rPr>
              <w:tab/>
            </w:r>
            <w:r w:rsidRPr="003163C7">
              <w:rPr>
                <w:noProof/>
                <w:szCs w:val="24"/>
                <w:u w:val="single"/>
                <w:lang w:val="en-US"/>
              </w:rPr>
              <w:t>Judicial History</w:t>
            </w:r>
          </w:p>
        </w:tc>
        <w:tc>
          <w:tcPr>
            <w:tcW w:w="851" w:type="dxa"/>
          </w:tcPr>
          <w:p w14:paraId="509EC29A"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val="en-US" w:bidi="en-US"/>
              </w:rPr>
              <w:t>17</w:t>
            </w:r>
          </w:p>
        </w:tc>
      </w:tr>
      <w:tr w:rsidR="005F5184" w:rsidRPr="003163C7" w14:paraId="652C1C97" w14:textId="77777777" w:rsidTr="0046319F">
        <w:trPr>
          <w:trHeight w:val="432"/>
        </w:trPr>
        <w:tc>
          <w:tcPr>
            <w:tcW w:w="8505" w:type="dxa"/>
          </w:tcPr>
          <w:p w14:paraId="0A9FCEB5" w14:textId="77777777" w:rsidR="005F5184" w:rsidRPr="003163C7" w:rsidRDefault="005F5184" w:rsidP="0046319F">
            <w:pPr>
              <w:tabs>
                <w:tab w:val="left" w:pos="480"/>
                <w:tab w:val="right" w:leader="dot" w:pos="8270"/>
              </w:tabs>
              <w:spacing w:after="100"/>
              <w:ind w:left="567" w:hanging="567"/>
              <w:rPr>
                <w:i/>
              </w:rPr>
            </w:pPr>
            <w:r w:rsidRPr="003163C7">
              <w:rPr>
                <w:noProof/>
                <w:szCs w:val="24"/>
              </w:rPr>
              <w:t>A.</w:t>
            </w:r>
            <w:r w:rsidRPr="003163C7">
              <w:rPr>
                <w:noProof/>
                <w:szCs w:val="24"/>
              </w:rPr>
              <w:tab/>
            </w:r>
            <w:r w:rsidRPr="003163C7">
              <w:rPr>
                <w:i/>
                <w:szCs w:val="24"/>
              </w:rPr>
              <w:t xml:space="preserve">Arbitrator’s Decision </w:t>
            </w:r>
            <w:r w:rsidRPr="003163C7">
              <w:rPr>
                <w:i/>
              </w:rPr>
              <w:t>(2018), 294 L.A.C. (4th) 341 (G. Misra)</w:t>
            </w:r>
          </w:p>
        </w:tc>
        <w:tc>
          <w:tcPr>
            <w:tcW w:w="851" w:type="dxa"/>
          </w:tcPr>
          <w:p w14:paraId="2FC9A0D7"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17</w:t>
            </w:r>
          </w:p>
        </w:tc>
      </w:tr>
      <w:tr w:rsidR="005F5184" w:rsidRPr="003163C7" w14:paraId="2D8FFB8A" w14:textId="77777777" w:rsidTr="0046319F">
        <w:trPr>
          <w:trHeight w:val="432"/>
        </w:trPr>
        <w:tc>
          <w:tcPr>
            <w:tcW w:w="8505" w:type="dxa"/>
          </w:tcPr>
          <w:p w14:paraId="6851A771" w14:textId="77777777" w:rsidR="005F5184" w:rsidRPr="003163C7" w:rsidRDefault="005F5184" w:rsidP="005F5184">
            <w:pPr>
              <w:pStyle w:val="ListParagraph"/>
              <w:numPr>
                <w:ilvl w:val="0"/>
                <w:numId w:val="20"/>
              </w:numPr>
              <w:tabs>
                <w:tab w:val="left" w:pos="480"/>
                <w:tab w:val="right" w:leader="dot" w:pos="8270"/>
              </w:tabs>
              <w:spacing w:after="100"/>
              <w:ind w:left="1134" w:hanging="708"/>
              <w:rPr>
                <w:rFonts w:cs="Times New Roman"/>
                <w:noProof/>
                <w:szCs w:val="24"/>
                <w:lang w:val="en-CA"/>
              </w:rPr>
            </w:pPr>
            <w:r w:rsidRPr="003163C7">
              <w:rPr>
                <w:rFonts w:cs="Times New Roman"/>
                <w:u w:val="single"/>
                <w:lang w:val="en-CA"/>
              </w:rPr>
              <w:t>First Alleged Breach</w:t>
            </w:r>
          </w:p>
        </w:tc>
        <w:tc>
          <w:tcPr>
            <w:tcW w:w="851" w:type="dxa"/>
          </w:tcPr>
          <w:p w14:paraId="1F918B0C"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23</w:t>
            </w:r>
          </w:p>
        </w:tc>
      </w:tr>
      <w:tr w:rsidR="005F5184" w:rsidRPr="003163C7" w14:paraId="3A589CDC" w14:textId="77777777" w:rsidTr="0046319F">
        <w:trPr>
          <w:trHeight w:val="432"/>
        </w:trPr>
        <w:tc>
          <w:tcPr>
            <w:tcW w:w="8505" w:type="dxa"/>
          </w:tcPr>
          <w:p w14:paraId="07B1AF1C" w14:textId="77777777" w:rsidR="005F5184" w:rsidRPr="003163C7" w:rsidRDefault="005F5184" w:rsidP="005F5184">
            <w:pPr>
              <w:pStyle w:val="ListParagraph"/>
              <w:numPr>
                <w:ilvl w:val="0"/>
                <w:numId w:val="20"/>
              </w:numPr>
              <w:tabs>
                <w:tab w:val="left" w:pos="480"/>
                <w:tab w:val="right" w:leader="dot" w:pos="8270"/>
              </w:tabs>
              <w:spacing w:after="100"/>
              <w:ind w:left="1134" w:hanging="708"/>
              <w:rPr>
                <w:rFonts w:cs="Times New Roman"/>
                <w:noProof/>
                <w:szCs w:val="24"/>
                <w:lang w:val="en-CA"/>
              </w:rPr>
            </w:pPr>
            <w:r w:rsidRPr="003163C7">
              <w:rPr>
                <w:rFonts w:cs="Times New Roman"/>
                <w:u w:val="single"/>
                <w:lang w:val="en-CA"/>
              </w:rPr>
              <w:t>Second Alleged Breach</w:t>
            </w:r>
          </w:p>
        </w:tc>
        <w:tc>
          <w:tcPr>
            <w:tcW w:w="851" w:type="dxa"/>
          </w:tcPr>
          <w:p w14:paraId="46976DB5"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25</w:t>
            </w:r>
          </w:p>
        </w:tc>
      </w:tr>
      <w:tr w:rsidR="005F5184" w:rsidRPr="003163C7" w14:paraId="638DC47F" w14:textId="77777777" w:rsidTr="0046319F">
        <w:trPr>
          <w:trHeight w:val="432"/>
        </w:trPr>
        <w:tc>
          <w:tcPr>
            <w:tcW w:w="8505" w:type="dxa"/>
          </w:tcPr>
          <w:p w14:paraId="7486712C" w14:textId="77777777" w:rsidR="005F5184" w:rsidRPr="003163C7" w:rsidRDefault="005F5184" w:rsidP="005F5184">
            <w:pPr>
              <w:pStyle w:val="ListParagraph"/>
              <w:numPr>
                <w:ilvl w:val="0"/>
                <w:numId w:val="20"/>
              </w:numPr>
              <w:tabs>
                <w:tab w:val="left" w:pos="480"/>
                <w:tab w:val="right" w:leader="dot" w:pos="8270"/>
              </w:tabs>
              <w:spacing w:after="100"/>
              <w:ind w:left="1134" w:hanging="708"/>
              <w:rPr>
                <w:rFonts w:cs="Times New Roman"/>
                <w:noProof/>
                <w:szCs w:val="24"/>
                <w:lang w:val="en-CA"/>
              </w:rPr>
            </w:pPr>
            <w:r w:rsidRPr="003163C7">
              <w:rPr>
                <w:rFonts w:cs="Times New Roman"/>
                <w:u w:val="single"/>
                <w:lang w:val="en-CA"/>
              </w:rPr>
              <w:t>Third Alleged Breach</w:t>
            </w:r>
          </w:p>
        </w:tc>
        <w:tc>
          <w:tcPr>
            <w:tcW w:w="851" w:type="dxa"/>
          </w:tcPr>
          <w:p w14:paraId="64B0893D"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30</w:t>
            </w:r>
          </w:p>
        </w:tc>
      </w:tr>
      <w:tr w:rsidR="005F5184" w:rsidRPr="003163C7" w14:paraId="03404EA9" w14:textId="77777777" w:rsidTr="0046319F">
        <w:trPr>
          <w:trHeight w:val="432"/>
        </w:trPr>
        <w:tc>
          <w:tcPr>
            <w:tcW w:w="8505" w:type="dxa"/>
          </w:tcPr>
          <w:p w14:paraId="50B82616" w14:textId="77777777" w:rsidR="005F5184" w:rsidRPr="003163C7" w:rsidRDefault="005F5184" w:rsidP="0046319F">
            <w:pPr>
              <w:tabs>
                <w:tab w:val="left" w:pos="426"/>
                <w:tab w:val="right" w:leader="dot" w:pos="8270"/>
              </w:tabs>
              <w:spacing w:after="100"/>
              <w:ind w:left="426" w:hanging="426"/>
              <w:rPr>
                <w:i/>
              </w:rPr>
            </w:pPr>
            <w:r w:rsidRPr="003163C7">
              <w:rPr>
                <w:noProof/>
                <w:szCs w:val="24"/>
              </w:rPr>
              <w:t xml:space="preserve">B. </w:t>
            </w:r>
            <w:r w:rsidRPr="003163C7">
              <w:rPr>
                <w:noProof/>
                <w:szCs w:val="24"/>
              </w:rPr>
              <w:tab/>
            </w:r>
            <w:r w:rsidRPr="003163C7">
              <w:rPr>
                <w:i/>
                <w:noProof/>
                <w:szCs w:val="24"/>
              </w:rPr>
              <w:t>On</w:t>
            </w:r>
            <w:proofErr w:type="spellStart"/>
            <w:r w:rsidRPr="003163C7">
              <w:rPr>
                <w:i/>
              </w:rPr>
              <w:t>tario</w:t>
            </w:r>
            <w:proofErr w:type="spellEnd"/>
            <w:r w:rsidRPr="003163C7">
              <w:rPr>
                <w:i/>
              </w:rPr>
              <w:t xml:space="preserve"> Superior Court of Justice (Divisional Court), 2020 ONSC 3685, 316 L.A.C. (4th) 1 (Kiteley and O’Bonsawin JJ., Sachs J. Dissenting)</w:t>
            </w:r>
          </w:p>
        </w:tc>
        <w:tc>
          <w:tcPr>
            <w:tcW w:w="851" w:type="dxa"/>
          </w:tcPr>
          <w:p w14:paraId="4399EDB0"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32</w:t>
            </w:r>
          </w:p>
        </w:tc>
      </w:tr>
      <w:tr w:rsidR="005F5184" w:rsidRPr="003163C7" w14:paraId="7FBA2D56" w14:textId="77777777" w:rsidTr="0046319F">
        <w:trPr>
          <w:trHeight w:val="432"/>
        </w:trPr>
        <w:tc>
          <w:tcPr>
            <w:tcW w:w="8505" w:type="dxa"/>
          </w:tcPr>
          <w:p w14:paraId="55165514" w14:textId="77777777" w:rsidR="005F5184" w:rsidRPr="003163C7" w:rsidRDefault="005F5184" w:rsidP="005F5184">
            <w:pPr>
              <w:pStyle w:val="ListParagraph"/>
              <w:numPr>
                <w:ilvl w:val="0"/>
                <w:numId w:val="17"/>
              </w:numPr>
              <w:tabs>
                <w:tab w:val="left" w:pos="1100"/>
                <w:tab w:val="right" w:leader="dot" w:pos="8270"/>
              </w:tabs>
              <w:spacing w:after="100"/>
              <w:rPr>
                <w:rFonts w:cs="Times New Roman"/>
                <w:szCs w:val="24"/>
                <w:u w:val="single"/>
                <w:lang w:val="en-CA"/>
              </w:rPr>
            </w:pPr>
            <w:r w:rsidRPr="003163C7">
              <w:rPr>
                <w:rFonts w:cs="Times New Roman"/>
                <w:u w:val="single"/>
                <w:lang w:val="en-CA"/>
              </w:rPr>
              <w:t>The Majority Opinion (O’Bonsawin J., Kiteley J. Concurring)</w:t>
            </w:r>
          </w:p>
        </w:tc>
        <w:tc>
          <w:tcPr>
            <w:tcW w:w="851" w:type="dxa"/>
          </w:tcPr>
          <w:p w14:paraId="54CAB623"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34</w:t>
            </w:r>
          </w:p>
        </w:tc>
      </w:tr>
      <w:tr w:rsidR="005F5184" w:rsidRPr="003163C7" w14:paraId="58D1934E" w14:textId="77777777" w:rsidTr="0046319F">
        <w:trPr>
          <w:trHeight w:val="432"/>
        </w:trPr>
        <w:tc>
          <w:tcPr>
            <w:tcW w:w="8505" w:type="dxa"/>
          </w:tcPr>
          <w:p w14:paraId="246A272B" w14:textId="77777777" w:rsidR="005F5184" w:rsidRPr="003163C7" w:rsidRDefault="005F5184" w:rsidP="005F5184">
            <w:pPr>
              <w:pStyle w:val="ListParagraph"/>
              <w:numPr>
                <w:ilvl w:val="0"/>
                <w:numId w:val="17"/>
              </w:numPr>
              <w:tabs>
                <w:tab w:val="left" w:pos="1100"/>
                <w:tab w:val="right" w:leader="dot" w:pos="8270"/>
              </w:tabs>
              <w:spacing w:after="100"/>
              <w:rPr>
                <w:rFonts w:cs="Times New Roman"/>
                <w:szCs w:val="24"/>
                <w:u w:val="single"/>
                <w:lang w:val="en-CA"/>
              </w:rPr>
            </w:pPr>
            <w:r w:rsidRPr="003163C7">
              <w:rPr>
                <w:rFonts w:cs="Times New Roman"/>
                <w:u w:val="single"/>
                <w:lang w:val="en-CA"/>
              </w:rPr>
              <w:t>The Dissenting Opinion (Sachs J.)</w:t>
            </w:r>
          </w:p>
        </w:tc>
        <w:tc>
          <w:tcPr>
            <w:tcW w:w="851" w:type="dxa"/>
          </w:tcPr>
          <w:p w14:paraId="176D57E4"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40</w:t>
            </w:r>
          </w:p>
        </w:tc>
      </w:tr>
      <w:tr w:rsidR="005F5184" w:rsidRPr="003163C7" w14:paraId="54C4407C" w14:textId="77777777" w:rsidTr="0046319F">
        <w:trPr>
          <w:trHeight w:val="432"/>
        </w:trPr>
        <w:tc>
          <w:tcPr>
            <w:tcW w:w="8505" w:type="dxa"/>
          </w:tcPr>
          <w:p w14:paraId="7B0CEA21" w14:textId="77777777" w:rsidR="005F5184" w:rsidRPr="003163C7" w:rsidRDefault="005F5184" w:rsidP="0046319F">
            <w:pPr>
              <w:tabs>
                <w:tab w:val="left" w:pos="480"/>
                <w:tab w:val="right" w:leader="dot" w:pos="8270"/>
              </w:tabs>
              <w:spacing w:after="100"/>
              <w:ind w:left="450" w:hanging="450"/>
              <w:rPr>
                <w:i/>
                <w:noProof/>
                <w:szCs w:val="24"/>
              </w:rPr>
            </w:pPr>
            <w:r w:rsidRPr="003163C7">
              <w:t>C.</w:t>
            </w:r>
            <w:r w:rsidRPr="003163C7">
              <w:rPr>
                <w:noProof/>
                <w:szCs w:val="24"/>
              </w:rPr>
              <w:t xml:space="preserve"> </w:t>
            </w:r>
            <w:r w:rsidRPr="003163C7">
              <w:rPr>
                <w:noProof/>
                <w:szCs w:val="24"/>
              </w:rPr>
              <w:tab/>
            </w:r>
            <w:r w:rsidRPr="003163C7">
              <w:rPr>
                <w:i/>
              </w:rPr>
              <w:t>Court of Appeal for Ontario, 2022 ONCA 476, 340 L.A.C. (4th) 365 (Doherty, Benotto and Huscroft JJ.A.)</w:t>
            </w:r>
          </w:p>
        </w:tc>
        <w:tc>
          <w:tcPr>
            <w:tcW w:w="851" w:type="dxa"/>
          </w:tcPr>
          <w:p w14:paraId="397EE92D"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49</w:t>
            </w:r>
          </w:p>
        </w:tc>
      </w:tr>
      <w:tr w:rsidR="005F5184" w:rsidRPr="003163C7" w14:paraId="0D7DB676" w14:textId="77777777" w:rsidTr="0046319F">
        <w:trPr>
          <w:trHeight w:val="432"/>
        </w:trPr>
        <w:tc>
          <w:tcPr>
            <w:tcW w:w="8505" w:type="dxa"/>
          </w:tcPr>
          <w:p w14:paraId="07EAA66C" w14:textId="77777777" w:rsidR="005F5184" w:rsidRPr="003163C7" w:rsidRDefault="005F5184" w:rsidP="0046319F">
            <w:pPr>
              <w:tabs>
                <w:tab w:val="left" w:pos="480"/>
                <w:tab w:val="right" w:leader="dot" w:pos="8270"/>
              </w:tabs>
              <w:spacing w:after="100"/>
              <w:ind w:left="450" w:hanging="450"/>
              <w:rPr>
                <w:noProof/>
                <w:szCs w:val="24"/>
                <w:u w:val="single"/>
                <w:lang w:bidi="en-US"/>
              </w:rPr>
            </w:pPr>
            <w:r w:rsidRPr="003163C7">
              <w:rPr>
                <w:noProof/>
                <w:szCs w:val="24"/>
              </w:rPr>
              <w:t>IV.</w:t>
            </w:r>
            <w:r w:rsidRPr="003163C7">
              <w:rPr>
                <w:noProof/>
                <w:szCs w:val="24"/>
              </w:rPr>
              <w:tab/>
            </w:r>
            <w:r w:rsidRPr="003163C7">
              <w:rPr>
                <w:noProof/>
                <w:szCs w:val="24"/>
                <w:u w:val="single"/>
              </w:rPr>
              <w:t>Issues</w:t>
            </w:r>
          </w:p>
        </w:tc>
        <w:tc>
          <w:tcPr>
            <w:tcW w:w="851" w:type="dxa"/>
          </w:tcPr>
          <w:p w14:paraId="4FFF3AC0"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53</w:t>
            </w:r>
          </w:p>
        </w:tc>
      </w:tr>
      <w:tr w:rsidR="005F5184" w:rsidRPr="003163C7" w14:paraId="163508BB" w14:textId="77777777" w:rsidTr="0046319F">
        <w:trPr>
          <w:trHeight w:val="432"/>
        </w:trPr>
        <w:tc>
          <w:tcPr>
            <w:tcW w:w="8505" w:type="dxa"/>
          </w:tcPr>
          <w:p w14:paraId="2ACD971F" w14:textId="77777777" w:rsidR="005F5184" w:rsidRPr="003163C7" w:rsidRDefault="005F5184" w:rsidP="0046319F">
            <w:pPr>
              <w:tabs>
                <w:tab w:val="left" w:pos="480"/>
                <w:tab w:val="right" w:leader="dot" w:pos="8270"/>
              </w:tabs>
              <w:spacing w:after="100"/>
              <w:rPr>
                <w:i/>
                <w:noProof/>
                <w:szCs w:val="24"/>
                <w:u w:val="single"/>
              </w:rPr>
            </w:pPr>
            <w:r w:rsidRPr="003163C7">
              <w:rPr>
                <w:noProof/>
                <w:szCs w:val="24"/>
                <w:lang w:bidi="en-US"/>
              </w:rPr>
              <w:t>V.</w:t>
            </w:r>
            <w:r w:rsidRPr="003163C7">
              <w:rPr>
                <w:noProof/>
                <w:szCs w:val="24"/>
              </w:rPr>
              <w:tab/>
            </w:r>
            <w:r w:rsidRPr="003163C7">
              <w:rPr>
                <w:noProof/>
                <w:szCs w:val="24"/>
                <w:u w:val="single"/>
              </w:rPr>
              <w:t>Submissions</w:t>
            </w:r>
          </w:p>
        </w:tc>
        <w:tc>
          <w:tcPr>
            <w:tcW w:w="851" w:type="dxa"/>
          </w:tcPr>
          <w:p w14:paraId="2C2B5A54"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54</w:t>
            </w:r>
          </w:p>
        </w:tc>
      </w:tr>
      <w:tr w:rsidR="005F5184" w:rsidRPr="003163C7" w14:paraId="751BDA07" w14:textId="77777777" w:rsidTr="0046319F">
        <w:trPr>
          <w:trHeight w:val="432"/>
        </w:trPr>
        <w:tc>
          <w:tcPr>
            <w:tcW w:w="8505" w:type="dxa"/>
          </w:tcPr>
          <w:p w14:paraId="0B9CBAF7" w14:textId="77777777" w:rsidR="005F5184" w:rsidRPr="003163C7" w:rsidRDefault="005F5184" w:rsidP="0046319F">
            <w:pPr>
              <w:tabs>
                <w:tab w:val="left" w:pos="480"/>
                <w:tab w:val="right" w:leader="dot" w:pos="8270"/>
              </w:tabs>
              <w:spacing w:after="100"/>
              <w:rPr>
                <w:noProof/>
                <w:szCs w:val="24"/>
              </w:rPr>
            </w:pPr>
            <w:r w:rsidRPr="003163C7">
              <w:rPr>
                <w:noProof/>
                <w:szCs w:val="24"/>
                <w:lang w:bidi="en-US"/>
              </w:rPr>
              <w:t>A.</w:t>
            </w:r>
            <w:r w:rsidRPr="003163C7">
              <w:rPr>
                <w:noProof/>
                <w:szCs w:val="24"/>
              </w:rPr>
              <w:tab/>
            </w:r>
            <w:r w:rsidRPr="003163C7">
              <w:rPr>
                <w:i/>
              </w:rPr>
              <w:t>York Region District School Board</w:t>
            </w:r>
          </w:p>
        </w:tc>
        <w:tc>
          <w:tcPr>
            <w:tcW w:w="851" w:type="dxa"/>
          </w:tcPr>
          <w:p w14:paraId="16BD3EB8"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54</w:t>
            </w:r>
          </w:p>
        </w:tc>
      </w:tr>
      <w:tr w:rsidR="005F5184" w:rsidRPr="003163C7" w14:paraId="727E7E2D" w14:textId="77777777" w:rsidTr="0046319F">
        <w:trPr>
          <w:trHeight w:val="432"/>
        </w:trPr>
        <w:tc>
          <w:tcPr>
            <w:tcW w:w="8505" w:type="dxa"/>
          </w:tcPr>
          <w:p w14:paraId="48883FCB" w14:textId="77777777" w:rsidR="005F5184" w:rsidRPr="003163C7" w:rsidRDefault="005F5184" w:rsidP="0046319F">
            <w:pPr>
              <w:tabs>
                <w:tab w:val="left" w:pos="480"/>
                <w:tab w:val="right" w:leader="dot" w:pos="8270"/>
              </w:tabs>
              <w:spacing w:after="100"/>
              <w:rPr>
                <w:noProof/>
                <w:szCs w:val="24"/>
              </w:rPr>
            </w:pPr>
            <w:r w:rsidRPr="003163C7">
              <w:rPr>
                <w:noProof/>
                <w:szCs w:val="24"/>
                <w:lang w:bidi="en-US"/>
              </w:rPr>
              <w:t>B.</w:t>
            </w:r>
            <w:r w:rsidRPr="003163C7">
              <w:rPr>
                <w:noProof/>
                <w:szCs w:val="24"/>
              </w:rPr>
              <w:tab/>
            </w:r>
            <w:r w:rsidRPr="003163C7">
              <w:rPr>
                <w:i/>
              </w:rPr>
              <w:t>Elementary Teachers’ Federation of Ontario</w:t>
            </w:r>
          </w:p>
        </w:tc>
        <w:tc>
          <w:tcPr>
            <w:tcW w:w="851" w:type="dxa"/>
          </w:tcPr>
          <w:p w14:paraId="2E043553"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58</w:t>
            </w:r>
          </w:p>
        </w:tc>
      </w:tr>
      <w:tr w:rsidR="005F5184" w:rsidRPr="003163C7" w14:paraId="329FAFD6" w14:textId="77777777" w:rsidTr="0046319F">
        <w:trPr>
          <w:trHeight w:val="432"/>
        </w:trPr>
        <w:tc>
          <w:tcPr>
            <w:tcW w:w="8505" w:type="dxa"/>
          </w:tcPr>
          <w:p w14:paraId="79BB7A0F" w14:textId="77777777" w:rsidR="005F5184" w:rsidRPr="003163C7" w:rsidRDefault="005F5184" w:rsidP="0046319F">
            <w:pPr>
              <w:tabs>
                <w:tab w:val="left" w:pos="480"/>
                <w:tab w:val="right" w:leader="dot" w:pos="8270"/>
              </w:tabs>
              <w:spacing w:after="100"/>
              <w:rPr>
                <w:noProof/>
                <w:szCs w:val="24"/>
                <w:u w:val="single"/>
                <w:lang w:bidi="en-US"/>
              </w:rPr>
            </w:pPr>
            <w:r w:rsidRPr="003163C7">
              <w:rPr>
                <w:noProof/>
                <w:szCs w:val="24"/>
                <w:lang w:bidi="en-US"/>
              </w:rPr>
              <w:t>VI.</w:t>
            </w:r>
            <w:r w:rsidRPr="003163C7">
              <w:rPr>
                <w:noProof/>
                <w:szCs w:val="24"/>
              </w:rPr>
              <w:tab/>
            </w:r>
            <w:r w:rsidRPr="003163C7">
              <w:rPr>
                <w:u w:val="single"/>
              </w:rPr>
              <w:t>Analysis</w:t>
            </w:r>
          </w:p>
        </w:tc>
        <w:tc>
          <w:tcPr>
            <w:tcW w:w="851" w:type="dxa"/>
          </w:tcPr>
          <w:p w14:paraId="28467914"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62</w:t>
            </w:r>
          </w:p>
        </w:tc>
      </w:tr>
      <w:tr w:rsidR="005F5184" w:rsidRPr="003163C7" w14:paraId="1C23C836" w14:textId="77777777" w:rsidTr="0046319F">
        <w:trPr>
          <w:trHeight w:val="432"/>
        </w:trPr>
        <w:tc>
          <w:tcPr>
            <w:tcW w:w="8505" w:type="dxa"/>
          </w:tcPr>
          <w:p w14:paraId="332967BB" w14:textId="77777777" w:rsidR="005F5184" w:rsidRPr="003163C7" w:rsidRDefault="005F5184" w:rsidP="0046319F">
            <w:pPr>
              <w:tabs>
                <w:tab w:val="left" w:pos="426"/>
                <w:tab w:val="right" w:leader="dot" w:pos="8270"/>
              </w:tabs>
              <w:spacing w:after="100"/>
              <w:rPr>
                <w:noProof/>
                <w:szCs w:val="24"/>
                <w:u w:val="single"/>
                <w:lang w:bidi="en-US"/>
              </w:rPr>
            </w:pPr>
            <w:r w:rsidRPr="003163C7">
              <w:rPr>
                <w:noProof/>
                <w:szCs w:val="24"/>
                <w:lang w:bidi="en-US"/>
              </w:rPr>
              <w:t>A.</w:t>
            </w:r>
            <w:r w:rsidRPr="003163C7">
              <w:rPr>
                <w:noProof/>
                <w:szCs w:val="24"/>
              </w:rPr>
              <w:tab/>
            </w:r>
            <w:r w:rsidRPr="003163C7">
              <w:rPr>
                <w:i/>
              </w:rPr>
              <w:t>Standard of Review</w:t>
            </w:r>
          </w:p>
        </w:tc>
        <w:tc>
          <w:tcPr>
            <w:tcW w:w="851" w:type="dxa"/>
          </w:tcPr>
          <w:p w14:paraId="567D333E"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62</w:t>
            </w:r>
          </w:p>
        </w:tc>
      </w:tr>
      <w:tr w:rsidR="005F5184" w:rsidRPr="003163C7" w14:paraId="502BDA7B" w14:textId="77777777" w:rsidTr="0046319F">
        <w:trPr>
          <w:trHeight w:val="432"/>
        </w:trPr>
        <w:tc>
          <w:tcPr>
            <w:tcW w:w="8505" w:type="dxa"/>
          </w:tcPr>
          <w:p w14:paraId="23C48EAB" w14:textId="77777777" w:rsidR="005F5184" w:rsidRPr="003163C7" w:rsidRDefault="005F5184" w:rsidP="0046319F">
            <w:pPr>
              <w:tabs>
                <w:tab w:val="left" w:pos="426"/>
                <w:tab w:val="right" w:leader="dot" w:pos="8270"/>
              </w:tabs>
              <w:spacing w:after="100"/>
              <w:ind w:left="426" w:hanging="426"/>
              <w:rPr>
                <w:szCs w:val="24"/>
              </w:rPr>
            </w:pPr>
            <w:r w:rsidRPr="003163C7">
              <w:rPr>
                <w:noProof/>
                <w:szCs w:val="24"/>
                <w:lang w:bidi="en-US"/>
              </w:rPr>
              <w:t>B.</w:t>
            </w:r>
            <w:r w:rsidRPr="003163C7">
              <w:rPr>
                <w:noProof/>
                <w:szCs w:val="24"/>
              </w:rPr>
              <w:tab/>
            </w:r>
            <w:r w:rsidRPr="003163C7">
              <w:rPr>
                <w:i/>
                <w:szCs w:val="24"/>
              </w:rPr>
              <w:t>The Charter Applies to Ontario Public School Boards Under the First Branch of Eldridge</w:t>
            </w:r>
          </w:p>
        </w:tc>
        <w:tc>
          <w:tcPr>
            <w:tcW w:w="851" w:type="dxa"/>
          </w:tcPr>
          <w:p w14:paraId="46A201CC"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72</w:t>
            </w:r>
          </w:p>
        </w:tc>
      </w:tr>
      <w:tr w:rsidR="005F5184" w:rsidRPr="003163C7" w14:paraId="24104FCC" w14:textId="77777777" w:rsidTr="0046319F">
        <w:trPr>
          <w:trHeight w:val="432"/>
        </w:trPr>
        <w:tc>
          <w:tcPr>
            <w:tcW w:w="8505" w:type="dxa"/>
          </w:tcPr>
          <w:p w14:paraId="3D6985B0" w14:textId="77777777" w:rsidR="005F5184" w:rsidRPr="003163C7" w:rsidRDefault="005F5184" w:rsidP="0046319F">
            <w:pPr>
              <w:tabs>
                <w:tab w:val="left" w:pos="426"/>
                <w:tab w:val="right" w:leader="dot" w:pos="8270"/>
              </w:tabs>
              <w:spacing w:after="100"/>
              <w:ind w:left="426" w:hanging="426"/>
              <w:rPr>
                <w:noProof/>
                <w:szCs w:val="24"/>
                <w:lang w:bidi="en-US"/>
                <w14:scene3d>
                  <w14:camera w14:prst="orthographicFront"/>
                  <w14:lightRig w14:rig="threePt" w14:dir="t">
                    <w14:rot w14:lat="0" w14:lon="0" w14:rev="0"/>
                  </w14:lightRig>
                </w14:scene3d>
              </w:rPr>
            </w:pPr>
            <w:r w:rsidRPr="003163C7">
              <w:rPr>
                <w:szCs w:val="24"/>
              </w:rPr>
              <w:t>C.</w:t>
            </w:r>
            <w:r w:rsidRPr="003163C7">
              <w:rPr>
                <w:noProof/>
                <w:szCs w:val="24"/>
              </w:rPr>
              <w:t xml:space="preserve"> </w:t>
            </w:r>
            <w:r w:rsidRPr="003163C7">
              <w:rPr>
                <w:noProof/>
                <w:szCs w:val="24"/>
              </w:rPr>
              <w:tab/>
            </w:r>
            <w:r w:rsidRPr="003163C7">
              <w:rPr>
                <w:i/>
                <w:szCs w:val="24"/>
              </w:rPr>
              <w:t>The Arbitrator Erred by Applying the Wrong Analytical Framework</w:t>
            </w:r>
          </w:p>
        </w:tc>
        <w:tc>
          <w:tcPr>
            <w:tcW w:w="851" w:type="dxa"/>
          </w:tcPr>
          <w:p w14:paraId="143A8516"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85</w:t>
            </w:r>
          </w:p>
        </w:tc>
      </w:tr>
      <w:tr w:rsidR="005F5184" w:rsidRPr="003163C7" w14:paraId="1E95BC1F" w14:textId="77777777" w:rsidTr="0046319F">
        <w:trPr>
          <w:trHeight w:val="432"/>
        </w:trPr>
        <w:tc>
          <w:tcPr>
            <w:tcW w:w="8505" w:type="dxa"/>
          </w:tcPr>
          <w:p w14:paraId="20D1FE6F" w14:textId="77777777" w:rsidR="005F5184" w:rsidRPr="003163C7" w:rsidRDefault="005F5184" w:rsidP="0046319F">
            <w:pPr>
              <w:tabs>
                <w:tab w:val="left" w:pos="426"/>
                <w:tab w:val="right" w:leader="dot" w:pos="8270"/>
              </w:tabs>
              <w:spacing w:after="100"/>
              <w:ind w:left="426" w:hanging="426"/>
              <w:rPr>
                <w:szCs w:val="24"/>
              </w:rPr>
            </w:pPr>
            <w:r w:rsidRPr="003163C7">
              <w:rPr>
                <w:szCs w:val="24"/>
              </w:rPr>
              <w:t xml:space="preserve">D. </w:t>
            </w:r>
            <w:r w:rsidRPr="003163C7">
              <w:rPr>
                <w:szCs w:val="24"/>
              </w:rPr>
              <w:tab/>
            </w:r>
            <w:r w:rsidRPr="003163C7">
              <w:rPr>
                <w:i/>
                <w:szCs w:val="24"/>
              </w:rPr>
              <w:t>Public School Teachers Have a Section 8 Charter Right Against Unreasonable Search and Seizure in the Workplace</w:t>
            </w:r>
          </w:p>
        </w:tc>
        <w:tc>
          <w:tcPr>
            <w:tcW w:w="851" w:type="dxa"/>
          </w:tcPr>
          <w:p w14:paraId="331A9A14"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97</w:t>
            </w:r>
          </w:p>
        </w:tc>
      </w:tr>
      <w:tr w:rsidR="005F5184" w:rsidRPr="003163C7" w14:paraId="0D69A2A7" w14:textId="77777777" w:rsidTr="0046319F">
        <w:trPr>
          <w:trHeight w:val="432"/>
        </w:trPr>
        <w:tc>
          <w:tcPr>
            <w:tcW w:w="8505" w:type="dxa"/>
          </w:tcPr>
          <w:p w14:paraId="715EB658" w14:textId="77777777" w:rsidR="005F5184" w:rsidRPr="003163C7" w:rsidRDefault="005F5184" w:rsidP="0046319F">
            <w:pPr>
              <w:tabs>
                <w:tab w:val="left" w:pos="1100"/>
                <w:tab w:val="right" w:leader="dot" w:pos="8270"/>
              </w:tabs>
              <w:spacing w:after="100"/>
              <w:ind w:left="480"/>
              <w:rPr>
                <w:noProof/>
                <w:szCs w:val="24"/>
              </w:rPr>
            </w:pPr>
            <w:r w:rsidRPr="003163C7">
              <w:rPr>
                <w:noProof/>
                <w:szCs w:val="24"/>
                <w:lang w:bidi="en-US"/>
                <w14:scene3d>
                  <w14:camera w14:prst="orthographicFront"/>
                  <w14:lightRig w14:rig="threePt" w14:dir="t">
                    <w14:rot w14:lat="0" w14:lon="0" w14:rev="0"/>
                  </w14:lightRig>
                </w14:scene3d>
              </w:rPr>
              <w:t>(1)</w:t>
            </w:r>
            <w:r w:rsidRPr="003163C7">
              <w:rPr>
                <w:noProof/>
                <w:szCs w:val="24"/>
              </w:rPr>
              <w:tab/>
            </w:r>
            <w:r w:rsidRPr="003163C7">
              <w:rPr>
                <w:szCs w:val="24"/>
                <w:u w:val="single"/>
              </w:rPr>
              <w:t>Determining the Reasonable Expectation of Privacy</w:t>
            </w:r>
          </w:p>
        </w:tc>
        <w:tc>
          <w:tcPr>
            <w:tcW w:w="851" w:type="dxa"/>
          </w:tcPr>
          <w:p w14:paraId="598639F0"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101</w:t>
            </w:r>
          </w:p>
        </w:tc>
      </w:tr>
      <w:tr w:rsidR="005F5184" w:rsidRPr="003163C7" w14:paraId="4196FF32" w14:textId="77777777" w:rsidTr="0046319F">
        <w:trPr>
          <w:trHeight w:val="432"/>
        </w:trPr>
        <w:tc>
          <w:tcPr>
            <w:tcW w:w="8505" w:type="dxa"/>
          </w:tcPr>
          <w:p w14:paraId="28919AD0" w14:textId="77777777" w:rsidR="005F5184" w:rsidRPr="003163C7" w:rsidRDefault="005F5184" w:rsidP="0046319F">
            <w:pPr>
              <w:tabs>
                <w:tab w:val="left" w:pos="1100"/>
                <w:tab w:val="right" w:leader="dot" w:pos="8270"/>
              </w:tabs>
              <w:spacing w:after="100"/>
              <w:ind w:left="1080" w:hanging="600"/>
              <w:rPr>
                <w:noProof/>
                <w:szCs w:val="24"/>
              </w:rPr>
            </w:pPr>
            <w:r w:rsidRPr="003163C7">
              <w:rPr>
                <w:noProof/>
                <w:szCs w:val="24"/>
                <w:lang w:bidi="en-US"/>
                <w14:scene3d>
                  <w14:camera w14:prst="orthographicFront"/>
                  <w14:lightRig w14:rig="threePt" w14:dir="t">
                    <w14:rot w14:lat="0" w14:lon="0" w14:rev="0"/>
                  </w14:lightRig>
                </w14:scene3d>
              </w:rPr>
              <w:t>(2)</w:t>
            </w:r>
            <w:r w:rsidRPr="003163C7">
              <w:rPr>
                <w:noProof/>
                <w:szCs w:val="24"/>
              </w:rPr>
              <w:tab/>
            </w:r>
            <w:r w:rsidRPr="003163C7">
              <w:rPr>
                <w:szCs w:val="24"/>
                <w:u w:val="single"/>
              </w:rPr>
              <w:t>Determining the Reasonableness of a Search</w:t>
            </w:r>
          </w:p>
        </w:tc>
        <w:tc>
          <w:tcPr>
            <w:tcW w:w="851" w:type="dxa"/>
          </w:tcPr>
          <w:p w14:paraId="74ECF59A"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104</w:t>
            </w:r>
          </w:p>
        </w:tc>
      </w:tr>
      <w:tr w:rsidR="005F5184" w:rsidRPr="003163C7" w14:paraId="732D5DB6" w14:textId="77777777" w:rsidTr="0046319F">
        <w:trPr>
          <w:trHeight w:val="432"/>
        </w:trPr>
        <w:tc>
          <w:tcPr>
            <w:tcW w:w="8505" w:type="dxa"/>
          </w:tcPr>
          <w:p w14:paraId="58C8EA85" w14:textId="77777777" w:rsidR="005F5184" w:rsidRPr="003163C7" w:rsidRDefault="005F5184" w:rsidP="0046319F">
            <w:pPr>
              <w:tabs>
                <w:tab w:val="left" w:pos="480"/>
                <w:tab w:val="right" w:leader="dot" w:pos="8270"/>
              </w:tabs>
              <w:spacing w:after="100"/>
              <w:rPr>
                <w:i/>
                <w:noProof/>
                <w:szCs w:val="24"/>
                <w:u w:val="single"/>
              </w:rPr>
            </w:pPr>
            <w:r w:rsidRPr="003163C7">
              <w:rPr>
                <w:noProof/>
                <w:szCs w:val="24"/>
                <w:lang w:bidi="en-US"/>
              </w:rPr>
              <w:t>VII.</w:t>
            </w:r>
            <w:r w:rsidRPr="003163C7">
              <w:rPr>
                <w:noProof/>
                <w:szCs w:val="24"/>
              </w:rPr>
              <w:tab/>
            </w:r>
            <w:r w:rsidRPr="003163C7">
              <w:rPr>
                <w:noProof/>
                <w:szCs w:val="24"/>
                <w:u w:val="single"/>
              </w:rPr>
              <w:t>Conclusion</w:t>
            </w:r>
          </w:p>
        </w:tc>
        <w:tc>
          <w:tcPr>
            <w:tcW w:w="851" w:type="dxa"/>
          </w:tcPr>
          <w:p w14:paraId="2ED9C37D" w14:textId="77777777" w:rsidR="005F5184" w:rsidRPr="003163C7" w:rsidRDefault="005F5184" w:rsidP="0046319F">
            <w:pPr>
              <w:tabs>
                <w:tab w:val="left" w:pos="480"/>
                <w:tab w:val="right" w:leader="dot" w:pos="8270"/>
              </w:tabs>
              <w:spacing w:after="100"/>
              <w:jc w:val="right"/>
              <w:rPr>
                <w:szCs w:val="24"/>
                <w:lang w:bidi="en-US"/>
              </w:rPr>
            </w:pPr>
            <w:r w:rsidRPr="003163C7">
              <w:rPr>
                <w:szCs w:val="24"/>
                <w:lang w:bidi="en-US"/>
              </w:rPr>
              <w:t>107</w:t>
            </w:r>
          </w:p>
        </w:tc>
      </w:tr>
    </w:tbl>
    <w:p w14:paraId="2E70FE03" w14:textId="77777777" w:rsidR="005F5184" w:rsidRPr="003163C7" w:rsidRDefault="005F5184" w:rsidP="005F5184">
      <w:pPr>
        <w:pStyle w:val="Title1LevelTitre1Niveau-AltL"/>
        <w:jc w:val="left"/>
        <w:rPr>
          <w:rFonts w:cs="Times New Roman"/>
        </w:rPr>
      </w:pPr>
      <w:r w:rsidRPr="003163C7">
        <w:rPr>
          <w:rFonts w:cs="Times New Roman"/>
        </w:rPr>
        <w:t>Overview</w:t>
      </w:r>
      <w:bookmarkEnd w:id="0"/>
      <w:bookmarkEnd w:id="1"/>
      <w:bookmarkEnd w:id="2"/>
      <w:bookmarkEnd w:id="3"/>
      <w:bookmarkEnd w:id="4"/>
      <w:bookmarkEnd w:id="5"/>
      <w:bookmarkEnd w:id="6"/>
    </w:p>
    <w:p w14:paraId="3FCD8C56" w14:textId="77777777" w:rsidR="005F5184" w:rsidRPr="003163C7" w:rsidRDefault="005F5184" w:rsidP="005F5184">
      <w:pPr>
        <w:pStyle w:val="ParaNoNdepar-AltN"/>
        <w:rPr>
          <w:rFonts w:cs="Times New Roman"/>
          <w:i/>
        </w:rPr>
      </w:pPr>
      <w:r w:rsidRPr="003163C7">
        <w:rPr>
          <w:rFonts w:cs="Times New Roman"/>
        </w:rPr>
        <w:t xml:space="preserve">This appeal provides an opportunity for this Court to determine the applicability of the </w:t>
      </w:r>
      <w:r w:rsidRPr="003163C7">
        <w:rPr>
          <w:rFonts w:cs="Times New Roman"/>
          <w:i/>
        </w:rPr>
        <w:t>Canadian Charter of Rights and Freedoms</w:t>
      </w:r>
      <w:r w:rsidRPr="003163C7">
        <w:rPr>
          <w:rFonts w:cs="Times New Roman"/>
        </w:rPr>
        <w:t xml:space="preserve"> to Ontario public school boards.</w:t>
      </w:r>
    </w:p>
    <w:p w14:paraId="4B8D9183" w14:textId="77777777" w:rsidR="005F5184" w:rsidRPr="003163C7" w:rsidRDefault="005F5184" w:rsidP="005F5184">
      <w:pPr>
        <w:pStyle w:val="ParaNoNdepar-AltN"/>
        <w:rPr>
          <w:rFonts w:cs="Times New Roman"/>
        </w:rPr>
      </w:pPr>
      <w:r w:rsidRPr="003163C7">
        <w:rPr>
          <w:rFonts w:cs="Times New Roman"/>
        </w:rPr>
        <w:t xml:space="preserve">The private communications of two teachers, recorded on their personal, password-protected log, were read and captured by screenshots taken by their school principal. These communications then formed the basis for the school board to issue written reprimands. The teachers’ union grieved the discipline, claiming that the search violated the teachers’ right to privacy at work. No </w:t>
      </w:r>
      <w:r w:rsidRPr="003163C7">
        <w:rPr>
          <w:rFonts w:cs="Times New Roman"/>
          <w:i/>
        </w:rPr>
        <w:t>Charter</w:t>
      </w:r>
      <w:r w:rsidRPr="003163C7">
        <w:rPr>
          <w:rFonts w:cs="Times New Roman"/>
        </w:rPr>
        <w:t xml:space="preserve"> breach was alleged. A labour </w:t>
      </w:r>
      <w:r w:rsidRPr="003163C7">
        <w:rPr>
          <w:rFonts w:cs="Times New Roman"/>
          <w:szCs w:val="24"/>
        </w:rPr>
        <w:t>arbitrator, appointed pursuant to the collective agreement, dismissed the</w:t>
      </w:r>
      <w:r w:rsidRPr="003163C7">
        <w:rPr>
          <w:rFonts w:cs="Times New Roman"/>
        </w:rPr>
        <w:t xml:space="preserve"> grievance. Applying the arbitral “balancing of interests” framework, the arbitrator found there was no breach of the teachers’ reasonable expectation of privacy when balanced against the school board’s interest in managing the workplace, set out in s. 265 of the </w:t>
      </w:r>
      <w:r w:rsidRPr="003163C7">
        <w:rPr>
          <w:rFonts w:cs="Times New Roman"/>
          <w:i/>
        </w:rPr>
        <w:t>Education Act</w:t>
      </w:r>
      <w:r w:rsidRPr="003163C7">
        <w:rPr>
          <w:rFonts w:cs="Times New Roman"/>
          <w:szCs w:val="24"/>
        </w:rPr>
        <w:t>, R.S.O. 1990, c. E.2</w:t>
      </w:r>
      <w:r w:rsidRPr="003163C7">
        <w:rPr>
          <w:rFonts w:cs="Times New Roman"/>
        </w:rPr>
        <w:t>.</w:t>
      </w:r>
    </w:p>
    <w:p w14:paraId="1114395E" w14:textId="77777777" w:rsidR="005F5184" w:rsidRPr="003163C7" w:rsidRDefault="005F5184" w:rsidP="005F5184">
      <w:pPr>
        <w:pStyle w:val="ParaNoNdepar-AltN"/>
        <w:rPr>
          <w:rFonts w:cs="Times New Roman"/>
        </w:rPr>
      </w:pPr>
      <w:r w:rsidRPr="003163C7">
        <w:rPr>
          <w:rFonts w:cs="Times New Roman"/>
        </w:rPr>
        <w:t xml:space="preserve">On judicial review, the majority of the Divisional Court upheld the reasonableness of the arbitrator’s decision. The majority held that no </w:t>
      </w:r>
      <w:r w:rsidRPr="003163C7">
        <w:rPr>
          <w:rFonts w:cs="Times New Roman"/>
          <w:i/>
        </w:rPr>
        <w:t xml:space="preserve">Charter </w:t>
      </w:r>
      <w:r w:rsidRPr="003163C7">
        <w:rPr>
          <w:rFonts w:cs="Times New Roman"/>
        </w:rPr>
        <w:t xml:space="preserve">issues arose from the search because an employee does not have </w:t>
      </w:r>
      <w:proofErr w:type="gramStart"/>
      <w:r w:rsidRPr="003163C7">
        <w:rPr>
          <w:rFonts w:cs="Times New Roman"/>
        </w:rPr>
        <w:t>a</w:t>
      </w:r>
      <w:proofErr w:type="gramEnd"/>
      <w:r w:rsidRPr="003163C7">
        <w:rPr>
          <w:rFonts w:cs="Times New Roman"/>
        </w:rPr>
        <w:t xml:space="preserve"> s. 8 </w:t>
      </w:r>
      <w:r w:rsidRPr="003163C7">
        <w:rPr>
          <w:rFonts w:cs="Times New Roman"/>
          <w:i/>
        </w:rPr>
        <w:t xml:space="preserve">Charter </w:t>
      </w:r>
      <w:r w:rsidRPr="003163C7">
        <w:rPr>
          <w:rFonts w:cs="Times New Roman"/>
        </w:rPr>
        <w:t xml:space="preserve">right in a workplace environment, unlike in a criminal context. The dissent found that the </w:t>
      </w:r>
      <w:r w:rsidRPr="003163C7">
        <w:rPr>
          <w:rFonts w:cs="Times New Roman"/>
          <w:i/>
        </w:rPr>
        <w:t xml:space="preserve">Charter </w:t>
      </w:r>
      <w:r w:rsidRPr="003163C7">
        <w:rPr>
          <w:rFonts w:cs="Times New Roman"/>
        </w:rPr>
        <w:t xml:space="preserve">applied and the arbitrator’s decision was unreasonable because she misunderstood the nature of the s. 8 right. The Court of Appeal unanimously allowed the appeal and quashed the arbitrator’s decision. It held that the majority of the Divisional Court erred in concluding that s. 8 did not apply. The Court of Appeal conducted a correctness review and held that the search was unreasonable under s. 8 of the </w:t>
      </w:r>
      <w:r w:rsidRPr="003163C7">
        <w:rPr>
          <w:rFonts w:cs="Times New Roman"/>
          <w:i/>
        </w:rPr>
        <w:t>Charter</w:t>
      </w:r>
      <w:r w:rsidRPr="003163C7">
        <w:rPr>
          <w:rFonts w:cs="Times New Roman"/>
        </w:rPr>
        <w:t>.</w:t>
      </w:r>
    </w:p>
    <w:p w14:paraId="4FE97868" w14:textId="77777777" w:rsidR="005F5184" w:rsidRPr="003163C7" w:rsidRDefault="005F5184" w:rsidP="005F5184">
      <w:pPr>
        <w:pStyle w:val="ParaNoNdepar-AltN"/>
        <w:rPr>
          <w:rFonts w:cs="Times New Roman"/>
          <w:szCs w:val="24"/>
        </w:rPr>
      </w:pPr>
      <w:r w:rsidRPr="003163C7">
        <w:rPr>
          <w:rFonts w:cs="Times New Roman"/>
        </w:rPr>
        <w:t xml:space="preserve">I would dismiss the appeal, although my reasoning follows a different pathway than that of the Court of Appeal. Teachers are protected by s. 8 of the </w:t>
      </w:r>
      <w:r w:rsidRPr="003163C7">
        <w:rPr>
          <w:rFonts w:cs="Times New Roman"/>
          <w:i/>
        </w:rPr>
        <w:t>Charter</w:t>
      </w:r>
      <w:r w:rsidRPr="003163C7">
        <w:rPr>
          <w:rFonts w:cs="Times New Roman"/>
        </w:rPr>
        <w:t xml:space="preserve"> in the workplace, as Ontario public school boards are inherently governmental for the purposes of s. 32 of the </w:t>
      </w:r>
      <w:r w:rsidRPr="003163C7">
        <w:rPr>
          <w:rFonts w:cs="Times New Roman"/>
          <w:i/>
        </w:rPr>
        <w:t>Charter</w:t>
      </w:r>
      <w:r w:rsidRPr="003163C7">
        <w:rPr>
          <w:rFonts w:cs="Times New Roman"/>
        </w:rPr>
        <w:t xml:space="preserve">. Consequently, the grievance at issue implicated an alleged violation of a </w:t>
      </w:r>
      <w:r w:rsidRPr="003163C7">
        <w:rPr>
          <w:rFonts w:cs="Times New Roman"/>
          <w:i/>
        </w:rPr>
        <w:t xml:space="preserve">Charter </w:t>
      </w:r>
      <w:r w:rsidRPr="003163C7">
        <w:rPr>
          <w:rFonts w:cs="Times New Roman"/>
        </w:rPr>
        <w:t>right, and s. 8 of the</w:t>
      </w:r>
      <w:r w:rsidRPr="003163C7">
        <w:rPr>
          <w:rFonts w:cs="Times New Roman"/>
          <w:i/>
        </w:rPr>
        <w:t xml:space="preserve"> Charter</w:t>
      </w:r>
      <w:r w:rsidRPr="003163C7">
        <w:rPr>
          <w:rFonts w:cs="Times New Roman"/>
        </w:rPr>
        <w:t xml:space="preserve"> was a legal constraint bearing on the arbitrator’s analysis.</w:t>
      </w:r>
    </w:p>
    <w:p w14:paraId="4ABCFC88" w14:textId="77777777" w:rsidR="005F5184" w:rsidRPr="003163C7" w:rsidRDefault="005F5184" w:rsidP="005F5184">
      <w:pPr>
        <w:pStyle w:val="ParaNoNdepar-AltN"/>
        <w:rPr>
          <w:rFonts w:cs="Times New Roman"/>
          <w:szCs w:val="24"/>
        </w:rPr>
      </w:pPr>
      <w:r w:rsidRPr="003163C7">
        <w:rPr>
          <w:rFonts w:cs="Times New Roman"/>
        </w:rPr>
        <w:t>The arbitrator erred by limiting her inquiry to the arbitral framework without regard for the legal framework under s. 8 that, as a matter of law, she was required to respect. The effect of my conclusion on this point is not to displace existing arbitral jurisprudence, but to supplement it in order to ensure the protection of constitutional rights in the workplace.</w:t>
      </w:r>
      <w:r w:rsidRPr="003163C7">
        <w:rPr>
          <w:rFonts w:cs="Times New Roman"/>
          <w:szCs w:val="24"/>
        </w:rPr>
        <w:t xml:space="preserve"> The s. 8 framework being contextual, it must be adapted to account for the circumstances in which the </w:t>
      </w:r>
      <w:r w:rsidRPr="003163C7">
        <w:rPr>
          <w:rFonts w:cs="Times New Roman"/>
          <w:i/>
          <w:szCs w:val="24"/>
        </w:rPr>
        <w:t xml:space="preserve">Charter </w:t>
      </w:r>
      <w:r w:rsidRPr="003163C7">
        <w:rPr>
          <w:rFonts w:cs="Times New Roman"/>
          <w:szCs w:val="24"/>
        </w:rPr>
        <w:t>right is asserted.</w:t>
      </w:r>
    </w:p>
    <w:p w14:paraId="4F30C393" w14:textId="77777777" w:rsidR="005F5184" w:rsidRPr="003163C7" w:rsidRDefault="005F5184" w:rsidP="005F5184">
      <w:pPr>
        <w:pStyle w:val="Title1LevelTitre1Niveau-AltL"/>
        <w:numPr>
          <w:ilvl w:val="0"/>
          <w:numId w:val="8"/>
        </w:numPr>
        <w:rPr>
          <w:rFonts w:cs="Times New Roman"/>
        </w:rPr>
      </w:pPr>
      <w:bookmarkStart w:id="9" w:name="_Toc151736606"/>
      <w:bookmarkStart w:id="10" w:name="_Toc152516437"/>
      <w:bookmarkStart w:id="11" w:name="_Toc152600203"/>
      <w:bookmarkStart w:id="12" w:name="_Toc152697184"/>
      <w:bookmarkStart w:id="13" w:name="_Toc155875195"/>
      <w:bookmarkStart w:id="14" w:name="_Toc158295301"/>
      <w:bookmarkStart w:id="15" w:name="_Toc162277483"/>
      <w:r w:rsidRPr="003163C7">
        <w:rPr>
          <w:rFonts w:cs="Times New Roman"/>
        </w:rPr>
        <w:t>Factual Context</w:t>
      </w:r>
      <w:bookmarkEnd w:id="7"/>
      <w:bookmarkEnd w:id="9"/>
      <w:bookmarkEnd w:id="10"/>
      <w:bookmarkEnd w:id="11"/>
      <w:bookmarkEnd w:id="12"/>
      <w:bookmarkEnd w:id="13"/>
      <w:bookmarkEnd w:id="14"/>
      <w:bookmarkEnd w:id="15"/>
      <w:r w:rsidRPr="003163C7">
        <w:rPr>
          <w:rFonts w:cs="Times New Roman"/>
        </w:rPr>
        <w:t xml:space="preserve"> </w:t>
      </w:r>
    </w:p>
    <w:p w14:paraId="1CCBB3E6" w14:textId="77777777" w:rsidR="005F5184" w:rsidRPr="003163C7" w:rsidRDefault="005F5184" w:rsidP="005F5184">
      <w:pPr>
        <w:pStyle w:val="ParaNoNdepar-AltN"/>
        <w:rPr>
          <w:rFonts w:cs="Times New Roman"/>
        </w:rPr>
      </w:pPr>
      <w:r w:rsidRPr="003163C7">
        <w:rPr>
          <w:rFonts w:cs="Times New Roman"/>
        </w:rPr>
        <w:t xml:space="preserve">The arbitrator made findings of fact in her decision. They are summarized below. </w:t>
      </w:r>
    </w:p>
    <w:p w14:paraId="4DC13BB2" w14:textId="77777777" w:rsidR="005F5184" w:rsidRPr="003163C7" w:rsidRDefault="005F5184" w:rsidP="005F5184">
      <w:pPr>
        <w:pStyle w:val="ParaNoNdepar-AltN"/>
        <w:rPr>
          <w:rFonts w:cs="Times New Roman"/>
        </w:rPr>
      </w:pPr>
      <w:r w:rsidRPr="003163C7">
        <w:rPr>
          <w:rFonts w:cs="Times New Roman"/>
        </w:rPr>
        <w:t xml:space="preserve">In the 2014-15 school year, two teachers, Ms. Shen and Ms. Rai (“Grievors”), were newly employed to teach at a public school, which was part of the York Region District School Board. The events in question took place during that academic year. </w:t>
      </w:r>
    </w:p>
    <w:p w14:paraId="091BFDE6" w14:textId="77777777" w:rsidR="005F5184" w:rsidRPr="003163C7" w:rsidRDefault="005F5184" w:rsidP="005F5184">
      <w:pPr>
        <w:pStyle w:val="ParaNoNdepar-AltN"/>
        <w:rPr>
          <w:rFonts w:cs="Times New Roman"/>
        </w:rPr>
      </w:pPr>
      <w:r w:rsidRPr="003163C7">
        <w:rPr>
          <w:rFonts w:cs="Times New Roman"/>
        </w:rPr>
        <w:t xml:space="preserve">Shortly after the school year began, problems arose within the group of Grade 2 teachers. The Grievors felt that one of the teachers was not effective and was receiving preferential treatment from the principal. They were concerned about how these interpersonal issues might impact their performance reviews. Ms. Shen contacted an Elementary Teachers Federation of Ontario (“Union”) representative; she was told to keep notes about her concerns. </w:t>
      </w:r>
    </w:p>
    <w:p w14:paraId="11E8190E" w14:textId="77777777" w:rsidR="005F5184" w:rsidRPr="003163C7" w:rsidRDefault="005F5184" w:rsidP="005F5184">
      <w:pPr>
        <w:pStyle w:val="ParaNoNdepar-AltN"/>
        <w:rPr>
          <w:rFonts w:cs="Times New Roman"/>
        </w:rPr>
      </w:pPr>
      <w:r w:rsidRPr="003163C7">
        <w:rPr>
          <w:rFonts w:cs="Times New Roman"/>
        </w:rPr>
        <w:t xml:space="preserve">Following the Union’s advice, Ms. Shen started a private log using her personal Gmail account. Ms. Shen authorized Ms. Rai to have access to the log through Ms. Rai’s personal Gmail account. The log was accessible and could be edited by both Grievors. </w:t>
      </w:r>
    </w:p>
    <w:p w14:paraId="1015DFEB" w14:textId="77777777" w:rsidR="005F5184" w:rsidRPr="003163C7" w:rsidRDefault="005F5184" w:rsidP="005F5184">
      <w:pPr>
        <w:pStyle w:val="ParaNoNdepar-AltN"/>
        <w:rPr>
          <w:rFonts w:cs="Times New Roman"/>
        </w:rPr>
      </w:pPr>
      <w:r w:rsidRPr="003163C7">
        <w:rPr>
          <w:rFonts w:cs="Times New Roman"/>
        </w:rPr>
        <w:t>The log was not saved on a workplace drive or on the Board laptop. Rather, it was stored “in the cloud” as a private Google Docs document, through a private internet account unrelated to the Board. Some others at the school were aware that the Grievors were maintaining the log.</w:t>
      </w:r>
    </w:p>
    <w:p w14:paraId="323BE5D5" w14:textId="77777777" w:rsidR="005F5184" w:rsidRPr="003163C7" w:rsidRDefault="005F5184" w:rsidP="005F5184">
      <w:pPr>
        <w:pStyle w:val="ParaNoNdepar-AltN"/>
        <w:rPr>
          <w:rFonts w:cs="Times New Roman"/>
        </w:rPr>
      </w:pPr>
      <w:r w:rsidRPr="003163C7">
        <w:rPr>
          <w:rFonts w:cs="Times New Roman"/>
        </w:rPr>
        <w:t xml:space="preserve">The principal was told by staff members that the Grievors were keeping a log and that there were concerns about the workplace </w:t>
      </w:r>
      <w:r w:rsidRPr="003163C7">
        <w:rPr>
          <w:rFonts w:cs="Times New Roman"/>
          <w:szCs w:val="24"/>
        </w:rPr>
        <w:t>—</w:t>
      </w:r>
      <w:r w:rsidRPr="003163C7">
        <w:rPr>
          <w:rFonts w:cs="Times New Roman"/>
        </w:rPr>
        <w:t xml:space="preserve"> which the arbitrator described as “toxic” (paras. 7-8, 28, 46, 79, 87 and 97). The principal discussed this with the Board superintendent, Human Resources, and IT Services. An IT search was conducted, but no log was found on any of the Board’s data storage drives. </w:t>
      </w:r>
    </w:p>
    <w:p w14:paraId="3EECDD58" w14:textId="77777777" w:rsidR="005F5184" w:rsidRPr="003163C7" w:rsidRDefault="005F5184" w:rsidP="005F5184">
      <w:pPr>
        <w:pStyle w:val="ParaNoNdepar-AltN"/>
        <w:rPr>
          <w:rFonts w:cs="Times New Roman"/>
        </w:rPr>
      </w:pPr>
      <w:r w:rsidRPr="003163C7">
        <w:rPr>
          <w:rFonts w:cs="Times New Roman"/>
        </w:rPr>
        <w:t>On December 16, 2014, the principal entered Ms. Shen’s classroom to return some teaching materials after classes had ended. Ms. Shen was not present. The principal saw that the Board laptop used by Ms. Shen was open and touched its mousepad. A document called “Log Google Docs” opened on the screen. The principal read what was visible on the screen and then scrolled through the document. He used his cellphone to take screenshots of the document. When the principal had finished taking photos, he shut down the laptop.</w:t>
      </w:r>
    </w:p>
    <w:p w14:paraId="1FF43EF4" w14:textId="77777777" w:rsidR="005F5184" w:rsidRPr="003163C7" w:rsidRDefault="005F5184" w:rsidP="005F5184">
      <w:pPr>
        <w:pStyle w:val="ParaNoNdepar-AltN"/>
        <w:rPr>
          <w:rFonts w:cs="Times New Roman"/>
        </w:rPr>
      </w:pPr>
      <w:r w:rsidRPr="003163C7">
        <w:rPr>
          <w:rFonts w:cs="Times New Roman"/>
        </w:rPr>
        <w:t>The principal informed the Board superintendent via email that he had obtained contents of the log and that there was “much nastiness all the way through it” (para. 26). The principal and the Board superintendent agreed they should seize the laptop as it was a Board computer; a school caretaker did so on their behalf. The principal forwarded the photos of the log to the Board for investigation. Ms. Rai’s Board laptop was seized as well. Her laptop was closed when taken.</w:t>
      </w:r>
    </w:p>
    <w:p w14:paraId="781FE324" w14:textId="77777777" w:rsidR="005F5184" w:rsidRPr="003163C7" w:rsidRDefault="005F5184" w:rsidP="005F5184">
      <w:pPr>
        <w:pStyle w:val="ParaNoNdepar-AltN"/>
        <w:rPr>
          <w:rFonts w:cs="Times New Roman"/>
        </w:rPr>
      </w:pPr>
      <w:r w:rsidRPr="003163C7">
        <w:rPr>
          <w:rFonts w:cs="Times New Roman"/>
        </w:rPr>
        <w:t xml:space="preserve">On January 23, 2015, the Grievors were given written reprimands by the Board arising from these events, for failing to conduct themselves in accordance with the Ontario College of Teachers’ Standards of Practice. </w:t>
      </w:r>
    </w:p>
    <w:p w14:paraId="7A59C75F" w14:textId="77777777" w:rsidR="005F5184" w:rsidRPr="003163C7" w:rsidRDefault="005F5184" w:rsidP="005F5184">
      <w:pPr>
        <w:pStyle w:val="ParaNoNdepar-AltN"/>
        <w:rPr>
          <w:rFonts w:cs="Times New Roman"/>
        </w:rPr>
      </w:pPr>
      <w:r w:rsidRPr="003163C7">
        <w:rPr>
          <w:rFonts w:cs="Times New Roman"/>
        </w:rPr>
        <w:t>On February 6, 2015, the Union grieved the written reprimands. By way of remedy, the Union sought to have the written reprimands rescinded and asked that each Grievor be awarded $15,000 in damages for the Board’s breach of their privacy. The Union claimed that the Board violated the Grievors’ right to privacy without reasonable cause and used that information as the basis to discipline the Grievors.</w:t>
      </w:r>
    </w:p>
    <w:p w14:paraId="61428BE9" w14:textId="77777777" w:rsidR="005F5184" w:rsidRPr="003163C7" w:rsidRDefault="005F5184" w:rsidP="005F5184">
      <w:pPr>
        <w:pStyle w:val="ParaNoNdepar-AltN"/>
        <w:rPr>
          <w:rFonts w:cs="Times New Roman"/>
        </w:rPr>
      </w:pPr>
      <w:r w:rsidRPr="003163C7">
        <w:rPr>
          <w:rFonts w:cs="Times New Roman"/>
        </w:rPr>
        <w:t>On January 22, 2018, pursuant to a “sunset clause” under the collective agreement, the written reprimands were removed from the Grievors’ records.</w:t>
      </w:r>
    </w:p>
    <w:p w14:paraId="50FE41FC" w14:textId="77777777" w:rsidR="005F5184" w:rsidRPr="003163C7" w:rsidRDefault="005F5184" w:rsidP="005F5184">
      <w:pPr>
        <w:pStyle w:val="Title1LevelTitre1Niveau-AltL"/>
        <w:numPr>
          <w:ilvl w:val="0"/>
          <w:numId w:val="8"/>
        </w:numPr>
        <w:rPr>
          <w:rFonts w:cs="Times New Roman"/>
        </w:rPr>
      </w:pPr>
      <w:bookmarkStart w:id="16" w:name="_Toc152516438"/>
      <w:bookmarkStart w:id="17" w:name="_Toc152600204"/>
      <w:bookmarkStart w:id="18" w:name="_Toc152697185"/>
      <w:bookmarkStart w:id="19" w:name="_Toc155875196"/>
      <w:bookmarkStart w:id="20" w:name="_Toc158295302"/>
      <w:bookmarkStart w:id="21" w:name="_Toc162277484"/>
      <w:r w:rsidRPr="003163C7">
        <w:rPr>
          <w:rFonts w:cs="Times New Roman"/>
        </w:rPr>
        <w:t>Judicial History</w:t>
      </w:r>
      <w:bookmarkEnd w:id="16"/>
      <w:bookmarkEnd w:id="17"/>
      <w:bookmarkEnd w:id="18"/>
      <w:bookmarkEnd w:id="19"/>
      <w:bookmarkEnd w:id="20"/>
      <w:bookmarkEnd w:id="21"/>
    </w:p>
    <w:p w14:paraId="4536404E" w14:textId="77777777" w:rsidR="005F5184" w:rsidRPr="003163C7" w:rsidRDefault="005F5184" w:rsidP="005F5184">
      <w:pPr>
        <w:pStyle w:val="Title2LevelTitre2Niveau"/>
        <w:numPr>
          <w:ilvl w:val="1"/>
          <w:numId w:val="8"/>
        </w:numPr>
        <w:rPr>
          <w:rFonts w:cs="Times New Roman"/>
          <w:szCs w:val="24"/>
        </w:rPr>
      </w:pPr>
      <w:bookmarkStart w:id="22" w:name="_Toc152516439"/>
      <w:bookmarkStart w:id="23" w:name="_Toc152600205"/>
      <w:bookmarkStart w:id="24" w:name="_Toc152697186"/>
      <w:bookmarkStart w:id="25" w:name="_Toc155875197"/>
      <w:bookmarkStart w:id="26" w:name="_Toc158295303"/>
      <w:bookmarkStart w:id="27" w:name="_Toc162277485"/>
      <w:r w:rsidRPr="003163C7">
        <w:rPr>
          <w:rFonts w:cs="Times New Roman"/>
          <w:szCs w:val="24"/>
        </w:rPr>
        <w:t xml:space="preserve">Arbitrator’s Decision </w:t>
      </w:r>
      <w:r w:rsidRPr="003163C7">
        <w:rPr>
          <w:rFonts w:cs="Times New Roman"/>
        </w:rPr>
        <w:t>(2018), 294 L.A.C. (4th) 341 (G. Misra)</w:t>
      </w:r>
      <w:bookmarkEnd w:id="22"/>
      <w:bookmarkEnd w:id="23"/>
      <w:bookmarkEnd w:id="24"/>
      <w:bookmarkEnd w:id="25"/>
      <w:bookmarkEnd w:id="26"/>
      <w:bookmarkEnd w:id="27"/>
    </w:p>
    <w:p w14:paraId="4D4DCF6B" w14:textId="77777777" w:rsidR="005F5184" w:rsidRPr="003163C7" w:rsidRDefault="005F5184" w:rsidP="005F5184">
      <w:pPr>
        <w:pStyle w:val="ParaNoNdepar-AltN"/>
        <w:rPr>
          <w:rFonts w:cs="Times New Roman"/>
        </w:rPr>
      </w:pPr>
      <w:r w:rsidRPr="003163C7">
        <w:rPr>
          <w:rFonts w:cs="Times New Roman"/>
          <w:szCs w:val="24"/>
        </w:rPr>
        <w:t xml:space="preserve">Between September 16, 2016, and June 5, 2018, </w:t>
      </w:r>
      <w:r w:rsidRPr="003163C7">
        <w:rPr>
          <w:rFonts w:cs="Times New Roman"/>
        </w:rPr>
        <w:t>labour arbitrator Gail Misra held hearings on the grievance.</w:t>
      </w:r>
    </w:p>
    <w:p w14:paraId="3D1B28F8" w14:textId="77777777" w:rsidR="005F5184" w:rsidRPr="003163C7" w:rsidRDefault="005F5184" w:rsidP="005F5184">
      <w:pPr>
        <w:pStyle w:val="ParaNoNdepar-AltN"/>
        <w:rPr>
          <w:rFonts w:cs="Times New Roman"/>
        </w:rPr>
      </w:pPr>
      <w:r w:rsidRPr="003163C7">
        <w:rPr>
          <w:rFonts w:cs="Times New Roman"/>
        </w:rPr>
        <w:t xml:space="preserve">The arbitrator considered whether the Grievors had a reasonable expectation of privacy in their log, such that the searches by the principal and the Board were breaches of their privacy. Notably, the arbitrator was not asked to consider whether s. 8 of the </w:t>
      </w:r>
      <w:r w:rsidRPr="003163C7">
        <w:rPr>
          <w:rFonts w:cs="Times New Roman"/>
          <w:i/>
        </w:rPr>
        <w:t xml:space="preserve">Charter </w:t>
      </w:r>
      <w:r w:rsidRPr="003163C7">
        <w:rPr>
          <w:rFonts w:cs="Times New Roman"/>
        </w:rPr>
        <w:t xml:space="preserve">had been infringed; however, principles derived from s. 8 </w:t>
      </w:r>
      <w:r w:rsidRPr="003163C7">
        <w:rPr>
          <w:rFonts w:cs="Times New Roman"/>
          <w:i/>
        </w:rPr>
        <w:t xml:space="preserve">Charter </w:t>
      </w:r>
      <w:r w:rsidRPr="003163C7">
        <w:rPr>
          <w:rFonts w:cs="Times New Roman"/>
        </w:rPr>
        <w:t>jurisprudence were considered.</w:t>
      </w:r>
    </w:p>
    <w:p w14:paraId="55FF778D" w14:textId="77777777" w:rsidR="005F5184" w:rsidRPr="003163C7" w:rsidRDefault="005F5184" w:rsidP="005F5184">
      <w:pPr>
        <w:pStyle w:val="ParaNoNdepar-AltN"/>
        <w:rPr>
          <w:rFonts w:cs="Times New Roman"/>
        </w:rPr>
      </w:pPr>
      <w:r w:rsidRPr="003163C7">
        <w:rPr>
          <w:rFonts w:cs="Times New Roman"/>
        </w:rPr>
        <w:t>The Union alleged three breaches of the Grievors’ privacy: (1) the Board’s search of its IT platforms; (2) the principal’s search of Ms. Shen’s Board classroom laptop; and (3) the searches conducted after the Board seized both of the Grievors’ Board classroom laptops.</w:t>
      </w:r>
    </w:p>
    <w:p w14:paraId="449A44AC" w14:textId="77777777" w:rsidR="005F5184" w:rsidRPr="003163C7" w:rsidRDefault="005F5184" w:rsidP="005F5184">
      <w:pPr>
        <w:pStyle w:val="ParaNoNdepar-AltN"/>
        <w:rPr>
          <w:rFonts w:cs="Times New Roman"/>
        </w:rPr>
      </w:pPr>
      <w:r w:rsidRPr="003163C7">
        <w:rPr>
          <w:rFonts w:cs="Times New Roman"/>
        </w:rPr>
        <w:t>On August 7, 2018, the arbitrator released her decision. She concluded that there was no breach of the Grievors’ “diminished” reasonable expectation of privacy in the log when balanced against the Board’s “legitimate interest” in addressing the issue of the toxic work environment allegedly caused by the Grievors (paras. 262-63). Thus, t</w:t>
      </w:r>
      <w:r w:rsidRPr="003163C7">
        <w:rPr>
          <w:rFonts w:cs="Times New Roman"/>
          <w:szCs w:val="24"/>
        </w:rPr>
        <w:t xml:space="preserve">he </w:t>
      </w:r>
      <w:r w:rsidRPr="003163C7">
        <w:rPr>
          <w:rFonts w:cs="Times New Roman"/>
        </w:rPr>
        <w:t>a</w:t>
      </w:r>
      <w:r w:rsidRPr="003163C7">
        <w:rPr>
          <w:rFonts w:cs="Times New Roman"/>
          <w:szCs w:val="24"/>
        </w:rPr>
        <w:t>rbitrator dismissed the grievance</w:t>
      </w:r>
      <w:bookmarkStart w:id="28" w:name="_Toc150781573"/>
      <w:r w:rsidRPr="003163C7">
        <w:rPr>
          <w:rFonts w:cs="Times New Roman"/>
        </w:rPr>
        <w:t>.</w:t>
      </w:r>
    </w:p>
    <w:p w14:paraId="6D495C43" w14:textId="77777777" w:rsidR="005F5184" w:rsidRPr="003163C7" w:rsidRDefault="005F5184" w:rsidP="005F5184">
      <w:pPr>
        <w:pStyle w:val="ParaNoNdepar-AltN"/>
        <w:rPr>
          <w:rFonts w:cs="Times New Roman"/>
        </w:rPr>
      </w:pPr>
      <w:r w:rsidRPr="003163C7">
        <w:rPr>
          <w:rFonts w:cs="Times New Roman"/>
        </w:rPr>
        <w:t xml:space="preserve">She drew on this Court’s decision in </w:t>
      </w:r>
      <w:r w:rsidRPr="003163C7">
        <w:rPr>
          <w:rFonts w:cs="Times New Roman"/>
          <w:i/>
          <w:iCs/>
          <w:lang w:bidi="en-US"/>
        </w:rPr>
        <w:t>R. v. Cole</w:t>
      </w:r>
      <w:r w:rsidRPr="003163C7">
        <w:rPr>
          <w:rFonts w:cs="Times New Roman"/>
          <w:lang w:bidi="en-US"/>
        </w:rPr>
        <w:t>, 2012 SCC 53, [2012] 3 S.C.R. 34, as “authoritative and of assistance in understanding what may amount to a privacy breach, and the limits to an expectation of privacy in the context of school board cases”</w:t>
      </w:r>
      <w:r w:rsidRPr="003163C7">
        <w:rPr>
          <w:rFonts w:cs="Times New Roman"/>
        </w:rPr>
        <w:t xml:space="preserve"> (</w:t>
      </w:r>
      <w:r w:rsidRPr="003163C7">
        <w:rPr>
          <w:rFonts w:cs="Times New Roman"/>
          <w:lang w:bidi="en-US"/>
        </w:rPr>
        <w:t>para. 198)</w:t>
      </w:r>
      <w:r w:rsidRPr="003163C7">
        <w:rPr>
          <w:rFonts w:cs="Times New Roman"/>
        </w:rPr>
        <w:t>. The arbitrator</w:t>
      </w:r>
      <w:r w:rsidRPr="003163C7">
        <w:rPr>
          <w:rFonts w:cs="Times New Roman"/>
          <w:lang w:bidi="en-US"/>
        </w:rPr>
        <w:t xml:space="preserve"> </w:t>
      </w:r>
      <w:r w:rsidRPr="003163C7">
        <w:rPr>
          <w:rFonts w:cs="Times New Roman"/>
        </w:rPr>
        <w:t>also considered arbitral jurisprudence with respect to balancing employee privacy rights against the employer’s interests and management rights. She drew the following conclusions:</w:t>
      </w:r>
    </w:p>
    <w:p w14:paraId="3265781E" w14:textId="77777777" w:rsidR="005F5184" w:rsidRPr="003163C7" w:rsidRDefault="005F5184" w:rsidP="005F5184">
      <w:pPr>
        <w:pStyle w:val="Citation-AltC"/>
        <w:numPr>
          <w:ilvl w:val="4"/>
          <w:numId w:val="10"/>
        </w:numPr>
        <w:spacing w:line="480" w:lineRule="auto"/>
        <w:ind w:hanging="666"/>
      </w:pPr>
      <w:r w:rsidRPr="003163C7">
        <w:t>The subject matter of the search was the Grievors’ log, which the principal thought was on a Board classroom laptop;</w:t>
      </w:r>
    </w:p>
    <w:p w14:paraId="79BDE173" w14:textId="77777777" w:rsidR="005F5184" w:rsidRPr="003163C7" w:rsidRDefault="005F5184" w:rsidP="005F5184">
      <w:pPr>
        <w:pStyle w:val="Citation-AltC"/>
        <w:spacing w:line="480" w:lineRule="auto"/>
        <w:ind w:left="1800"/>
      </w:pPr>
    </w:p>
    <w:p w14:paraId="047EEEB8" w14:textId="77777777" w:rsidR="005F5184" w:rsidRPr="003163C7" w:rsidRDefault="005F5184" w:rsidP="005F5184">
      <w:pPr>
        <w:pStyle w:val="Citation-AltC"/>
        <w:numPr>
          <w:ilvl w:val="4"/>
          <w:numId w:val="10"/>
        </w:numPr>
        <w:spacing w:line="480" w:lineRule="auto"/>
        <w:ind w:hanging="666"/>
      </w:pPr>
      <w:r w:rsidRPr="003163C7">
        <w:t>The Grievors had a privacy interest in their log: only they could access the log and make contributions to it;</w:t>
      </w:r>
    </w:p>
    <w:p w14:paraId="1498B8BA" w14:textId="77777777" w:rsidR="005F5184" w:rsidRPr="003163C7" w:rsidRDefault="005F5184" w:rsidP="005F5184">
      <w:pPr>
        <w:pStyle w:val="Citation-AltC"/>
        <w:spacing w:line="480" w:lineRule="auto"/>
        <w:ind w:left="1800"/>
      </w:pPr>
    </w:p>
    <w:p w14:paraId="41F36DAB" w14:textId="77777777" w:rsidR="005F5184" w:rsidRPr="003163C7" w:rsidRDefault="005F5184" w:rsidP="005F5184">
      <w:pPr>
        <w:pStyle w:val="Citation-AltC"/>
        <w:numPr>
          <w:ilvl w:val="4"/>
          <w:numId w:val="10"/>
        </w:numPr>
        <w:spacing w:line="480" w:lineRule="auto"/>
        <w:ind w:hanging="666"/>
      </w:pPr>
      <w:r w:rsidRPr="003163C7">
        <w:t>The Grievors set up their log to operate privately: it was password- protected and not stored on the Board’s laptop or data storage. Thus, they had a subjective expectation of privacy in their log; and</w:t>
      </w:r>
    </w:p>
    <w:p w14:paraId="32C31882" w14:textId="77777777" w:rsidR="005F5184" w:rsidRPr="003163C7" w:rsidRDefault="005F5184" w:rsidP="005F5184">
      <w:pPr>
        <w:pStyle w:val="Citation-AltC"/>
        <w:spacing w:line="480" w:lineRule="auto"/>
        <w:ind w:left="1800"/>
      </w:pPr>
    </w:p>
    <w:p w14:paraId="018FEF79" w14:textId="77777777" w:rsidR="005F5184" w:rsidRPr="003163C7" w:rsidRDefault="005F5184" w:rsidP="005F5184">
      <w:pPr>
        <w:pStyle w:val="Citation-AltC"/>
        <w:numPr>
          <w:ilvl w:val="4"/>
          <w:numId w:val="10"/>
        </w:numPr>
        <w:spacing w:line="480" w:lineRule="auto"/>
        <w:ind w:hanging="666"/>
      </w:pPr>
      <w:r w:rsidRPr="003163C7">
        <w:t>The Grievors’ subjective expectation of privacy was objectively reasonable, as they had taken steps to keep their log private and out of reach of the employer, but it was diminished because they made the content of the log known prior to its discovery, and, as well, Ms. Shen left the log open and freely accessible by anyone using the Board’s computer. The arbitrator also found that the log was left in “plain view”.</w:t>
      </w:r>
    </w:p>
    <w:p w14:paraId="09E2A9EF" w14:textId="77777777" w:rsidR="005F5184" w:rsidRPr="003163C7" w:rsidRDefault="005F5184" w:rsidP="005F5184">
      <w:pPr>
        <w:pStyle w:val="ParaNoNdepar-AltN"/>
        <w:rPr>
          <w:rFonts w:cs="Times New Roman"/>
          <w:szCs w:val="24"/>
        </w:rPr>
      </w:pPr>
      <w:r w:rsidRPr="003163C7">
        <w:rPr>
          <w:rFonts w:cs="Times New Roman"/>
          <w:szCs w:val="24"/>
        </w:rPr>
        <w:t xml:space="preserve">Having concluded that the Grievors had a reasonable expectation of privacy in the log, the </w:t>
      </w:r>
      <w:r w:rsidRPr="003163C7">
        <w:rPr>
          <w:rFonts w:cs="Times New Roman"/>
        </w:rPr>
        <w:t>a</w:t>
      </w:r>
      <w:r w:rsidRPr="003163C7">
        <w:rPr>
          <w:rFonts w:cs="Times New Roman"/>
          <w:szCs w:val="24"/>
        </w:rPr>
        <w:t>rbitrator then turned to the three breaches alleged by the Union. She conducted her analysis by applying the arbitral framework of “balancing of the personal privacy interests of an employee with an employer’s right to manage its enterprise” and in each instance, she found “the balance favours the Board in this case” (</w:t>
      </w:r>
      <w:r w:rsidRPr="003163C7">
        <w:rPr>
          <w:rFonts w:cs="Times New Roman"/>
        </w:rPr>
        <w:t>para. 223). She proceeded to analyze the three breaches.</w:t>
      </w:r>
    </w:p>
    <w:p w14:paraId="579DF969" w14:textId="77777777" w:rsidR="005F5184" w:rsidRPr="003163C7" w:rsidRDefault="005F5184" w:rsidP="005F5184">
      <w:pPr>
        <w:pStyle w:val="Title3LevelTitre3Niveau"/>
        <w:rPr>
          <w:rFonts w:cs="Times New Roman"/>
          <w:szCs w:val="24"/>
        </w:rPr>
      </w:pPr>
      <w:r w:rsidRPr="003163C7">
        <w:rPr>
          <w:rFonts w:cs="Times New Roman"/>
        </w:rPr>
        <w:t>First Alleged Breach</w:t>
      </w:r>
    </w:p>
    <w:p w14:paraId="62761057" w14:textId="77777777" w:rsidR="005F5184" w:rsidRPr="003163C7" w:rsidRDefault="005F5184" w:rsidP="005F5184">
      <w:pPr>
        <w:pStyle w:val="ParaNoNdepar-AltN"/>
        <w:rPr>
          <w:rFonts w:cs="Times New Roman"/>
          <w:szCs w:val="24"/>
        </w:rPr>
      </w:pPr>
      <w:r w:rsidRPr="003163C7">
        <w:rPr>
          <w:rFonts w:cs="Times New Roman"/>
          <w:szCs w:val="24"/>
        </w:rPr>
        <w:t xml:space="preserve">The first alleged breach was the Board’s search of its data files. The </w:t>
      </w:r>
      <w:r w:rsidRPr="003163C7">
        <w:rPr>
          <w:rFonts w:cs="Times New Roman"/>
        </w:rPr>
        <w:t>a</w:t>
      </w:r>
      <w:r w:rsidRPr="003163C7">
        <w:rPr>
          <w:rFonts w:cs="Times New Roman"/>
          <w:szCs w:val="24"/>
        </w:rPr>
        <w:t xml:space="preserve">rbitrator found that s. 265 of the </w:t>
      </w:r>
      <w:r w:rsidRPr="003163C7">
        <w:rPr>
          <w:rFonts w:cs="Times New Roman"/>
          <w:i/>
          <w:szCs w:val="24"/>
        </w:rPr>
        <w:t xml:space="preserve">Education Act </w:t>
      </w:r>
      <w:r w:rsidRPr="003163C7">
        <w:rPr>
          <w:rFonts w:cs="Times New Roman"/>
          <w:szCs w:val="24"/>
        </w:rPr>
        <w:t xml:space="preserve">authorized the </w:t>
      </w:r>
      <w:r w:rsidRPr="003163C7">
        <w:rPr>
          <w:rFonts w:cs="Times New Roman"/>
        </w:rPr>
        <w:t>p</w:t>
      </w:r>
      <w:r w:rsidRPr="003163C7">
        <w:rPr>
          <w:rFonts w:cs="Times New Roman"/>
          <w:szCs w:val="24"/>
        </w:rPr>
        <w:t xml:space="preserve">rincipal to conduct reasonable searches and seizures without prior judicial authorization. In balancing employees’ personal privacy interests with the employers’ right to manage their enterprises, the </w:t>
      </w:r>
      <w:r w:rsidRPr="003163C7">
        <w:rPr>
          <w:rFonts w:cs="Times New Roman"/>
        </w:rPr>
        <w:t>a</w:t>
      </w:r>
      <w:r w:rsidRPr="003163C7">
        <w:rPr>
          <w:rFonts w:cs="Times New Roman"/>
          <w:szCs w:val="24"/>
        </w:rPr>
        <w:t>rbitrator concluded that the Board had reasonable cause to conduct the search. The search of the IT platforms did not breach the Grievors’ privacy.</w:t>
      </w:r>
    </w:p>
    <w:p w14:paraId="665DBE02" w14:textId="77777777" w:rsidR="005F5184" w:rsidRPr="003163C7" w:rsidRDefault="005F5184" w:rsidP="005F5184">
      <w:pPr>
        <w:pStyle w:val="ParaNoNdepar-AltN"/>
        <w:rPr>
          <w:rFonts w:cs="Times New Roman"/>
          <w:szCs w:val="24"/>
        </w:rPr>
      </w:pPr>
      <w:r w:rsidRPr="003163C7">
        <w:rPr>
          <w:rFonts w:cs="Times New Roman"/>
          <w:szCs w:val="24"/>
        </w:rPr>
        <w:t xml:space="preserve">The </w:t>
      </w:r>
      <w:r w:rsidRPr="003163C7">
        <w:rPr>
          <w:rFonts w:cs="Times New Roman"/>
        </w:rPr>
        <w:t>p</w:t>
      </w:r>
      <w:r w:rsidRPr="003163C7">
        <w:rPr>
          <w:rFonts w:cs="Times New Roman"/>
          <w:szCs w:val="24"/>
        </w:rPr>
        <w:t xml:space="preserve">rincipal had reasonable cause for concern about the work and teaching environment and the level of cooperation and coordination of effort within the Grade 2 teaching team. It was his duty to maintain order and discipline in the school. The </w:t>
      </w:r>
      <w:r w:rsidRPr="003163C7">
        <w:rPr>
          <w:rFonts w:cs="Times New Roman"/>
        </w:rPr>
        <w:t>a</w:t>
      </w:r>
      <w:r w:rsidRPr="003163C7">
        <w:rPr>
          <w:rFonts w:cs="Times New Roman"/>
          <w:szCs w:val="24"/>
        </w:rPr>
        <w:t>rbitrator found that there was reasonable cause for the Board to conduct a search of the Grievors’ online Board data files.</w:t>
      </w:r>
    </w:p>
    <w:p w14:paraId="354F3BDA" w14:textId="77777777" w:rsidR="005F5184" w:rsidRPr="003163C7" w:rsidRDefault="005F5184" w:rsidP="005F5184">
      <w:pPr>
        <w:pStyle w:val="Title3LevelTitre3Niveau"/>
        <w:rPr>
          <w:rFonts w:cs="Times New Roman"/>
          <w:szCs w:val="24"/>
        </w:rPr>
      </w:pPr>
      <w:r w:rsidRPr="003163C7">
        <w:rPr>
          <w:rFonts w:cs="Times New Roman"/>
          <w:szCs w:val="24"/>
        </w:rPr>
        <w:t>Second Alleged Breach</w:t>
      </w:r>
    </w:p>
    <w:p w14:paraId="3BB7EDF7" w14:textId="77777777" w:rsidR="005F5184" w:rsidRPr="003163C7" w:rsidRDefault="005F5184" w:rsidP="005F5184">
      <w:pPr>
        <w:pStyle w:val="ParaNoNdepar-AltN"/>
        <w:rPr>
          <w:rFonts w:cs="Times New Roman"/>
          <w:szCs w:val="24"/>
        </w:rPr>
      </w:pPr>
      <w:r w:rsidRPr="003163C7">
        <w:rPr>
          <w:rFonts w:cs="Times New Roman"/>
          <w:szCs w:val="24"/>
        </w:rPr>
        <w:t xml:space="preserve">The second alleged breach was the </w:t>
      </w:r>
      <w:r w:rsidRPr="003163C7">
        <w:rPr>
          <w:rFonts w:cs="Times New Roman"/>
        </w:rPr>
        <w:t>p</w:t>
      </w:r>
      <w:r w:rsidRPr="003163C7">
        <w:rPr>
          <w:rFonts w:cs="Times New Roman"/>
          <w:szCs w:val="24"/>
        </w:rPr>
        <w:t xml:space="preserve">rincipal’s search of Ms. Shen’s Board classroom computer. The Union pointed to four distinct acts by the </w:t>
      </w:r>
      <w:r w:rsidRPr="003163C7">
        <w:rPr>
          <w:rFonts w:cs="Times New Roman"/>
        </w:rPr>
        <w:t>p</w:t>
      </w:r>
      <w:r w:rsidRPr="003163C7">
        <w:rPr>
          <w:rFonts w:cs="Times New Roman"/>
          <w:szCs w:val="24"/>
        </w:rPr>
        <w:t>rincipal: (1) touching the mouse pad to activate the screen; (2) viewing the log; (3) scrolling through the entire log; and (4) taking photographs of the entire log with his cell phone.</w:t>
      </w:r>
    </w:p>
    <w:p w14:paraId="1A30F96B" w14:textId="77777777" w:rsidR="005F5184" w:rsidRPr="003163C7" w:rsidRDefault="005F5184" w:rsidP="005F5184">
      <w:pPr>
        <w:pStyle w:val="ParaNoNdepar-AltN"/>
        <w:rPr>
          <w:rFonts w:cs="Times New Roman"/>
          <w:szCs w:val="24"/>
        </w:rPr>
      </w:pPr>
      <w:r w:rsidRPr="003163C7">
        <w:rPr>
          <w:rFonts w:cs="Times New Roman"/>
          <w:szCs w:val="24"/>
        </w:rPr>
        <w:t xml:space="preserve">The </w:t>
      </w:r>
      <w:r w:rsidRPr="003163C7">
        <w:rPr>
          <w:rFonts w:cs="Times New Roman"/>
        </w:rPr>
        <w:t>a</w:t>
      </w:r>
      <w:r w:rsidRPr="003163C7">
        <w:rPr>
          <w:rFonts w:cs="Times New Roman"/>
          <w:szCs w:val="24"/>
        </w:rPr>
        <w:t xml:space="preserve">rbitrator found that the </w:t>
      </w:r>
      <w:r w:rsidRPr="003163C7">
        <w:rPr>
          <w:rFonts w:cs="Times New Roman"/>
        </w:rPr>
        <w:t>p</w:t>
      </w:r>
      <w:r w:rsidRPr="003163C7">
        <w:rPr>
          <w:rFonts w:cs="Times New Roman"/>
          <w:szCs w:val="24"/>
        </w:rPr>
        <w:t>rincipal’s actions were reasonable</w:t>
      </w:r>
      <w:r w:rsidRPr="003163C7">
        <w:rPr>
          <w:rFonts w:cs="Times New Roman"/>
        </w:rPr>
        <w:t>. She wrote:</w:t>
      </w:r>
    </w:p>
    <w:p w14:paraId="63DD4BCB" w14:textId="77777777" w:rsidR="005F5184" w:rsidRPr="003163C7" w:rsidRDefault="005F5184" w:rsidP="005F5184">
      <w:pPr>
        <w:pStyle w:val="Citation-AltC"/>
        <w:ind w:firstLine="274"/>
      </w:pPr>
      <w:r w:rsidRPr="003163C7">
        <w:t xml:space="preserve">Again applying the Supreme Court’s test in </w:t>
      </w:r>
      <w:r w:rsidRPr="003163C7">
        <w:rPr>
          <w:i/>
        </w:rPr>
        <w:t>M. (M.R.)</w:t>
      </w:r>
      <w:r w:rsidRPr="003163C7">
        <w:t>[,</w:t>
      </w:r>
      <w:r w:rsidRPr="003163C7">
        <w:rPr>
          <w:i/>
        </w:rPr>
        <w:t xml:space="preserve"> </w:t>
      </w:r>
      <w:r w:rsidRPr="003163C7">
        <w:t xml:space="preserve">[1998] 3 S.C.R. 393], [the principal] had the right, pursuant to s. 265 of the </w:t>
      </w:r>
      <w:r w:rsidRPr="003163C7">
        <w:rPr>
          <w:i/>
        </w:rPr>
        <w:t>Education Act</w:t>
      </w:r>
      <w:r w:rsidRPr="003163C7">
        <w:t>, and in the context of maintaining order in his school, to ensure that the laptop had been turned off at the end of the school day. He also had an obligation to take steps to ensure that the Grade 2 teachers were working well together, and that there were no toxic or destabilizing elements at work in the group. I have already outlined the bases upon which I accept that [the principal] had reasonable cause to be searching for the log. [para. 230]</w:t>
      </w:r>
    </w:p>
    <w:p w14:paraId="3BB1A75A" w14:textId="77777777" w:rsidR="005F5184" w:rsidRPr="003163C7" w:rsidRDefault="005F5184" w:rsidP="005F5184">
      <w:pPr>
        <w:pStyle w:val="ParaNoNdepar-AltN"/>
        <w:rPr>
          <w:rFonts w:cs="Times New Roman"/>
          <w:szCs w:val="24"/>
        </w:rPr>
      </w:pPr>
      <w:r w:rsidRPr="003163C7">
        <w:rPr>
          <w:rFonts w:cs="Times New Roman"/>
          <w:szCs w:val="24"/>
        </w:rPr>
        <w:t xml:space="preserve">The </w:t>
      </w:r>
      <w:r w:rsidRPr="003163C7">
        <w:rPr>
          <w:rFonts w:cs="Times New Roman"/>
        </w:rPr>
        <w:t>a</w:t>
      </w:r>
      <w:r w:rsidRPr="003163C7">
        <w:rPr>
          <w:rFonts w:cs="Times New Roman"/>
          <w:szCs w:val="24"/>
        </w:rPr>
        <w:t>rbitrator found that Ms. Shen left the log in “plain view” — open and accessible without password protection where it could be viewed by anyone using the Board computer (</w:t>
      </w:r>
      <w:r w:rsidRPr="003163C7">
        <w:rPr>
          <w:rFonts w:cs="Times New Roman"/>
        </w:rPr>
        <w:t>para. 236)</w:t>
      </w:r>
      <w:r w:rsidRPr="003163C7">
        <w:rPr>
          <w:rFonts w:cs="Times New Roman"/>
          <w:szCs w:val="24"/>
        </w:rPr>
        <w:t xml:space="preserve">. She concluded that once the </w:t>
      </w:r>
      <w:r w:rsidRPr="003163C7">
        <w:rPr>
          <w:rFonts w:cs="Times New Roman"/>
        </w:rPr>
        <w:t>p</w:t>
      </w:r>
      <w:r w:rsidRPr="003163C7">
        <w:rPr>
          <w:rFonts w:cs="Times New Roman"/>
          <w:szCs w:val="24"/>
        </w:rPr>
        <w:t xml:space="preserve">rincipal found the log, it was reasonable for the Board to think that it was stored on the laptop and to search the laptop. She found “nothing nefarious” in the manner the </w:t>
      </w:r>
      <w:r w:rsidRPr="003163C7">
        <w:rPr>
          <w:rFonts w:cs="Times New Roman"/>
        </w:rPr>
        <w:t>p</w:t>
      </w:r>
      <w:r w:rsidRPr="003163C7">
        <w:rPr>
          <w:rFonts w:cs="Times New Roman"/>
          <w:szCs w:val="24"/>
        </w:rPr>
        <w:t>rincipal found and accessed the log (</w:t>
      </w:r>
      <w:r w:rsidRPr="003163C7">
        <w:rPr>
          <w:rFonts w:cs="Times New Roman"/>
        </w:rPr>
        <w:t>para. 240)</w:t>
      </w:r>
      <w:r w:rsidRPr="003163C7">
        <w:rPr>
          <w:rFonts w:cs="Times New Roman"/>
          <w:szCs w:val="24"/>
        </w:rPr>
        <w:t>.</w:t>
      </w:r>
    </w:p>
    <w:p w14:paraId="296E0429" w14:textId="77777777" w:rsidR="005F5184" w:rsidRPr="003163C7" w:rsidRDefault="005F5184" w:rsidP="005F5184">
      <w:pPr>
        <w:pStyle w:val="ParaNoNdepar-AltN"/>
        <w:rPr>
          <w:rFonts w:cs="Times New Roman"/>
          <w:szCs w:val="24"/>
        </w:rPr>
      </w:pPr>
      <w:r w:rsidRPr="003163C7">
        <w:rPr>
          <w:rFonts w:cs="Times New Roman"/>
          <w:szCs w:val="24"/>
        </w:rPr>
        <w:t xml:space="preserve">In balancing the Grievors’ diminished privacy interest against the Board’s interests as employer, she concluded that the </w:t>
      </w:r>
      <w:r w:rsidRPr="003163C7">
        <w:rPr>
          <w:rFonts w:cs="Times New Roman"/>
        </w:rPr>
        <w:t>p</w:t>
      </w:r>
      <w:r w:rsidRPr="003163C7">
        <w:rPr>
          <w:rFonts w:cs="Times New Roman"/>
          <w:szCs w:val="24"/>
        </w:rPr>
        <w:t xml:space="preserve">rincipal’s “happenstance” discovery and the subsequent seizure of the computer did not breach the Grievors’ workplace privacy (para. 240). The </w:t>
      </w:r>
      <w:r w:rsidRPr="003163C7">
        <w:rPr>
          <w:rFonts w:cs="Times New Roman"/>
        </w:rPr>
        <w:t>p</w:t>
      </w:r>
      <w:r w:rsidRPr="003163C7">
        <w:rPr>
          <w:rFonts w:cs="Times New Roman"/>
          <w:szCs w:val="24"/>
        </w:rPr>
        <w:t>rincipal “had a legitimate reason to be in Ms. Shen’s classroom”, “had the right to use that Board laptop”, and “the log contained information that he felt may be contributing to a toxic work environment at the school” (</w:t>
      </w:r>
      <w:r w:rsidRPr="003163C7">
        <w:rPr>
          <w:rFonts w:cs="Times New Roman"/>
        </w:rPr>
        <w:t xml:space="preserve">paras. 231 and 252). </w:t>
      </w:r>
    </w:p>
    <w:p w14:paraId="7CA251E9" w14:textId="77777777" w:rsidR="005F5184" w:rsidRPr="003163C7" w:rsidRDefault="005F5184" w:rsidP="005F5184">
      <w:pPr>
        <w:pStyle w:val="ParaNoNdepar-AltN"/>
        <w:rPr>
          <w:rFonts w:cs="Times New Roman"/>
        </w:rPr>
      </w:pPr>
      <w:r w:rsidRPr="003163C7">
        <w:rPr>
          <w:rFonts w:cs="Times New Roman"/>
        </w:rPr>
        <w:t xml:space="preserve">Meanwhile, the Grievors’ privacy interest was reduced because “Ms. Shen’s leaving the log open on the Board’s classroom laptop diminished her reasonable expectation of privacy” (para. 242). Furthermore, the arbitrator found that the information contained in the log was not personal or intimate, nor did it reveal the Grievors’ views about their colleagues, and thus concluded that it “did not touch on </w:t>
      </w:r>
      <w:r w:rsidRPr="003163C7">
        <w:rPr>
          <w:rFonts w:cs="Times New Roman"/>
          <w:szCs w:val="24"/>
        </w:rPr>
        <w:t xml:space="preserve">[their] </w:t>
      </w:r>
      <w:r w:rsidRPr="003163C7">
        <w:rPr>
          <w:rFonts w:cs="Times New Roman"/>
        </w:rPr>
        <w:t>biographical core” (para. 246).</w:t>
      </w:r>
    </w:p>
    <w:p w14:paraId="7A2D609C" w14:textId="77777777" w:rsidR="005F5184" w:rsidRPr="003163C7" w:rsidRDefault="005F5184" w:rsidP="005F5184">
      <w:pPr>
        <w:pStyle w:val="Title3LevelTitre3Niveau"/>
        <w:rPr>
          <w:rFonts w:cs="Times New Roman"/>
        </w:rPr>
      </w:pPr>
      <w:r w:rsidRPr="003163C7">
        <w:rPr>
          <w:rFonts w:cs="Times New Roman"/>
        </w:rPr>
        <w:t>Third Alleged Breach</w:t>
      </w:r>
    </w:p>
    <w:p w14:paraId="39E04260" w14:textId="77777777" w:rsidR="005F5184" w:rsidRPr="003163C7" w:rsidRDefault="005F5184" w:rsidP="005F5184">
      <w:pPr>
        <w:pStyle w:val="ParaNoNdepar-AltN"/>
        <w:rPr>
          <w:rFonts w:cs="Times New Roman"/>
          <w:szCs w:val="24"/>
        </w:rPr>
      </w:pPr>
      <w:r w:rsidRPr="003163C7">
        <w:rPr>
          <w:rFonts w:cs="Times New Roman"/>
          <w:szCs w:val="24"/>
        </w:rPr>
        <w:t xml:space="preserve">The third alleged breach was the “forensic” search of Ms. Shen’s and Ms. Rai’s computers, including the seizure of the two computers, and the Board’s search of them. The </w:t>
      </w:r>
      <w:r w:rsidRPr="003163C7">
        <w:rPr>
          <w:rFonts w:cs="Times New Roman"/>
        </w:rPr>
        <w:t>a</w:t>
      </w:r>
      <w:r w:rsidRPr="003163C7">
        <w:rPr>
          <w:rFonts w:cs="Times New Roman"/>
          <w:szCs w:val="24"/>
        </w:rPr>
        <w:t>rbitrator dismissed this alleged breach as well.</w:t>
      </w:r>
    </w:p>
    <w:p w14:paraId="6B5F2088" w14:textId="77777777" w:rsidR="005F5184" w:rsidRPr="003163C7" w:rsidRDefault="005F5184" w:rsidP="005F5184">
      <w:pPr>
        <w:pStyle w:val="ParaNoNdepar-AltN"/>
        <w:rPr>
          <w:rFonts w:cs="Times New Roman"/>
          <w:szCs w:val="24"/>
        </w:rPr>
      </w:pPr>
      <w:r w:rsidRPr="003163C7">
        <w:rPr>
          <w:rFonts w:cs="Times New Roman"/>
          <w:szCs w:val="24"/>
        </w:rPr>
        <w:t xml:space="preserve">Once the </w:t>
      </w:r>
      <w:r w:rsidRPr="003163C7">
        <w:rPr>
          <w:rFonts w:cs="Times New Roman"/>
        </w:rPr>
        <w:t>p</w:t>
      </w:r>
      <w:r w:rsidRPr="003163C7">
        <w:rPr>
          <w:rFonts w:cs="Times New Roman"/>
          <w:szCs w:val="24"/>
        </w:rPr>
        <w:t xml:space="preserve">rincipal had found the log on Ms. Shen’s Board classroom laptop, it was reasonable for the Board to think that it may have found the location of the log and to therefore conduct a search for it on the computer. The </w:t>
      </w:r>
      <w:r w:rsidRPr="003163C7">
        <w:rPr>
          <w:rFonts w:cs="Times New Roman"/>
        </w:rPr>
        <w:t>a</w:t>
      </w:r>
      <w:r w:rsidRPr="003163C7">
        <w:rPr>
          <w:rFonts w:cs="Times New Roman"/>
          <w:szCs w:val="24"/>
        </w:rPr>
        <w:t>rbitrator further concluded that “it is not necessary to consider whether there were other alternatives that the employer should have considered before it conducted an IT search” (</w:t>
      </w:r>
      <w:r w:rsidRPr="003163C7">
        <w:rPr>
          <w:rFonts w:cs="Times New Roman"/>
        </w:rPr>
        <w:t>para. 261).</w:t>
      </w:r>
    </w:p>
    <w:p w14:paraId="3B70026F" w14:textId="77777777" w:rsidR="005F5184" w:rsidRPr="003163C7" w:rsidRDefault="005F5184" w:rsidP="005F5184">
      <w:pPr>
        <w:pStyle w:val="Title2LevelTitre2Niveau"/>
        <w:numPr>
          <w:ilvl w:val="1"/>
          <w:numId w:val="8"/>
        </w:numPr>
        <w:rPr>
          <w:rFonts w:cs="Times New Roman"/>
        </w:rPr>
      </w:pPr>
      <w:bookmarkStart w:id="29" w:name="_Toc152516440"/>
      <w:bookmarkStart w:id="30" w:name="_Toc152600206"/>
      <w:bookmarkStart w:id="31" w:name="_Toc152697187"/>
      <w:bookmarkStart w:id="32" w:name="_Toc155875198"/>
      <w:bookmarkStart w:id="33" w:name="_Toc158295304"/>
      <w:bookmarkStart w:id="34" w:name="_Toc162277486"/>
      <w:r w:rsidRPr="003163C7">
        <w:rPr>
          <w:rFonts w:cs="Times New Roman"/>
        </w:rPr>
        <w:t>Ontario Superior Court of Justice (Divisional Court), 2020 ONSC 3685, 316 L.A.C. (4th) 1 (Kiteley and O’Bonsawin JJ., Sachs J. Dissenting</w:t>
      </w:r>
      <w:bookmarkEnd w:id="29"/>
      <w:bookmarkEnd w:id="30"/>
      <w:bookmarkEnd w:id="31"/>
      <w:bookmarkEnd w:id="32"/>
      <w:bookmarkEnd w:id="33"/>
      <w:r w:rsidRPr="003163C7">
        <w:rPr>
          <w:rFonts w:cs="Times New Roman"/>
        </w:rPr>
        <w:t>)</w:t>
      </w:r>
      <w:bookmarkEnd w:id="34"/>
    </w:p>
    <w:p w14:paraId="531A2E12" w14:textId="77777777" w:rsidR="005F5184" w:rsidRPr="003163C7" w:rsidRDefault="005F5184" w:rsidP="005F5184">
      <w:pPr>
        <w:pStyle w:val="ParaNoNdepar-AltN"/>
        <w:rPr>
          <w:rFonts w:cs="Times New Roman"/>
        </w:rPr>
      </w:pPr>
      <w:r w:rsidRPr="003163C7">
        <w:rPr>
          <w:rFonts w:cs="Times New Roman"/>
        </w:rPr>
        <w:t>The Union sought judicial review in the Divisional Court. The parties proceeded on the basis that the arbitration decision (referred to as an “award”) was subject to review on a reasonableness standard.</w:t>
      </w:r>
    </w:p>
    <w:p w14:paraId="2E6648E6" w14:textId="77777777" w:rsidR="005F5184" w:rsidRPr="003163C7" w:rsidRDefault="005F5184" w:rsidP="005F5184">
      <w:pPr>
        <w:pStyle w:val="ParaNoNdepar-AltN"/>
        <w:rPr>
          <w:rFonts w:cs="Times New Roman"/>
        </w:rPr>
      </w:pPr>
      <w:r w:rsidRPr="003163C7">
        <w:rPr>
          <w:rFonts w:cs="Times New Roman"/>
          <w:szCs w:val="24"/>
        </w:rPr>
        <w:t xml:space="preserve">The case was heard at Divisional Court in November 2019. </w:t>
      </w:r>
      <w:r w:rsidRPr="003163C7">
        <w:rPr>
          <w:rFonts w:cs="Times New Roman"/>
        </w:rPr>
        <w:t xml:space="preserve">The only issue on judicial review concerned the arbitrator’s conclusion that the Grievors’ reasonable expectation of privacy had not been breached by the employer’s actions. The court concluded that the issue was not moot by virtue of the removal of the written reprimand from the Grievors’ records. The court exercised its discretion to hear the judicial review. Following the oral hearing, the court invited further submissions from the parties on the standard of review following release of this Court’s decision in </w:t>
      </w:r>
      <w:r w:rsidRPr="003163C7">
        <w:rPr>
          <w:rFonts w:cs="Times New Roman"/>
          <w:i/>
          <w:iCs/>
        </w:rPr>
        <w:t xml:space="preserve">Canada (Minister of Citizenship and Immigration) v. </w:t>
      </w:r>
      <w:r w:rsidRPr="003163C7">
        <w:rPr>
          <w:rFonts w:cs="Times New Roman"/>
          <w:i/>
        </w:rPr>
        <w:t>Vavilov</w:t>
      </w:r>
      <w:r w:rsidRPr="003163C7">
        <w:rPr>
          <w:rFonts w:cs="Times New Roman"/>
        </w:rPr>
        <w:t xml:space="preserve">, 2019 SCC 65, [2019] 4 S.C.R. 653. </w:t>
      </w:r>
    </w:p>
    <w:p w14:paraId="250769A9" w14:textId="77777777" w:rsidR="005F5184" w:rsidRPr="003163C7" w:rsidRDefault="005F5184" w:rsidP="005F5184">
      <w:pPr>
        <w:pStyle w:val="Title3LevelTitre3Niveau"/>
        <w:rPr>
          <w:rFonts w:cs="Times New Roman"/>
        </w:rPr>
      </w:pPr>
      <w:bookmarkStart w:id="35" w:name="_Toc148196672"/>
      <w:bookmarkStart w:id="36" w:name="_Toc162277487"/>
      <w:r w:rsidRPr="003163C7">
        <w:rPr>
          <w:rFonts w:cs="Times New Roman"/>
        </w:rPr>
        <w:t>The Majority Opinion (O’Bonsawin J., Kiteley J. Concurring)</w:t>
      </w:r>
      <w:bookmarkEnd w:id="35"/>
      <w:bookmarkEnd w:id="36"/>
    </w:p>
    <w:p w14:paraId="286D4486" w14:textId="77777777" w:rsidR="005F5184" w:rsidRPr="003163C7" w:rsidRDefault="005F5184" w:rsidP="005F5184">
      <w:pPr>
        <w:pStyle w:val="ParaNoNdepar-AltN"/>
        <w:rPr>
          <w:rFonts w:cs="Times New Roman"/>
        </w:rPr>
      </w:pPr>
      <w:r w:rsidRPr="003163C7">
        <w:rPr>
          <w:rFonts w:cs="Times New Roman"/>
        </w:rPr>
        <w:t>In June 2020, the Divisional Court issued a split decision; the majority dismissed the application for judicial review. O’Bonsawin J. (as she then was), Kiteley J. concurring, applied a reasonableness standard of review. The majority concluded that the arbitrator’s reasoning demonstrated justification, transparency, and intelligibility, and the decision she reached was within a range of acceptable outcomes.</w:t>
      </w:r>
    </w:p>
    <w:p w14:paraId="02EA9124" w14:textId="77777777" w:rsidR="005F5184" w:rsidRPr="003163C7" w:rsidRDefault="005F5184" w:rsidP="005F5184">
      <w:pPr>
        <w:pStyle w:val="ParaNoNdepar-AltN"/>
        <w:rPr>
          <w:rFonts w:cs="Times New Roman"/>
        </w:rPr>
      </w:pPr>
      <w:r w:rsidRPr="003163C7">
        <w:rPr>
          <w:rFonts w:cs="Times New Roman"/>
        </w:rPr>
        <w:t xml:space="preserve">The majority concluded that the arbitrator’s finding that the principal had a duty to maintain order and discipline in the school in accordance with s. 265 of the </w:t>
      </w:r>
      <w:r w:rsidRPr="003163C7">
        <w:rPr>
          <w:rFonts w:cs="Times New Roman"/>
          <w:i/>
        </w:rPr>
        <w:t>Education Act</w:t>
      </w:r>
      <w:r w:rsidRPr="003163C7">
        <w:rPr>
          <w:rFonts w:cs="Times New Roman"/>
        </w:rPr>
        <w:t xml:space="preserve"> was reasonable, given the “apparently toxic work environment” within the Grade 2 teaching team (para. 76). The majority noted that the arbitrator recognized that the search had “no criminal element”, but it “was undertaken within the course of [the principal’s] </w:t>
      </w:r>
      <w:proofErr w:type="gramStart"/>
      <w:r w:rsidRPr="003163C7">
        <w:rPr>
          <w:rFonts w:cs="Times New Roman"/>
        </w:rPr>
        <w:t>duties .</w:t>
      </w:r>
      <w:proofErr w:type="gramEnd"/>
      <w:r w:rsidRPr="003163C7">
        <w:rPr>
          <w:rFonts w:cs="Times New Roman"/>
        </w:rPr>
        <w:t xml:space="preserve"> . . to ‘develop co-operation and co-ordination of effort among the members of the staff of the school’” pursuant to s. 265 of the </w:t>
      </w:r>
      <w:r w:rsidRPr="003163C7">
        <w:rPr>
          <w:rFonts w:cs="Times New Roman"/>
          <w:i/>
        </w:rPr>
        <w:t>Education Act</w:t>
      </w:r>
      <w:r w:rsidRPr="003163C7">
        <w:rPr>
          <w:rFonts w:cs="Times New Roman"/>
        </w:rPr>
        <w:t xml:space="preserve"> (para. 79). The majority stated that the arbitrator’s conclusion that the legal duties of a principal under the</w:t>
      </w:r>
      <w:r w:rsidRPr="003163C7">
        <w:rPr>
          <w:rFonts w:cs="Times New Roman"/>
          <w:i/>
        </w:rPr>
        <w:t xml:space="preserve"> Education Act</w:t>
      </w:r>
      <w:r w:rsidRPr="003163C7">
        <w:rPr>
          <w:rFonts w:cs="Times New Roman"/>
        </w:rPr>
        <w:t xml:space="preserve"> could extend to such situations was reasonable (para. 79). </w:t>
      </w:r>
    </w:p>
    <w:p w14:paraId="7BCEB7FD" w14:textId="77777777" w:rsidR="005F5184" w:rsidRPr="003163C7" w:rsidRDefault="005F5184" w:rsidP="005F5184">
      <w:pPr>
        <w:pStyle w:val="ParaNoNdepar-AltN"/>
        <w:rPr>
          <w:rFonts w:cs="Times New Roman"/>
        </w:rPr>
      </w:pPr>
      <w:r w:rsidRPr="003163C7">
        <w:rPr>
          <w:rFonts w:cs="Times New Roman"/>
        </w:rPr>
        <w:t>The majority further concluded that the arbitrator interpreted and applied privacy jurisprudence reasonably. With regard to the search by IT Services of the Board’s data storage system, the majority held “there was no reason for the employer to consider ‘other alternatives’ before having its corporate IT Services conduct a search of its own systems” (para. 88). It was also not reasonable to expect the principal to consider other alternatives before searching Ms. Shen’s laptop as “[the principal’s] search occurred ‘by happenstance’ because Ms. Shen had left the laptop on” (para. 89).</w:t>
      </w:r>
    </w:p>
    <w:p w14:paraId="447561AB" w14:textId="77777777" w:rsidR="005F5184" w:rsidRPr="003163C7" w:rsidRDefault="005F5184" w:rsidP="005F5184">
      <w:pPr>
        <w:pStyle w:val="ParaNoNdepar-AltN"/>
        <w:rPr>
          <w:rFonts w:cs="Times New Roman"/>
        </w:rPr>
      </w:pPr>
      <w:r w:rsidRPr="003163C7">
        <w:rPr>
          <w:rFonts w:cs="Times New Roman"/>
        </w:rPr>
        <w:t>As well, the majority held that it was reasonable for the arbitrator to conclude that the log was not close enough to the Grievors’ biographical core because “the entries were not in the nature of emails between spouses, and were not related to medical, banking, or other intimate personal matters” (para. 94). As the arbitrator found that none of the searches impacted the Grievors’ reasonable expectation of privacy, the majority concluded that there was no “cumulative aspect” of the search to consider (para. 101).</w:t>
      </w:r>
    </w:p>
    <w:p w14:paraId="6630B828" w14:textId="77777777" w:rsidR="005F5184" w:rsidRPr="003163C7" w:rsidRDefault="005F5184" w:rsidP="005F5184">
      <w:pPr>
        <w:pStyle w:val="ParaNoNdepar-AltN"/>
        <w:rPr>
          <w:rFonts w:cs="Times New Roman"/>
        </w:rPr>
      </w:pPr>
      <w:r w:rsidRPr="003163C7">
        <w:rPr>
          <w:rFonts w:cs="Times New Roman"/>
        </w:rPr>
        <w:t xml:space="preserve">Finally, the majority responded to the dissent. The majority disagreed with the </w:t>
      </w:r>
      <w:r w:rsidRPr="003163C7">
        <w:rPr>
          <w:rFonts w:cs="Times New Roman"/>
          <w:i/>
        </w:rPr>
        <w:t>Charter</w:t>
      </w:r>
      <w:r w:rsidRPr="003163C7">
        <w:rPr>
          <w:rFonts w:cs="Times New Roman"/>
        </w:rPr>
        <w:t xml:space="preserve"> framework applied by Sachs J. as they concluded that no </w:t>
      </w:r>
      <w:r w:rsidRPr="003163C7">
        <w:rPr>
          <w:rFonts w:cs="Times New Roman"/>
          <w:i/>
        </w:rPr>
        <w:t xml:space="preserve">Charter </w:t>
      </w:r>
      <w:r w:rsidRPr="003163C7">
        <w:rPr>
          <w:rFonts w:cs="Times New Roman"/>
        </w:rPr>
        <w:t>issues arose from the principal’s conduct in the case at bar:</w:t>
      </w:r>
    </w:p>
    <w:p w14:paraId="7615CAF8" w14:textId="77777777" w:rsidR="005F5184" w:rsidRPr="003163C7" w:rsidRDefault="005F5184" w:rsidP="005F5184">
      <w:pPr>
        <w:pStyle w:val="Citation-AltC"/>
      </w:pPr>
      <w:r w:rsidRPr="003163C7">
        <w:t xml:space="preserve">[Justice Sachs] approaches her analysis as a balance between the Grievors’ “rights under s. 8 of the </w:t>
      </w:r>
      <w:r w:rsidRPr="003163C7">
        <w:rPr>
          <w:i/>
        </w:rPr>
        <w:t>Charter</w:t>
      </w:r>
      <w:r w:rsidRPr="003163C7">
        <w:t xml:space="preserve"> against the statutory objectives that the Principal was seeking to enforce”. I disagree with that analytical framework. </w:t>
      </w:r>
      <w:r w:rsidRPr="003163C7">
        <w:rPr>
          <w:u w:val="single"/>
        </w:rPr>
        <w:t xml:space="preserve">Unlike in a criminal context, in a workplace environment, an employee does not have </w:t>
      </w:r>
      <w:proofErr w:type="gramStart"/>
      <w:r w:rsidRPr="003163C7">
        <w:rPr>
          <w:u w:val="single"/>
        </w:rPr>
        <w:t>a</w:t>
      </w:r>
      <w:proofErr w:type="gramEnd"/>
      <w:r w:rsidRPr="003163C7">
        <w:rPr>
          <w:u w:val="single"/>
        </w:rPr>
        <w:t xml:space="preserve"> s. 8 right to be secure against unreasonable search and seizure.</w:t>
      </w:r>
      <w:r w:rsidRPr="003163C7">
        <w:t xml:space="preserve"> The Arbitrator reasonably concluded the Grievors had a reasonable expectation of privacy that was diminished. The Arbitrator was required and did balance that diminished expectation of privacy against the duty of the employer to manage the workplace and the Arbitrator arrived at a reasonable conclusion. [Emphasis added; para. 103.]</w:t>
      </w:r>
    </w:p>
    <w:p w14:paraId="3D187046" w14:textId="77777777" w:rsidR="005F5184" w:rsidRPr="003163C7" w:rsidRDefault="005F5184" w:rsidP="005F5184">
      <w:pPr>
        <w:pStyle w:val="ParaNoNdepar-AltN"/>
        <w:rPr>
          <w:rFonts w:cs="Times New Roman"/>
        </w:rPr>
      </w:pPr>
      <w:r w:rsidRPr="003163C7">
        <w:rPr>
          <w:rFonts w:cs="Times New Roman"/>
        </w:rPr>
        <w:t xml:space="preserve">Thus, the majority agreed with the arbitrator that the framework for analysis was not s. 8 of the </w:t>
      </w:r>
      <w:r w:rsidRPr="003163C7">
        <w:rPr>
          <w:rFonts w:cs="Times New Roman"/>
          <w:i/>
        </w:rPr>
        <w:t>Charter</w:t>
      </w:r>
      <w:r w:rsidRPr="003163C7">
        <w:rPr>
          <w:rFonts w:cs="Times New Roman"/>
        </w:rPr>
        <w:t>, but rather the rights of employers and employees under the collective agreement.</w:t>
      </w:r>
    </w:p>
    <w:p w14:paraId="6D9801B9" w14:textId="77777777" w:rsidR="005F5184" w:rsidRPr="003163C7" w:rsidRDefault="005F5184" w:rsidP="005F5184">
      <w:pPr>
        <w:pStyle w:val="Title3LevelTitre3Niveau"/>
        <w:rPr>
          <w:rFonts w:cs="Times New Roman"/>
        </w:rPr>
      </w:pPr>
      <w:bookmarkStart w:id="37" w:name="_Toc148196673"/>
      <w:bookmarkStart w:id="38" w:name="_Toc162277488"/>
      <w:r w:rsidRPr="003163C7">
        <w:rPr>
          <w:rFonts w:cs="Times New Roman"/>
        </w:rPr>
        <w:t>The Dissenting Opinion (Sachs J.)</w:t>
      </w:r>
      <w:bookmarkEnd w:id="37"/>
      <w:bookmarkEnd w:id="38"/>
    </w:p>
    <w:p w14:paraId="7B86FD4E" w14:textId="77777777" w:rsidR="005F5184" w:rsidRPr="003163C7" w:rsidRDefault="005F5184" w:rsidP="005F5184">
      <w:pPr>
        <w:pStyle w:val="ParaNoNdepar-AltN"/>
        <w:rPr>
          <w:rFonts w:cs="Times New Roman"/>
        </w:rPr>
      </w:pPr>
      <w:r w:rsidRPr="003163C7">
        <w:rPr>
          <w:rFonts w:cs="Times New Roman"/>
        </w:rPr>
        <w:t xml:space="preserve">Justice Sachs, dissenting, concluded that the arbitrator’s decision was unreasonable as the arbitrator’s reasons disclose “a failure of rationality internal to the reasoning process” and further, “[t]he result is also untenable given the ‘relevant factual and legal constraints that bear on it’” </w:t>
      </w:r>
      <w:r w:rsidRPr="003163C7">
        <w:rPr>
          <w:rFonts w:cs="Times New Roman"/>
          <w:lang w:bidi="en-US"/>
        </w:rPr>
        <w:t>(</w:t>
      </w:r>
      <w:r w:rsidRPr="003163C7">
        <w:rPr>
          <w:rFonts w:cs="Times New Roman"/>
        </w:rPr>
        <w:t>para. 109).</w:t>
      </w:r>
      <w:r w:rsidRPr="003163C7">
        <w:rPr>
          <w:rFonts w:cs="Times New Roman"/>
          <w:iCs/>
          <w:lang w:val="en-US"/>
        </w:rPr>
        <w:t xml:space="preserve"> </w:t>
      </w:r>
    </w:p>
    <w:p w14:paraId="04B09725" w14:textId="77777777" w:rsidR="005F5184" w:rsidRPr="003163C7" w:rsidRDefault="005F5184" w:rsidP="005F5184">
      <w:pPr>
        <w:pStyle w:val="ParaNoNdepar-AltN"/>
        <w:rPr>
          <w:rFonts w:cs="Times New Roman"/>
        </w:rPr>
      </w:pPr>
      <w:r w:rsidRPr="003163C7">
        <w:rPr>
          <w:rFonts w:cs="Times New Roman"/>
        </w:rPr>
        <w:t xml:space="preserve">Justice Sachs found that employees have a s. 8 </w:t>
      </w:r>
      <w:r w:rsidRPr="003163C7">
        <w:rPr>
          <w:rFonts w:cs="Times New Roman"/>
          <w:i/>
        </w:rPr>
        <w:t>Charter</w:t>
      </w:r>
      <w:r w:rsidRPr="003163C7">
        <w:rPr>
          <w:rFonts w:cs="Times New Roman"/>
        </w:rPr>
        <w:t xml:space="preserve"> right in the workplace, and the actions of the principal came within </w:t>
      </w:r>
      <w:r w:rsidRPr="003163C7">
        <w:rPr>
          <w:rFonts w:cs="Times New Roman"/>
          <w:i/>
        </w:rPr>
        <w:t xml:space="preserve">Charter </w:t>
      </w:r>
      <w:r w:rsidRPr="003163C7">
        <w:rPr>
          <w:rFonts w:cs="Times New Roman"/>
        </w:rPr>
        <w:t xml:space="preserve">scrutiny because the Board was “a state actor” (para. 127). </w:t>
      </w:r>
    </w:p>
    <w:p w14:paraId="05A31906" w14:textId="77777777" w:rsidR="005F5184" w:rsidRPr="003163C7" w:rsidRDefault="005F5184" w:rsidP="005F5184">
      <w:pPr>
        <w:pStyle w:val="ParaNoNdepar-AltN"/>
        <w:rPr>
          <w:rFonts w:cs="Times New Roman"/>
        </w:rPr>
      </w:pPr>
      <w:r w:rsidRPr="003163C7">
        <w:rPr>
          <w:rFonts w:cs="Times New Roman"/>
        </w:rPr>
        <w:t xml:space="preserve">As such, whether the Grievors’ </w:t>
      </w:r>
      <w:r w:rsidRPr="003163C7">
        <w:rPr>
          <w:rFonts w:cs="Times New Roman"/>
          <w:i/>
        </w:rPr>
        <w:t xml:space="preserve">Charter </w:t>
      </w:r>
      <w:r w:rsidRPr="003163C7">
        <w:rPr>
          <w:rFonts w:cs="Times New Roman"/>
        </w:rPr>
        <w:t xml:space="preserve">rights had been infringed comes within the category of constitutional questions reviewable on a standard of reasonableness (paras. 114-15, citing </w:t>
      </w:r>
      <w:r w:rsidRPr="003163C7">
        <w:rPr>
          <w:rFonts w:cs="Times New Roman"/>
          <w:i/>
        </w:rPr>
        <w:t>Vavilov</w:t>
      </w:r>
      <w:r w:rsidRPr="003163C7">
        <w:rPr>
          <w:rFonts w:cs="Times New Roman"/>
        </w:rPr>
        <w:t>, at para. 57).</w:t>
      </w:r>
    </w:p>
    <w:p w14:paraId="5D039F98" w14:textId="77777777" w:rsidR="005F5184" w:rsidRPr="003163C7" w:rsidRDefault="005F5184" w:rsidP="005F5184">
      <w:pPr>
        <w:pStyle w:val="ParaNoNdepar-AltN"/>
        <w:rPr>
          <w:rFonts w:cs="Times New Roman"/>
        </w:rPr>
      </w:pPr>
      <w:r w:rsidRPr="003163C7">
        <w:rPr>
          <w:rFonts w:cs="Times New Roman"/>
          <w:lang w:val="en-US"/>
        </w:rPr>
        <w:t>Further, the framework under</w:t>
      </w:r>
      <w:r w:rsidRPr="003163C7">
        <w:rPr>
          <w:rFonts w:cs="Times New Roman"/>
          <w:i/>
          <w:iCs/>
          <w:lang w:val="en-US"/>
        </w:rPr>
        <w:t xml:space="preserve"> </w:t>
      </w:r>
      <w:proofErr w:type="spellStart"/>
      <w:r w:rsidRPr="003163C7">
        <w:rPr>
          <w:rFonts w:cs="Times New Roman"/>
          <w:i/>
          <w:iCs/>
          <w:lang w:val="en-US"/>
        </w:rPr>
        <w:t>Doré</w:t>
      </w:r>
      <w:proofErr w:type="spellEnd"/>
      <w:r w:rsidRPr="003163C7">
        <w:rPr>
          <w:rFonts w:cs="Times New Roman"/>
          <w:i/>
          <w:iCs/>
        </w:rPr>
        <w:t xml:space="preserve"> v. Barreau du Québec</w:t>
      </w:r>
      <w:r w:rsidRPr="003163C7">
        <w:rPr>
          <w:rFonts w:cs="Times New Roman"/>
        </w:rPr>
        <w:t>, 2012 SCC 12, [2012] 1 S.C.R. 395,</w:t>
      </w:r>
      <w:r w:rsidRPr="003163C7">
        <w:rPr>
          <w:rFonts w:cs="Times New Roman"/>
          <w:iCs/>
          <w:lang w:val="en-US"/>
        </w:rPr>
        <w:t xml:space="preserve"> applied as “these [</w:t>
      </w:r>
      <w:r w:rsidRPr="003163C7">
        <w:rPr>
          <w:rFonts w:cs="Times New Roman"/>
          <w:i/>
          <w:iCs/>
          <w:lang w:val="en-US"/>
        </w:rPr>
        <w:t>Charter</w:t>
      </w:r>
      <w:r w:rsidRPr="003163C7">
        <w:rPr>
          <w:rFonts w:cs="Times New Roman"/>
          <w:iCs/>
          <w:lang w:val="en-US"/>
        </w:rPr>
        <w:t xml:space="preserve">] rights must be balanced against the statutory objectives of the </w:t>
      </w:r>
      <w:r w:rsidRPr="003163C7">
        <w:rPr>
          <w:rFonts w:cs="Times New Roman"/>
          <w:i/>
          <w:iCs/>
          <w:lang w:val="en-US"/>
        </w:rPr>
        <w:t>Education Act</w:t>
      </w:r>
      <w:r w:rsidRPr="003163C7">
        <w:rPr>
          <w:rFonts w:cs="Times New Roman"/>
          <w:iCs/>
          <w:lang w:val="en-US"/>
        </w:rPr>
        <w:t xml:space="preserve">”. Justice Sachs further noted that </w:t>
      </w:r>
      <w:r w:rsidRPr="003163C7">
        <w:rPr>
          <w:rFonts w:cs="Times New Roman"/>
        </w:rPr>
        <w:t>“</w:t>
      </w:r>
      <w:r w:rsidRPr="003163C7">
        <w:rPr>
          <w:rFonts w:cs="Times New Roman"/>
          <w:lang w:bidi="en-US"/>
        </w:rPr>
        <w:t xml:space="preserve">while not directly referencing </w:t>
      </w:r>
      <w:proofErr w:type="spellStart"/>
      <w:r w:rsidRPr="003163C7">
        <w:rPr>
          <w:rFonts w:cs="Times New Roman"/>
          <w:i/>
          <w:iCs/>
          <w:lang w:bidi="en-US"/>
        </w:rPr>
        <w:t>Doré</w:t>
      </w:r>
      <w:proofErr w:type="spellEnd"/>
      <w:r w:rsidRPr="003163C7">
        <w:rPr>
          <w:rFonts w:cs="Times New Roman"/>
          <w:lang w:bidi="en-US"/>
        </w:rPr>
        <w:t>, it is the framework that the Arbitrator used” (</w:t>
      </w:r>
      <w:r w:rsidRPr="003163C7">
        <w:rPr>
          <w:rFonts w:cs="Times New Roman"/>
        </w:rPr>
        <w:t>para. 121).</w:t>
      </w:r>
      <w:bookmarkEnd w:id="28"/>
      <w:r w:rsidRPr="003163C7">
        <w:rPr>
          <w:rFonts w:cs="Times New Roman"/>
        </w:rPr>
        <w:t xml:space="preserve"> </w:t>
      </w:r>
    </w:p>
    <w:p w14:paraId="6F0E6EB2" w14:textId="77777777" w:rsidR="005F5184" w:rsidRPr="003163C7" w:rsidRDefault="005F5184" w:rsidP="005F5184">
      <w:pPr>
        <w:pStyle w:val="ParaNoNdepar-AltN"/>
        <w:rPr>
          <w:rFonts w:cs="Times New Roman"/>
        </w:rPr>
      </w:pPr>
      <w:r w:rsidRPr="003163C7">
        <w:rPr>
          <w:rFonts w:cs="Times New Roman"/>
          <w:iCs/>
          <w:lang w:val="en-US"/>
        </w:rPr>
        <w:t>The dissenting judge concluded that t</w:t>
      </w:r>
      <w:r w:rsidRPr="003163C7">
        <w:rPr>
          <w:rFonts w:cs="Times New Roman"/>
        </w:rPr>
        <w:t>he arbitrator made three significant errors in the application of s. 8 jurisprudence; this rendered the decision unreasonable. In brief, because the arbitrator misunderstood the nature of s. 8, “she was not able to proportionately balance s. 8 </w:t>
      </w:r>
      <w:r w:rsidRPr="003163C7">
        <w:rPr>
          <w:rFonts w:cs="Times New Roman"/>
          <w:i/>
          <w:iCs/>
        </w:rPr>
        <w:t>Charter</w:t>
      </w:r>
      <w:r w:rsidRPr="003163C7">
        <w:rPr>
          <w:rFonts w:cs="Times New Roman"/>
          <w:iCs/>
        </w:rPr>
        <w:t xml:space="preserve"> </w:t>
      </w:r>
      <w:r w:rsidRPr="003163C7">
        <w:rPr>
          <w:rFonts w:cs="Times New Roman"/>
        </w:rPr>
        <w:t xml:space="preserve">values with the statutory objectives” </w:t>
      </w:r>
      <w:r w:rsidRPr="003163C7">
        <w:rPr>
          <w:rFonts w:cs="Times New Roman"/>
          <w:lang w:bidi="en-US"/>
        </w:rPr>
        <w:t>(</w:t>
      </w:r>
      <w:r w:rsidRPr="003163C7">
        <w:rPr>
          <w:rFonts w:cs="Times New Roman"/>
        </w:rPr>
        <w:t xml:space="preserve">paras. 143-45). </w:t>
      </w:r>
    </w:p>
    <w:p w14:paraId="17B992C2" w14:textId="77777777" w:rsidR="005F5184" w:rsidRPr="003163C7" w:rsidRDefault="005F5184" w:rsidP="005F5184">
      <w:pPr>
        <w:pStyle w:val="ParaNoNdepar-AltN"/>
        <w:rPr>
          <w:rFonts w:cs="Times New Roman"/>
        </w:rPr>
      </w:pPr>
      <w:r w:rsidRPr="003163C7">
        <w:rPr>
          <w:rFonts w:cs="Times New Roman"/>
        </w:rPr>
        <w:t xml:space="preserve">First, “the Arbitrator used the fruits of the search to justify the privacy violation”, which is contrary to this Court’s jurisprudence in </w:t>
      </w:r>
      <w:r w:rsidRPr="003163C7">
        <w:rPr>
          <w:rFonts w:cs="Times New Roman"/>
          <w:i/>
        </w:rPr>
        <w:t>R. v. Marakah</w:t>
      </w:r>
      <w:r w:rsidRPr="003163C7">
        <w:rPr>
          <w:rFonts w:cs="Times New Roman"/>
        </w:rPr>
        <w:t xml:space="preserve">, 2017 SCC 59, [2017] 2 S.C.R. 608, and </w:t>
      </w:r>
      <w:r w:rsidRPr="003163C7">
        <w:rPr>
          <w:rFonts w:cs="Times New Roman"/>
          <w:i/>
        </w:rPr>
        <w:t>R. v. Wong</w:t>
      </w:r>
      <w:r w:rsidRPr="003163C7">
        <w:rPr>
          <w:rFonts w:cs="Times New Roman"/>
        </w:rPr>
        <w:t xml:space="preserve">, [1990] 3 S.C.R. 36 (Div. Ct. </w:t>
      </w:r>
      <w:proofErr w:type="gramStart"/>
      <w:r w:rsidRPr="003163C7">
        <w:rPr>
          <w:rFonts w:cs="Times New Roman"/>
        </w:rPr>
        <w:t>reasons</w:t>
      </w:r>
      <w:proofErr w:type="gramEnd"/>
      <w:r w:rsidRPr="003163C7">
        <w:rPr>
          <w:rFonts w:cs="Times New Roman"/>
        </w:rPr>
        <w:t>, at para. 147). The principal’s “incidental finding” of the log did not entitle him to search the log further (para. 148).</w:t>
      </w:r>
    </w:p>
    <w:p w14:paraId="453FEC20" w14:textId="77777777" w:rsidR="005F5184" w:rsidRPr="003163C7" w:rsidRDefault="005F5184" w:rsidP="005F5184">
      <w:pPr>
        <w:pStyle w:val="ParaNoNdepar-AltN"/>
        <w:rPr>
          <w:rFonts w:cs="Times New Roman"/>
        </w:rPr>
      </w:pPr>
      <w:r w:rsidRPr="003163C7">
        <w:rPr>
          <w:rFonts w:cs="Times New Roman"/>
        </w:rPr>
        <w:t xml:space="preserve">Second, the arbitrator erred in finding that the contents of the log did not touch on the Grievors’ biographical core. “This finding contradicts her earlier finding that the Grievors’ subjective expectation of privacy in the contents of the log was objectively reasonable” under </w:t>
      </w:r>
      <w:r w:rsidRPr="003163C7">
        <w:rPr>
          <w:rFonts w:cs="Times New Roman"/>
          <w:i/>
        </w:rPr>
        <w:t xml:space="preserve">Cole </w:t>
      </w:r>
      <w:r w:rsidRPr="003163C7">
        <w:rPr>
          <w:rFonts w:cs="Times New Roman"/>
        </w:rPr>
        <w:t xml:space="preserve">(Div. Ct. </w:t>
      </w:r>
      <w:proofErr w:type="gramStart"/>
      <w:r w:rsidRPr="003163C7">
        <w:rPr>
          <w:rFonts w:cs="Times New Roman"/>
        </w:rPr>
        <w:t>reasons</w:t>
      </w:r>
      <w:proofErr w:type="gramEnd"/>
      <w:r w:rsidRPr="003163C7">
        <w:rPr>
          <w:rFonts w:cs="Times New Roman"/>
        </w:rPr>
        <w:t>, at para. 149). The dissent continued, “the Arbitrator’s finding that the Grievors’ subjective expectation of privacy was objectively reasonable was tantamount to an acceptance that the information in the diary was close to the ‘biographical core of personal information’ as that term is understood in the case law” (para. 151).</w:t>
      </w:r>
    </w:p>
    <w:p w14:paraId="405264B0" w14:textId="77777777" w:rsidR="005F5184" w:rsidRPr="003163C7" w:rsidRDefault="005F5184" w:rsidP="005F5184">
      <w:pPr>
        <w:pStyle w:val="ParaNoNdepar-AltN"/>
        <w:rPr>
          <w:rFonts w:cs="Times New Roman"/>
        </w:rPr>
      </w:pPr>
      <w:r w:rsidRPr="003163C7">
        <w:rPr>
          <w:rFonts w:cs="Times New Roman"/>
        </w:rPr>
        <w:t xml:space="preserve">Third, the arbitrator misapplied the “plain view” doctrine to justify the search. The dissent held that “even if the concept of plain view could justify the Principal’s touching of the mouse pad, it could not justify his scrolling through the log thereafter” (para. 154). Here, however, “the Arbitrator sought to use the doctrine to justify an exploratory </w:t>
      </w:r>
      <w:r w:rsidRPr="003163C7">
        <w:rPr>
          <w:rFonts w:cs="Times New Roman"/>
          <w:i/>
        </w:rPr>
        <w:t>search</w:t>
      </w:r>
      <w:r w:rsidRPr="003163C7">
        <w:rPr>
          <w:rFonts w:cs="Times New Roman"/>
        </w:rPr>
        <w:t xml:space="preserve"> (not seizure) where the Principal was </w:t>
      </w:r>
      <w:r w:rsidRPr="003163C7">
        <w:rPr>
          <w:rFonts w:cs="Times New Roman"/>
          <w:i/>
        </w:rPr>
        <w:t>intentionally</w:t>
      </w:r>
      <w:r w:rsidRPr="003163C7">
        <w:rPr>
          <w:rFonts w:cs="Times New Roman"/>
        </w:rPr>
        <w:t xml:space="preserve"> searching for the item in question. The law is clear that the doctrine cannot be used in these circumstances” (para. 156 (emphasis in original)).</w:t>
      </w:r>
    </w:p>
    <w:p w14:paraId="33ED7E58" w14:textId="77777777" w:rsidR="005F5184" w:rsidRPr="003163C7" w:rsidRDefault="005F5184" w:rsidP="005F5184">
      <w:pPr>
        <w:pStyle w:val="ParaNoNdepar-AltN"/>
        <w:rPr>
          <w:rFonts w:cs="Times New Roman"/>
        </w:rPr>
      </w:pPr>
      <w:r w:rsidRPr="003163C7">
        <w:rPr>
          <w:rFonts w:cs="Times New Roman"/>
        </w:rPr>
        <w:t xml:space="preserve">Justice Sachs concluded that it was unreasonable for the arbitrator to find “that the Principal’s scrolling through the log and taking pictures of its contents was in any way justified by the statutory objectives of the </w:t>
      </w:r>
      <w:r w:rsidRPr="003163C7">
        <w:rPr>
          <w:rFonts w:cs="Times New Roman"/>
          <w:i/>
        </w:rPr>
        <w:t>Education Act</w:t>
      </w:r>
      <w:r w:rsidRPr="003163C7">
        <w:rPr>
          <w:rFonts w:cs="Times New Roman"/>
        </w:rPr>
        <w:t>” (para. 176).</w:t>
      </w:r>
    </w:p>
    <w:p w14:paraId="3914B79B" w14:textId="77777777" w:rsidR="005F5184" w:rsidRPr="003163C7" w:rsidRDefault="005F5184" w:rsidP="005F5184">
      <w:pPr>
        <w:pStyle w:val="Title2LevelTitre2Niveau"/>
        <w:numPr>
          <w:ilvl w:val="1"/>
          <w:numId w:val="8"/>
        </w:numPr>
        <w:rPr>
          <w:rFonts w:cs="Times New Roman"/>
        </w:rPr>
      </w:pPr>
      <w:bookmarkStart w:id="39" w:name="_Toc152516441"/>
      <w:bookmarkStart w:id="40" w:name="_Toc152600207"/>
      <w:bookmarkStart w:id="41" w:name="_Toc152697188"/>
      <w:bookmarkStart w:id="42" w:name="_Toc155875199"/>
      <w:bookmarkStart w:id="43" w:name="_Toc158295305"/>
      <w:bookmarkStart w:id="44" w:name="_Toc162277489"/>
      <w:r w:rsidRPr="003163C7">
        <w:rPr>
          <w:rFonts w:cs="Times New Roman"/>
        </w:rPr>
        <w:t>Court of Appeal for Ontario</w:t>
      </w:r>
      <w:bookmarkEnd w:id="39"/>
      <w:r w:rsidRPr="003163C7">
        <w:rPr>
          <w:rFonts w:cs="Times New Roman"/>
        </w:rPr>
        <w:t>, 2022 ONCA 476, 340 L.A.C. (4th) 365 (Doherty, Benotto and Huscroft JJ.A.)</w:t>
      </w:r>
      <w:bookmarkEnd w:id="40"/>
      <w:bookmarkEnd w:id="41"/>
      <w:bookmarkEnd w:id="42"/>
      <w:bookmarkEnd w:id="43"/>
      <w:bookmarkEnd w:id="44"/>
    </w:p>
    <w:p w14:paraId="6AD493A4" w14:textId="77777777" w:rsidR="005F5184" w:rsidRPr="003163C7" w:rsidRDefault="005F5184" w:rsidP="005F5184">
      <w:pPr>
        <w:pStyle w:val="ParaNoNdepar-AltN"/>
        <w:rPr>
          <w:rFonts w:cs="Times New Roman"/>
        </w:rPr>
      </w:pPr>
      <w:r w:rsidRPr="003163C7">
        <w:rPr>
          <w:rFonts w:cs="Times New Roman"/>
        </w:rPr>
        <w:t>Justice Huscroft, writing for a unanimous panel, allowed the appeal and quashed the arbitrator’s decision. He held that the arbitrator erred in interpreting and applying s. 8; and reached an unreasonable decision in dismissing the grievance. Thus, the Divisional Court erred in upholding the arbitrator’s decision. The Court of Appeal stated that “[a]</w:t>
      </w:r>
      <w:proofErr w:type="spellStart"/>
      <w:r w:rsidRPr="003163C7">
        <w:rPr>
          <w:rFonts w:cs="Times New Roman"/>
        </w:rPr>
        <w:t>lthough</w:t>
      </w:r>
      <w:proofErr w:type="spellEnd"/>
      <w:r w:rsidRPr="003163C7">
        <w:rPr>
          <w:rFonts w:cs="Times New Roman"/>
        </w:rPr>
        <w:t xml:space="preserve"> the Arbitrator did not specifically reference s. 8 of the </w:t>
      </w:r>
      <w:r w:rsidRPr="003163C7">
        <w:rPr>
          <w:rFonts w:cs="Times New Roman"/>
          <w:i/>
        </w:rPr>
        <w:t>Charter</w:t>
      </w:r>
      <w:r w:rsidRPr="003163C7">
        <w:rPr>
          <w:rFonts w:cs="Times New Roman"/>
        </w:rPr>
        <w:t xml:space="preserve">, her analysis clearly relied on s. 8 case law” (para. 36). </w:t>
      </w:r>
    </w:p>
    <w:p w14:paraId="7830EEB7" w14:textId="77777777" w:rsidR="005F5184" w:rsidRPr="003163C7" w:rsidRDefault="005F5184" w:rsidP="005F5184">
      <w:pPr>
        <w:pStyle w:val="ParaNoNdepar-AltN"/>
        <w:rPr>
          <w:rFonts w:cs="Times New Roman"/>
          <w:i/>
        </w:rPr>
      </w:pPr>
      <w:r w:rsidRPr="003163C7">
        <w:rPr>
          <w:rFonts w:cs="Times New Roman"/>
        </w:rPr>
        <w:t xml:space="preserve">The Court of Appeal stated that the factual findings of the arbitrator were entitled to deference. By contrast, whether the Grievors had a reasonable expectation of privacy is a question of law that is subject to review for correctness (para. 37, citing </w:t>
      </w:r>
      <w:r w:rsidRPr="003163C7">
        <w:rPr>
          <w:rFonts w:cs="Times New Roman"/>
          <w:i/>
        </w:rPr>
        <w:t>R. v. Shepherd</w:t>
      </w:r>
      <w:r w:rsidRPr="003163C7">
        <w:rPr>
          <w:rFonts w:cs="Times New Roman"/>
        </w:rPr>
        <w:t xml:space="preserve">, 2009 SCC 35, [2009] 2 S.C.R. 527, at para. 20). The Court of Appeal proceeded by “stepping into the shoes” of the Divisional Court, in effect conducting a </w:t>
      </w:r>
      <w:r w:rsidRPr="003163C7">
        <w:rPr>
          <w:rFonts w:cs="Times New Roman"/>
          <w:i/>
        </w:rPr>
        <w:t>de novo</w:t>
      </w:r>
      <w:r w:rsidRPr="003163C7">
        <w:rPr>
          <w:rFonts w:cs="Times New Roman"/>
        </w:rPr>
        <w:t xml:space="preserve"> judicial review of the arbitrator’s decision (</w:t>
      </w:r>
      <w:r w:rsidRPr="003163C7">
        <w:rPr>
          <w:rFonts w:cs="Times New Roman"/>
          <w:i/>
        </w:rPr>
        <w:t>Agraira v. Canada (Public Safety and Emergency Preparedness)</w:t>
      </w:r>
      <w:r w:rsidRPr="003163C7">
        <w:rPr>
          <w:rFonts w:cs="Times New Roman"/>
        </w:rPr>
        <w:t>,</w:t>
      </w:r>
      <w:r w:rsidRPr="003163C7">
        <w:rPr>
          <w:rFonts w:cs="Times New Roman"/>
          <w:i/>
        </w:rPr>
        <w:t xml:space="preserve"> </w:t>
      </w:r>
      <w:r w:rsidRPr="003163C7">
        <w:rPr>
          <w:rFonts w:cs="Times New Roman"/>
        </w:rPr>
        <w:t>2013 SCC 36, [2013] 2 S.C.R. 559,</w:t>
      </w:r>
      <w:r w:rsidRPr="003163C7">
        <w:rPr>
          <w:rFonts w:cs="Times New Roman"/>
          <w:i/>
        </w:rPr>
        <w:t xml:space="preserve"> </w:t>
      </w:r>
      <w:r w:rsidRPr="003163C7">
        <w:rPr>
          <w:rFonts w:cs="Times New Roman"/>
        </w:rPr>
        <w:t xml:space="preserve">at paras. 45-46; </w:t>
      </w:r>
      <w:proofErr w:type="spellStart"/>
      <w:r w:rsidRPr="003163C7">
        <w:rPr>
          <w:rFonts w:cs="Times New Roman"/>
          <w:i/>
        </w:rPr>
        <w:t>Longueépée</w:t>
      </w:r>
      <w:proofErr w:type="spellEnd"/>
      <w:r w:rsidRPr="003163C7">
        <w:rPr>
          <w:rFonts w:cs="Times New Roman"/>
          <w:i/>
        </w:rPr>
        <w:t xml:space="preserve"> v. University of Waterloo</w:t>
      </w:r>
      <w:r w:rsidRPr="003163C7">
        <w:rPr>
          <w:rFonts w:cs="Times New Roman"/>
        </w:rPr>
        <w:t>, 2020 ONCA 830, 153 O.R. (3d) 641, at paras. 47-48).</w:t>
      </w:r>
    </w:p>
    <w:p w14:paraId="0842D14E" w14:textId="77777777" w:rsidR="005F5184" w:rsidRPr="003163C7" w:rsidRDefault="005F5184" w:rsidP="005F5184">
      <w:pPr>
        <w:pStyle w:val="ParaNoNdepar-AltN"/>
        <w:rPr>
          <w:rFonts w:cs="Times New Roman"/>
        </w:rPr>
      </w:pPr>
      <w:r w:rsidRPr="003163C7">
        <w:rPr>
          <w:rFonts w:cs="Times New Roman"/>
        </w:rPr>
        <w:t xml:space="preserve">Regarding the application of the </w:t>
      </w:r>
      <w:r w:rsidRPr="003163C7">
        <w:rPr>
          <w:rFonts w:cs="Times New Roman"/>
          <w:i/>
        </w:rPr>
        <w:t>Charter</w:t>
      </w:r>
      <w:r w:rsidRPr="003163C7">
        <w:rPr>
          <w:rFonts w:cs="Times New Roman"/>
        </w:rPr>
        <w:t xml:space="preserve"> to school boards, the Court of Appeal made “the same assumptions accepted by the Supreme Court” in </w:t>
      </w:r>
      <w:r w:rsidRPr="003163C7">
        <w:rPr>
          <w:rFonts w:cs="Times New Roman"/>
          <w:i/>
        </w:rPr>
        <w:t>M. (M.R.)</w:t>
      </w:r>
      <w:r w:rsidRPr="003163C7">
        <w:rPr>
          <w:rFonts w:cs="Times New Roman"/>
        </w:rPr>
        <w:t xml:space="preserve"> and </w:t>
      </w:r>
      <w:r w:rsidRPr="003163C7">
        <w:rPr>
          <w:rFonts w:cs="Times New Roman"/>
          <w:i/>
        </w:rPr>
        <w:t>Cole</w:t>
      </w:r>
      <w:r w:rsidRPr="003163C7">
        <w:rPr>
          <w:rFonts w:cs="Times New Roman"/>
        </w:rPr>
        <w:t xml:space="preserve"> (para. 41). The Court of Appeal concluded that it was not necessary to determine under which branch of </w:t>
      </w:r>
      <w:r w:rsidRPr="003163C7">
        <w:rPr>
          <w:rFonts w:cs="Times New Roman"/>
          <w:i/>
        </w:rPr>
        <w:t>Eldridge v. British Columbia (Attorney General)</w:t>
      </w:r>
      <w:r w:rsidRPr="003163C7">
        <w:rPr>
          <w:rFonts w:cs="Times New Roman"/>
        </w:rPr>
        <w:t>,</w:t>
      </w:r>
      <w:r w:rsidRPr="003163C7">
        <w:rPr>
          <w:rFonts w:cs="Times New Roman"/>
          <w:i/>
        </w:rPr>
        <w:t xml:space="preserve"> </w:t>
      </w:r>
      <w:r w:rsidRPr="003163C7">
        <w:rPr>
          <w:rFonts w:cs="Times New Roman"/>
        </w:rPr>
        <w:t>[1997] 3 S.C.R. 624,</w:t>
      </w:r>
      <w:r w:rsidRPr="003163C7">
        <w:rPr>
          <w:rFonts w:cs="Times New Roman"/>
          <w:i/>
        </w:rPr>
        <w:t xml:space="preserve"> </w:t>
      </w:r>
      <w:r w:rsidRPr="003163C7">
        <w:rPr>
          <w:rFonts w:cs="Times New Roman"/>
        </w:rPr>
        <w:t xml:space="preserve">the </w:t>
      </w:r>
      <w:r w:rsidRPr="003163C7">
        <w:rPr>
          <w:rFonts w:cs="Times New Roman"/>
          <w:i/>
        </w:rPr>
        <w:t>Charter</w:t>
      </w:r>
      <w:r w:rsidRPr="003163C7">
        <w:rPr>
          <w:rFonts w:cs="Times New Roman"/>
        </w:rPr>
        <w:t xml:space="preserve"> applies (because school boards are governmental in nature or because they perform governmental activities): “It is enough to say that s. 8 applies to the actions of the Principal and the school board” (para. 41).</w:t>
      </w:r>
    </w:p>
    <w:p w14:paraId="06644354" w14:textId="77777777" w:rsidR="005F5184" w:rsidRPr="003163C7" w:rsidRDefault="005F5184" w:rsidP="005F5184">
      <w:pPr>
        <w:pStyle w:val="ParaNoNdepar-AltN"/>
        <w:rPr>
          <w:rFonts w:cs="Times New Roman"/>
        </w:rPr>
      </w:pPr>
      <w:r w:rsidRPr="003163C7">
        <w:rPr>
          <w:rFonts w:cs="Times New Roman"/>
        </w:rPr>
        <w:t xml:space="preserve">The Court of Appeal concluded that (1) s. 8 of the </w:t>
      </w:r>
      <w:r w:rsidRPr="003163C7">
        <w:rPr>
          <w:rFonts w:cs="Times New Roman"/>
          <w:i/>
        </w:rPr>
        <w:t>Charter</w:t>
      </w:r>
      <w:r w:rsidRPr="003163C7">
        <w:rPr>
          <w:rFonts w:cs="Times New Roman"/>
        </w:rPr>
        <w:t xml:space="preserve"> applied to the actions of the principal and the school board; (2) the Grievors had a reasonable expectation of privacy; (3) the arbitrator erred in interpreting and applying the law concerning the Grievors’ s. 8 </w:t>
      </w:r>
      <w:r w:rsidRPr="003163C7">
        <w:rPr>
          <w:rFonts w:cs="Times New Roman"/>
          <w:i/>
        </w:rPr>
        <w:t>Charter</w:t>
      </w:r>
      <w:r w:rsidRPr="003163C7">
        <w:rPr>
          <w:rFonts w:cs="Times New Roman"/>
        </w:rPr>
        <w:t xml:space="preserve"> right; and (4) the arbitrator reached an unreasonable decision (paras. 41 and 71).</w:t>
      </w:r>
    </w:p>
    <w:p w14:paraId="4F77A483" w14:textId="77777777" w:rsidR="005F5184" w:rsidRPr="003163C7" w:rsidRDefault="005F5184" w:rsidP="005F5184">
      <w:pPr>
        <w:pStyle w:val="Title1LevelTitre1Niveau-AltL"/>
        <w:numPr>
          <w:ilvl w:val="0"/>
          <w:numId w:val="8"/>
        </w:numPr>
        <w:jc w:val="left"/>
        <w:rPr>
          <w:rFonts w:cs="Times New Roman"/>
        </w:rPr>
      </w:pPr>
      <w:bookmarkStart w:id="45" w:name="_Toc152516442"/>
      <w:bookmarkStart w:id="46" w:name="_Toc152600208"/>
      <w:bookmarkStart w:id="47" w:name="_Toc152697189"/>
      <w:bookmarkStart w:id="48" w:name="_Toc155875200"/>
      <w:bookmarkStart w:id="49" w:name="_Toc158295306"/>
      <w:bookmarkStart w:id="50" w:name="_Toc162277490"/>
      <w:r w:rsidRPr="003163C7">
        <w:rPr>
          <w:rFonts w:cs="Times New Roman"/>
        </w:rPr>
        <w:t>Issues</w:t>
      </w:r>
      <w:bookmarkEnd w:id="45"/>
      <w:bookmarkEnd w:id="46"/>
      <w:bookmarkEnd w:id="47"/>
      <w:bookmarkEnd w:id="48"/>
      <w:bookmarkEnd w:id="49"/>
      <w:bookmarkEnd w:id="50"/>
    </w:p>
    <w:p w14:paraId="3BEF1BDE" w14:textId="77777777" w:rsidR="005F5184" w:rsidRPr="003163C7" w:rsidRDefault="005F5184" w:rsidP="005F5184">
      <w:pPr>
        <w:pStyle w:val="ParaNoNdepar-AltN"/>
        <w:rPr>
          <w:rFonts w:cs="Times New Roman"/>
        </w:rPr>
      </w:pPr>
      <w:r w:rsidRPr="003163C7">
        <w:rPr>
          <w:rFonts w:cs="Times New Roman"/>
        </w:rPr>
        <w:t xml:space="preserve">The appeal at bar raises three questions: </w:t>
      </w:r>
    </w:p>
    <w:p w14:paraId="5F0CEB2A" w14:textId="77777777" w:rsidR="005F5184" w:rsidRPr="003163C7" w:rsidRDefault="005F5184" w:rsidP="005F5184">
      <w:pPr>
        <w:pStyle w:val="ParaNoNdepar-AltN"/>
        <w:numPr>
          <w:ilvl w:val="1"/>
          <w:numId w:val="6"/>
        </w:numPr>
        <w:ind w:left="1843" w:hanging="709"/>
        <w:rPr>
          <w:rFonts w:cs="Times New Roman"/>
        </w:rPr>
      </w:pPr>
      <w:r w:rsidRPr="003163C7">
        <w:rPr>
          <w:rFonts w:cs="Times New Roman"/>
        </w:rPr>
        <w:t xml:space="preserve">Does the </w:t>
      </w:r>
      <w:r w:rsidRPr="003163C7">
        <w:rPr>
          <w:rFonts w:cs="Times New Roman"/>
          <w:i/>
        </w:rPr>
        <w:t xml:space="preserve">Charter </w:t>
      </w:r>
      <w:r w:rsidRPr="003163C7">
        <w:rPr>
          <w:rFonts w:cs="Times New Roman"/>
        </w:rPr>
        <w:t>apply to public school boards in Ontario?</w:t>
      </w:r>
    </w:p>
    <w:p w14:paraId="0DA68A18" w14:textId="77777777" w:rsidR="005F5184" w:rsidRPr="003163C7" w:rsidRDefault="005F5184" w:rsidP="005F5184">
      <w:pPr>
        <w:pStyle w:val="ParaNoNdepar-AltN"/>
        <w:numPr>
          <w:ilvl w:val="1"/>
          <w:numId w:val="6"/>
        </w:numPr>
        <w:ind w:left="1843" w:hanging="709"/>
        <w:rPr>
          <w:rFonts w:cs="Times New Roman"/>
        </w:rPr>
      </w:pPr>
      <w:r w:rsidRPr="003163C7">
        <w:rPr>
          <w:rFonts w:cs="Times New Roman"/>
        </w:rPr>
        <w:t>What is the appropriate standard of review?</w:t>
      </w:r>
    </w:p>
    <w:p w14:paraId="490C7A68" w14:textId="77777777" w:rsidR="005F5184" w:rsidRPr="003163C7" w:rsidRDefault="005F5184" w:rsidP="005F5184">
      <w:pPr>
        <w:pStyle w:val="ParaNoNdepar-AltN"/>
        <w:numPr>
          <w:ilvl w:val="1"/>
          <w:numId w:val="6"/>
        </w:numPr>
        <w:ind w:left="1843" w:hanging="709"/>
        <w:rPr>
          <w:rFonts w:cs="Times New Roman"/>
        </w:rPr>
      </w:pPr>
      <w:r w:rsidRPr="003163C7">
        <w:rPr>
          <w:rFonts w:cs="Times New Roman"/>
        </w:rPr>
        <w:t xml:space="preserve">Should the arbitrator’s award be set aside for failing to conduct an analysis under s. 8 of the </w:t>
      </w:r>
      <w:r w:rsidRPr="003163C7">
        <w:rPr>
          <w:rFonts w:cs="Times New Roman"/>
          <w:i/>
        </w:rPr>
        <w:t>Charter</w:t>
      </w:r>
      <w:r w:rsidRPr="003163C7">
        <w:rPr>
          <w:rFonts w:cs="Times New Roman"/>
        </w:rPr>
        <w:t>?</w:t>
      </w:r>
    </w:p>
    <w:p w14:paraId="7EC0D0C1" w14:textId="77777777" w:rsidR="005F5184" w:rsidRPr="003163C7" w:rsidRDefault="005F5184" w:rsidP="005F5184">
      <w:pPr>
        <w:pStyle w:val="Title1LevelTitre1Niveau-AltL"/>
        <w:numPr>
          <w:ilvl w:val="0"/>
          <w:numId w:val="8"/>
        </w:numPr>
        <w:rPr>
          <w:rFonts w:cs="Times New Roman"/>
        </w:rPr>
      </w:pPr>
      <w:bookmarkStart w:id="51" w:name="_Toc152516443"/>
      <w:bookmarkStart w:id="52" w:name="_Toc152600209"/>
      <w:bookmarkStart w:id="53" w:name="_Toc152697190"/>
      <w:bookmarkStart w:id="54" w:name="_Toc155875201"/>
      <w:bookmarkStart w:id="55" w:name="_Toc158295307"/>
      <w:bookmarkStart w:id="56" w:name="_Toc162277491"/>
      <w:r w:rsidRPr="003163C7">
        <w:rPr>
          <w:rFonts w:cs="Times New Roman"/>
        </w:rPr>
        <w:t>Submissions</w:t>
      </w:r>
      <w:bookmarkEnd w:id="51"/>
      <w:bookmarkEnd w:id="52"/>
      <w:bookmarkEnd w:id="53"/>
      <w:bookmarkEnd w:id="54"/>
      <w:bookmarkEnd w:id="55"/>
      <w:bookmarkEnd w:id="56"/>
    </w:p>
    <w:p w14:paraId="4615684F" w14:textId="77777777" w:rsidR="005F5184" w:rsidRPr="003163C7" w:rsidRDefault="005F5184" w:rsidP="005F5184">
      <w:pPr>
        <w:pStyle w:val="Title2LevelTitre2Niveau"/>
        <w:numPr>
          <w:ilvl w:val="1"/>
          <w:numId w:val="8"/>
        </w:numPr>
        <w:rPr>
          <w:rFonts w:cs="Times New Roman"/>
        </w:rPr>
      </w:pPr>
      <w:bookmarkStart w:id="57" w:name="_Toc152600211"/>
      <w:bookmarkStart w:id="58" w:name="_Toc152697191"/>
      <w:bookmarkStart w:id="59" w:name="_Toc155875202"/>
      <w:bookmarkStart w:id="60" w:name="_Toc158295308"/>
      <w:bookmarkStart w:id="61" w:name="_Toc162277492"/>
      <w:bookmarkStart w:id="62" w:name="_Toc152516446"/>
      <w:r w:rsidRPr="003163C7">
        <w:rPr>
          <w:rFonts w:cs="Times New Roman"/>
        </w:rPr>
        <w:t>York Region District School Board</w:t>
      </w:r>
      <w:bookmarkEnd w:id="57"/>
      <w:bookmarkEnd w:id="58"/>
      <w:bookmarkEnd w:id="59"/>
      <w:bookmarkEnd w:id="60"/>
      <w:bookmarkEnd w:id="61"/>
    </w:p>
    <w:p w14:paraId="3E4F83A1" w14:textId="77777777" w:rsidR="005F5184" w:rsidRPr="003163C7" w:rsidRDefault="005F5184" w:rsidP="005F5184">
      <w:pPr>
        <w:pStyle w:val="ParaNoNdepar-AltN"/>
        <w:rPr>
          <w:rFonts w:cs="Times New Roman"/>
        </w:rPr>
      </w:pPr>
      <w:r w:rsidRPr="003163C7">
        <w:rPr>
          <w:rFonts w:cs="Times New Roman"/>
        </w:rPr>
        <w:t xml:space="preserve">The appellant York Region District School Board submits that the award is reasonable and should be restored, and that the Court of Appeal erred (1) in applying the correctness standard of review; (2) in concluding that the </w:t>
      </w:r>
      <w:r w:rsidRPr="003163C7">
        <w:rPr>
          <w:rFonts w:cs="Times New Roman"/>
          <w:i/>
        </w:rPr>
        <w:t>Charter</w:t>
      </w:r>
      <w:r w:rsidRPr="003163C7">
        <w:rPr>
          <w:rFonts w:cs="Times New Roman"/>
        </w:rPr>
        <w:t xml:space="preserve"> applies to the Board; and (3) in applying the s. 8 jurisprudence and concluding that the Grievors’ s. 8 rights were breached.</w:t>
      </w:r>
    </w:p>
    <w:p w14:paraId="0B7984AB" w14:textId="77777777" w:rsidR="005F5184" w:rsidRPr="003163C7" w:rsidRDefault="005F5184" w:rsidP="005F5184">
      <w:pPr>
        <w:pStyle w:val="ParaNoNdepar-AltN"/>
        <w:rPr>
          <w:rFonts w:cs="Times New Roman"/>
        </w:rPr>
      </w:pPr>
      <w:r w:rsidRPr="003163C7">
        <w:rPr>
          <w:rFonts w:cs="Times New Roman"/>
        </w:rPr>
        <w:t xml:space="preserve">The appellant submits that since the issue of the </w:t>
      </w:r>
      <w:r w:rsidRPr="003163C7">
        <w:rPr>
          <w:rFonts w:cs="Times New Roman"/>
          <w:i/>
        </w:rPr>
        <w:t>Charter</w:t>
      </w:r>
      <w:r w:rsidRPr="003163C7">
        <w:rPr>
          <w:rFonts w:cs="Times New Roman"/>
        </w:rPr>
        <w:t>’s application to the Board was never before the arbitrator, “[a] reviewing court should not be permitted to undermine [any] reasonable decision by subjecting it to analyses and facts not advanced by the parties” (</w:t>
      </w:r>
      <w:r w:rsidRPr="003163C7">
        <w:rPr>
          <w:rFonts w:cs="Times New Roman"/>
          <w:lang w:val="en-US"/>
        </w:rPr>
        <w:t>A</w:t>
      </w:r>
      <w:r w:rsidRPr="003163C7">
        <w:rPr>
          <w:rFonts w:cs="Times New Roman"/>
        </w:rPr>
        <w:t>.F.</w:t>
      </w:r>
      <w:r w:rsidRPr="003163C7">
        <w:rPr>
          <w:rFonts w:cs="Times New Roman"/>
          <w:lang w:val="en-US"/>
        </w:rPr>
        <w:t>, at para. 66)</w:t>
      </w:r>
      <w:r w:rsidRPr="003163C7">
        <w:rPr>
          <w:rFonts w:cs="Times New Roman"/>
        </w:rPr>
        <w:t xml:space="preserve">. </w:t>
      </w:r>
    </w:p>
    <w:p w14:paraId="4FE34B0B" w14:textId="77777777" w:rsidR="005F5184" w:rsidRPr="003163C7" w:rsidRDefault="005F5184" w:rsidP="005F5184">
      <w:pPr>
        <w:pStyle w:val="ParaNoNdepar-AltN"/>
        <w:rPr>
          <w:rFonts w:cs="Times New Roman"/>
        </w:rPr>
      </w:pPr>
      <w:r w:rsidRPr="003163C7">
        <w:rPr>
          <w:rFonts w:cs="Times New Roman"/>
        </w:rPr>
        <w:t xml:space="preserve">Moreover, the appellant argues that the Court of Appeal erred by simply assuming the </w:t>
      </w:r>
      <w:r w:rsidRPr="003163C7">
        <w:rPr>
          <w:rFonts w:cs="Times New Roman"/>
          <w:i/>
        </w:rPr>
        <w:t xml:space="preserve">Charter </w:t>
      </w:r>
      <w:r w:rsidRPr="003163C7">
        <w:rPr>
          <w:rFonts w:cs="Times New Roman"/>
        </w:rPr>
        <w:t xml:space="preserve">applies to Ontario public school boards, without conducting an </w:t>
      </w:r>
      <w:r w:rsidRPr="003163C7">
        <w:rPr>
          <w:rFonts w:cs="Times New Roman"/>
          <w:i/>
        </w:rPr>
        <w:t xml:space="preserve">Eldridge </w:t>
      </w:r>
      <w:r w:rsidRPr="003163C7">
        <w:rPr>
          <w:rFonts w:cs="Times New Roman"/>
        </w:rPr>
        <w:t>analysis (</w:t>
      </w:r>
      <w:r w:rsidRPr="003163C7">
        <w:rPr>
          <w:rFonts w:cs="Times New Roman"/>
          <w:lang w:val="en-US"/>
        </w:rPr>
        <w:t>A.F., at para. 76)</w:t>
      </w:r>
      <w:r w:rsidRPr="003163C7">
        <w:rPr>
          <w:rFonts w:cs="Times New Roman"/>
        </w:rPr>
        <w:t>. The appellant submits that it is not “government” under the first branch, “because it does not issue legislative enactments or exercise government authority. Nor does [the second branch] apply to this case because the Board was in essence acting as an employer. On these facts, the Board was not implementing a delegated government activity or carrying out an act that was truly governmental in nature” (</w:t>
      </w:r>
      <w:r w:rsidRPr="003163C7">
        <w:rPr>
          <w:rFonts w:cs="Times New Roman"/>
          <w:lang w:val="en-US"/>
        </w:rPr>
        <w:t>A.F., at para. 103)</w:t>
      </w:r>
      <w:r w:rsidRPr="003163C7">
        <w:rPr>
          <w:rFonts w:cs="Times New Roman"/>
        </w:rPr>
        <w:t>.</w:t>
      </w:r>
    </w:p>
    <w:p w14:paraId="5DC2C44E" w14:textId="77777777" w:rsidR="005F5184" w:rsidRPr="003163C7" w:rsidRDefault="005F5184" w:rsidP="005F5184">
      <w:pPr>
        <w:pStyle w:val="ParaNoNdepar-AltN"/>
        <w:rPr>
          <w:rFonts w:cs="Times New Roman"/>
        </w:rPr>
      </w:pPr>
      <w:r w:rsidRPr="003163C7">
        <w:rPr>
          <w:rFonts w:cs="Times New Roman"/>
        </w:rPr>
        <w:t>The appellant finally submits that the Court of Appeal erred in its interpretation of s. 8. First, the Court of Appeal erred in its assessment of the Grievors’ conduct and whether the Grievors’ subjective expectation of privacy was objectively reasonable. The Grievors, by failing to turn off the computer and by leaving the log open on a public workplace computer, diminished a reasonable expectation of privacy (</w:t>
      </w:r>
      <w:r w:rsidRPr="003163C7">
        <w:rPr>
          <w:rFonts w:cs="Times New Roman"/>
          <w:lang w:val="en-US"/>
        </w:rPr>
        <w:t>A.F., at para. 117)</w:t>
      </w:r>
      <w:r w:rsidRPr="003163C7">
        <w:rPr>
          <w:rFonts w:cs="Times New Roman"/>
        </w:rPr>
        <w:t>. Second, the arbitrator’s analysis of the biological core concept was consistent with relevant jurisprudence; she found that the log was far from the Grievors’ biographical core, and then weighed that factor in the balance (</w:t>
      </w:r>
      <w:r w:rsidRPr="003163C7">
        <w:rPr>
          <w:rFonts w:cs="Times New Roman"/>
          <w:lang w:val="en-US"/>
        </w:rPr>
        <w:t>A.F., at para. 120)</w:t>
      </w:r>
      <w:r w:rsidRPr="003163C7">
        <w:rPr>
          <w:rFonts w:cs="Times New Roman"/>
        </w:rPr>
        <w:t>. Third, the Court of Appeal erred by failing to consider workplace issues and context in its assessment, and instead viewed “the series of events through its own narrow and incorrect view of an employer’s ‘legitimate interests’” (A.F.</w:t>
      </w:r>
      <w:r w:rsidRPr="003163C7">
        <w:rPr>
          <w:rFonts w:cs="Times New Roman"/>
          <w:lang w:val="en-US"/>
        </w:rPr>
        <w:t>, para. 128)</w:t>
      </w:r>
      <w:r w:rsidRPr="003163C7">
        <w:rPr>
          <w:rFonts w:cs="Times New Roman"/>
        </w:rPr>
        <w:t>.</w:t>
      </w:r>
    </w:p>
    <w:p w14:paraId="13F1BFFA" w14:textId="77777777" w:rsidR="005F5184" w:rsidRPr="003163C7" w:rsidRDefault="005F5184" w:rsidP="005F5184">
      <w:pPr>
        <w:pStyle w:val="Title2LevelTitre2Niveau"/>
        <w:numPr>
          <w:ilvl w:val="1"/>
          <w:numId w:val="8"/>
        </w:numPr>
        <w:rPr>
          <w:rFonts w:cs="Times New Roman"/>
        </w:rPr>
      </w:pPr>
      <w:bookmarkStart w:id="63" w:name="_Toc97334498"/>
      <w:bookmarkStart w:id="64" w:name="_Toc145656485"/>
      <w:bookmarkStart w:id="65" w:name="_Toc152516445"/>
      <w:bookmarkStart w:id="66" w:name="_Toc152600210"/>
      <w:bookmarkStart w:id="67" w:name="_Toc152697192"/>
      <w:bookmarkStart w:id="68" w:name="_Toc155875203"/>
      <w:bookmarkStart w:id="69" w:name="_Toc158295309"/>
      <w:bookmarkStart w:id="70" w:name="_Toc162277493"/>
      <w:r w:rsidRPr="003163C7">
        <w:rPr>
          <w:rFonts w:cs="Times New Roman"/>
        </w:rPr>
        <w:t>Elementary Teachers’ Federation of Ontario</w:t>
      </w:r>
      <w:bookmarkEnd w:id="63"/>
      <w:bookmarkEnd w:id="64"/>
      <w:bookmarkEnd w:id="65"/>
      <w:bookmarkEnd w:id="66"/>
      <w:bookmarkEnd w:id="67"/>
      <w:bookmarkEnd w:id="68"/>
      <w:bookmarkEnd w:id="69"/>
      <w:bookmarkEnd w:id="70"/>
    </w:p>
    <w:p w14:paraId="3C5E92EB" w14:textId="77777777" w:rsidR="005F5184" w:rsidRPr="003163C7" w:rsidRDefault="005F5184" w:rsidP="005F5184">
      <w:pPr>
        <w:pStyle w:val="ParaNoNdepar-AltN"/>
        <w:rPr>
          <w:rFonts w:cs="Times New Roman"/>
        </w:rPr>
      </w:pPr>
      <w:r w:rsidRPr="003163C7">
        <w:rPr>
          <w:rFonts w:cs="Times New Roman"/>
        </w:rPr>
        <w:t>The respondent Elementary Teachers’ Federation of Ontario submits that the Grievors’ rights against unreasonable search and seizure were violated, and that the arbitrator erred in four respects: “. . . (1) she failed to take a ‘content neutral’ approach to assessing the privacy interest in the log; (2) she misconstrued the very concept of the ‘biographical core’; (3) she misapplied the concept of ‘plain view’; (4) she failed to address [the second Grievor, Ms. Rai’s,] distinct privacy interest in the log” (R.F., at paras. 160-85).</w:t>
      </w:r>
    </w:p>
    <w:p w14:paraId="13370496" w14:textId="77777777" w:rsidR="005F5184" w:rsidRPr="003163C7" w:rsidRDefault="005F5184" w:rsidP="005F5184">
      <w:pPr>
        <w:pStyle w:val="ParaNoNdepar-AltN"/>
        <w:rPr>
          <w:rFonts w:cs="Times New Roman"/>
        </w:rPr>
      </w:pPr>
      <w:r w:rsidRPr="003163C7">
        <w:rPr>
          <w:rFonts w:cs="Times New Roman"/>
        </w:rPr>
        <w:t xml:space="preserve">The respondent argues that the standard of review for the application of the </w:t>
      </w:r>
      <w:r w:rsidRPr="003163C7">
        <w:rPr>
          <w:rFonts w:cs="Times New Roman"/>
          <w:i/>
        </w:rPr>
        <w:t>Charter</w:t>
      </w:r>
      <w:r w:rsidRPr="003163C7">
        <w:rPr>
          <w:rFonts w:cs="Times New Roman"/>
        </w:rPr>
        <w:t xml:space="preserve"> to the Board is correctness for both constitutional questions, namely whether the </w:t>
      </w:r>
      <w:r w:rsidRPr="003163C7">
        <w:rPr>
          <w:rFonts w:cs="Times New Roman"/>
          <w:i/>
        </w:rPr>
        <w:t xml:space="preserve">Charter </w:t>
      </w:r>
      <w:r w:rsidRPr="003163C7">
        <w:rPr>
          <w:rFonts w:cs="Times New Roman"/>
        </w:rPr>
        <w:t xml:space="preserve">applies to the principal’s conduct and whether that conduct violated s. 8. Additionally, the respondent submits that the standard of review for the arbitrator’s award itself is reasonableness (R.F., at para. 42). </w:t>
      </w:r>
    </w:p>
    <w:p w14:paraId="40B79F59" w14:textId="77777777" w:rsidR="005F5184" w:rsidRPr="003163C7" w:rsidRDefault="005F5184" w:rsidP="005F5184">
      <w:pPr>
        <w:pStyle w:val="ParaNoNdepar-AltN"/>
        <w:rPr>
          <w:rFonts w:cs="Times New Roman"/>
        </w:rPr>
      </w:pPr>
      <w:r w:rsidRPr="003163C7">
        <w:rPr>
          <w:rFonts w:cs="Times New Roman"/>
        </w:rPr>
        <w:t xml:space="preserve">The respondent submits that the </w:t>
      </w:r>
      <w:r w:rsidRPr="003163C7">
        <w:rPr>
          <w:rFonts w:cs="Times New Roman"/>
          <w:i/>
        </w:rPr>
        <w:t xml:space="preserve">Charter </w:t>
      </w:r>
      <w:r w:rsidRPr="003163C7">
        <w:rPr>
          <w:rFonts w:cs="Times New Roman"/>
        </w:rPr>
        <w:t xml:space="preserve">applies to the Board, as Ontario public school boards are inherently governmental. The criteria laid out by La Forest J. in </w:t>
      </w:r>
      <w:r w:rsidRPr="003163C7">
        <w:rPr>
          <w:rFonts w:cs="Times New Roman"/>
          <w:i/>
        </w:rPr>
        <w:t>Godbout v. Longueuil (City)</w:t>
      </w:r>
      <w:r w:rsidRPr="003163C7">
        <w:rPr>
          <w:rFonts w:cs="Times New Roman"/>
        </w:rPr>
        <w:t xml:space="preserve">, </w:t>
      </w:r>
      <w:r w:rsidRPr="003163C7">
        <w:rPr>
          <w:rFonts w:cs="Times New Roman"/>
          <w:lang w:val="en-US"/>
        </w:rPr>
        <w:t>[1997] 3 S.C.R. 844, at para. 51,</w:t>
      </w:r>
      <w:r w:rsidRPr="003163C7">
        <w:rPr>
          <w:rFonts w:cs="Times New Roman"/>
        </w:rPr>
        <w:t xml:space="preserve"> which led him to conclude that municipalities are inherently governmental, are also met when considering school boards (R.F., at paras. 73-74). In the alternative, if the boards are not inherently governmental, then the Board was engaged in governmental action and thus comes within the second branch of </w:t>
      </w:r>
      <w:r w:rsidRPr="003163C7">
        <w:rPr>
          <w:rFonts w:cs="Times New Roman"/>
          <w:i/>
        </w:rPr>
        <w:t>Eldridge</w:t>
      </w:r>
      <w:r w:rsidRPr="003163C7">
        <w:rPr>
          <w:rFonts w:cs="Times New Roman"/>
        </w:rPr>
        <w:t xml:space="preserve"> (R.F., at para. 107). </w:t>
      </w:r>
    </w:p>
    <w:p w14:paraId="5F68DD4A" w14:textId="77777777" w:rsidR="005F5184" w:rsidRPr="003163C7" w:rsidRDefault="005F5184" w:rsidP="005F5184">
      <w:pPr>
        <w:pStyle w:val="ParaNoNdepar-AltN"/>
        <w:rPr>
          <w:rFonts w:cs="Times New Roman"/>
        </w:rPr>
      </w:pPr>
      <w:r w:rsidRPr="003163C7">
        <w:rPr>
          <w:rFonts w:cs="Times New Roman"/>
        </w:rPr>
        <w:t xml:space="preserve">Finally, the respondent submits that s. 8 of the </w:t>
      </w:r>
      <w:r w:rsidRPr="003163C7">
        <w:rPr>
          <w:rFonts w:cs="Times New Roman"/>
          <w:i/>
        </w:rPr>
        <w:t xml:space="preserve">Charter </w:t>
      </w:r>
      <w:r w:rsidRPr="003163C7">
        <w:rPr>
          <w:rFonts w:cs="Times New Roman"/>
        </w:rPr>
        <w:t xml:space="preserve">was breached. The principal lacked the necessary grounds to conduct the search of the log, and the impact of the search outweighed the principal’s interest in conducting it. The respondent notes that the jurisprudence of this Court, i.e., </w:t>
      </w:r>
      <w:r w:rsidRPr="003163C7">
        <w:rPr>
          <w:rFonts w:cs="Times New Roman"/>
          <w:i/>
        </w:rPr>
        <w:t xml:space="preserve">M. (M.R.) </w:t>
      </w:r>
      <w:r w:rsidRPr="003163C7">
        <w:rPr>
          <w:rFonts w:cs="Times New Roman"/>
        </w:rPr>
        <w:t>and</w:t>
      </w:r>
      <w:r w:rsidRPr="003163C7">
        <w:rPr>
          <w:rFonts w:cs="Times New Roman"/>
          <w:i/>
        </w:rPr>
        <w:t xml:space="preserve"> Cole</w:t>
      </w:r>
      <w:r w:rsidRPr="003163C7">
        <w:rPr>
          <w:rFonts w:cs="Times New Roman"/>
        </w:rPr>
        <w:t>, pertaining to searches of schools,</w:t>
      </w:r>
      <w:r w:rsidRPr="003163C7">
        <w:rPr>
          <w:rFonts w:cs="Times New Roman"/>
          <w:i/>
        </w:rPr>
        <w:t xml:space="preserve"> </w:t>
      </w:r>
      <w:r w:rsidRPr="003163C7">
        <w:rPr>
          <w:rFonts w:cs="Times New Roman"/>
        </w:rPr>
        <w:t xml:space="preserve">is not entirely applicable outside the criminal law context and that this Court must construe the scope of the search powers under s. 265 of the </w:t>
      </w:r>
      <w:r w:rsidRPr="003163C7">
        <w:rPr>
          <w:rFonts w:cs="Times New Roman"/>
          <w:i/>
        </w:rPr>
        <w:t>Education Act</w:t>
      </w:r>
      <w:r w:rsidRPr="003163C7">
        <w:rPr>
          <w:rFonts w:cs="Times New Roman"/>
        </w:rPr>
        <w:t xml:space="preserve">, as informed by the second step of the </w:t>
      </w:r>
      <w:r w:rsidRPr="003163C7">
        <w:rPr>
          <w:rFonts w:cs="Times New Roman"/>
          <w:i/>
        </w:rPr>
        <w:t xml:space="preserve">Collins </w:t>
      </w:r>
      <w:r w:rsidRPr="003163C7">
        <w:rPr>
          <w:rFonts w:cs="Times New Roman"/>
        </w:rPr>
        <w:t xml:space="preserve">framework (R.F., at paras. 115-48; </w:t>
      </w:r>
      <w:r w:rsidRPr="003163C7">
        <w:rPr>
          <w:rFonts w:cs="Times New Roman"/>
          <w:i/>
        </w:rPr>
        <w:t>R. v. Collins</w:t>
      </w:r>
      <w:r w:rsidRPr="003163C7">
        <w:rPr>
          <w:rFonts w:cs="Times New Roman"/>
        </w:rPr>
        <w:t xml:space="preserve">, [1987] 1 S.C.R. 26). </w:t>
      </w:r>
    </w:p>
    <w:p w14:paraId="54FE566B" w14:textId="77777777" w:rsidR="005F5184" w:rsidRPr="003163C7" w:rsidRDefault="005F5184" w:rsidP="005F5184">
      <w:pPr>
        <w:pStyle w:val="Title1LevelTitre1Niveau-AltL"/>
        <w:numPr>
          <w:ilvl w:val="0"/>
          <w:numId w:val="8"/>
        </w:numPr>
        <w:rPr>
          <w:rFonts w:cs="Times New Roman"/>
        </w:rPr>
      </w:pPr>
      <w:bookmarkStart w:id="71" w:name="_Toc152600212"/>
      <w:bookmarkStart w:id="72" w:name="_Toc152697193"/>
      <w:bookmarkStart w:id="73" w:name="_Toc155875204"/>
      <w:bookmarkStart w:id="74" w:name="_Toc158295310"/>
      <w:bookmarkStart w:id="75" w:name="_Toc162277494"/>
      <w:r w:rsidRPr="003163C7">
        <w:rPr>
          <w:rFonts w:cs="Times New Roman"/>
        </w:rPr>
        <w:t>Analysis</w:t>
      </w:r>
      <w:bookmarkEnd w:id="62"/>
      <w:bookmarkEnd w:id="71"/>
      <w:bookmarkEnd w:id="72"/>
      <w:bookmarkEnd w:id="73"/>
      <w:bookmarkEnd w:id="74"/>
      <w:bookmarkEnd w:id="75"/>
    </w:p>
    <w:p w14:paraId="3C462E59" w14:textId="77777777" w:rsidR="005F5184" w:rsidRPr="003163C7" w:rsidRDefault="005F5184" w:rsidP="005F5184">
      <w:pPr>
        <w:pStyle w:val="Title2LevelTitre2Niveau"/>
        <w:numPr>
          <w:ilvl w:val="1"/>
          <w:numId w:val="8"/>
        </w:numPr>
        <w:rPr>
          <w:rFonts w:cs="Times New Roman"/>
        </w:rPr>
      </w:pPr>
      <w:bookmarkStart w:id="76" w:name="_Toc151455728"/>
      <w:bookmarkStart w:id="77" w:name="_Toc151736608"/>
      <w:bookmarkStart w:id="78" w:name="_Toc152516447"/>
      <w:bookmarkStart w:id="79" w:name="_Toc152600213"/>
      <w:bookmarkStart w:id="80" w:name="_Toc152697194"/>
      <w:bookmarkStart w:id="81" w:name="_Toc155875205"/>
      <w:bookmarkStart w:id="82" w:name="_Toc158295311"/>
      <w:bookmarkStart w:id="83" w:name="_Toc162277495"/>
      <w:r w:rsidRPr="003163C7">
        <w:rPr>
          <w:rFonts w:cs="Times New Roman"/>
        </w:rPr>
        <w:t>Standard of Review</w:t>
      </w:r>
      <w:bookmarkEnd w:id="8"/>
      <w:bookmarkEnd w:id="76"/>
      <w:bookmarkEnd w:id="77"/>
      <w:bookmarkEnd w:id="78"/>
      <w:bookmarkEnd w:id="79"/>
      <w:bookmarkEnd w:id="80"/>
      <w:bookmarkEnd w:id="81"/>
      <w:bookmarkEnd w:id="82"/>
      <w:bookmarkEnd w:id="83"/>
    </w:p>
    <w:p w14:paraId="6B6CE040" w14:textId="77777777" w:rsidR="005F5184" w:rsidRPr="003163C7" w:rsidRDefault="005F5184" w:rsidP="005F5184">
      <w:pPr>
        <w:pStyle w:val="ParaNoNdepar-AltN"/>
        <w:rPr>
          <w:rFonts w:cs="Times New Roman"/>
        </w:rPr>
      </w:pPr>
      <w:r w:rsidRPr="003163C7">
        <w:rPr>
          <w:rFonts w:cs="Times New Roman"/>
        </w:rPr>
        <w:t xml:space="preserve">The correctness standard applies to the determination of whether the </w:t>
      </w:r>
      <w:r w:rsidRPr="003163C7">
        <w:rPr>
          <w:rFonts w:cs="Times New Roman"/>
          <w:i/>
        </w:rPr>
        <w:t>Charter</w:t>
      </w:r>
      <w:r w:rsidRPr="003163C7">
        <w:rPr>
          <w:rFonts w:cs="Times New Roman"/>
        </w:rPr>
        <w:t xml:space="preserve"> applies to school boards pursuant to s. 32(1) of the </w:t>
      </w:r>
      <w:r w:rsidRPr="003163C7">
        <w:rPr>
          <w:rFonts w:cs="Times New Roman"/>
          <w:i/>
        </w:rPr>
        <w:t>Charter</w:t>
      </w:r>
      <w:r w:rsidRPr="003163C7">
        <w:rPr>
          <w:rFonts w:cs="Times New Roman"/>
        </w:rPr>
        <w:t xml:space="preserve"> as this is a constitutional question that requires a final and determinate answer by the courts (</w:t>
      </w:r>
      <w:r w:rsidRPr="003163C7">
        <w:rPr>
          <w:rFonts w:cs="Times New Roman"/>
          <w:i/>
        </w:rPr>
        <w:t>Vavilov</w:t>
      </w:r>
      <w:r w:rsidRPr="003163C7">
        <w:rPr>
          <w:rFonts w:cs="Times New Roman"/>
        </w:rPr>
        <w:t>, at para. 55), one that will apply generally and is not dependent on the particular circumstances of the case.</w:t>
      </w:r>
    </w:p>
    <w:p w14:paraId="4AE3E1DF" w14:textId="77777777" w:rsidR="005F5184" w:rsidRPr="003163C7" w:rsidRDefault="005F5184" w:rsidP="005F5184">
      <w:pPr>
        <w:pStyle w:val="ParaNoNdepar-AltN"/>
        <w:tabs>
          <w:tab w:val="clear" w:pos="1152"/>
          <w:tab w:val="left" w:pos="1166"/>
        </w:tabs>
        <w:rPr>
          <w:rFonts w:cs="Times New Roman"/>
        </w:rPr>
      </w:pPr>
      <w:r w:rsidRPr="003163C7">
        <w:rPr>
          <w:rFonts w:cs="Times New Roman"/>
        </w:rPr>
        <w:t xml:space="preserve">The correctness standard also applies to review the arbitrator’s decision. I would quash the award because the arbitrator erred in failing to appreciate that a </w:t>
      </w:r>
      <w:r w:rsidRPr="003163C7">
        <w:rPr>
          <w:rFonts w:cs="Times New Roman"/>
          <w:i/>
        </w:rPr>
        <w:t>Charter</w:t>
      </w:r>
      <w:r w:rsidRPr="003163C7">
        <w:rPr>
          <w:rFonts w:cs="Times New Roman"/>
        </w:rPr>
        <w:t xml:space="preserve"> right arose from the facts before her. </w:t>
      </w:r>
      <w:bookmarkStart w:id="84" w:name="_Hlk169177678"/>
      <w:r w:rsidRPr="003163C7">
        <w:rPr>
          <w:rFonts w:cs="Times New Roman"/>
        </w:rPr>
        <w:t xml:space="preserve">The issue of constitutionality on judicial review — of whether a </w:t>
      </w:r>
      <w:r w:rsidRPr="003163C7">
        <w:rPr>
          <w:rFonts w:cs="Times New Roman"/>
          <w:i/>
        </w:rPr>
        <w:t>Charter</w:t>
      </w:r>
      <w:r w:rsidRPr="003163C7">
        <w:rPr>
          <w:rFonts w:cs="Times New Roman"/>
        </w:rPr>
        <w:t xml:space="preserve"> right arises, the scope of its protection, and the appropriate framework of analysis — is a “constitutional </w:t>
      </w:r>
      <w:proofErr w:type="spellStart"/>
      <w:r w:rsidRPr="003163C7">
        <w:rPr>
          <w:rFonts w:cs="Times New Roman"/>
        </w:rPr>
        <w:t>questio</w:t>
      </w:r>
      <w:proofErr w:type="spellEnd"/>
      <w:r w:rsidRPr="003163C7">
        <w:rPr>
          <w:rFonts w:cs="Times New Roman"/>
        </w:rPr>
        <w:t>[n]” that requires “a final and determinate answer from the courts” (</w:t>
      </w:r>
      <w:r w:rsidRPr="003163C7">
        <w:rPr>
          <w:rFonts w:cs="Times New Roman"/>
          <w:i/>
        </w:rPr>
        <w:t>Vavilov</w:t>
      </w:r>
      <w:r w:rsidRPr="003163C7">
        <w:rPr>
          <w:rFonts w:cs="Times New Roman"/>
        </w:rPr>
        <w:t xml:space="preserve">, at paras. 53 and 55). </w:t>
      </w:r>
    </w:p>
    <w:bookmarkEnd w:id="84"/>
    <w:p w14:paraId="235D1423" w14:textId="77777777" w:rsidR="005F5184" w:rsidRPr="003163C7" w:rsidRDefault="005F5184" w:rsidP="005F5184">
      <w:pPr>
        <w:pStyle w:val="ParaNoNdepar-AltN"/>
        <w:tabs>
          <w:tab w:val="clear" w:pos="1152"/>
          <w:tab w:val="left" w:pos="1166"/>
        </w:tabs>
        <w:rPr>
          <w:rFonts w:cs="Times New Roman"/>
        </w:rPr>
      </w:pPr>
      <w:r w:rsidRPr="003163C7">
        <w:rPr>
          <w:rFonts w:cs="Times New Roman"/>
        </w:rPr>
        <w:t>The determination of constitutionality calls on the court to exercise its unique role as the interpreter and guardian of the Constitution. Courts must provide the last word on the issue because the delimitation of the scope of constitutional guarantees that Canadians enjoy cannot vary “depending on how the state has chosen to delegate and wield its power” (</w:t>
      </w:r>
      <w:r w:rsidRPr="003163C7">
        <w:rPr>
          <w:rFonts w:cs="Times New Roman"/>
          <w:i/>
          <w:iCs/>
          <w:lang w:val="en-US" w:bidi="en-US"/>
        </w:rPr>
        <w:t>Law Society of British Columbia v. Trinity Western University</w:t>
      </w:r>
      <w:r w:rsidRPr="003163C7">
        <w:rPr>
          <w:rFonts w:cs="Times New Roman"/>
          <w:lang w:val="en-US" w:bidi="en-US"/>
        </w:rPr>
        <w:t>, 2018 SCC 32, [2018] 2 S.C.R. 293, at para. 116, per McLachlin C.J.).</w:t>
      </w:r>
      <w:r w:rsidRPr="003163C7">
        <w:rPr>
          <w:rFonts w:cs="Times New Roman"/>
        </w:rPr>
        <w:t xml:space="preserve"> The presumptive standard of reasonableness is, thus, rebutted and correctness applies.</w:t>
      </w:r>
    </w:p>
    <w:p w14:paraId="44DA3A50" w14:textId="77777777" w:rsidR="005F5184" w:rsidRPr="003163C7" w:rsidRDefault="005F5184" w:rsidP="005F5184">
      <w:pPr>
        <w:pStyle w:val="ParaNoNdepar-AltN"/>
        <w:tabs>
          <w:tab w:val="clear" w:pos="1152"/>
          <w:tab w:val="left" w:pos="1166"/>
        </w:tabs>
        <w:rPr>
          <w:rFonts w:cs="Times New Roman"/>
        </w:rPr>
      </w:pPr>
      <w:r w:rsidRPr="003163C7">
        <w:rPr>
          <w:rFonts w:cs="Times New Roman"/>
          <w:i/>
        </w:rPr>
        <w:t>Vavilov</w:t>
      </w:r>
      <w:r w:rsidRPr="003163C7">
        <w:rPr>
          <w:rFonts w:cs="Times New Roman"/>
        </w:rPr>
        <w:t xml:space="preserve"> does not restrict the scope of “constitutional questions” to only issues of federalism and the constitutional delegation of state power to administrative decision-makers (A.F., at para. 57; see also I.F., Attorney General of Canada, at para. 17). Notably, </w:t>
      </w:r>
      <w:r w:rsidRPr="003163C7">
        <w:rPr>
          <w:rFonts w:cs="Times New Roman"/>
          <w:i/>
        </w:rPr>
        <w:t>Vavilov</w:t>
      </w:r>
      <w:r w:rsidRPr="003163C7">
        <w:rPr>
          <w:rFonts w:cs="Times New Roman"/>
        </w:rPr>
        <w:t xml:space="preserve"> used non-exhaustive language in articulating the constitutional questions category, including within it “</w:t>
      </w:r>
      <w:r w:rsidRPr="003163C7">
        <w:rPr>
          <w:rFonts w:cs="Times New Roman"/>
          <w:u w:val="single"/>
        </w:rPr>
        <w:t>other</w:t>
      </w:r>
      <w:r w:rsidRPr="003163C7">
        <w:rPr>
          <w:rFonts w:cs="Times New Roman"/>
        </w:rPr>
        <w:t xml:space="preserve"> constitutional matters” (para. 55 (emphasis added)). This category should not be unduly narrowed.</w:t>
      </w:r>
    </w:p>
    <w:p w14:paraId="02FBE05D" w14:textId="77777777" w:rsidR="005F5184" w:rsidRPr="003163C7" w:rsidRDefault="005F5184" w:rsidP="005F5184">
      <w:pPr>
        <w:pStyle w:val="ParaNoNdepar-AltN"/>
        <w:tabs>
          <w:tab w:val="clear" w:pos="1152"/>
          <w:tab w:val="left" w:pos="1166"/>
        </w:tabs>
        <w:rPr>
          <w:rFonts w:cs="Times New Roman"/>
        </w:rPr>
      </w:pPr>
      <w:r w:rsidRPr="003163C7">
        <w:rPr>
          <w:rFonts w:cs="Times New Roman"/>
        </w:rPr>
        <w:t>Post-</w:t>
      </w:r>
      <w:r w:rsidRPr="003163C7">
        <w:rPr>
          <w:rFonts w:cs="Times New Roman"/>
          <w:i/>
        </w:rPr>
        <w:t>Vavilov</w:t>
      </w:r>
      <w:r w:rsidRPr="003163C7">
        <w:rPr>
          <w:rFonts w:cs="Times New Roman"/>
        </w:rPr>
        <w:t>, there is a developing line of jurisprudence to support the application of correctness review in this context</w:t>
      </w:r>
      <w:r w:rsidRPr="003163C7">
        <w:rPr>
          <w:rFonts w:cs="Times New Roman"/>
          <w:lang w:val="en-US" w:bidi="en-US"/>
        </w:rPr>
        <w:t xml:space="preserve"> (</w:t>
      </w:r>
      <w:r w:rsidRPr="003163C7">
        <w:rPr>
          <w:rFonts w:cs="Times New Roman"/>
          <w:i/>
          <w:lang w:val="en-US" w:bidi="en-US"/>
        </w:rPr>
        <w:t>Canadian Broadcasting Corp. v. Ferrier</w:t>
      </w:r>
      <w:r w:rsidRPr="003163C7">
        <w:rPr>
          <w:rFonts w:cs="Times New Roman"/>
          <w:lang w:val="en-US" w:bidi="en-US"/>
        </w:rPr>
        <w:t xml:space="preserve">, 2019 ONCA 1025, 148 O.R. (3d) 705, at para. </w:t>
      </w:r>
      <w:r w:rsidRPr="003163C7">
        <w:rPr>
          <w:rFonts w:cs="Times New Roman"/>
          <w:lang w:val="fr-CA" w:bidi="en-US"/>
        </w:rPr>
        <w:t xml:space="preserve">35; </w:t>
      </w:r>
      <w:r w:rsidRPr="003163C7">
        <w:rPr>
          <w:rFonts w:cs="Times New Roman"/>
          <w:i/>
          <w:lang w:val="fr-CA"/>
        </w:rPr>
        <w:t>Société des casinos du Québec inc. v. Association des cadres de la Société des casinos du Québec</w:t>
      </w:r>
      <w:r w:rsidRPr="003163C7">
        <w:rPr>
          <w:rFonts w:cs="Times New Roman"/>
          <w:lang w:val="fr-CA"/>
        </w:rPr>
        <w:t xml:space="preserve">, 2024 SCC 13, at para. </w:t>
      </w:r>
      <w:r w:rsidRPr="003163C7">
        <w:rPr>
          <w:rFonts w:cs="Times New Roman"/>
          <w:lang w:val="en-US"/>
        </w:rPr>
        <w:t xml:space="preserve">92; </w:t>
      </w:r>
      <w:r w:rsidRPr="003163C7">
        <w:rPr>
          <w:rFonts w:cs="Times New Roman"/>
        </w:rPr>
        <w:t xml:space="preserve">and </w:t>
      </w:r>
      <w:r w:rsidRPr="003163C7">
        <w:rPr>
          <w:rFonts w:cs="Times New Roman"/>
          <w:i/>
          <w:iCs/>
        </w:rPr>
        <w:t>Canadian Broadcasting Corporation v. Canada (Parole Board)</w:t>
      </w:r>
      <w:r w:rsidRPr="003163C7">
        <w:rPr>
          <w:rFonts w:cs="Times New Roman"/>
        </w:rPr>
        <w:t>, 2023 FCA 166, 429 C.C.C. (3d) 69, at paras. 32-33)</w:t>
      </w:r>
      <w:r w:rsidRPr="003163C7">
        <w:rPr>
          <w:rFonts w:cs="Times New Roman"/>
          <w:lang w:val="en-US" w:bidi="en-US"/>
        </w:rPr>
        <w:t xml:space="preserve">. </w:t>
      </w:r>
      <w:r w:rsidRPr="003163C7">
        <w:rPr>
          <w:rFonts w:cs="Times New Roman"/>
        </w:rPr>
        <w:t xml:space="preserve">Academics have similarly interpreted that the scope of constitutional rights “demand[s] a uniform answer” and is therefore reviewable on the correctness standard (P. Daly, “Big Bang Theory: Vavilov’s New Framework for Substantive Review”, in C. M. Flood and P. Daly, eds., </w:t>
      </w:r>
      <w:r w:rsidRPr="003163C7">
        <w:rPr>
          <w:rFonts w:cs="Times New Roman"/>
          <w:i/>
        </w:rPr>
        <w:t xml:space="preserve">Administrative Law in Context </w:t>
      </w:r>
      <w:r w:rsidRPr="003163C7">
        <w:rPr>
          <w:rFonts w:cs="Times New Roman"/>
        </w:rPr>
        <w:t xml:space="preserve">(4th ed. 2022), 327, at p. 347; P. Daly, </w:t>
      </w:r>
      <w:r w:rsidRPr="003163C7">
        <w:rPr>
          <w:rFonts w:cs="Times New Roman"/>
          <w:i/>
        </w:rPr>
        <w:t xml:space="preserve">A Culture of Justification: Vavilov and the Future of Administrative Law </w:t>
      </w:r>
      <w:r w:rsidRPr="003163C7">
        <w:rPr>
          <w:rFonts w:cs="Times New Roman"/>
        </w:rPr>
        <w:t xml:space="preserve">(2023), at pp. 141 and 161-62; M. Mancini, “The Conceptual Gap Between </w:t>
      </w:r>
      <w:proofErr w:type="spellStart"/>
      <w:r w:rsidRPr="003163C7">
        <w:rPr>
          <w:rFonts w:cs="Times New Roman"/>
          <w:i/>
        </w:rPr>
        <w:t>Doré</w:t>
      </w:r>
      <w:proofErr w:type="spellEnd"/>
      <w:r w:rsidRPr="003163C7">
        <w:rPr>
          <w:rFonts w:cs="Times New Roman"/>
        </w:rPr>
        <w:t xml:space="preserve"> and </w:t>
      </w:r>
      <w:r w:rsidRPr="003163C7">
        <w:rPr>
          <w:rFonts w:cs="Times New Roman"/>
          <w:i/>
        </w:rPr>
        <w:t>Vavilov</w:t>
      </w:r>
      <w:r w:rsidRPr="003163C7">
        <w:rPr>
          <w:rFonts w:cs="Times New Roman"/>
        </w:rPr>
        <w:t xml:space="preserve">” (2020), 43 </w:t>
      </w:r>
      <w:r w:rsidRPr="003163C7">
        <w:rPr>
          <w:rFonts w:cs="Times New Roman"/>
          <w:i/>
        </w:rPr>
        <w:t>Dal. L.J.</w:t>
      </w:r>
      <w:r w:rsidRPr="003163C7">
        <w:rPr>
          <w:rFonts w:cs="Times New Roman"/>
        </w:rPr>
        <w:t xml:space="preserve"> 793, at pp. 824-26. </w:t>
      </w:r>
    </w:p>
    <w:p w14:paraId="13DB0656" w14:textId="77777777" w:rsidR="005F5184" w:rsidRPr="003163C7" w:rsidRDefault="005F5184" w:rsidP="005F5184">
      <w:pPr>
        <w:pStyle w:val="ParaNoNdepar-AltN"/>
        <w:tabs>
          <w:tab w:val="clear" w:pos="1152"/>
          <w:tab w:val="left" w:pos="1166"/>
        </w:tabs>
        <w:rPr>
          <w:rFonts w:cs="Times New Roman"/>
        </w:rPr>
      </w:pPr>
      <w:bookmarkStart w:id="85" w:name="_Hlk161652392"/>
      <w:r w:rsidRPr="003163C7">
        <w:rPr>
          <w:rFonts w:cs="Times New Roman"/>
        </w:rPr>
        <w:t xml:space="preserve">I would also like to clarify that while the Court of Appeal for Ontario applied a correctness standard to examine whether the teachers had a reasonable expectation of privacy (C.A. reasons, at para. 37), the court, respectfully, erred in deriving the standard of review from this Court’s decision in </w:t>
      </w:r>
      <w:r w:rsidRPr="003163C7">
        <w:rPr>
          <w:rFonts w:cs="Times New Roman"/>
          <w:i/>
          <w:iCs/>
          <w:lang w:bidi="en-US"/>
        </w:rPr>
        <w:t>Shepherd</w:t>
      </w:r>
      <w:r w:rsidRPr="003163C7">
        <w:rPr>
          <w:rFonts w:cs="Times New Roman"/>
          <w:lang w:bidi="en-US"/>
        </w:rPr>
        <w:t>, at para. 20</w:t>
      </w:r>
      <w:r w:rsidRPr="003163C7">
        <w:rPr>
          <w:rFonts w:cs="Times New Roman"/>
        </w:rPr>
        <w:t xml:space="preserve">, dealing with an appellate standard of review. As this Court held in </w:t>
      </w:r>
      <w:proofErr w:type="spellStart"/>
      <w:r w:rsidRPr="003163C7">
        <w:rPr>
          <w:rFonts w:cs="Times New Roman"/>
          <w:i/>
        </w:rPr>
        <w:t>Mouvement</w:t>
      </w:r>
      <w:proofErr w:type="spellEnd"/>
      <w:r w:rsidRPr="003163C7">
        <w:rPr>
          <w:rFonts w:cs="Times New Roman"/>
          <w:i/>
        </w:rPr>
        <w:t xml:space="preserve"> </w:t>
      </w:r>
      <w:proofErr w:type="spellStart"/>
      <w:r w:rsidRPr="003163C7">
        <w:rPr>
          <w:rFonts w:cs="Times New Roman"/>
          <w:i/>
        </w:rPr>
        <w:t>laïque</w:t>
      </w:r>
      <w:proofErr w:type="spellEnd"/>
      <w:r w:rsidRPr="003163C7">
        <w:rPr>
          <w:rFonts w:cs="Times New Roman"/>
          <w:i/>
        </w:rPr>
        <w:t xml:space="preserve"> québécois v. Saguenay (City)</w:t>
      </w:r>
      <w:r w:rsidRPr="003163C7">
        <w:rPr>
          <w:rFonts w:cs="Times New Roman"/>
        </w:rPr>
        <w:t xml:space="preserve">, 2015 SCC 16, [2015] 2 S.C.R. 3, at para. 38, where a court reviews a decision of an administrative tribunal, “the standard of review must be determined on the basis of administrative law principles”. </w:t>
      </w:r>
      <w:r w:rsidRPr="003163C7">
        <w:rPr>
          <w:rFonts w:cs="Times New Roman"/>
          <w:i/>
        </w:rPr>
        <w:t>Vavilov</w:t>
      </w:r>
      <w:r w:rsidRPr="003163C7">
        <w:rPr>
          <w:rFonts w:cs="Times New Roman"/>
        </w:rPr>
        <w:t xml:space="preserve"> governs this appeal. Correctness applies because the question of constitutionality on this appeal falls within the rule of law exception.</w:t>
      </w:r>
    </w:p>
    <w:p w14:paraId="548ECDB6" w14:textId="77777777" w:rsidR="005F5184" w:rsidRPr="003163C7" w:rsidRDefault="005F5184" w:rsidP="005F5184">
      <w:pPr>
        <w:pStyle w:val="ParaNoNdepar-AltN"/>
        <w:tabs>
          <w:tab w:val="clear" w:pos="1152"/>
          <w:tab w:val="left" w:pos="1166"/>
        </w:tabs>
        <w:rPr>
          <w:rFonts w:cs="Times New Roman"/>
        </w:rPr>
      </w:pPr>
      <w:r w:rsidRPr="003163C7">
        <w:rPr>
          <w:rFonts w:cs="Times New Roman"/>
        </w:rPr>
        <w:t xml:space="preserve">Ontario public school teachers are protected from unreasonable search and seizure in their place of employment under s. 8 of the </w:t>
      </w:r>
      <w:r w:rsidRPr="003163C7">
        <w:rPr>
          <w:rFonts w:cs="Times New Roman"/>
          <w:i/>
        </w:rPr>
        <w:t>Charter</w:t>
      </w:r>
      <w:r w:rsidRPr="003163C7">
        <w:rPr>
          <w:rFonts w:cs="Times New Roman"/>
        </w:rPr>
        <w:t xml:space="preserve">. Despite their apparent functional resemblance, a right to a reasonable expectation of privacy that is entrenched in the Constitution is distinct in source and nature from an arbitral right to privacy. For one, state actors cannot disavow their constitutional obligations no matter the terms of the collective agreement. At its core, the arbitrator’s reasons disclosed a fundamental error because she had the wrong right in mind. </w:t>
      </w:r>
      <w:bookmarkStart w:id="86" w:name="_Hlk169178116"/>
      <w:r w:rsidRPr="003163C7">
        <w:rPr>
          <w:rFonts w:cs="Times New Roman"/>
        </w:rPr>
        <w:t xml:space="preserve">The arbitrator ought to have applied the </w:t>
      </w:r>
      <w:r w:rsidRPr="003163C7">
        <w:rPr>
          <w:rFonts w:cs="Times New Roman"/>
          <w:i/>
          <w:iCs/>
        </w:rPr>
        <w:t>Charter</w:t>
      </w:r>
      <w:r w:rsidRPr="003163C7">
        <w:rPr>
          <w:rFonts w:cs="Times New Roman"/>
        </w:rPr>
        <w:t>, but failed to do so. Once she failed to appreciate the constitutional dimension of the searches conducted by the principal, there</w:t>
      </w:r>
      <w:r w:rsidRPr="003163C7">
        <w:rPr>
          <w:rFonts w:cs="Times New Roman"/>
          <w:szCs w:val="24"/>
        </w:rPr>
        <w:t xml:space="preserve"> was no intelligible way for her to continue the analysis while fully engaging with the gravity of the alleged violations of the </w:t>
      </w:r>
      <w:r w:rsidRPr="003163C7">
        <w:rPr>
          <w:rFonts w:cs="Times New Roman"/>
          <w:i/>
          <w:szCs w:val="24"/>
        </w:rPr>
        <w:t xml:space="preserve">Charter </w:t>
      </w:r>
      <w:r w:rsidRPr="003163C7">
        <w:rPr>
          <w:rFonts w:cs="Times New Roman"/>
          <w:szCs w:val="24"/>
        </w:rPr>
        <w:t>right at issue.</w:t>
      </w:r>
      <w:r w:rsidRPr="003163C7">
        <w:rPr>
          <w:rFonts w:cs="Times New Roman"/>
        </w:rPr>
        <w:t xml:space="preserve"> </w:t>
      </w:r>
      <w:bookmarkEnd w:id="85"/>
      <w:bookmarkEnd w:id="86"/>
      <w:r w:rsidRPr="003163C7">
        <w:rPr>
          <w:rFonts w:cs="Times New Roman"/>
        </w:rPr>
        <w:t xml:space="preserve">Courts cannot dilute the sacrosanct nature of </w:t>
      </w:r>
      <w:r w:rsidRPr="003163C7">
        <w:rPr>
          <w:rFonts w:cs="Times New Roman"/>
          <w:i/>
        </w:rPr>
        <w:t>Charter</w:t>
      </w:r>
      <w:r w:rsidRPr="003163C7">
        <w:rPr>
          <w:rFonts w:cs="Times New Roman"/>
        </w:rPr>
        <w:t xml:space="preserve"> rights by accepting a different substitute. Nor can courts supplant the reasons proffered by the decision-maker and read the reasons as if it applied a </w:t>
      </w:r>
      <w:r w:rsidRPr="003163C7">
        <w:rPr>
          <w:rFonts w:cs="Times New Roman"/>
          <w:i/>
        </w:rPr>
        <w:t>Charter</w:t>
      </w:r>
      <w:r w:rsidRPr="003163C7">
        <w:rPr>
          <w:rFonts w:cs="Times New Roman"/>
        </w:rPr>
        <w:t xml:space="preserve"> right when in fact it applied a different right (</w:t>
      </w:r>
      <w:r w:rsidRPr="003163C7">
        <w:rPr>
          <w:rFonts w:cs="Times New Roman"/>
          <w:i/>
        </w:rPr>
        <w:t>Vavilov</w:t>
      </w:r>
      <w:r w:rsidRPr="003163C7">
        <w:rPr>
          <w:rFonts w:cs="Times New Roman"/>
        </w:rPr>
        <w:t>,</w:t>
      </w:r>
      <w:r w:rsidRPr="003163C7">
        <w:rPr>
          <w:rFonts w:cs="Times New Roman"/>
          <w:i/>
        </w:rPr>
        <w:t xml:space="preserve"> </w:t>
      </w:r>
      <w:r w:rsidRPr="003163C7">
        <w:rPr>
          <w:rFonts w:cs="Times New Roman"/>
        </w:rPr>
        <w:t>at para. 96).</w:t>
      </w:r>
    </w:p>
    <w:p w14:paraId="0576A001" w14:textId="77777777" w:rsidR="005F5184" w:rsidRPr="003163C7" w:rsidRDefault="005F5184" w:rsidP="005F5184">
      <w:pPr>
        <w:pStyle w:val="ParaNoNdepar-AltN"/>
        <w:rPr>
          <w:rFonts w:eastAsia="Times New Roman" w:cs="Times New Roman"/>
        </w:rPr>
      </w:pPr>
      <w:r w:rsidRPr="003163C7">
        <w:rPr>
          <w:rFonts w:cs="Times New Roman"/>
        </w:rPr>
        <w:t xml:space="preserve"> </w:t>
      </w:r>
      <w:bookmarkStart w:id="87" w:name="_Hlk169177774"/>
      <w:r w:rsidRPr="003163C7">
        <w:rPr>
          <w:rFonts w:cs="Times New Roman"/>
        </w:rPr>
        <w:t xml:space="preserve">The arbitrator failed to recognize that the teachers’ s. 8 </w:t>
      </w:r>
      <w:r w:rsidRPr="003163C7">
        <w:rPr>
          <w:rFonts w:cs="Times New Roman"/>
          <w:i/>
        </w:rPr>
        <w:t>Charter</w:t>
      </w:r>
      <w:r w:rsidRPr="003163C7">
        <w:rPr>
          <w:rFonts w:cs="Times New Roman"/>
        </w:rPr>
        <w:t xml:space="preserve"> right applied. </w:t>
      </w:r>
      <w:bookmarkEnd w:id="87"/>
      <w:r w:rsidRPr="003163C7">
        <w:rPr>
          <w:rFonts w:cs="Times New Roman"/>
        </w:rPr>
        <w:t>I disagree with my colleagues that the standard of reasonableness applies to review the arbitrator’s reasons (Karakatsanis and Martin JJ.’s reasons, at para. 112). This appeal can and should be disposed of because of this fatal error.</w:t>
      </w:r>
    </w:p>
    <w:p w14:paraId="32E4F485" w14:textId="77777777" w:rsidR="005F5184" w:rsidRPr="003163C7" w:rsidRDefault="005F5184" w:rsidP="005F5184">
      <w:pPr>
        <w:pStyle w:val="ParaNoNdepar-AltN"/>
        <w:rPr>
          <w:rFonts w:eastAsia="Times New Roman" w:cs="Times New Roman"/>
        </w:rPr>
      </w:pPr>
      <w:r w:rsidRPr="003163C7">
        <w:rPr>
          <w:rFonts w:eastAsia="Times New Roman" w:cs="Times New Roman"/>
        </w:rPr>
        <w:t xml:space="preserve">In </w:t>
      </w:r>
      <w:r w:rsidRPr="003163C7">
        <w:rPr>
          <w:rFonts w:eastAsia="Times New Roman" w:cs="Times New Roman"/>
          <w:i/>
        </w:rPr>
        <w:t>Vavilov</w:t>
      </w:r>
      <w:r w:rsidRPr="003163C7">
        <w:rPr>
          <w:rFonts w:eastAsia="Times New Roman" w:cs="Times New Roman"/>
        </w:rPr>
        <w:t>,</w:t>
      </w:r>
      <w:r w:rsidRPr="003163C7">
        <w:rPr>
          <w:rFonts w:eastAsia="Times New Roman" w:cs="Times New Roman"/>
          <w:i/>
        </w:rPr>
        <w:t xml:space="preserve"> </w:t>
      </w:r>
      <w:r w:rsidRPr="003163C7">
        <w:rPr>
          <w:rFonts w:eastAsia="Times New Roman" w:cs="Times New Roman"/>
        </w:rPr>
        <w:t>this Court held that:</w:t>
      </w:r>
    </w:p>
    <w:p w14:paraId="148567F6" w14:textId="77777777" w:rsidR="005F5184" w:rsidRPr="003163C7" w:rsidRDefault="005F5184" w:rsidP="005F5184">
      <w:pPr>
        <w:pStyle w:val="Citation-AltC"/>
      </w:pPr>
      <w:r w:rsidRPr="003163C7">
        <w:t xml:space="preserve">In our view, respect for the rule of law requires courts to apply the standard of correctness for certain types of legal questions: constitutional questions, general questions of law of central importance to the legal system as a whole and questions regarding the jurisdictional boundaries between two or more administrative bodies. The application of the correctness standard for such questions respects the unique role of the judiciary in interpreting the Constitution and ensures that courts are able to provide the last word </w:t>
      </w:r>
      <w:r w:rsidRPr="003163C7">
        <w:rPr>
          <w:u w:val="single"/>
        </w:rPr>
        <w:t>on questions for which the rule of law requires consistency and for which a final and determinate answer is necessary</w:t>
      </w:r>
      <w:r w:rsidRPr="003163C7">
        <w:t>: </w:t>
      </w:r>
      <w:r w:rsidRPr="003163C7">
        <w:rPr>
          <w:i/>
          <w:iCs/>
        </w:rPr>
        <w:t xml:space="preserve">Dunsmuir </w:t>
      </w:r>
      <w:r w:rsidRPr="003163C7">
        <w:rPr>
          <w:iCs/>
        </w:rPr>
        <w:t>[</w:t>
      </w:r>
      <w:r w:rsidRPr="003163C7">
        <w:rPr>
          <w:i/>
        </w:rPr>
        <w:t>v. New Brunswick</w:t>
      </w:r>
      <w:r w:rsidRPr="003163C7">
        <w:t>, [2008] 1 S.C.R. 190],</w:t>
      </w:r>
      <w:r w:rsidRPr="003163C7">
        <w:rPr>
          <w:i/>
          <w:iCs/>
        </w:rPr>
        <w:t> </w:t>
      </w:r>
      <w:r w:rsidRPr="003163C7">
        <w:t>at para. 58. [Emphasis added; para. 53.]</w:t>
      </w:r>
    </w:p>
    <w:p w14:paraId="5CF21372" w14:textId="77777777" w:rsidR="005F5184" w:rsidRPr="003163C7" w:rsidRDefault="005F5184" w:rsidP="005F5184">
      <w:pPr>
        <w:pStyle w:val="ParaNoNdepar-AltN"/>
        <w:rPr>
          <w:rFonts w:eastAsiaTheme="minorHAnsi" w:cs="Times New Roman"/>
          <w:szCs w:val="24"/>
        </w:rPr>
      </w:pPr>
      <w:r w:rsidRPr="003163C7">
        <w:rPr>
          <w:rFonts w:eastAsia="Times New Roman" w:cs="Times New Roman"/>
        </w:rPr>
        <w:t xml:space="preserve">In light of the above, the appropriate standard of review in this case is correctness. </w:t>
      </w:r>
      <w:bookmarkStart w:id="88" w:name="_Toc149218063"/>
      <w:bookmarkStart w:id="89" w:name="_Toc151455729"/>
      <w:bookmarkStart w:id="90" w:name="_Toc151736609"/>
      <w:bookmarkStart w:id="91" w:name="_Toc152516448"/>
      <w:bookmarkStart w:id="92" w:name="_Toc152600214"/>
      <w:bookmarkStart w:id="93" w:name="_Toc152697195"/>
      <w:bookmarkStart w:id="94" w:name="_Toc155875206"/>
      <w:bookmarkStart w:id="95" w:name="_Toc158295312"/>
      <w:bookmarkStart w:id="96" w:name="_Toc162277496"/>
    </w:p>
    <w:p w14:paraId="4DE0D667" w14:textId="77777777" w:rsidR="005F5184" w:rsidRPr="003163C7" w:rsidRDefault="005F5184" w:rsidP="005F5184">
      <w:pPr>
        <w:pStyle w:val="Title2LevelTitre2Niveau"/>
        <w:numPr>
          <w:ilvl w:val="1"/>
          <w:numId w:val="8"/>
        </w:numPr>
        <w:rPr>
          <w:rFonts w:cs="Times New Roman"/>
          <w:szCs w:val="24"/>
        </w:rPr>
      </w:pPr>
      <w:r w:rsidRPr="003163C7">
        <w:rPr>
          <w:rFonts w:cs="Times New Roman"/>
          <w:szCs w:val="24"/>
        </w:rPr>
        <w:t>The Charter Applies to Ontario Public School Boards Under the First Branch of Eldridge</w:t>
      </w:r>
      <w:bookmarkEnd w:id="88"/>
      <w:bookmarkEnd w:id="89"/>
      <w:bookmarkEnd w:id="90"/>
      <w:bookmarkEnd w:id="91"/>
      <w:bookmarkEnd w:id="92"/>
      <w:bookmarkEnd w:id="93"/>
      <w:bookmarkEnd w:id="94"/>
      <w:bookmarkEnd w:id="95"/>
      <w:bookmarkEnd w:id="96"/>
    </w:p>
    <w:p w14:paraId="458E0D07" w14:textId="77777777" w:rsidR="005F5184" w:rsidRPr="003163C7" w:rsidRDefault="005F5184" w:rsidP="005F5184">
      <w:pPr>
        <w:pStyle w:val="ParaNoNdepar-AltN"/>
        <w:rPr>
          <w:rFonts w:cs="Times New Roman"/>
        </w:rPr>
      </w:pPr>
      <w:r w:rsidRPr="003163C7">
        <w:rPr>
          <w:rFonts w:cs="Times New Roman"/>
        </w:rPr>
        <w:t xml:space="preserve">Section 32 of the </w:t>
      </w:r>
      <w:r w:rsidRPr="003163C7">
        <w:rPr>
          <w:rFonts w:cs="Times New Roman"/>
          <w:i/>
        </w:rPr>
        <w:t>Constitution Act, 1982</w:t>
      </w:r>
      <w:r w:rsidRPr="003163C7">
        <w:rPr>
          <w:rFonts w:cs="Times New Roman"/>
        </w:rPr>
        <w:t xml:space="preserve">, sets out the scope of the </w:t>
      </w:r>
      <w:r w:rsidRPr="003163C7">
        <w:rPr>
          <w:rFonts w:cs="Times New Roman"/>
          <w:i/>
        </w:rPr>
        <w:t>Charter</w:t>
      </w:r>
      <w:r w:rsidRPr="003163C7">
        <w:rPr>
          <w:rFonts w:cs="Times New Roman"/>
        </w:rPr>
        <w:t>’s</w:t>
      </w:r>
      <w:r w:rsidRPr="003163C7">
        <w:rPr>
          <w:rFonts w:cs="Times New Roman"/>
          <w:i/>
        </w:rPr>
        <w:t xml:space="preserve"> </w:t>
      </w:r>
      <w:r w:rsidRPr="003163C7">
        <w:rPr>
          <w:rFonts w:cs="Times New Roman"/>
        </w:rPr>
        <w:t>application:</w:t>
      </w:r>
    </w:p>
    <w:p w14:paraId="759696B0" w14:textId="77777777" w:rsidR="005F5184" w:rsidRPr="003163C7" w:rsidRDefault="005F5184" w:rsidP="005F5184">
      <w:pPr>
        <w:pStyle w:val="Citation-AltC"/>
      </w:pPr>
      <w:r w:rsidRPr="003163C7">
        <w:rPr>
          <w:b/>
        </w:rPr>
        <w:t>32 (1)</w:t>
      </w:r>
      <w:r w:rsidRPr="003163C7">
        <w:t xml:space="preserve"> This Charter applies</w:t>
      </w:r>
    </w:p>
    <w:p w14:paraId="2D1FD347" w14:textId="77777777" w:rsidR="005F5184" w:rsidRPr="003163C7" w:rsidRDefault="005F5184" w:rsidP="005F5184">
      <w:pPr>
        <w:pStyle w:val="Citation-AltC"/>
      </w:pPr>
    </w:p>
    <w:p w14:paraId="38F90FA7" w14:textId="77777777" w:rsidR="005F5184" w:rsidRPr="003163C7" w:rsidRDefault="005F5184" w:rsidP="005F5184">
      <w:pPr>
        <w:pStyle w:val="Citation-AltC"/>
      </w:pPr>
      <w:r w:rsidRPr="003163C7">
        <w:rPr>
          <w:b/>
        </w:rPr>
        <w:t xml:space="preserve">(a) </w:t>
      </w:r>
      <w:r w:rsidRPr="003163C7">
        <w:t>to the Parliament and government of Canada in respect of all matters within the authority of Parliament including all matters relating to the Yukon Territory and Northwest Territories; and</w:t>
      </w:r>
    </w:p>
    <w:p w14:paraId="45DA50BC" w14:textId="77777777" w:rsidR="005F5184" w:rsidRPr="003163C7" w:rsidRDefault="005F5184" w:rsidP="005F5184">
      <w:pPr>
        <w:pStyle w:val="Citation-AltC"/>
      </w:pPr>
    </w:p>
    <w:p w14:paraId="635818AE" w14:textId="77777777" w:rsidR="005F5184" w:rsidRPr="003163C7" w:rsidRDefault="005F5184" w:rsidP="005F5184">
      <w:pPr>
        <w:pStyle w:val="Citation-AltC"/>
      </w:pPr>
      <w:r w:rsidRPr="003163C7">
        <w:rPr>
          <w:b/>
        </w:rPr>
        <w:t xml:space="preserve">(b) </w:t>
      </w:r>
      <w:proofErr w:type="gramStart"/>
      <w:r w:rsidRPr="003163C7">
        <w:t>to</w:t>
      </w:r>
      <w:proofErr w:type="gramEnd"/>
      <w:r w:rsidRPr="003163C7">
        <w:t xml:space="preserve"> the legislature and government of each province in respect of all matters within the authority of the legislature of each province.</w:t>
      </w:r>
    </w:p>
    <w:p w14:paraId="45B7C9FD" w14:textId="77777777" w:rsidR="005F5184" w:rsidRPr="003163C7" w:rsidRDefault="005F5184" w:rsidP="005F5184">
      <w:pPr>
        <w:pStyle w:val="ParaNoNdepar-AltN"/>
        <w:rPr>
          <w:rFonts w:cs="Times New Roman"/>
        </w:rPr>
      </w:pPr>
      <w:r w:rsidRPr="003163C7">
        <w:rPr>
          <w:rFonts w:cs="Times New Roman"/>
        </w:rPr>
        <w:t xml:space="preserve">In this regard, the landmark ruling is </w:t>
      </w:r>
      <w:r w:rsidRPr="003163C7">
        <w:rPr>
          <w:rFonts w:cs="Times New Roman"/>
          <w:i/>
        </w:rPr>
        <w:t>Eldridge</w:t>
      </w:r>
      <w:r w:rsidRPr="003163C7">
        <w:rPr>
          <w:rFonts w:cs="Times New Roman"/>
        </w:rPr>
        <w:t>, in which this Court established a two-branch framework:</w:t>
      </w:r>
    </w:p>
    <w:p w14:paraId="36CCD5A3" w14:textId="77777777" w:rsidR="005F5184" w:rsidRPr="003163C7" w:rsidRDefault="005F5184" w:rsidP="005F5184">
      <w:pPr>
        <w:pStyle w:val="Citation-AltC"/>
      </w:pPr>
      <w:r w:rsidRPr="003163C7">
        <w:t xml:space="preserve">First, it may be determined that the entity is itself “government” for the purposes of s. 32. This involves an inquiry into whether the entity whose actions have given rise to the alleged </w:t>
      </w:r>
      <w:r w:rsidRPr="003163C7">
        <w:rPr>
          <w:i/>
        </w:rPr>
        <w:t>Charter</w:t>
      </w:r>
      <w:r w:rsidRPr="003163C7">
        <w:t xml:space="preserve"> breach can, either by its very nature or in virtue of the degree of governmental control exercised over it, properly be characterized as “government” within the meaning of s. 32(1). In such cases, all of the activities of the entity will be subject to the </w:t>
      </w:r>
      <w:r w:rsidRPr="003163C7">
        <w:rPr>
          <w:i/>
        </w:rPr>
        <w:t>Charter</w:t>
      </w:r>
      <w:r w:rsidRPr="003163C7">
        <w:t xml:space="preserve">, regardless of whether the activity in which it is engaged could, if performed by a non-governmental actor, correctly be described as “private”. Second, an entity may be found to attract </w:t>
      </w:r>
      <w:r w:rsidRPr="003163C7">
        <w:rPr>
          <w:i/>
        </w:rPr>
        <w:t>Charter</w:t>
      </w:r>
      <w:r w:rsidRPr="003163C7">
        <w:t xml:space="preserve"> scrutiny with respect to a particular activity that can be ascribed to government. This demands an investigation not into the nature of the entity whose activity is impugned but rather into the nature of the activity itself. In such cases, in other words, one must scrutinize the quality of the act at issue, rather than the quality of the actor. [para. 44]</w:t>
      </w:r>
    </w:p>
    <w:p w14:paraId="6B2CA92D" w14:textId="77777777" w:rsidR="005F5184" w:rsidRPr="003163C7" w:rsidRDefault="005F5184" w:rsidP="005F5184">
      <w:pPr>
        <w:pStyle w:val="ParaNoNdepar-AltN"/>
        <w:rPr>
          <w:rFonts w:cs="Times New Roman"/>
        </w:rPr>
      </w:pPr>
      <w:r w:rsidRPr="003163C7">
        <w:rPr>
          <w:rFonts w:cs="Times New Roman"/>
        </w:rPr>
        <w:t xml:space="preserve">Until now, this Court has made no definitive statement as to whether the </w:t>
      </w:r>
      <w:r w:rsidRPr="003163C7">
        <w:rPr>
          <w:rFonts w:cs="Times New Roman"/>
          <w:i/>
        </w:rPr>
        <w:t>Charter</w:t>
      </w:r>
      <w:r w:rsidRPr="003163C7">
        <w:rPr>
          <w:rFonts w:cs="Times New Roman"/>
        </w:rPr>
        <w:t xml:space="preserve"> applies to school boards. While this Court has assumed that the </w:t>
      </w:r>
      <w:r w:rsidRPr="003163C7">
        <w:rPr>
          <w:rFonts w:cs="Times New Roman"/>
          <w:i/>
        </w:rPr>
        <w:t xml:space="preserve">Charter </w:t>
      </w:r>
      <w:r w:rsidRPr="003163C7">
        <w:rPr>
          <w:rFonts w:cs="Times New Roman"/>
        </w:rPr>
        <w:t xml:space="preserve">applies to school boards (see </w:t>
      </w:r>
      <w:proofErr w:type="spellStart"/>
      <w:r w:rsidRPr="003163C7">
        <w:rPr>
          <w:rFonts w:cs="Times New Roman"/>
          <w:i/>
        </w:rPr>
        <w:t>Multani</w:t>
      </w:r>
      <w:proofErr w:type="spellEnd"/>
      <w:r w:rsidRPr="003163C7">
        <w:rPr>
          <w:rFonts w:cs="Times New Roman"/>
          <w:i/>
        </w:rPr>
        <w:t xml:space="preserve"> v. Commission scolaire Marguerite-</w:t>
      </w:r>
      <w:proofErr w:type="spellStart"/>
      <w:r w:rsidRPr="003163C7">
        <w:rPr>
          <w:rFonts w:cs="Times New Roman"/>
          <w:i/>
        </w:rPr>
        <w:t>Bourgeoys</w:t>
      </w:r>
      <w:proofErr w:type="spellEnd"/>
      <w:r w:rsidRPr="003163C7">
        <w:rPr>
          <w:rFonts w:cs="Times New Roman"/>
        </w:rPr>
        <w:t xml:space="preserve">, 2006 SCC 6, [2006] 1 S.C.R. 256), it has done so without addressing the </w:t>
      </w:r>
      <w:r w:rsidRPr="003163C7">
        <w:rPr>
          <w:rFonts w:cs="Times New Roman"/>
          <w:i/>
        </w:rPr>
        <w:t xml:space="preserve">Eldridge </w:t>
      </w:r>
      <w:r w:rsidRPr="003163C7">
        <w:rPr>
          <w:rFonts w:cs="Times New Roman"/>
        </w:rPr>
        <w:t>framework, save as noted below.</w:t>
      </w:r>
    </w:p>
    <w:p w14:paraId="2B6310D2" w14:textId="77777777" w:rsidR="005F5184" w:rsidRPr="003163C7" w:rsidRDefault="005F5184" w:rsidP="005F5184">
      <w:pPr>
        <w:pStyle w:val="ParaNoNdepar-AltN"/>
        <w:rPr>
          <w:rFonts w:cs="Times New Roman"/>
        </w:rPr>
      </w:pPr>
      <w:r w:rsidRPr="003163C7">
        <w:rPr>
          <w:rFonts w:cs="Times New Roman"/>
        </w:rPr>
        <w:t xml:space="preserve">In </w:t>
      </w:r>
      <w:r w:rsidRPr="003163C7">
        <w:rPr>
          <w:rFonts w:cs="Times New Roman"/>
          <w:i/>
        </w:rPr>
        <w:t>Chamberlain v. Surrey School District No. 36</w:t>
      </w:r>
      <w:r w:rsidRPr="003163C7">
        <w:rPr>
          <w:rFonts w:cs="Times New Roman"/>
        </w:rPr>
        <w:t>, 2002 SCC 86, [2002] 4 S.C.R. 710, Gonthier J., dissenting (Bastarache J. concurring), examined this issue, which the majority found unnecessary to consider, at length. He held that there was “no doubt” that a school board was subject to the </w:t>
      </w:r>
      <w:r w:rsidRPr="003163C7">
        <w:rPr>
          <w:rFonts w:cs="Times New Roman"/>
          <w:i/>
        </w:rPr>
        <w:t>Charter</w:t>
      </w:r>
      <w:r w:rsidRPr="003163C7">
        <w:rPr>
          <w:rFonts w:cs="Times New Roman"/>
        </w:rPr>
        <w:t xml:space="preserve"> under the first branch of </w:t>
      </w:r>
      <w:r w:rsidRPr="003163C7">
        <w:rPr>
          <w:rFonts w:cs="Times New Roman"/>
          <w:i/>
        </w:rPr>
        <w:t>Eldridge</w:t>
      </w:r>
      <w:r w:rsidRPr="003163C7">
        <w:rPr>
          <w:rFonts w:cs="Times New Roman"/>
        </w:rPr>
        <w:t xml:space="preserve"> (para. 121). Subsequent to </w:t>
      </w:r>
      <w:r w:rsidRPr="003163C7">
        <w:rPr>
          <w:rFonts w:cs="Times New Roman"/>
          <w:i/>
        </w:rPr>
        <w:t>Chamberlain</w:t>
      </w:r>
      <w:r w:rsidRPr="003163C7">
        <w:rPr>
          <w:rFonts w:cs="Times New Roman"/>
        </w:rPr>
        <w:t xml:space="preserve">, this Court has accepted the Crown’s concession in cases before it that the </w:t>
      </w:r>
      <w:r w:rsidRPr="003163C7">
        <w:rPr>
          <w:rFonts w:cs="Times New Roman"/>
          <w:i/>
        </w:rPr>
        <w:t>Charter</w:t>
      </w:r>
      <w:r w:rsidRPr="003163C7">
        <w:rPr>
          <w:rFonts w:cs="Times New Roman"/>
        </w:rPr>
        <w:t xml:space="preserve"> applies to the actions of school officials and proceeded on that basis (see </w:t>
      </w:r>
      <w:r w:rsidRPr="003163C7">
        <w:rPr>
          <w:rFonts w:cs="Times New Roman"/>
          <w:i/>
        </w:rPr>
        <w:t>Cole</w:t>
      </w:r>
      <w:r w:rsidRPr="003163C7">
        <w:rPr>
          <w:rFonts w:cs="Times New Roman"/>
        </w:rPr>
        <w:t>, at para. 38).</w:t>
      </w:r>
    </w:p>
    <w:p w14:paraId="12890A4E" w14:textId="77777777" w:rsidR="005F5184" w:rsidRPr="003163C7" w:rsidRDefault="005F5184" w:rsidP="005F5184">
      <w:pPr>
        <w:pStyle w:val="ParaNoNdepar-AltN"/>
        <w:rPr>
          <w:rFonts w:cs="Times New Roman"/>
          <w:i/>
        </w:rPr>
      </w:pPr>
      <w:r w:rsidRPr="003163C7">
        <w:rPr>
          <w:rFonts w:cs="Times New Roman"/>
        </w:rPr>
        <w:t xml:space="preserve">Lower courts have analyzed whether the </w:t>
      </w:r>
      <w:r w:rsidRPr="003163C7">
        <w:rPr>
          <w:rFonts w:cs="Times New Roman"/>
          <w:i/>
        </w:rPr>
        <w:t>Charter</w:t>
      </w:r>
      <w:r w:rsidRPr="003163C7">
        <w:rPr>
          <w:rFonts w:cs="Times New Roman"/>
        </w:rPr>
        <w:t xml:space="preserve"> applies to school boards, and have drawn different conclusions. Some have followed Gonthier J.’s reasons in </w:t>
      </w:r>
      <w:r w:rsidRPr="003163C7">
        <w:rPr>
          <w:rFonts w:cs="Times New Roman"/>
          <w:i/>
        </w:rPr>
        <w:t>Chamberlain</w:t>
      </w:r>
      <w:r w:rsidRPr="003163C7">
        <w:rPr>
          <w:rFonts w:cs="Times New Roman"/>
        </w:rPr>
        <w:t xml:space="preserve"> and applied the </w:t>
      </w:r>
      <w:r w:rsidRPr="003163C7">
        <w:rPr>
          <w:rFonts w:cs="Times New Roman"/>
          <w:i/>
        </w:rPr>
        <w:t>Charter</w:t>
      </w:r>
      <w:r w:rsidRPr="003163C7">
        <w:rPr>
          <w:rFonts w:cs="Times New Roman"/>
        </w:rPr>
        <w:t xml:space="preserve"> to school boards (see </w:t>
      </w:r>
      <w:r w:rsidRPr="003163C7">
        <w:rPr>
          <w:rFonts w:cs="Times New Roman"/>
          <w:i/>
        </w:rPr>
        <w:t>British Columbia Public School Employers’ Assn. v. B.C.T.F.</w:t>
      </w:r>
      <w:r w:rsidRPr="003163C7">
        <w:rPr>
          <w:rFonts w:cs="Times New Roman"/>
        </w:rPr>
        <w:t>,</w:t>
      </w:r>
      <w:r w:rsidRPr="003163C7">
        <w:rPr>
          <w:rFonts w:cs="Times New Roman"/>
          <w:i/>
        </w:rPr>
        <w:t xml:space="preserve"> </w:t>
      </w:r>
      <w:r w:rsidRPr="003163C7">
        <w:rPr>
          <w:rFonts w:cs="Times New Roman"/>
        </w:rPr>
        <w:t>2005 BCCA 393, 257 D.L.R. (4th) 385;</w:t>
      </w:r>
      <w:r w:rsidRPr="003163C7">
        <w:rPr>
          <w:rFonts w:cs="Times New Roman"/>
          <w:i/>
        </w:rPr>
        <w:t xml:space="preserve"> </w:t>
      </w:r>
      <w:r w:rsidRPr="003163C7">
        <w:rPr>
          <w:rFonts w:cs="Times New Roman"/>
        </w:rPr>
        <w:t>and</w:t>
      </w:r>
      <w:r w:rsidRPr="003163C7">
        <w:rPr>
          <w:rFonts w:cs="Times New Roman"/>
          <w:i/>
        </w:rPr>
        <w:t xml:space="preserve"> </w:t>
      </w:r>
      <w:proofErr w:type="spellStart"/>
      <w:r w:rsidRPr="003163C7">
        <w:rPr>
          <w:rFonts w:cs="Times New Roman"/>
          <w:i/>
        </w:rPr>
        <w:t>Gillies</w:t>
      </w:r>
      <w:proofErr w:type="spellEnd"/>
      <w:r w:rsidRPr="003163C7">
        <w:rPr>
          <w:rFonts w:cs="Times New Roman"/>
          <w:i/>
        </w:rPr>
        <w:t xml:space="preserve"> (Litigation Guardian of) v. Toronto District School Board</w:t>
      </w:r>
      <w:r w:rsidRPr="003163C7">
        <w:rPr>
          <w:rFonts w:cs="Times New Roman"/>
        </w:rPr>
        <w:t>,</w:t>
      </w:r>
      <w:r w:rsidRPr="003163C7">
        <w:rPr>
          <w:rFonts w:cs="Times New Roman"/>
          <w:i/>
        </w:rPr>
        <w:t xml:space="preserve"> </w:t>
      </w:r>
      <w:r w:rsidRPr="003163C7">
        <w:rPr>
          <w:rFonts w:cs="Times New Roman"/>
        </w:rPr>
        <w:t xml:space="preserve">2015 ONSC 1038, 125 O.R. (3d) 17). Others have distinguished Gonthier J.’s reasons and held that the </w:t>
      </w:r>
      <w:r w:rsidRPr="003163C7">
        <w:rPr>
          <w:rFonts w:cs="Times New Roman"/>
          <w:i/>
        </w:rPr>
        <w:t>Charter</w:t>
      </w:r>
      <w:r w:rsidRPr="003163C7">
        <w:rPr>
          <w:rFonts w:cs="Times New Roman"/>
        </w:rPr>
        <w:t xml:space="preserve"> does not apply to school boards (see </w:t>
      </w:r>
      <w:r w:rsidRPr="003163C7">
        <w:rPr>
          <w:rFonts w:cs="Times New Roman"/>
          <w:i/>
        </w:rPr>
        <w:t>Calgary Roman Catholic Separate School District No. 1 v. O’Malley</w:t>
      </w:r>
      <w:r w:rsidRPr="003163C7">
        <w:rPr>
          <w:rFonts w:cs="Times New Roman"/>
        </w:rPr>
        <w:t>,</w:t>
      </w:r>
      <w:r w:rsidRPr="003163C7">
        <w:rPr>
          <w:rFonts w:cs="Times New Roman"/>
          <w:i/>
        </w:rPr>
        <w:t xml:space="preserve"> </w:t>
      </w:r>
      <w:r w:rsidRPr="003163C7">
        <w:rPr>
          <w:rFonts w:cs="Times New Roman"/>
        </w:rPr>
        <w:t>2007 ABQB 574, 81 Alta. L.R. (4th) 261;</w:t>
      </w:r>
      <w:r w:rsidRPr="003163C7">
        <w:rPr>
          <w:rFonts w:cs="Times New Roman"/>
          <w:i/>
        </w:rPr>
        <w:t xml:space="preserve"> </w:t>
      </w:r>
      <w:r w:rsidRPr="003163C7">
        <w:rPr>
          <w:rFonts w:cs="Times New Roman"/>
        </w:rPr>
        <w:t>and</w:t>
      </w:r>
      <w:r w:rsidRPr="003163C7">
        <w:rPr>
          <w:rFonts w:cs="Times New Roman"/>
          <w:i/>
        </w:rPr>
        <w:t xml:space="preserve"> Hamilton v. Rocky View School Division No. 41</w:t>
      </w:r>
      <w:r w:rsidRPr="003163C7">
        <w:rPr>
          <w:rFonts w:cs="Times New Roman"/>
        </w:rPr>
        <w:t>,</w:t>
      </w:r>
      <w:r w:rsidRPr="003163C7">
        <w:rPr>
          <w:rFonts w:cs="Times New Roman"/>
          <w:i/>
        </w:rPr>
        <w:t xml:space="preserve"> </w:t>
      </w:r>
      <w:r w:rsidRPr="003163C7">
        <w:rPr>
          <w:rFonts w:cs="Times New Roman"/>
        </w:rPr>
        <w:t>2009 ABQB 225, 192 C.R.R. (2d) 22).</w:t>
      </w:r>
    </w:p>
    <w:p w14:paraId="2E5D06CA" w14:textId="77777777" w:rsidR="005F5184" w:rsidRPr="003163C7" w:rsidRDefault="005F5184" w:rsidP="005F5184">
      <w:pPr>
        <w:pStyle w:val="ParaNoNdepar-AltN"/>
        <w:rPr>
          <w:rFonts w:cs="Times New Roman"/>
        </w:rPr>
      </w:pPr>
      <w:r w:rsidRPr="003163C7">
        <w:rPr>
          <w:rFonts w:cs="Times New Roman"/>
        </w:rPr>
        <w:t xml:space="preserve">The time has come to determine whether the </w:t>
      </w:r>
      <w:r w:rsidRPr="003163C7">
        <w:rPr>
          <w:rFonts w:cs="Times New Roman"/>
          <w:i/>
        </w:rPr>
        <w:t>Charter</w:t>
      </w:r>
      <w:r w:rsidRPr="003163C7">
        <w:rPr>
          <w:rFonts w:cs="Times New Roman"/>
        </w:rPr>
        <w:t xml:space="preserve"> applies to Ontario public school boards</w:t>
      </w:r>
      <w:r w:rsidRPr="003163C7">
        <w:rPr>
          <w:rFonts w:cs="Times New Roman"/>
          <w:i/>
        </w:rPr>
        <w:t xml:space="preserve"> </w:t>
      </w:r>
      <w:r w:rsidRPr="003163C7">
        <w:rPr>
          <w:rFonts w:cs="Times New Roman"/>
        </w:rPr>
        <w:t xml:space="preserve">and, if so, whether they come under the first or second branch of </w:t>
      </w:r>
      <w:r w:rsidRPr="003163C7">
        <w:rPr>
          <w:rFonts w:cs="Times New Roman"/>
          <w:i/>
        </w:rPr>
        <w:t>Eldridge</w:t>
      </w:r>
      <w:r w:rsidRPr="003163C7">
        <w:rPr>
          <w:rFonts w:cs="Times New Roman"/>
        </w:rPr>
        <w:t>.</w:t>
      </w:r>
      <w:r w:rsidRPr="003163C7">
        <w:rPr>
          <w:rFonts w:cs="Times New Roman"/>
          <w:i/>
        </w:rPr>
        <w:t xml:space="preserve"> </w:t>
      </w:r>
      <w:r w:rsidRPr="003163C7">
        <w:rPr>
          <w:rFonts w:cs="Times New Roman"/>
        </w:rPr>
        <w:t xml:space="preserve">This is a constitutional question that requires a final and determinate answer from the courts, thus a standard of correctness applies, as per </w:t>
      </w:r>
      <w:r w:rsidRPr="003163C7">
        <w:rPr>
          <w:rFonts w:cs="Times New Roman"/>
          <w:i/>
        </w:rPr>
        <w:t xml:space="preserve">Vavilov </w:t>
      </w:r>
      <w:r w:rsidRPr="003163C7">
        <w:rPr>
          <w:rFonts w:cs="Times New Roman"/>
        </w:rPr>
        <w:t>(para. 55).</w:t>
      </w:r>
    </w:p>
    <w:p w14:paraId="41DA2C8E" w14:textId="77777777" w:rsidR="005F5184" w:rsidRPr="003163C7" w:rsidRDefault="005F5184" w:rsidP="005F5184">
      <w:pPr>
        <w:pStyle w:val="ParaNoNdepar-AltN"/>
        <w:rPr>
          <w:rFonts w:cs="Times New Roman"/>
        </w:rPr>
      </w:pPr>
      <w:r w:rsidRPr="003163C7">
        <w:rPr>
          <w:rFonts w:cs="Times New Roman"/>
        </w:rPr>
        <w:t xml:space="preserve">Under the first branch of the </w:t>
      </w:r>
      <w:r w:rsidRPr="003163C7">
        <w:rPr>
          <w:rFonts w:cs="Times New Roman"/>
          <w:i/>
        </w:rPr>
        <w:t>Eldridge</w:t>
      </w:r>
      <w:r w:rsidRPr="003163C7">
        <w:rPr>
          <w:rFonts w:cs="Times New Roman"/>
        </w:rPr>
        <w:t xml:space="preserve"> framework, “it may be determined that the entity is itself ‘government’ for the purposes of s. 32” (para. 44). This is so where, by (1) “its very nature” or (2) “the degree of governmental control exercised over it” (</w:t>
      </w:r>
      <w:r w:rsidRPr="003163C7">
        <w:rPr>
          <w:rFonts w:cs="Times New Roman"/>
          <w:i/>
        </w:rPr>
        <w:t>Eldridge</w:t>
      </w:r>
      <w:r w:rsidRPr="003163C7">
        <w:rPr>
          <w:rFonts w:cs="Times New Roman"/>
        </w:rPr>
        <w:t xml:space="preserve">, at para. 44), the entity is akin to a government. Under this branch, where the entity is found to be “government”, the </w:t>
      </w:r>
      <w:r w:rsidRPr="003163C7">
        <w:rPr>
          <w:rFonts w:cs="Times New Roman"/>
          <w:i/>
        </w:rPr>
        <w:t xml:space="preserve">Charter </w:t>
      </w:r>
      <w:r w:rsidRPr="003163C7">
        <w:rPr>
          <w:rFonts w:cs="Times New Roman"/>
        </w:rPr>
        <w:t>applies to all its actions. This includes those that would otherwise be described as “private”, were they carried out by a non-governmental actor.</w:t>
      </w:r>
    </w:p>
    <w:p w14:paraId="69EC0DC3" w14:textId="77777777" w:rsidR="005F5184" w:rsidRPr="003163C7" w:rsidRDefault="005F5184" w:rsidP="005F5184">
      <w:pPr>
        <w:pStyle w:val="ParaNoNdepar-AltN"/>
        <w:rPr>
          <w:rFonts w:cs="Times New Roman"/>
        </w:rPr>
      </w:pPr>
      <w:r w:rsidRPr="003163C7">
        <w:rPr>
          <w:rFonts w:cs="Times New Roman"/>
        </w:rPr>
        <w:t xml:space="preserve">A review of the </w:t>
      </w:r>
      <w:r w:rsidRPr="003163C7">
        <w:rPr>
          <w:rFonts w:cs="Times New Roman"/>
          <w:i/>
        </w:rPr>
        <w:t>Education Act</w:t>
      </w:r>
      <w:r w:rsidRPr="003163C7">
        <w:rPr>
          <w:rFonts w:cs="Times New Roman"/>
        </w:rPr>
        <w:t xml:space="preserve"> confirms that Ontario public school boards are government by nature. The section of the Act entitled </w:t>
      </w:r>
      <w:r w:rsidRPr="003163C7">
        <w:rPr>
          <w:rFonts w:cs="Times New Roman"/>
          <w:szCs w:val="24"/>
        </w:rPr>
        <w:t>“</w:t>
      </w:r>
      <w:r w:rsidRPr="003163C7">
        <w:rPr>
          <w:rFonts w:cs="Times New Roman"/>
        </w:rPr>
        <w:t>Purpose</w:t>
      </w:r>
      <w:r w:rsidRPr="003163C7">
        <w:rPr>
          <w:rFonts w:cs="Times New Roman"/>
          <w:szCs w:val="24"/>
        </w:rPr>
        <w:t>”</w:t>
      </w:r>
      <w:r w:rsidRPr="003163C7">
        <w:rPr>
          <w:rFonts w:cs="Times New Roman"/>
        </w:rPr>
        <w:t xml:space="preserve"> highlights the role that school boards play in the education system; s. 8 of the Act provides for extensive powers of the Minister of Education with respect to boards. Ontario public school boards are, in effect, an arm of government, in that they “exercise powers conferred on them by provincial legislatures, powers and functions which they would otherwise have to perform themselves” (</w:t>
      </w:r>
      <w:r w:rsidRPr="003163C7">
        <w:rPr>
          <w:rFonts w:cs="Times New Roman"/>
          <w:i/>
        </w:rPr>
        <w:t>Chamberlain</w:t>
      </w:r>
      <w:r w:rsidRPr="003163C7">
        <w:rPr>
          <w:rFonts w:cs="Times New Roman"/>
        </w:rPr>
        <w:t xml:space="preserve">, at para. 121, quoting </w:t>
      </w:r>
      <w:r w:rsidRPr="003163C7">
        <w:rPr>
          <w:rFonts w:cs="Times New Roman"/>
          <w:i/>
        </w:rPr>
        <w:t>Godbout</w:t>
      </w:r>
      <w:r w:rsidRPr="003163C7">
        <w:rPr>
          <w:rFonts w:cs="Times New Roman"/>
        </w:rPr>
        <w:t>, at para. 51).</w:t>
      </w:r>
    </w:p>
    <w:p w14:paraId="1FD8EB4D" w14:textId="77777777" w:rsidR="005F5184" w:rsidRPr="003163C7" w:rsidRDefault="005F5184" w:rsidP="005F5184">
      <w:pPr>
        <w:pStyle w:val="ParaNoNdepar-AltN"/>
        <w:rPr>
          <w:rFonts w:cs="Times New Roman"/>
        </w:rPr>
      </w:pPr>
      <w:r w:rsidRPr="003163C7">
        <w:rPr>
          <w:rFonts w:cs="Times New Roman"/>
        </w:rPr>
        <w:t xml:space="preserve"> In </w:t>
      </w:r>
      <w:r w:rsidRPr="003163C7">
        <w:rPr>
          <w:rFonts w:cs="Times New Roman"/>
          <w:i/>
        </w:rPr>
        <w:t>Greater Vancouver Transportation Authority v. Canadian Federation of Students — British Columbia Component</w:t>
      </w:r>
      <w:r w:rsidRPr="003163C7">
        <w:rPr>
          <w:rFonts w:cs="Times New Roman"/>
        </w:rPr>
        <w:t xml:space="preserve">, 2009 SCC 31, [2009] 2 S.C.R. 295, at paras. 15-16, the Court further clarified that governmental action as part of a “public function” may be sufficient to bring that activity within the purview of government and attract </w:t>
      </w:r>
      <w:r w:rsidRPr="003163C7">
        <w:rPr>
          <w:rFonts w:cs="Times New Roman"/>
          <w:i/>
        </w:rPr>
        <w:t>Charter</w:t>
      </w:r>
      <w:r w:rsidRPr="003163C7">
        <w:rPr>
          <w:rFonts w:cs="Times New Roman"/>
        </w:rPr>
        <w:t xml:space="preserve"> scrutiny (</w:t>
      </w:r>
      <w:proofErr w:type="spellStart"/>
      <w:r w:rsidRPr="003163C7">
        <w:rPr>
          <w:rFonts w:cs="Times New Roman"/>
          <w:i/>
        </w:rPr>
        <w:t>UAlberta</w:t>
      </w:r>
      <w:proofErr w:type="spellEnd"/>
      <w:r w:rsidRPr="003163C7">
        <w:rPr>
          <w:rFonts w:cs="Times New Roman"/>
          <w:i/>
        </w:rPr>
        <w:t xml:space="preserve"> Pro-Life v. Governors of the University of Alberta</w:t>
      </w:r>
      <w:r w:rsidRPr="003163C7">
        <w:rPr>
          <w:rFonts w:cs="Times New Roman"/>
        </w:rPr>
        <w:t xml:space="preserve">, 2020 ABCA 1, 98 Alta. L.R. (6th) 252, at para. 128). The Alberta Court of Appeal, for example, has described </w:t>
      </w:r>
      <w:r w:rsidRPr="003163C7">
        <w:rPr>
          <w:rFonts w:cs="Times New Roman"/>
          <w:i/>
        </w:rPr>
        <w:t xml:space="preserve">Greater Vancouver Transportation Authority </w:t>
      </w:r>
      <w:r w:rsidRPr="003163C7">
        <w:rPr>
          <w:rFonts w:cs="Times New Roman"/>
        </w:rPr>
        <w:t>as a starting point for applying</w:t>
      </w:r>
      <w:r w:rsidRPr="003163C7">
        <w:rPr>
          <w:rFonts w:cs="Times New Roman"/>
          <w:i/>
        </w:rPr>
        <w:t xml:space="preserve"> Eldridge</w:t>
      </w:r>
      <w:r w:rsidRPr="003163C7">
        <w:rPr>
          <w:rFonts w:cs="Times New Roman"/>
        </w:rPr>
        <w:t xml:space="preserve"> as follows: “. . . the test for s 32 resides in the analysis in </w:t>
      </w:r>
      <w:r w:rsidRPr="003163C7">
        <w:rPr>
          <w:rFonts w:cs="Times New Roman"/>
          <w:i/>
        </w:rPr>
        <w:t xml:space="preserve">Greater Vancouver Transportation Authority </w:t>
      </w:r>
      <w:r w:rsidRPr="003163C7">
        <w:rPr>
          <w:rFonts w:cs="Times New Roman"/>
        </w:rPr>
        <w:t>and rests on the ability to identify an area of government policy and objectives that the [entity] can be said to be implementing for the state more broadly and not just for internal . . . objectives” (</w:t>
      </w:r>
      <w:proofErr w:type="spellStart"/>
      <w:r w:rsidRPr="003163C7">
        <w:rPr>
          <w:rFonts w:cs="Times New Roman"/>
          <w:i/>
        </w:rPr>
        <w:t>UAlberta</w:t>
      </w:r>
      <w:proofErr w:type="spellEnd"/>
      <w:r w:rsidRPr="003163C7">
        <w:rPr>
          <w:rFonts w:cs="Times New Roman"/>
          <w:i/>
        </w:rPr>
        <w:t xml:space="preserve"> Pro-Life</w:t>
      </w:r>
      <w:r w:rsidRPr="003163C7">
        <w:rPr>
          <w:rFonts w:cs="Times New Roman"/>
        </w:rPr>
        <w:t xml:space="preserve">, at para. 139). </w:t>
      </w:r>
    </w:p>
    <w:p w14:paraId="5FC7AD4E" w14:textId="77777777" w:rsidR="005F5184" w:rsidRPr="003163C7" w:rsidRDefault="005F5184" w:rsidP="005F5184">
      <w:pPr>
        <w:pStyle w:val="ParaNoNdepar-AltN"/>
        <w:rPr>
          <w:rFonts w:cs="Times New Roman"/>
        </w:rPr>
      </w:pPr>
      <w:r w:rsidRPr="003163C7">
        <w:rPr>
          <w:rFonts w:cs="Times New Roman"/>
        </w:rPr>
        <w:t xml:space="preserve">Public education is inherently a governmental function. It has a unique constitutional quality, as exemplified by s. 93 of the </w:t>
      </w:r>
      <w:r w:rsidRPr="003163C7">
        <w:rPr>
          <w:rFonts w:cs="Times New Roman"/>
          <w:i/>
        </w:rPr>
        <w:t>Constitution Act, 1867</w:t>
      </w:r>
      <w:r w:rsidRPr="003163C7">
        <w:rPr>
          <w:rFonts w:cs="Times New Roman"/>
        </w:rPr>
        <w:t xml:space="preserve"> and by s. 23 of the </w:t>
      </w:r>
      <w:r w:rsidRPr="003163C7">
        <w:rPr>
          <w:rFonts w:cs="Times New Roman"/>
          <w:i/>
        </w:rPr>
        <w:t>Charter</w:t>
      </w:r>
      <w:r w:rsidRPr="003163C7">
        <w:rPr>
          <w:rFonts w:cs="Times New Roman"/>
        </w:rPr>
        <w:t xml:space="preserve">. Ontario public school boards are manifestations of government and, thus, they are subject to the </w:t>
      </w:r>
      <w:r w:rsidRPr="003163C7">
        <w:rPr>
          <w:rFonts w:cs="Times New Roman"/>
          <w:i/>
        </w:rPr>
        <w:t>Charter</w:t>
      </w:r>
      <w:r w:rsidRPr="003163C7">
        <w:rPr>
          <w:rFonts w:cs="Times New Roman"/>
        </w:rPr>
        <w:t xml:space="preserve"> under </w:t>
      </w:r>
      <w:r w:rsidRPr="003163C7">
        <w:rPr>
          <w:rFonts w:cs="Times New Roman"/>
          <w:i/>
        </w:rPr>
        <w:t>Eldridge</w:t>
      </w:r>
      <w:r w:rsidRPr="003163C7">
        <w:rPr>
          <w:rFonts w:cs="Times New Roman"/>
        </w:rPr>
        <w:t>’s first branch.</w:t>
      </w:r>
    </w:p>
    <w:p w14:paraId="0A507C5B" w14:textId="77777777" w:rsidR="005F5184" w:rsidRPr="003163C7" w:rsidRDefault="005F5184" w:rsidP="005F5184">
      <w:pPr>
        <w:pStyle w:val="ParaNoNdepar-AltN"/>
        <w:rPr>
          <w:rFonts w:cs="Times New Roman"/>
        </w:rPr>
      </w:pPr>
      <w:r w:rsidRPr="003163C7">
        <w:rPr>
          <w:rFonts w:eastAsiaTheme="minorHAnsi" w:cs="Times New Roman"/>
        </w:rPr>
        <w:t xml:space="preserve">Ontario public school boards do not fit under the second branch of </w:t>
      </w:r>
      <w:r w:rsidRPr="003163C7">
        <w:rPr>
          <w:rFonts w:eastAsiaTheme="minorHAnsi" w:cs="Times New Roman"/>
          <w:i/>
        </w:rPr>
        <w:t>Eldridge</w:t>
      </w:r>
      <w:r w:rsidRPr="003163C7">
        <w:rPr>
          <w:rFonts w:eastAsiaTheme="minorHAnsi" w:cs="Times New Roman"/>
        </w:rPr>
        <w:t xml:space="preserve">. </w:t>
      </w:r>
      <w:r w:rsidRPr="003163C7">
        <w:rPr>
          <w:rFonts w:cs="Times New Roman"/>
          <w:szCs w:val="24"/>
        </w:rPr>
        <w:t xml:space="preserve">They are not private entities carrying out a governmental activity. All actions carried on by Ontario public school boards are subject to </w:t>
      </w:r>
      <w:r w:rsidRPr="003163C7">
        <w:rPr>
          <w:rFonts w:cs="Times New Roman"/>
          <w:i/>
          <w:szCs w:val="24"/>
        </w:rPr>
        <w:t xml:space="preserve">Charter </w:t>
      </w:r>
      <w:r w:rsidRPr="003163C7">
        <w:rPr>
          <w:rFonts w:cs="Times New Roman"/>
          <w:szCs w:val="24"/>
        </w:rPr>
        <w:t xml:space="preserve">scrutiny, including the </w:t>
      </w:r>
      <w:r w:rsidRPr="003163C7">
        <w:rPr>
          <w:rFonts w:cs="Times New Roman"/>
        </w:rPr>
        <w:t>p</w:t>
      </w:r>
      <w:r w:rsidRPr="003163C7">
        <w:rPr>
          <w:rFonts w:cs="Times New Roman"/>
          <w:szCs w:val="24"/>
        </w:rPr>
        <w:t>rincipal’s actions, in this case, as he acted in his official capacity as an agent of the Board, a statutory delegate, “and not in his personal capacity” (</w:t>
      </w:r>
      <w:proofErr w:type="spellStart"/>
      <w:r w:rsidRPr="003163C7">
        <w:rPr>
          <w:rFonts w:cs="Times New Roman"/>
          <w:i/>
        </w:rPr>
        <w:t>Gillies</w:t>
      </w:r>
      <w:proofErr w:type="spellEnd"/>
      <w:r w:rsidRPr="003163C7">
        <w:rPr>
          <w:rFonts w:cs="Times New Roman"/>
        </w:rPr>
        <w:t>, at para. 40).</w:t>
      </w:r>
      <w:r w:rsidRPr="003163C7">
        <w:rPr>
          <w:rFonts w:cs="Times New Roman"/>
          <w:szCs w:val="24"/>
        </w:rPr>
        <w:t xml:space="preserve"> </w:t>
      </w:r>
    </w:p>
    <w:p w14:paraId="4CBF5B91" w14:textId="77777777" w:rsidR="005F5184" w:rsidRPr="003163C7" w:rsidRDefault="005F5184" w:rsidP="005F5184">
      <w:pPr>
        <w:pStyle w:val="ParaNoNdepar-AltN"/>
        <w:rPr>
          <w:rFonts w:cs="Times New Roman"/>
          <w:szCs w:val="24"/>
        </w:rPr>
      </w:pPr>
      <w:r w:rsidRPr="003163C7">
        <w:rPr>
          <w:rFonts w:cs="Times New Roman"/>
        </w:rPr>
        <w:t xml:space="preserve">The purpose of the </w:t>
      </w:r>
      <w:r w:rsidRPr="003163C7">
        <w:rPr>
          <w:rFonts w:cs="Times New Roman"/>
          <w:i/>
        </w:rPr>
        <w:t>Eldridge</w:t>
      </w:r>
      <w:r w:rsidRPr="003163C7">
        <w:rPr>
          <w:rFonts w:cs="Times New Roman"/>
        </w:rPr>
        <w:t xml:space="preserve"> framework is to interpret s. 32(1) so as to ensure that the federal and provincial governments do not evade their constitutional responsibilities under the </w:t>
      </w:r>
      <w:r w:rsidRPr="003163C7">
        <w:rPr>
          <w:rFonts w:cs="Times New Roman"/>
          <w:i/>
        </w:rPr>
        <w:t>Charter</w:t>
      </w:r>
      <w:r w:rsidRPr="003163C7">
        <w:rPr>
          <w:rFonts w:cs="Times New Roman"/>
        </w:rPr>
        <w:t xml:space="preserve"> by delegating governmental functions to non-governmental entities, for example private enterprises (para. 40).</w:t>
      </w:r>
    </w:p>
    <w:p w14:paraId="64289F77" w14:textId="77777777" w:rsidR="005F5184" w:rsidRPr="003163C7" w:rsidRDefault="005F5184" w:rsidP="005F5184">
      <w:pPr>
        <w:pStyle w:val="ParaNoNdepar-AltN"/>
        <w:rPr>
          <w:rFonts w:cs="Times New Roman"/>
          <w:szCs w:val="24"/>
        </w:rPr>
      </w:pPr>
      <w:r w:rsidRPr="003163C7">
        <w:rPr>
          <w:rFonts w:cs="Times New Roman"/>
          <w:szCs w:val="24"/>
        </w:rPr>
        <w:t xml:space="preserve">The analysis above relates specifically to Ontario public school boards. I leave for another day the question of the applicability of the </w:t>
      </w:r>
      <w:r w:rsidRPr="003163C7">
        <w:rPr>
          <w:rFonts w:cs="Times New Roman"/>
          <w:i/>
          <w:szCs w:val="24"/>
        </w:rPr>
        <w:t xml:space="preserve">Charter </w:t>
      </w:r>
      <w:r w:rsidRPr="003163C7">
        <w:rPr>
          <w:rFonts w:cs="Times New Roman"/>
          <w:szCs w:val="24"/>
        </w:rPr>
        <w:t>to public schools in other provinces, or to the operation of private schools.</w:t>
      </w:r>
    </w:p>
    <w:p w14:paraId="057A979D" w14:textId="77777777" w:rsidR="005F5184" w:rsidRPr="003163C7" w:rsidRDefault="005F5184" w:rsidP="005F5184">
      <w:pPr>
        <w:pStyle w:val="Title2LevelTitre2Niveau"/>
        <w:numPr>
          <w:ilvl w:val="1"/>
          <w:numId w:val="8"/>
        </w:numPr>
        <w:spacing w:before="0" w:after="120"/>
        <w:rPr>
          <w:rFonts w:cs="Times New Roman"/>
          <w:szCs w:val="24"/>
        </w:rPr>
      </w:pPr>
      <w:bookmarkStart w:id="97" w:name="_Toc149218064"/>
      <w:bookmarkStart w:id="98" w:name="_Toc151455732"/>
      <w:bookmarkStart w:id="99" w:name="_Toc151736612"/>
      <w:bookmarkStart w:id="100" w:name="_Toc152516449"/>
      <w:bookmarkStart w:id="101" w:name="_Toc152600215"/>
      <w:bookmarkStart w:id="102" w:name="_Toc152697196"/>
      <w:bookmarkStart w:id="103" w:name="_Toc155875207"/>
      <w:bookmarkStart w:id="104" w:name="_Toc158295313"/>
      <w:bookmarkStart w:id="105" w:name="_Toc162277497"/>
      <w:r w:rsidRPr="003163C7">
        <w:rPr>
          <w:rFonts w:cs="Times New Roman"/>
          <w:szCs w:val="24"/>
        </w:rPr>
        <w:t xml:space="preserve">The Arbitrator Erred by Applying </w:t>
      </w:r>
      <w:bookmarkEnd w:id="97"/>
      <w:bookmarkEnd w:id="98"/>
      <w:bookmarkEnd w:id="99"/>
      <w:r w:rsidRPr="003163C7">
        <w:rPr>
          <w:rFonts w:cs="Times New Roman"/>
          <w:szCs w:val="24"/>
        </w:rPr>
        <w:t>the Wrong Analytical Framework</w:t>
      </w:r>
      <w:bookmarkEnd w:id="100"/>
      <w:bookmarkEnd w:id="101"/>
      <w:bookmarkEnd w:id="102"/>
      <w:bookmarkEnd w:id="103"/>
      <w:bookmarkEnd w:id="104"/>
      <w:bookmarkEnd w:id="105"/>
    </w:p>
    <w:p w14:paraId="4B170D6B" w14:textId="77777777" w:rsidR="005F5184" w:rsidRPr="003163C7" w:rsidRDefault="005F5184" w:rsidP="005F5184">
      <w:pPr>
        <w:pStyle w:val="ParaNoNdepar-AltN"/>
        <w:rPr>
          <w:rFonts w:cs="Times New Roman"/>
        </w:rPr>
      </w:pPr>
      <w:r w:rsidRPr="003163C7">
        <w:rPr>
          <w:rFonts w:cs="Times New Roman"/>
        </w:rPr>
        <w:t xml:space="preserve">When the </w:t>
      </w:r>
      <w:r w:rsidRPr="003163C7">
        <w:rPr>
          <w:rFonts w:cs="Times New Roman"/>
          <w:i/>
        </w:rPr>
        <w:t>Charter</w:t>
      </w:r>
      <w:r w:rsidRPr="003163C7">
        <w:rPr>
          <w:rFonts w:cs="Times New Roman"/>
        </w:rPr>
        <w:t xml:space="preserve"> was proclaimed in 1982, its relationship with administrative tribunals was, in Abella J.’s formulation, a “</w:t>
      </w:r>
      <w:r w:rsidRPr="003163C7">
        <w:rPr>
          <w:rFonts w:cs="Times New Roman"/>
          <w:i/>
        </w:rPr>
        <w:t>tabula rasa</w:t>
      </w:r>
      <w:r w:rsidRPr="003163C7">
        <w:rPr>
          <w:rFonts w:cs="Times New Roman"/>
        </w:rPr>
        <w:t>” (</w:t>
      </w:r>
      <w:r w:rsidRPr="003163C7">
        <w:rPr>
          <w:rFonts w:cs="Times New Roman"/>
          <w:i/>
        </w:rPr>
        <w:t>R. v. Conway</w:t>
      </w:r>
      <w:r w:rsidRPr="003163C7">
        <w:rPr>
          <w:rFonts w:cs="Times New Roman"/>
        </w:rPr>
        <w:t xml:space="preserve">, 2010 SCC 22, [2010] 1 S.C.R. 765, at para. 3). I rely on </w:t>
      </w:r>
      <w:r w:rsidRPr="003163C7">
        <w:rPr>
          <w:rFonts w:cs="Times New Roman"/>
          <w:i/>
        </w:rPr>
        <w:t xml:space="preserve">Conway </w:t>
      </w:r>
      <w:r w:rsidRPr="003163C7">
        <w:rPr>
          <w:rFonts w:cs="Times New Roman"/>
        </w:rPr>
        <w:t xml:space="preserve">for the proposition that administrative tribunals — and therefore, the arbitrator in this particular instance — are competent to and tasked with the work of adjudicating </w:t>
      </w:r>
      <w:r w:rsidRPr="003163C7">
        <w:rPr>
          <w:rFonts w:cs="Times New Roman"/>
          <w:i/>
        </w:rPr>
        <w:t xml:space="preserve">Charter </w:t>
      </w:r>
      <w:r w:rsidRPr="003163C7">
        <w:rPr>
          <w:rFonts w:cs="Times New Roman"/>
        </w:rPr>
        <w:t>questions where they arise.</w:t>
      </w:r>
    </w:p>
    <w:p w14:paraId="4E6AA23A" w14:textId="77777777" w:rsidR="005F5184" w:rsidRPr="003163C7" w:rsidRDefault="005F5184" w:rsidP="005F5184">
      <w:pPr>
        <w:pStyle w:val="ParaNoNdepar-AltN"/>
        <w:rPr>
          <w:rFonts w:cs="Times New Roman"/>
        </w:rPr>
      </w:pPr>
      <w:r w:rsidRPr="003163C7">
        <w:rPr>
          <w:rFonts w:cs="Times New Roman"/>
        </w:rPr>
        <w:t xml:space="preserve">It was determined in </w:t>
      </w:r>
      <w:r w:rsidRPr="003163C7">
        <w:rPr>
          <w:rFonts w:cs="Times New Roman"/>
          <w:i/>
        </w:rPr>
        <w:t>Conway</w:t>
      </w:r>
      <w:r w:rsidRPr="003163C7">
        <w:rPr>
          <w:rFonts w:cs="Times New Roman"/>
        </w:rPr>
        <w:t xml:space="preserve"> that there was no need to bifurcate proceedings where a </w:t>
      </w:r>
      <w:r w:rsidRPr="003163C7">
        <w:rPr>
          <w:rFonts w:cs="Times New Roman"/>
          <w:i/>
        </w:rPr>
        <w:t xml:space="preserve">Charter </w:t>
      </w:r>
      <w:r w:rsidRPr="003163C7">
        <w:rPr>
          <w:rFonts w:cs="Times New Roman"/>
        </w:rPr>
        <w:t xml:space="preserve">question arose (para. 22). Further, the principles governing remedial jurisdiction apply in both arenas: there was not a </w:t>
      </w:r>
      <w:r w:rsidRPr="003163C7">
        <w:rPr>
          <w:rFonts w:cs="Times New Roman"/>
          <w:i/>
        </w:rPr>
        <w:t>Charter</w:t>
      </w:r>
      <w:r w:rsidRPr="003163C7">
        <w:rPr>
          <w:rFonts w:cs="Times New Roman"/>
        </w:rPr>
        <w:t xml:space="preserve"> for the courts and another for administrative tribunals (para. 20, citing </w:t>
      </w:r>
      <w:r w:rsidRPr="003163C7">
        <w:rPr>
          <w:rFonts w:cs="Times New Roman"/>
          <w:i/>
        </w:rPr>
        <w:t>Cooper v. Canada (Human Rights Commission</w:t>
      </w:r>
      <w:r w:rsidRPr="003163C7">
        <w:rPr>
          <w:rFonts w:cs="Times New Roman"/>
        </w:rPr>
        <w:t xml:space="preserve">), [1996] 3 S.C.R. 854, at para. 70, per McLachlin J., dissenting). </w:t>
      </w:r>
    </w:p>
    <w:p w14:paraId="6BDE7B89" w14:textId="77777777" w:rsidR="005F5184" w:rsidRPr="003163C7" w:rsidRDefault="005F5184" w:rsidP="005F5184">
      <w:pPr>
        <w:pStyle w:val="ParaNoNdepar-AltN"/>
        <w:rPr>
          <w:rFonts w:cs="Times New Roman"/>
        </w:rPr>
      </w:pPr>
      <w:r w:rsidRPr="003163C7">
        <w:rPr>
          <w:rFonts w:cs="Times New Roman"/>
        </w:rPr>
        <w:t xml:space="preserve">In determining whether to attribute </w:t>
      </w:r>
      <w:r w:rsidRPr="003163C7">
        <w:rPr>
          <w:rFonts w:cs="Times New Roman"/>
          <w:i/>
        </w:rPr>
        <w:t xml:space="preserve">Charter </w:t>
      </w:r>
      <w:r w:rsidRPr="003163C7">
        <w:rPr>
          <w:rFonts w:cs="Times New Roman"/>
        </w:rPr>
        <w:t>jurisdiction to a tribunal, this Court must ask itself whether the tribunal has the power to decide questions of law (</w:t>
      </w:r>
      <w:r w:rsidRPr="003163C7">
        <w:rPr>
          <w:rFonts w:cs="Times New Roman"/>
          <w:i/>
        </w:rPr>
        <w:t>Conway</w:t>
      </w:r>
      <w:r w:rsidRPr="003163C7">
        <w:rPr>
          <w:rFonts w:cs="Times New Roman"/>
        </w:rPr>
        <w:t>,</w:t>
      </w:r>
      <w:r w:rsidRPr="003163C7">
        <w:rPr>
          <w:rFonts w:cs="Times New Roman"/>
          <w:i/>
        </w:rPr>
        <w:t xml:space="preserve"> </w:t>
      </w:r>
      <w:r w:rsidRPr="003163C7">
        <w:rPr>
          <w:rFonts w:cs="Times New Roman"/>
        </w:rPr>
        <w:t xml:space="preserve">at para. 22). If so, it can determine </w:t>
      </w:r>
      <w:r w:rsidRPr="003163C7">
        <w:rPr>
          <w:rFonts w:cs="Times New Roman"/>
          <w:i/>
        </w:rPr>
        <w:t xml:space="preserve">Charter </w:t>
      </w:r>
      <w:r w:rsidRPr="003163C7">
        <w:rPr>
          <w:rFonts w:cs="Times New Roman"/>
        </w:rPr>
        <w:t xml:space="preserve">questions. The arbitrator in this case meets that criteria, as it is broadly empowered to answer questions regarding “all differences between the parties arising from the interpretation, application, administration or alleged violation of the agreement, including any question as to whether a matter is </w:t>
      </w:r>
      <w:proofErr w:type="spellStart"/>
      <w:r w:rsidRPr="003163C7">
        <w:rPr>
          <w:rFonts w:cs="Times New Roman"/>
        </w:rPr>
        <w:t>arbitrable</w:t>
      </w:r>
      <w:proofErr w:type="spellEnd"/>
      <w:r w:rsidRPr="003163C7">
        <w:rPr>
          <w:rFonts w:cs="Times New Roman"/>
        </w:rPr>
        <w:t>” (</w:t>
      </w:r>
      <w:r w:rsidRPr="003163C7">
        <w:rPr>
          <w:rFonts w:cs="Times New Roman"/>
          <w:i/>
        </w:rPr>
        <w:t>Labour Relations Act, 1995</w:t>
      </w:r>
      <w:r w:rsidRPr="003163C7">
        <w:rPr>
          <w:rFonts w:cs="Times New Roman"/>
        </w:rPr>
        <w:t xml:space="preserve">, S.O. 1995, c. 1, Sched. A, s. 48(1)). </w:t>
      </w:r>
    </w:p>
    <w:p w14:paraId="51362942" w14:textId="77777777" w:rsidR="005F5184" w:rsidRPr="003163C7" w:rsidRDefault="005F5184" w:rsidP="005F5184">
      <w:pPr>
        <w:pStyle w:val="ParaNoNdepar-AltN"/>
        <w:rPr>
          <w:rFonts w:cs="Times New Roman"/>
        </w:rPr>
      </w:pPr>
      <w:r w:rsidRPr="003163C7">
        <w:rPr>
          <w:rFonts w:cs="Times New Roman"/>
        </w:rPr>
        <w:t>Further, administrative tribunals with the power to decide questions of law, and from whom constitutional jurisdiction has not been clearly withdrawn:</w:t>
      </w:r>
    </w:p>
    <w:p w14:paraId="25D9B7CC" w14:textId="77777777" w:rsidR="005F5184" w:rsidRPr="003163C7" w:rsidRDefault="005F5184" w:rsidP="005F5184">
      <w:pPr>
        <w:pStyle w:val="ParaNoNdepar-AltN"/>
        <w:numPr>
          <w:ilvl w:val="1"/>
          <w:numId w:val="6"/>
        </w:numPr>
        <w:ind w:left="1843" w:hanging="709"/>
        <w:rPr>
          <w:rFonts w:cs="Times New Roman"/>
        </w:rPr>
      </w:pPr>
      <w:r w:rsidRPr="003163C7">
        <w:rPr>
          <w:rFonts w:cs="Times New Roman"/>
        </w:rPr>
        <w:t xml:space="preserve">have the authority to resolve constitutional questions that are </w:t>
      </w:r>
      <w:r w:rsidRPr="003163C7">
        <w:rPr>
          <w:rFonts w:cs="Times New Roman"/>
          <w:i/>
        </w:rPr>
        <w:t xml:space="preserve">linked to </w:t>
      </w:r>
      <w:r w:rsidRPr="003163C7">
        <w:rPr>
          <w:rFonts w:cs="Times New Roman"/>
        </w:rPr>
        <w:t>matters properly before them; and</w:t>
      </w:r>
    </w:p>
    <w:p w14:paraId="2C6CD963" w14:textId="77777777" w:rsidR="005F5184" w:rsidRPr="003163C7" w:rsidRDefault="005F5184" w:rsidP="005F5184">
      <w:pPr>
        <w:pStyle w:val="ParaNoNdepar-AltN"/>
        <w:numPr>
          <w:ilvl w:val="1"/>
          <w:numId w:val="6"/>
        </w:numPr>
        <w:ind w:left="1843" w:hanging="709"/>
        <w:rPr>
          <w:rFonts w:cs="Times New Roman"/>
        </w:rPr>
      </w:pPr>
      <w:proofErr w:type="gramStart"/>
      <w:r w:rsidRPr="003163C7">
        <w:rPr>
          <w:rFonts w:cs="Times New Roman"/>
          <w:i/>
        </w:rPr>
        <w:t>must</w:t>
      </w:r>
      <w:proofErr w:type="gramEnd"/>
      <w:r w:rsidRPr="003163C7">
        <w:rPr>
          <w:rFonts w:cs="Times New Roman"/>
          <w:i/>
        </w:rPr>
        <w:t xml:space="preserve"> </w:t>
      </w:r>
      <w:r w:rsidRPr="003163C7">
        <w:rPr>
          <w:rFonts w:cs="Times New Roman"/>
        </w:rPr>
        <w:t xml:space="preserve">act consistently with the </w:t>
      </w:r>
      <w:r w:rsidRPr="003163C7">
        <w:rPr>
          <w:rFonts w:cs="Times New Roman"/>
          <w:i/>
        </w:rPr>
        <w:t xml:space="preserve">Charter </w:t>
      </w:r>
      <w:r w:rsidRPr="003163C7">
        <w:rPr>
          <w:rFonts w:cs="Times New Roman"/>
        </w:rPr>
        <w:t>and its values when exercising its statutory function (</w:t>
      </w:r>
      <w:r w:rsidRPr="003163C7">
        <w:rPr>
          <w:rFonts w:cs="Times New Roman"/>
          <w:i/>
        </w:rPr>
        <w:t>Conway</w:t>
      </w:r>
      <w:r w:rsidRPr="003163C7">
        <w:rPr>
          <w:rFonts w:cs="Times New Roman"/>
        </w:rPr>
        <w:t>,</w:t>
      </w:r>
      <w:r w:rsidRPr="003163C7">
        <w:rPr>
          <w:rFonts w:cs="Times New Roman"/>
          <w:i/>
        </w:rPr>
        <w:t xml:space="preserve"> </w:t>
      </w:r>
      <w:r w:rsidRPr="003163C7">
        <w:rPr>
          <w:rFonts w:cs="Times New Roman"/>
        </w:rPr>
        <w:t>at para. 78).</w:t>
      </w:r>
    </w:p>
    <w:p w14:paraId="66DC815B" w14:textId="77777777" w:rsidR="005F5184" w:rsidRPr="003163C7" w:rsidRDefault="005F5184" w:rsidP="005F5184">
      <w:pPr>
        <w:pStyle w:val="ParaNoNdepar-AltN"/>
        <w:rPr>
          <w:rFonts w:cs="Times New Roman"/>
        </w:rPr>
      </w:pPr>
      <w:r w:rsidRPr="003163C7">
        <w:rPr>
          <w:rFonts w:cs="Times New Roman"/>
        </w:rPr>
        <w:t xml:space="preserve">The principles governing remedial jurisdiction under the </w:t>
      </w:r>
      <w:r w:rsidRPr="003163C7">
        <w:rPr>
          <w:rFonts w:cs="Times New Roman"/>
          <w:i/>
        </w:rPr>
        <w:t>Charter</w:t>
      </w:r>
      <w:r w:rsidRPr="003163C7">
        <w:rPr>
          <w:rFonts w:cs="Times New Roman"/>
        </w:rPr>
        <w:t xml:space="preserve"> apply to both courts and administrative tribunals. Tribunals should play a primary role in the determination of </w:t>
      </w:r>
      <w:r w:rsidRPr="003163C7">
        <w:rPr>
          <w:rFonts w:cs="Times New Roman"/>
          <w:i/>
        </w:rPr>
        <w:t>Charter</w:t>
      </w:r>
      <w:r w:rsidRPr="003163C7">
        <w:rPr>
          <w:rFonts w:cs="Times New Roman"/>
        </w:rPr>
        <w:t xml:space="preserve"> issues falling within their specialized jurisdiction (i.e.,</w:t>
      </w:r>
      <w:r w:rsidRPr="003163C7">
        <w:rPr>
          <w:rFonts w:cs="Times New Roman"/>
          <w:i/>
        </w:rPr>
        <w:t xml:space="preserve"> </w:t>
      </w:r>
      <w:r w:rsidRPr="003163C7">
        <w:rPr>
          <w:rFonts w:cs="Times New Roman"/>
        </w:rPr>
        <w:t xml:space="preserve">where the essential factual character of the matter falls within the tribunal’s specialized statutory jurisdiction). In exercising their statutory discretion, tribunals must comply with the </w:t>
      </w:r>
      <w:r w:rsidRPr="003163C7">
        <w:rPr>
          <w:rFonts w:cs="Times New Roman"/>
          <w:i/>
        </w:rPr>
        <w:t>Charter</w:t>
      </w:r>
      <w:r w:rsidRPr="003163C7">
        <w:rPr>
          <w:rFonts w:cs="Times New Roman"/>
        </w:rPr>
        <w:t xml:space="preserve"> (</w:t>
      </w:r>
      <w:r w:rsidRPr="003163C7">
        <w:rPr>
          <w:rFonts w:cs="Times New Roman"/>
          <w:i/>
        </w:rPr>
        <w:t>Conway</w:t>
      </w:r>
      <w:r w:rsidRPr="003163C7">
        <w:rPr>
          <w:rFonts w:cs="Times New Roman"/>
        </w:rPr>
        <w:t>, at paras. 20-21 and 78-81).</w:t>
      </w:r>
    </w:p>
    <w:p w14:paraId="345B6A75" w14:textId="77777777" w:rsidR="005F5184" w:rsidRPr="003163C7" w:rsidRDefault="005F5184" w:rsidP="005F5184">
      <w:pPr>
        <w:pStyle w:val="ParaNoNdepar-AltN"/>
        <w:rPr>
          <w:rFonts w:cs="Times New Roman"/>
        </w:rPr>
      </w:pPr>
      <w:r w:rsidRPr="003163C7">
        <w:rPr>
          <w:rFonts w:cs="Times New Roman"/>
        </w:rPr>
        <w:t xml:space="preserve">This is, in part, an access to justice issue. There are practical advantages and a constitutional basis for allowing Canadians to assert their </w:t>
      </w:r>
      <w:r w:rsidRPr="003163C7">
        <w:rPr>
          <w:rFonts w:cs="Times New Roman"/>
          <w:i/>
        </w:rPr>
        <w:t>Charter</w:t>
      </w:r>
      <w:r w:rsidRPr="003163C7">
        <w:rPr>
          <w:rFonts w:cs="Times New Roman"/>
        </w:rPr>
        <w:t xml:space="preserve"> rights in the most accessible forum available (</w:t>
      </w:r>
      <w:r w:rsidRPr="003163C7">
        <w:rPr>
          <w:rFonts w:cs="Times New Roman"/>
          <w:i/>
        </w:rPr>
        <w:t>Conway</w:t>
      </w:r>
      <w:r w:rsidRPr="003163C7">
        <w:rPr>
          <w:rFonts w:cs="Times New Roman"/>
        </w:rPr>
        <w:t>,</w:t>
      </w:r>
      <w:r w:rsidRPr="003163C7">
        <w:rPr>
          <w:rFonts w:cs="Times New Roman"/>
          <w:i/>
        </w:rPr>
        <w:t xml:space="preserve"> </w:t>
      </w:r>
      <w:r w:rsidRPr="003163C7">
        <w:rPr>
          <w:rFonts w:cs="Times New Roman"/>
        </w:rPr>
        <w:t xml:space="preserve">at para. 79). </w:t>
      </w:r>
      <w:r w:rsidRPr="003163C7">
        <w:rPr>
          <w:rFonts w:cs="Times New Roman"/>
          <w:i/>
        </w:rPr>
        <w:t>Charter</w:t>
      </w:r>
      <w:r w:rsidRPr="003163C7">
        <w:rPr>
          <w:rFonts w:cs="Times New Roman"/>
        </w:rPr>
        <w:t xml:space="preserve"> rights can be effectively vindicated through the exercise of statutory powers and processes, meaning that claimants do not need to have separate recourse to the courts for their </w:t>
      </w:r>
      <w:r w:rsidRPr="003163C7">
        <w:rPr>
          <w:rFonts w:cs="Times New Roman"/>
          <w:i/>
        </w:rPr>
        <w:t xml:space="preserve">Charter </w:t>
      </w:r>
      <w:r w:rsidRPr="003163C7">
        <w:rPr>
          <w:rFonts w:cs="Times New Roman"/>
        </w:rPr>
        <w:t>rights to be vindicated (</w:t>
      </w:r>
      <w:r w:rsidRPr="003163C7">
        <w:rPr>
          <w:rFonts w:cs="Times New Roman"/>
          <w:i/>
        </w:rPr>
        <w:t>Conway</w:t>
      </w:r>
      <w:r w:rsidRPr="003163C7">
        <w:rPr>
          <w:rFonts w:cs="Times New Roman"/>
        </w:rPr>
        <w:t>,</w:t>
      </w:r>
      <w:r w:rsidRPr="003163C7">
        <w:rPr>
          <w:rFonts w:cs="Times New Roman"/>
          <w:i/>
        </w:rPr>
        <w:t xml:space="preserve"> </w:t>
      </w:r>
      <w:r w:rsidRPr="003163C7">
        <w:rPr>
          <w:rFonts w:cs="Times New Roman"/>
        </w:rPr>
        <w:t xml:space="preserve">at para. 103). </w:t>
      </w:r>
    </w:p>
    <w:p w14:paraId="320FE1A6" w14:textId="77777777" w:rsidR="005F5184" w:rsidRPr="003163C7" w:rsidRDefault="005F5184" w:rsidP="005F5184">
      <w:pPr>
        <w:pStyle w:val="ParaNoNdepar-AltN"/>
        <w:rPr>
          <w:rFonts w:cs="Times New Roman"/>
        </w:rPr>
      </w:pPr>
      <w:r w:rsidRPr="003163C7">
        <w:rPr>
          <w:rFonts w:cs="Times New Roman"/>
        </w:rPr>
        <w:t xml:space="preserve">Where a </w:t>
      </w:r>
      <w:r w:rsidRPr="003163C7">
        <w:rPr>
          <w:rFonts w:cs="Times New Roman"/>
          <w:i/>
        </w:rPr>
        <w:t xml:space="preserve">Charter </w:t>
      </w:r>
      <w:r w:rsidRPr="003163C7">
        <w:rPr>
          <w:rFonts w:cs="Times New Roman"/>
        </w:rPr>
        <w:t xml:space="preserve">right applies, an administrative decision-maker should perform an analysis that is consistent with the relevant </w:t>
      </w:r>
      <w:r w:rsidRPr="003163C7">
        <w:rPr>
          <w:rFonts w:cs="Times New Roman"/>
          <w:i/>
        </w:rPr>
        <w:t xml:space="preserve">Charter </w:t>
      </w:r>
      <w:r w:rsidRPr="003163C7">
        <w:rPr>
          <w:rFonts w:cs="Times New Roman"/>
        </w:rPr>
        <w:t xml:space="preserve">provision. Administrative tribunals are empowered — and, for the effective administration of justice, called upon — to conduct an analysis consistent with the </w:t>
      </w:r>
      <w:r w:rsidRPr="003163C7">
        <w:rPr>
          <w:rFonts w:cs="Times New Roman"/>
          <w:i/>
        </w:rPr>
        <w:t xml:space="preserve">Charter </w:t>
      </w:r>
      <w:r w:rsidRPr="003163C7">
        <w:rPr>
          <w:rFonts w:cs="Times New Roman"/>
        </w:rPr>
        <w:t>where a claimant’s constitutional rights apply (</w:t>
      </w:r>
      <w:r w:rsidRPr="003163C7">
        <w:rPr>
          <w:rFonts w:cs="Times New Roman"/>
          <w:i/>
        </w:rPr>
        <w:t>Conway</w:t>
      </w:r>
      <w:r w:rsidRPr="003163C7">
        <w:rPr>
          <w:rFonts w:cs="Times New Roman"/>
        </w:rPr>
        <w:t>, at paras. 78-81;</w:t>
      </w:r>
      <w:r w:rsidRPr="003163C7">
        <w:rPr>
          <w:rFonts w:cs="Times New Roman"/>
          <w:i/>
        </w:rPr>
        <w:t xml:space="preserve"> R. v. Bird</w:t>
      </w:r>
      <w:r w:rsidRPr="003163C7">
        <w:rPr>
          <w:rFonts w:cs="Times New Roman"/>
        </w:rPr>
        <w:t xml:space="preserve">, 2019 SCC 7, [2019] 1 S.C.R. 409, at para. 52). It was therefore incumbent on the arbitrator to proactively address the s. 8 issue that manifested itself on the facts of the grievance. It is insufficient to revert to a separate “well developed arbitral common law” privacy right framework, or to another framework, as the arbitrator did in this instance (A.F., at para. 13). As I have explained, the </w:t>
      </w:r>
      <w:r w:rsidRPr="003163C7">
        <w:rPr>
          <w:rFonts w:cs="Times New Roman"/>
          <w:i/>
        </w:rPr>
        <w:t xml:space="preserve">Charter </w:t>
      </w:r>
      <w:r w:rsidRPr="003163C7">
        <w:rPr>
          <w:rFonts w:cs="Times New Roman"/>
        </w:rPr>
        <w:t>and relevant s. 8 jurisprudence were legal constraints that applied to the arbitrator’s decision (</w:t>
      </w:r>
      <w:r w:rsidRPr="003163C7">
        <w:rPr>
          <w:rFonts w:cs="Times New Roman"/>
          <w:i/>
        </w:rPr>
        <w:t>Vavilov</w:t>
      </w:r>
      <w:r w:rsidRPr="003163C7">
        <w:rPr>
          <w:rFonts w:cs="Times New Roman"/>
        </w:rPr>
        <w:t xml:space="preserve">, at para. 101). In other words, the arbitrator was required to decide the grievance consistent with the requirements of s. 8. This would properly entail drawing on both the relevant body of arbitral decisions and the s. 8 jurisprudence. </w:t>
      </w:r>
    </w:p>
    <w:p w14:paraId="26505A4C" w14:textId="77777777" w:rsidR="005F5184" w:rsidRPr="003163C7" w:rsidRDefault="005F5184" w:rsidP="005F5184">
      <w:pPr>
        <w:pStyle w:val="ParaNoNdepar-AltN"/>
        <w:rPr>
          <w:rFonts w:cs="Times New Roman"/>
        </w:rPr>
      </w:pPr>
      <w:r w:rsidRPr="003163C7">
        <w:rPr>
          <w:rFonts w:cs="Times New Roman"/>
        </w:rPr>
        <w:t xml:space="preserve">The arbitrator approached her task differently. She conducted an analysis by reference to management rights versus the privacy interests of employees. However, arbitrators cannot disregard the </w:t>
      </w:r>
      <w:r w:rsidRPr="003163C7">
        <w:rPr>
          <w:rFonts w:cs="Times New Roman"/>
          <w:i/>
        </w:rPr>
        <w:t>Charter</w:t>
      </w:r>
      <w:r w:rsidRPr="003163C7">
        <w:rPr>
          <w:rFonts w:cs="Times New Roman"/>
        </w:rPr>
        <w:t>’s requirements where it applies by applying another analytical framework, even by consent.</w:t>
      </w:r>
    </w:p>
    <w:p w14:paraId="73A4E9E7" w14:textId="77777777" w:rsidR="005F5184" w:rsidRPr="003163C7" w:rsidRDefault="005F5184" w:rsidP="005F5184">
      <w:pPr>
        <w:pStyle w:val="ParaNoNdepar-AltN"/>
        <w:rPr>
          <w:rFonts w:cs="Times New Roman"/>
        </w:rPr>
      </w:pPr>
      <w:r w:rsidRPr="003163C7">
        <w:rPr>
          <w:rFonts w:cs="Times New Roman"/>
        </w:rPr>
        <w:t>That said, s. 8 engages a highly contextual analysis, in that it contains internal limits. To give effect to these internal limits, arbitrators can properly have regard to the employment context, including the collective agreement. But they still must conduct an analysis consistent with s. 8.</w:t>
      </w:r>
    </w:p>
    <w:p w14:paraId="18AE2A06" w14:textId="77777777" w:rsidR="005F5184" w:rsidRPr="003163C7" w:rsidRDefault="005F5184" w:rsidP="005F5184">
      <w:pPr>
        <w:pStyle w:val="ParaNoNdepar-AltN"/>
        <w:tabs>
          <w:tab w:val="clear" w:pos="1152"/>
          <w:tab w:val="left" w:pos="1166"/>
        </w:tabs>
        <w:rPr>
          <w:rFonts w:cs="Times New Roman"/>
        </w:rPr>
      </w:pPr>
      <w:r w:rsidRPr="003163C7">
        <w:rPr>
          <w:rFonts w:cs="Times New Roman"/>
        </w:rPr>
        <w:t xml:space="preserve">The appellant and my colleagues suggest that while the arbitrator did not </w:t>
      </w:r>
      <w:r w:rsidRPr="003163C7">
        <w:rPr>
          <w:rFonts w:cs="Times New Roman"/>
          <w:i/>
        </w:rPr>
        <w:t xml:space="preserve">say </w:t>
      </w:r>
      <w:r w:rsidRPr="003163C7">
        <w:rPr>
          <w:rFonts w:cs="Times New Roman"/>
        </w:rPr>
        <w:t xml:space="preserve">that she was doing </w:t>
      </w:r>
      <w:proofErr w:type="gramStart"/>
      <w:r w:rsidRPr="003163C7">
        <w:rPr>
          <w:rFonts w:cs="Times New Roman"/>
        </w:rPr>
        <w:t>a</w:t>
      </w:r>
      <w:proofErr w:type="gramEnd"/>
      <w:r w:rsidRPr="003163C7">
        <w:rPr>
          <w:rFonts w:cs="Times New Roman"/>
        </w:rPr>
        <w:t xml:space="preserve"> s. 8 analysis, that is what, in effect, she </w:t>
      </w:r>
      <w:r w:rsidRPr="003163C7">
        <w:rPr>
          <w:rFonts w:cs="Times New Roman"/>
          <w:i/>
        </w:rPr>
        <w:t>did</w:t>
      </w:r>
      <w:r w:rsidRPr="003163C7">
        <w:rPr>
          <w:rFonts w:cs="Times New Roman"/>
        </w:rPr>
        <w:t xml:space="preserve">. This is not persuasive. First and foremost, under the </w:t>
      </w:r>
      <w:r w:rsidRPr="003163C7">
        <w:rPr>
          <w:rFonts w:cs="Times New Roman"/>
          <w:i/>
        </w:rPr>
        <w:t xml:space="preserve">Vavilov </w:t>
      </w:r>
      <w:r w:rsidRPr="003163C7">
        <w:rPr>
          <w:rFonts w:cs="Times New Roman"/>
        </w:rPr>
        <w:t xml:space="preserve">framework, I am required to have regard to the justification for the decision </w:t>
      </w:r>
      <w:r w:rsidRPr="003163C7">
        <w:rPr>
          <w:rFonts w:cs="Times New Roman"/>
          <w:i/>
        </w:rPr>
        <w:t>actually</w:t>
      </w:r>
      <w:r w:rsidRPr="003163C7">
        <w:rPr>
          <w:rFonts w:cs="Times New Roman"/>
        </w:rPr>
        <w:t xml:space="preserve"> given by the decision-maker, and not the justification that the decision-maker </w:t>
      </w:r>
      <w:r w:rsidRPr="003163C7">
        <w:rPr>
          <w:rFonts w:cs="Times New Roman"/>
          <w:i/>
        </w:rPr>
        <w:t>might</w:t>
      </w:r>
      <w:r w:rsidRPr="003163C7">
        <w:rPr>
          <w:rFonts w:cs="Times New Roman"/>
        </w:rPr>
        <w:t xml:space="preserve"> have, but did not, provide. When a </w:t>
      </w:r>
      <w:r w:rsidRPr="003163C7">
        <w:rPr>
          <w:rFonts w:cs="Times New Roman"/>
          <w:i/>
        </w:rPr>
        <w:t xml:space="preserve">Charter </w:t>
      </w:r>
      <w:r w:rsidRPr="003163C7">
        <w:rPr>
          <w:rFonts w:cs="Times New Roman"/>
        </w:rPr>
        <w:t xml:space="preserve">right applies, it is not sufficient that the arbitrator made some references to the </w:t>
      </w:r>
      <w:r w:rsidRPr="003163C7">
        <w:rPr>
          <w:rFonts w:cs="Times New Roman"/>
          <w:i/>
        </w:rPr>
        <w:t xml:space="preserve">Charter </w:t>
      </w:r>
      <w:r w:rsidRPr="003163C7">
        <w:rPr>
          <w:rFonts w:cs="Times New Roman"/>
        </w:rPr>
        <w:t>jurisprudence. Any administrative action must, as a matter of course, always comply with the Constitution (</w:t>
      </w:r>
      <w:r w:rsidRPr="003163C7">
        <w:rPr>
          <w:rFonts w:cs="Times New Roman"/>
          <w:i/>
        </w:rPr>
        <w:t>Vavilov</w:t>
      </w:r>
      <w:r w:rsidRPr="003163C7">
        <w:rPr>
          <w:rFonts w:cs="Times New Roman"/>
        </w:rPr>
        <w:t xml:space="preserve">, at para. 56). However, when a </w:t>
      </w:r>
      <w:r w:rsidRPr="003163C7">
        <w:rPr>
          <w:rFonts w:cs="Times New Roman"/>
          <w:i/>
        </w:rPr>
        <w:t xml:space="preserve">Charter </w:t>
      </w:r>
      <w:r w:rsidRPr="003163C7">
        <w:rPr>
          <w:rFonts w:cs="Times New Roman"/>
        </w:rPr>
        <w:t xml:space="preserve">right applies, there must be clear acknowledgment of and analysis of that right. While I recognize that administrative justice may not always take the form of judicial justice, nowhere in the arbitrator’s reasons, read functionally and holistically, did she indicate that she was considering the Grievors’ s. 8 </w:t>
      </w:r>
      <w:r w:rsidRPr="003163C7">
        <w:rPr>
          <w:rFonts w:cs="Times New Roman"/>
          <w:i/>
        </w:rPr>
        <w:t>Charter</w:t>
      </w:r>
      <w:r w:rsidRPr="003163C7">
        <w:rPr>
          <w:rFonts w:cs="Times New Roman"/>
        </w:rPr>
        <w:t xml:space="preserve"> right. This is so because she failed to appreciate that s. 8 right was directly at stake and instead proceeded to conduct her analysis entirely within the arbitral framework and examined the Grievors’ privacy right solely through the common law lens. This error is fatal. In addition to applying the wrong framework, the arbitrator’s error was compounded by her misapprehension of the content neutral approach, the concept of the biographical core and the doctrine of “plain view” under s. 8 jurisprudence, as observed by the dissenting judge of the Divisional Court as well as the Court of Appeal. In sum, the arbitrator did not do what, as a matter of law, she was required to do, </w:t>
      </w:r>
      <w:proofErr w:type="gramStart"/>
      <w:r w:rsidRPr="003163C7">
        <w:rPr>
          <w:rFonts w:cs="Times New Roman"/>
        </w:rPr>
        <w:t>that</w:t>
      </w:r>
      <w:proofErr w:type="gramEnd"/>
      <w:r w:rsidRPr="003163C7">
        <w:rPr>
          <w:rFonts w:cs="Times New Roman"/>
        </w:rPr>
        <w:t xml:space="preserve"> is to apply the s. 8 </w:t>
      </w:r>
      <w:r w:rsidRPr="003163C7">
        <w:rPr>
          <w:rFonts w:cs="Times New Roman"/>
          <w:i/>
        </w:rPr>
        <w:t xml:space="preserve">Charter </w:t>
      </w:r>
      <w:r w:rsidRPr="003163C7">
        <w:rPr>
          <w:rFonts w:cs="Times New Roman"/>
        </w:rPr>
        <w:t>right.</w:t>
      </w:r>
    </w:p>
    <w:p w14:paraId="6C8ED941" w14:textId="77777777" w:rsidR="005F5184" w:rsidRPr="003163C7" w:rsidRDefault="005F5184" w:rsidP="005F5184">
      <w:pPr>
        <w:pStyle w:val="ParaNoNdepar-AltN"/>
        <w:rPr>
          <w:rFonts w:cs="Times New Roman"/>
        </w:rPr>
      </w:pPr>
      <w:r w:rsidRPr="003163C7">
        <w:rPr>
          <w:rFonts w:eastAsia="Times New Roman" w:cs="Times New Roman"/>
        </w:rPr>
        <w:t xml:space="preserve">Having concluded that the </w:t>
      </w:r>
      <w:r w:rsidRPr="003163C7">
        <w:rPr>
          <w:rFonts w:cs="Times New Roman"/>
        </w:rPr>
        <w:t>a</w:t>
      </w:r>
      <w:r w:rsidRPr="003163C7">
        <w:rPr>
          <w:rFonts w:eastAsia="Times New Roman" w:cs="Times New Roman"/>
        </w:rPr>
        <w:t>rbitrator</w:t>
      </w:r>
      <w:r w:rsidRPr="003163C7">
        <w:rPr>
          <w:rFonts w:cs="Times New Roman"/>
        </w:rPr>
        <w:t>’s decision erred in law</w:t>
      </w:r>
      <w:r w:rsidRPr="003163C7">
        <w:rPr>
          <w:rFonts w:eastAsia="Times New Roman" w:cs="Times New Roman"/>
        </w:rPr>
        <w:t xml:space="preserve">, the proper remedy is to set aside the </w:t>
      </w:r>
      <w:r w:rsidRPr="003163C7">
        <w:rPr>
          <w:rFonts w:cs="Times New Roman"/>
        </w:rPr>
        <w:t>a</w:t>
      </w:r>
      <w:r w:rsidRPr="003163C7">
        <w:rPr>
          <w:rFonts w:eastAsia="Times New Roman" w:cs="Times New Roman"/>
        </w:rPr>
        <w:t xml:space="preserve">rbitrator’s decision and to send the matter back for consideration by the </w:t>
      </w:r>
      <w:r w:rsidRPr="003163C7">
        <w:rPr>
          <w:rFonts w:cs="Times New Roman"/>
        </w:rPr>
        <w:t>a</w:t>
      </w:r>
      <w:r w:rsidRPr="003163C7">
        <w:rPr>
          <w:rFonts w:eastAsia="Times New Roman" w:cs="Times New Roman"/>
        </w:rPr>
        <w:t xml:space="preserve">rbitrator. However, as the matter is now moot, I would simply set aside the </w:t>
      </w:r>
      <w:r w:rsidRPr="003163C7">
        <w:rPr>
          <w:rFonts w:cs="Times New Roman"/>
        </w:rPr>
        <w:t>a</w:t>
      </w:r>
      <w:r w:rsidRPr="003163C7">
        <w:rPr>
          <w:rFonts w:eastAsia="Times New Roman" w:cs="Times New Roman"/>
        </w:rPr>
        <w:t>rbitrator’s decision and leave matters there.</w:t>
      </w:r>
    </w:p>
    <w:p w14:paraId="3F3191D8" w14:textId="77777777" w:rsidR="005F5184" w:rsidRPr="003163C7" w:rsidRDefault="005F5184" w:rsidP="005F5184">
      <w:pPr>
        <w:pStyle w:val="ParaNoNdepar-AltN"/>
        <w:rPr>
          <w:rFonts w:eastAsia="Times New Roman" w:cs="Times New Roman"/>
        </w:rPr>
      </w:pPr>
      <w:r w:rsidRPr="003163C7">
        <w:rPr>
          <w:rFonts w:eastAsia="Times New Roman" w:cs="Times New Roman"/>
        </w:rPr>
        <w:t xml:space="preserve">That said, this Court has received extensive submissions regarding s. 8 and the privacy of school employees more broadly. As well, this was dealt with at length by the Divisional Court and the Court of Appeal. In light of this and of the practical utility of providing general guidance on such matters, I set out the following in </w:t>
      </w:r>
      <w:r w:rsidRPr="003163C7">
        <w:rPr>
          <w:rFonts w:eastAsia="Times New Roman" w:cs="Times New Roman"/>
          <w:i/>
        </w:rPr>
        <w:t>obiter</w:t>
      </w:r>
      <w:r w:rsidRPr="003163C7">
        <w:rPr>
          <w:rFonts w:eastAsia="Times New Roman" w:cs="Times New Roman"/>
        </w:rPr>
        <w:t>.</w:t>
      </w:r>
    </w:p>
    <w:p w14:paraId="6BB4CF6D" w14:textId="77777777" w:rsidR="005F5184" w:rsidRPr="003163C7" w:rsidRDefault="005F5184" w:rsidP="005F5184">
      <w:pPr>
        <w:pStyle w:val="Title2LevelTitre2Niveau"/>
        <w:numPr>
          <w:ilvl w:val="1"/>
          <w:numId w:val="8"/>
        </w:numPr>
        <w:rPr>
          <w:rFonts w:cs="Times New Roman"/>
          <w:szCs w:val="24"/>
        </w:rPr>
      </w:pPr>
      <w:bookmarkStart w:id="106" w:name="_Toc149073664"/>
      <w:bookmarkStart w:id="107" w:name="_Toc151455733"/>
      <w:bookmarkStart w:id="108" w:name="_Toc151736613"/>
      <w:bookmarkStart w:id="109" w:name="_Toc152516450"/>
      <w:bookmarkStart w:id="110" w:name="_Toc152600216"/>
      <w:bookmarkStart w:id="111" w:name="_Toc152697197"/>
      <w:bookmarkStart w:id="112" w:name="_Toc155875208"/>
      <w:bookmarkStart w:id="113" w:name="_Toc158295314"/>
      <w:bookmarkStart w:id="114" w:name="_Toc162277498"/>
      <w:r w:rsidRPr="003163C7">
        <w:rPr>
          <w:rFonts w:cs="Times New Roman"/>
          <w:szCs w:val="24"/>
        </w:rPr>
        <w:t>Public School Teachers Have a Section 8 Charter Right Against Unreasonable Search and Seizure in the Workplace</w:t>
      </w:r>
      <w:bookmarkEnd w:id="106"/>
      <w:bookmarkEnd w:id="107"/>
      <w:bookmarkEnd w:id="108"/>
      <w:bookmarkEnd w:id="109"/>
      <w:bookmarkEnd w:id="110"/>
      <w:bookmarkEnd w:id="111"/>
      <w:bookmarkEnd w:id="112"/>
      <w:bookmarkEnd w:id="113"/>
      <w:bookmarkEnd w:id="114"/>
    </w:p>
    <w:p w14:paraId="12867F23" w14:textId="77777777" w:rsidR="005F5184" w:rsidRPr="003163C7" w:rsidRDefault="005F5184" w:rsidP="005F5184">
      <w:pPr>
        <w:pStyle w:val="ParaNoNdepar-AltN"/>
        <w:rPr>
          <w:rFonts w:cs="Times New Roman"/>
        </w:rPr>
      </w:pPr>
      <w:r w:rsidRPr="003163C7">
        <w:rPr>
          <w:rFonts w:cs="Times New Roman"/>
        </w:rPr>
        <w:t xml:space="preserve">As noted, Ontario public school boards are government for the purpose of s. 32 of the </w:t>
      </w:r>
      <w:r w:rsidRPr="003163C7">
        <w:rPr>
          <w:rFonts w:cs="Times New Roman"/>
          <w:i/>
        </w:rPr>
        <w:t>Charter</w:t>
      </w:r>
      <w:r w:rsidRPr="003163C7">
        <w:rPr>
          <w:rFonts w:cs="Times New Roman"/>
        </w:rPr>
        <w:t xml:space="preserve">; thus, school board employees, including teachers, enjoy rights under s. 8 of the </w:t>
      </w:r>
      <w:r w:rsidRPr="003163C7">
        <w:rPr>
          <w:rFonts w:cs="Times New Roman"/>
          <w:i/>
        </w:rPr>
        <w:t xml:space="preserve">Charter </w:t>
      </w:r>
      <w:r w:rsidRPr="003163C7">
        <w:rPr>
          <w:rFonts w:cs="Times New Roman"/>
        </w:rPr>
        <w:t xml:space="preserve">against unreasonable search and seizure in the workplace. This Court has recognized </w:t>
      </w:r>
      <w:r w:rsidRPr="003163C7">
        <w:rPr>
          <w:rFonts w:eastAsia="Times New Roman" w:cs="Times New Roman"/>
        </w:rPr>
        <w:t xml:space="preserve">s. 8 </w:t>
      </w:r>
      <w:r w:rsidRPr="003163C7">
        <w:rPr>
          <w:rFonts w:eastAsia="Times New Roman" w:cs="Times New Roman"/>
          <w:i/>
        </w:rPr>
        <w:t xml:space="preserve">Charter </w:t>
      </w:r>
      <w:r w:rsidRPr="003163C7">
        <w:rPr>
          <w:rFonts w:eastAsia="Times New Roman" w:cs="Times New Roman"/>
        </w:rPr>
        <w:t>protection beyond the criminal and quasi-criminal context (see</w:t>
      </w:r>
      <w:r w:rsidRPr="003163C7">
        <w:rPr>
          <w:rFonts w:eastAsia="Times New Roman" w:cs="Times New Roman"/>
          <w:i/>
        </w:rPr>
        <w:t xml:space="preserve"> R. v. </w:t>
      </w:r>
      <w:proofErr w:type="spellStart"/>
      <w:r w:rsidRPr="003163C7">
        <w:rPr>
          <w:rFonts w:eastAsia="Times New Roman" w:cs="Times New Roman"/>
          <w:i/>
        </w:rPr>
        <w:t>McKinlay</w:t>
      </w:r>
      <w:proofErr w:type="spellEnd"/>
      <w:r w:rsidRPr="003163C7">
        <w:rPr>
          <w:rFonts w:eastAsia="Times New Roman" w:cs="Times New Roman"/>
          <w:i/>
        </w:rPr>
        <w:t xml:space="preserve"> Transport Ltd.</w:t>
      </w:r>
      <w:r w:rsidRPr="003163C7">
        <w:rPr>
          <w:rFonts w:eastAsia="Times New Roman" w:cs="Times New Roman"/>
        </w:rPr>
        <w:t xml:space="preserve">, [1990] 1 S.C.R. 627 (s. 8 applies to production of documents under the </w:t>
      </w:r>
      <w:r w:rsidRPr="003163C7">
        <w:rPr>
          <w:rFonts w:eastAsia="Times New Roman" w:cs="Times New Roman"/>
          <w:i/>
        </w:rPr>
        <w:t>Income Tax Act</w:t>
      </w:r>
      <w:r w:rsidRPr="003163C7">
        <w:rPr>
          <w:rFonts w:cs="Times New Roman"/>
        </w:rPr>
        <w:t>, R.S.C. 1985, c. 1 (5th Supp.</w:t>
      </w:r>
      <w:r w:rsidRPr="003163C7">
        <w:rPr>
          <w:rFonts w:eastAsia="Times New Roman" w:cs="Times New Roman"/>
        </w:rPr>
        <w:t xml:space="preserve">)); </w:t>
      </w:r>
      <w:proofErr w:type="spellStart"/>
      <w:r w:rsidRPr="003163C7">
        <w:rPr>
          <w:rFonts w:eastAsia="Times New Roman" w:cs="Times New Roman"/>
          <w:i/>
        </w:rPr>
        <w:t>Comité</w:t>
      </w:r>
      <w:proofErr w:type="spellEnd"/>
      <w:r w:rsidRPr="003163C7">
        <w:rPr>
          <w:rFonts w:eastAsia="Times New Roman" w:cs="Times New Roman"/>
          <w:i/>
        </w:rPr>
        <w:t xml:space="preserve"> </w:t>
      </w:r>
      <w:proofErr w:type="spellStart"/>
      <w:r w:rsidRPr="003163C7">
        <w:rPr>
          <w:rFonts w:eastAsia="Times New Roman" w:cs="Times New Roman"/>
          <w:i/>
        </w:rPr>
        <w:t>paritaire</w:t>
      </w:r>
      <w:proofErr w:type="spellEnd"/>
      <w:r w:rsidRPr="003163C7">
        <w:rPr>
          <w:rFonts w:eastAsia="Times New Roman" w:cs="Times New Roman"/>
          <w:i/>
        </w:rPr>
        <w:t xml:space="preserve"> de </w:t>
      </w:r>
      <w:proofErr w:type="spellStart"/>
      <w:r w:rsidRPr="003163C7">
        <w:rPr>
          <w:rFonts w:eastAsia="Times New Roman" w:cs="Times New Roman"/>
          <w:i/>
        </w:rPr>
        <w:t>l’industrie</w:t>
      </w:r>
      <w:proofErr w:type="spellEnd"/>
      <w:r w:rsidRPr="003163C7">
        <w:rPr>
          <w:rFonts w:eastAsia="Times New Roman" w:cs="Times New Roman"/>
          <w:i/>
        </w:rPr>
        <w:t xml:space="preserve"> de la chemise v. Potash</w:t>
      </w:r>
      <w:r w:rsidRPr="003163C7">
        <w:rPr>
          <w:rFonts w:eastAsia="Times New Roman" w:cs="Times New Roman"/>
        </w:rPr>
        <w:t>, [1994] 2 S.C.R. 406 (s. 8 applies to labour inspections under provincial legislation)).</w:t>
      </w:r>
    </w:p>
    <w:p w14:paraId="4CC822FA" w14:textId="77777777" w:rsidR="005F5184" w:rsidRPr="003163C7" w:rsidRDefault="005F5184" w:rsidP="005F5184">
      <w:pPr>
        <w:pStyle w:val="ParaNoNdepar-AltN"/>
        <w:rPr>
          <w:rFonts w:cs="Times New Roman"/>
        </w:rPr>
      </w:pPr>
      <w:r w:rsidRPr="003163C7">
        <w:rPr>
          <w:rFonts w:cs="Times New Roman"/>
        </w:rPr>
        <w:t xml:space="preserve">This Court’s criminal decisions, such as in </w:t>
      </w:r>
      <w:r w:rsidRPr="003163C7">
        <w:rPr>
          <w:rFonts w:cs="Times New Roman"/>
          <w:i/>
        </w:rPr>
        <w:t>R. v. Edwards</w:t>
      </w:r>
      <w:r w:rsidRPr="003163C7">
        <w:rPr>
          <w:rFonts w:cs="Times New Roman"/>
        </w:rPr>
        <w:t xml:space="preserve">, [1996] 1 S.C.R. 128, and particularly in the school context, such as in </w:t>
      </w:r>
      <w:r w:rsidRPr="003163C7">
        <w:rPr>
          <w:rFonts w:cs="Times New Roman"/>
          <w:i/>
        </w:rPr>
        <w:t>Cole</w:t>
      </w:r>
      <w:r w:rsidRPr="003163C7">
        <w:rPr>
          <w:rFonts w:cs="Times New Roman"/>
        </w:rPr>
        <w:t xml:space="preserve">, can assist in determining the existence and scope of a reasonable expectation of privacy in the employment context. However, courts should be cautious in adapting the s. 8 framework from the criminal law context to the employment context. The criminal law context cannot readily be analogized to the context surrounding a principal performing their tasks in accordance with their statutorily mandated role of maintaining order in a school. </w:t>
      </w:r>
      <w:r w:rsidRPr="003163C7">
        <w:rPr>
          <w:rFonts w:eastAsia="Times New Roman" w:cs="Times New Roman"/>
        </w:rPr>
        <w:t>Criminal law thresholds — and considerations related to exigency and law enforcement objectives — should not be the starting point for analysis in the employment context. Rather, in that context, the employer’s operational realities, policies and procedures can be relevant in determining the reasonableness of an employee’s expectation of privacy (</w:t>
      </w:r>
      <w:r w:rsidRPr="003163C7">
        <w:rPr>
          <w:rFonts w:eastAsia="Times New Roman" w:cs="Times New Roman"/>
          <w:i/>
        </w:rPr>
        <w:t>Cole</w:t>
      </w:r>
      <w:r w:rsidRPr="003163C7">
        <w:rPr>
          <w:rFonts w:eastAsia="Times New Roman" w:cs="Times New Roman"/>
        </w:rPr>
        <w:t xml:space="preserve">, at para. 54). </w:t>
      </w:r>
    </w:p>
    <w:p w14:paraId="34F2B2AD" w14:textId="77777777" w:rsidR="005F5184" w:rsidRPr="003163C7" w:rsidRDefault="005F5184" w:rsidP="005F5184">
      <w:pPr>
        <w:pStyle w:val="ParaNoNdepar-AltN"/>
        <w:rPr>
          <w:rFonts w:cs="Times New Roman"/>
        </w:rPr>
      </w:pPr>
      <w:r w:rsidRPr="003163C7">
        <w:rPr>
          <w:rFonts w:cs="Times New Roman"/>
        </w:rPr>
        <w:t xml:space="preserve">Criminal law jurisprudence should not be indiscriminately imported into non-criminal matters. The analysis under s. 8, being contextual, needs to be adapted to occupational realities. </w:t>
      </w:r>
      <w:r w:rsidRPr="003163C7">
        <w:rPr>
          <w:rFonts w:eastAsia="Times New Roman" w:cs="Times New Roman"/>
        </w:rPr>
        <w:t>For instance, this Court has eschewed the requirement of</w:t>
      </w:r>
      <w:r w:rsidRPr="003163C7">
        <w:rPr>
          <w:rFonts w:cs="Times New Roman"/>
        </w:rPr>
        <w:t xml:space="preserve"> prior authorization by a warrant to conduct searches of students by a school authority. In</w:t>
      </w:r>
      <w:r w:rsidRPr="003163C7">
        <w:rPr>
          <w:rFonts w:cs="Times New Roman"/>
          <w:i/>
        </w:rPr>
        <w:t xml:space="preserve"> M. (M.R.)</w:t>
      </w:r>
      <w:r w:rsidRPr="003163C7">
        <w:rPr>
          <w:rFonts w:cs="Times New Roman"/>
        </w:rPr>
        <w:t xml:space="preserve">, Cory J., for the majority, reasoned that such a criminal law requirement was not feasible in this context because school administrators “must be able to respond quickly and effectively to problems that arise in their school” (para. 45). </w:t>
      </w:r>
    </w:p>
    <w:p w14:paraId="5DBD793A" w14:textId="77777777" w:rsidR="005F5184" w:rsidRPr="003163C7" w:rsidRDefault="005F5184" w:rsidP="005F5184">
      <w:pPr>
        <w:pStyle w:val="ParaNoNdepar-AltN"/>
        <w:rPr>
          <w:rFonts w:cs="Times New Roman"/>
        </w:rPr>
      </w:pPr>
      <w:r w:rsidRPr="003163C7">
        <w:rPr>
          <w:rFonts w:eastAsia="Times New Roman" w:cs="Times New Roman"/>
        </w:rPr>
        <w:t xml:space="preserve">In adapting the analysis to the workplace, for example, I agree with the Attorney General of Ontario that </w:t>
      </w:r>
      <w:r w:rsidRPr="003163C7">
        <w:rPr>
          <w:rFonts w:cs="Times New Roman"/>
        </w:rPr>
        <w:t>workplaces vary in terms of the level of regulation and that the consequences for discipline in the employment context are less severe as compared to penal liability in the criminal context (see I.F., at paras. 19-23).</w:t>
      </w:r>
    </w:p>
    <w:p w14:paraId="48E092DE" w14:textId="77777777" w:rsidR="005F5184" w:rsidRPr="003163C7" w:rsidRDefault="005F5184" w:rsidP="005F5184">
      <w:pPr>
        <w:pStyle w:val="Title3LevelTitre3Niveau"/>
        <w:numPr>
          <w:ilvl w:val="2"/>
          <w:numId w:val="8"/>
        </w:numPr>
        <w:rPr>
          <w:rFonts w:cs="Times New Roman"/>
          <w:szCs w:val="24"/>
        </w:rPr>
      </w:pPr>
      <w:bookmarkStart w:id="115" w:name="_Toc150781578"/>
      <w:bookmarkStart w:id="116" w:name="_Toc151455734"/>
      <w:bookmarkStart w:id="117" w:name="_Toc151736614"/>
      <w:bookmarkStart w:id="118" w:name="_Toc152516451"/>
      <w:bookmarkStart w:id="119" w:name="_Toc152600217"/>
      <w:bookmarkStart w:id="120" w:name="_Toc152697198"/>
      <w:bookmarkStart w:id="121" w:name="_Toc155875209"/>
      <w:bookmarkStart w:id="122" w:name="_Toc158295315"/>
      <w:bookmarkStart w:id="123" w:name="_Toc162277499"/>
      <w:r w:rsidRPr="003163C7">
        <w:rPr>
          <w:rFonts w:cs="Times New Roman"/>
          <w:szCs w:val="24"/>
        </w:rPr>
        <w:t>Determining the Reasonable Expectation of Privacy</w:t>
      </w:r>
      <w:bookmarkEnd w:id="115"/>
      <w:bookmarkEnd w:id="116"/>
      <w:bookmarkEnd w:id="117"/>
      <w:bookmarkEnd w:id="118"/>
      <w:bookmarkEnd w:id="119"/>
      <w:bookmarkEnd w:id="120"/>
      <w:bookmarkEnd w:id="121"/>
      <w:bookmarkEnd w:id="122"/>
      <w:bookmarkEnd w:id="123"/>
    </w:p>
    <w:p w14:paraId="6A6F1E98" w14:textId="77777777" w:rsidR="005F5184" w:rsidRPr="003163C7" w:rsidRDefault="005F5184" w:rsidP="005F5184">
      <w:pPr>
        <w:pStyle w:val="ParaNoNdepar-AltN"/>
        <w:rPr>
          <w:rFonts w:cs="Times New Roman"/>
        </w:rPr>
      </w:pPr>
      <w:r w:rsidRPr="003163C7">
        <w:rPr>
          <w:rFonts w:cs="Times New Roman"/>
        </w:rPr>
        <w:t>Whether in criminal or other contexts, s. 8 analysis proceeds in two steps: courts must determine, first, whether there is a reasonable expectation of privacy, and, second, whether the search and seizure is reasonable (</w:t>
      </w:r>
      <w:r w:rsidRPr="003163C7">
        <w:rPr>
          <w:rFonts w:cs="Times New Roman"/>
          <w:i/>
        </w:rPr>
        <w:t>R. v. Tessling</w:t>
      </w:r>
      <w:r w:rsidRPr="003163C7">
        <w:rPr>
          <w:rFonts w:cs="Times New Roman"/>
        </w:rPr>
        <w:t xml:space="preserve">, 2004 SCC 67, [2004] 3 S.C.R. 432, at para. 18, citing </w:t>
      </w:r>
      <w:r w:rsidRPr="003163C7">
        <w:rPr>
          <w:rFonts w:cs="Times New Roman"/>
          <w:i/>
        </w:rPr>
        <w:t>R. v. Plant</w:t>
      </w:r>
      <w:r w:rsidRPr="003163C7">
        <w:rPr>
          <w:rFonts w:cs="Times New Roman"/>
        </w:rPr>
        <w:t>, [1993] 3 S.C.R. 281, at p. 293).</w:t>
      </w:r>
    </w:p>
    <w:p w14:paraId="43F5A627" w14:textId="77777777" w:rsidR="005F5184" w:rsidRPr="003163C7" w:rsidRDefault="005F5184" w:rsidP="005F5184">
      <w:pPr>
        <w:pStyle w:val="ParaNoNdepar-AltN"/>
        <w:rPr>
          <w:rFonts w:cs="Times New Roman"/>
        </w:rPr>
      </w:pPr>
      <w:r w:rsidRPr="003163C7">
        <w:rPr>
          <w:rFonts w:cs="Times New Roman"/>
        </w:rPr>
        <w:t xml:space="preserve">Whether or not state action has interfered with a reasonable expectation of privacy is to be determined based on the “totality of the circumstances”. </w:t>
      </w:r>
      <w:r w:rsidRPr="003163C7">
        <w:rPr>
          <w:rFonts w:cs="Times New Roman"/>
          <w:szCs w:val="24"/>
        </w:rPr>
        <w:t xml:space="preserve">This is dispositive of both the existence and the extent of the reasonable expectation of privacy. </w:t>
      </w:r>
      <w:r w:rsidRPr="003163C7">
        <w:rPr>
          <w:rFonts w:cs="Times New Roman"/>
        </w:rPr>
        <w:t>Four lines of inquiry serve as a guide:</w:t>
      </w:r>
    </w:p>
    <w:p w14:paraId="41F40673" w14:textId="77777777" w:rsidR="005F5184" w:rsidRPr="003163C7" w:rsidRDefault="005F5184" w:rsidP="005F5184">
      <w:pPr>
        <w:pStyle w:val="Citation-AltC"/>
        <w:numPr>
          <w:ilvl w:val="4"/>
          <w:numId w:val="16"/>
        </w:numPr>
        <w:spacing w:line="480" w:lineRule="auto"/>
        <w:ind w:left="1843" w:hanging="709"/>
      </w:pPr>
      <w:r w:rsidRPr="003163C7">
        <w:t>an examination of the subject matter of the search;</w:t>
      </w:r>
    </w:p>
    <w:p w14:paraId="49A85347" w14:textId="77777777" w:rsidR="005F5184" w:rsidRPr="003163C7" w:rsidRDefault="005F5184" w:rsidP="005F5184">
      <w:pPr>
        <w:pStyle w:val="Citation-AltC"/>
        <w:spacing w:line="480" w:lineRule="auto"/>
        <w:ind w:left="1843"/>
      </w:pPr>
    </w:p>
    <w:p w14:paraId="598F9B0A" w14:textId="77777777" w:rsidR="005F5184" w:rsidRPr="003163C7" w:rsidRDefault="005F5184" w:rsidP="005F5184">
      <w:pPr>
        <w:pStyle w:val="Citation-AltC"/>
        <w:numPr>
          <w:ilvl w:val="4"/>
          <w:numId w:val="16"/>
        </w:numPr>
        <w:spacing w:line="480" w:lineRule="auto"/>
        <w:ind w:left="1843" w:hanging="709"/>
      </w:pPr>
      <w:r w:rsidRPr="003163C7">
        <w:t>a determination as to whether the claimant had a direct interest in the subject matter;</w:t>
      </w:r>
    </w:p>
    <w:p w14:paraId="753BBD13" w14:textId="77777777" w:rsidR="005F5184" w:rsidRPr="003163C7" w:rsidRDefault="005F5184" w:rsidP="005F5184">
      <w:pPr>
        <w:pStyle w:val="Citation-AltC"/>
        <w:spacing w:line="480" w:lineRule="auto"/>
        <w:ind w:left="1843"/>
      </w:pPr>
    </w:p>
    <w:p w14:paraId="0FD17811" w14:textId="77777777" w:rsidR="005F5184" w:rsidRPr="003163C7" w:rsidRDefault="005F5184" w:rsidP="005F5184">
      <w:pPr>
        <w:pStyle w:val="Citation-AltC"/>
        <w:numPr>
          <w:ilvl w:val="4"/>
          <w:numId w:val="16"/>
        </w:numPr>
        <w:spacing w:line="480" w:lineRule="auto"/>
        <w:ind w:left="1843" w:hanging="709"/>
      </w:pPr>
      <w:r w:rsidRPr="003163C7">
        <w:t>an inquiry into whether the claimant had a subjective expectation of privacy in the subject matter; and</w:t>
      </w:r>
    </w:p>
    <w:p w14:paraId="71F7E8E2" w14:textId="77777777" w:rsidR="005F5184" w:rsidRPr="003163C7" w:rsidRDefault="005F5184" w:rsidP="005F5184">
      <w:pPr>
        <w:pStyle w:val="Citation-AltC"/>
        <w:spacing w:line="480" w:lineRule="auto"/>
        <w:ind w:left="1843"/>
      </w:pPr>
    </w:p>
    <w:p w14:paraId="4EAE1598" w14:textId="77777777" w:rsidR="005F5184" w:rsidRPr="003163C7" w:rsidRDefault="005F5184" w:rsidP="005F5184">
      <w:pPr>
        <w:pStyle w:val="Citation-AltC"/>
        <w:numPr>
          <w:ilvl w:val="4"/>
          <w:numId w:val="16"/>
        </w:numPr>
        <w:spacing w:line="480" w:lineRule="auto"/>
        <w:ind w:left="1843" w:hanging="709"/>
      </w:pPr>
      <w:r w:rsidRPr="003163C7">
        <w:t xml:space="preserve">an assessment as to whether this subjective expectation of privacy was objectively reasonable </w:t>
      </w:r>
    </w:p>
    <w:p w14:paraId="077F4CDA" w14:textId="77777777" w:rsidR="005F5184" w:rsidRPr="003163C7" w:rsidRDefault="005F5184" w:rsidP="005F5184">
      <w:pPr>
        <w:pStyle w:val="Citation-AltC"/>
        <w:spacing w:line="480" w:lineRule="auto"/>
        <w:ind w:left="0"/>
      </w:pPr>
    </w:p>
    <w:p w14:paraId="39B3F880" w14:textId="77777777" w:rsidR="005F5184" w:rsidRPr="003163C7" w:rsidRDefault="005F5184" w:rsidP="005F5184">
      <w:pPr>
        <w:pStyle w:val="Citation-AltC"/>
        <w:spacing w:before="480" w:after="480" w:line="480" w:lineRule="auto"/>
        <w:ind w:left="0"/>
      </w:pPr>
      <w:r w:rsidRPr="003163C7">
        <w:t>(</w:t>
      </w:r>
      <w:r w:rsidRPr="003163C7">
        <w:rPr>
          <w:i/>
        </w:rPr>
        <w:t>Tessling</w:t>
      </w:r>
      <w:r w:rsidRPr="003163C7">
        <w:t xml:space="preserve">, at paras. 31-32; </w:t>
      </w:r>
      <w:r w:rsidRPr="003163C7">
        <w:rPr>
          <w:i/>
        </w:rPr>
        <w:t>R. v.</w:t>
      </w:r>
      <w:r w:rsidRPr="003163C7">
        <w:t xml:space="preserve"> </w:t>
      </w:r>
      <w:proofErr w:type="spellStart"/>
      <w:r w:rsidRPr="003163C7">
        <w:rPr>
          <w:i/>
        </w:rPr>
        <w:t>Gomboc</w:t>
      </w:r>
      <w:proofErr w:type="spellEnd"/>
      <w:r w:rsidRPr="003163C7">
        <w:t xml:space="preserve">, 2010 SCC 55, [2010] 3 S.C.R. 211, at paras. 18 and 78; </w:t>
      </w:r>
      <w:r w:rsidRPr="003163C7">
        <w:rPr>
          <w:i/>
        </w:rPr>
        <w:t>Cole</w:t>
      </w:r>
      <w:r w:rsidRPr="003163C7">
        <w:t xml:space="preserve">, at para. 40; </w:t>
      </w:r>
      <w:r w:rsidRPr="003163C7">
        <w:rPr>
          <w:i/>
        </w:rPr>
        <w:t>R. v. Patrick</w:t>
      </w:r>
      <w:r w:rsidRPr="003163C7">
        <w:t>, 2009 SCC 17, [2009] 1 S.C.R. 579, at para. 27).</w:t>
      </w:r>
    </w:p>
    <w:p w14:paraId="48510DE8" w14:textId="77777777" w:rsidR="005F5184" w:rsidRPr="003163C7" w:rsidRDefault="005F5184" w:rsidP="005F5184">
      <w:pPr>
        <w:pStyle w:val="ParaNoNdepar-AltN"/>
        <w:rPr>
          <w:rFonts w:cs="Times New Roman"/>
        </w:rPr>
      </w:pPr>
      <w:r w:rsidRPr="003163C7">
        <w:rPr>
          <w:rFonts w:cs="Times New Roman"/>
          <w:szCs w:val="24"/>
        </w:rPr>
        <w:t>Inevitably, the reasonable expectation of privacy takes its colour from context. Thus, the employer’s operational realities, policies and procedures may affect t</w:t>
      </w:r>
      <w:r w:rsidRPr="003163C7">
        <w:rPr>
          <w:rFonts w:eastAsia="Times New Roman" w:cs="Times New Roman"/>
        </w:rPr>
        <w:t>he reasonableness of an employee’s expectation of privacy</w:t>
      </w:r>
      <w:r w:rsidRPr="003163C7">
        <w:rPr>
          <w:rFonts w:cs="Times New Roman"/>
          <w:szCs w:val="24"/>
        </w:rPr>
        <w:t xml:space="preserve"> (</w:t>
      </w:r>
      <w:r w:rsidRPr="003163C7">
        <w:rPr>
          <w:rFonts w:cs="Times New Roman"/>
          <w:i/>
          <w:szCs w:val="24"/>
        </w:rPr>
        <w:t>Cole</w:t>
      </w:r>
      <w:r w:rsidRPr="003163C7">
        <w:rPr>
          <w:rFonts w:cs="Times New Roman"/>
          <w:szCs w:val="24"/>
        </w:rPr>
        <w:t>, at para. 54).</w:t>
      </w:r>
      <w:r w:rsidRPr="003163C7">
        <w:rPr>
          <w:rFonts w:eastAsia="Times New Roman" w:cs="Times New Roman"/>
        </w:rPr>
        <w:t xml:space="preserve"> </w:t>
      </w:r>
      <w:r w:rsidRPr="003163C7">
        <w:rPr>
          <w:rFonts w:cs="Times New Roman"/>
        </w:rPr>
        <w:t>For example, in </w:t>
      </w:r>
      <w:r w:rsidRPr="003163C7">
        <w:rPr>
          <w:rFonts w:cs="Times New Roman"/>
          <w:i/>
        </w:rPr>
        <w:t>Cole</w:t>
      </w:r>
      <w:r w:rsidRPr="003163C7">
        <w:rPr>
          <w:rFonts w:cs="Times New Roman"/>
        </w:rPr>
        <w:t>,</w:t>
      </w:r>
      <w:r w:rsidRPr="003163C7">
        <w:rPr>
          <w:rFonts w:cs="Times New Roman"/>
          <w:i/>
        </w:rPr>
        <w:t xml:space="preserve"> </w:t>
      </w:r>
      <w:r w:rsidRPr="003163C7">
        <w:rPr>
          <w:rFonts w:cs="Times New Roman"/>
        </w:rPr>
        <w:t xml:space="preserve">this Court recognized that the storing of personal information on a computer owned by the employer and the existence of a policy stating that data so stored belongs to the employer would tend to diminish the reasonable expectation of privacy (para. 52). On the other hand, permitting employees to use work laptops for personal purposes would weigh in favour of the existence of a reasonable expectation of privacy (para. 54). </w:t>
      </w:r>
    </w:p>
    <w:p w14:paraId="688F5B17" w14:textId="77777777" w:rsidR="005F5184" w:rsidRPr="003163C7" w:rsidRDefault="005F5184" w:rsidP="005F5184">
      <w:pPr>
        <w:pStyle w:val="Title3LevelTitre3Niveau"/>
        <w:numPr>
          <w:ilvl w:val="2"/>
          <w:numId w:val="8"/>
        </w:numPr>
        <w:rPr>
          <w:rFonts w:cs="Times New Roman"/>
          <w:szCs w:val="24"/>
        </w:rPr>
      </w:pPr>
      <w:bookmarkStart w:id="124" w:name="_Toc150781579"/>
      <w:bookmarkStart w:id="125" w:name="_Toc151455735"/>
      <w:bookmarkStart w:id="126" w:name="_Toc151736615"/>
      <w:bookmarkStart w:id="127" w:name="_Toc152516452"/>
      <w:bookmarkStart w:id="128" w:name="_Toc152600218"/>
      <w:bookmarkStart w:id="129" w:name="_Toc152697199"/>
      <w:bookmarkStart w:id="130" w:name="_Toc155875210"/>
      <w:bookmarkStart w:id="131" w:name="_Toc158295316"/>
      <w:bookmarkStart w:id="132" w:name="_Toc162277500"/>
      <w:r w:rsidRPr="003163C7">
        <w:rPr>
          <w:rFonts w:cs="Times New Roman"/>
          <w:szCs w:val="24"/>
        </w:rPr>
        <w:t>Determining the Reasonableness of a Search</w:t>
      </w:r>
      <w:bookmarkEnd w:id="124"/>
      <w:bookmarkEnd w:id="125"/>
      <w:bookmarkEnd w:id="126"/>
      <w:bookmarkEnd w:id="127"/>
      <w:bookmarkEnd w:id="128"/>
      <w:bookmarkEnd w:id="129"/>
      <w:bookmarkEnd w:id="130"/>
      <w:bookmarkEnd w:id="131"/>
      <w:bookmarkEnd w:id="132"/>
    </w:p>
    <w:p w14:paraId="5EA66B14" w14:textId="77777777" w:rsidR="005F5184" w:rsidRPr="003163C7" w:rsidRDefault="005F5184" w:rsidP="005F5184">
      <w:pPr>
        <w:pStyle w:val="ParaNoNdepar-AltN"/>
        <w:rPr>
          <w:rFonts w:cs="Times New Roman"/>
        </w:rPr>
      </w:pPr>
      <w:r w:rsidRPr="003163C7">
        <w:rPr>
          <w:rFonts w:cs="Times New Roman"/>
        </w:rPr>
        <w:t>In the criminal context, a search or seizure is reasonable if (1) it is authorized by law; (2) the law itself is reasonable; and (3) the manner in which the search or seizure was carried out is reasonable (</w:t>
      </w:r>
      <w:r w:rsidRPr="003163C7">
        <w:rPr>
          <w:rFonts w:cs="Times New Roman"/>
          <w:i/>
        </w:rPr>
        <w:t>Collins</w:t>
      </w:r>
      <w:r w:rsidRPr="003163C7">
        <w:rPr>
          <w:rFonts w:cs="Times New Roman"/>
        </w:rPr>
        <w:t xml:space="preserve">, at p. 278). Similar to the first step of </w:t>
      </w:r>
      <w:proofErr w:type="gramStart"/>
      <w:r w:rsidRPr="003163C7">
        <w:rPr>
          <w:rFonts w:cs="Times New Roman"/>
        </w:rPr>
        <w:t>a</w:t>
      </w:r>
      <w:proofErr w:type="gramEnd"/>
      <w:r w:rsidRPr="003163C7">
        <w:rPr>
          <w:rFonts w:cs="Times New Roman"/>
        </w:rPr>
        <w:t xml:space="preserve"> s. 8 analysis, the </w:t>
      </w:r>
      <w:r w:rsidRPr="003163C7">
        <w:rPr>
          <w:rFonts w:cs="Times New Roman"/>
          <w:i/>
        </w:rPr>
        <w:t xml:space="preserve">Collins </w:t>
      </w:r>
      <w:r w:rsidRPr="003163C7">
        <w:rPr>
          <w:rFonts w:cs="Times New Roman"/>
        </w:rPr>
        <w:t>framework also calls for a contextual assessment. “[Searches that] may be reasonable in the regulatory or civil context may not be reasonable in a criminal or quasi-criminal context” (</w:t>
      </w:r>
      <w:r w:rsidRPr="003163C7">
        <w:rPr>
          <w:rFonts w:cs="Times New Roman"/>
          <w:i/>
          <w:lang w:val="x-none"/>
        </w:rPr>
        <w:t>Thomson Newspapers Ltd. v. Canada (Director of Investigation and Research</w:t>
      </w:r>
      <w:r w:rsidRPr="003163C7">
        <w:rPr>
          <w:rFonts w:cs="Times New Roman"/>
          <w:i/>
        </w:rPr>
        <w:t>, Restrictive Trade Practices Commission</w:t>
      </w:r>
      <w:r w:rsidRPr="003163C7">
        <w:rPr>
          <w:rFonts w:cs="Times New Roman"/>
          <w:i/>
          <w:lang w:val="x-none"/>
        </w:rPr>
        <w:t>)</w:t>
      </w:r>
      <w:r w:rsidRPr="003163C7">
        <w:rPr>
          <w:rFonts w:cs="Times New Roman"/>
          <w:lang w:val="x-none"/>
        </w:rPr>
        <w:t>,</w:t>
      </w:r>
      <w:r w:rsidRPr="003163C7">
        <w:rPr>
          <w:rFonts w:cs="Times New Roman"/>
          <w:i/>
          <w:lang w:val="x-none"/>
        </w:rPr>
        <w:t xml:space="preserve"> </w:t>
      </w:r>
      <w:r w:rsidRPr="003163C7">
        <w:rPr>
          <w:rFonts w:cs="Times New Roman"/>
          <w:lang w:val="x-none"/>
        </w:rPr>
        <w:t>[1990] 1 S</w:t>
      </w:r>
      <w:r w:rsidRPr="003163C7">
        <w:rPr>
          <w:rFonts w:cs="Times New Roman"/>
        </w:rPr>
        <w:t>.</w:t>
      </w:r>
      <w:r w:rsidRPr="003163C7">
        <w:rPr>
          <w:rFonts w:cs="Times New Roman"/>
          <w:lang w:val="x-none"/>
        </w:rPr>
        <w:t>C</w:t>
      </w:r>
      <w:r w:rsidRPr="003163C7">
        <w:rPr>
          <w:rFonts w:cs="Times New Roman"/>
        </w:rPr>
        <w:t>.</w:t>
      </w:r>
      <w:r w:rsidRPr="003163C7">
        <w:rPr>
          <w:rFonts w:cs="Times New Roman"/>
          <w:lang w:val="x-none"/>
        </w:rPr>
        <w:t>R</w:t>
      </w:r>
      <w:r w:rsidRPr="003163C7">
        <w:rPr>
          <w:rFonts w:cs="Times New Roman"/>
        </w:rPr>
        <w:t xml:space="preserve">. </w:t>
      </w:r>
      <w:r w:rsidRPr="003163C7">
        <w:rPr>
          <w:rFonts w:cs="Times New Roman"/>
          <w:lang w:val="x-none"/>
        </w:rPr>
        <w:t>425, at p</w:t>
      </w:r>
      <w:r w:rsidRPr="003163C7">
        <w:rPr>
          <w:rFonts w:cs="Times New Roman"/>
        </w:rPr>
        <w:t>p</w:t>
      </w:r>
      <w:r w:rsidRPr="003163C7">
        <w:rPr>
          <w:rFonts w:cs="Times New Roman"/>
          <w:lang w:val="x-none"/>
        </w:rPr>
        <w:t>. 495-96</w:t>
      </w:r>
      <w:r w:rsidRPr="003163C7">
        <w:rPr>
          <w:rFonts w:cs="Times New Roman"/>
          <w:lang w:val="en-US"/>
        </w:rPr>
        <w:t xml:space="preserve"> (per Wilson J., dissenting)</w:t>
      </w:r>
      <w:r w:rsidRPr="003163C7">
        <w:rPr>
          <w:rFonts w:cs="Times New Roman"/>
        </w:rPr>
        <w:t>)</w:t>
      </w:r>
      <w:r w:rsidRPr="003163C7">
        <w:rPr>
          <w:rFonts w:cs="Times New Roman"/>
          <w:lang w:val="x-none"/>
        </w:rPr>
        <w:t>.</w:t>
      </w:r>
      <w:r w:rsidRPr="003163C7">
        <w:rPr>
          <w:rFonts w:cs="Times New Roman"/>
        </w:rPr>
        <w:t xml:space="preserve"> In </w:t>
      </w:r>
      <w:r w:rsidRPr="003163C7">
        <w:rPr>
          <w:rFonts w:cs="Times New Roman"/>
          <w:i/>
          <w:iCs/>
        </w:rPr>
        <w:t>M. (M.R.)</w:t>
      </w:r>
      <w:r w:rsidRPr="003163C7">
        <w:rPr>
          <w:rFonts w:cs="Times New Roman"/>
        </w:rPr>
        <w:t xml:space="preserve">, this Court implicitly adapted the </w:t>
      </w:r>
      <w:r w:rsidRPr="003163C7">
        <w:rPr>
          <w:rFonts w:cs="Times New Roman"/>
          <w:i/>
          <w:iCs/>
        </w:rPr>
        <w:t>Collins</w:t>
      </w:r>
      <w:r w:rsidRPr="003163C7">
        <w:rPr>
          <w:rFonts w:cs="Times New Roman"/>
        </w:rPr>
        <w:t xml:space="preserve"> test to determine “whether a search conducted by a teacher or principal in the school environment was reasonable” (para. 54).</w:t>
      </w:r>
    </w:p>
    <w:p w14:paraId="3166C36C" w14:textId="77777777" w:rsidR="005F5184" w:rsidRPr="003163C7" w:rsidRDefault="005F5184" w:rsidP="005F5184">
      <w:pPr>
        <w:pStyle w:val="ParaNoNdepar-AltN"/>
        <w:rPr>
          <w:rFonts w:cs="Times New Roman"/>
        </w:rPr>
      </w:pPr>
      <w:r w:rsidRPr="003163C7">
        <w:rPr>
          <w:rFonts w:cs="Times New Roman"/>
        </w:rPr>
        <w:t xml:space="preserve">I hasten to add that what may be considered proportionate in a criminal context, where penal liability is at stake, may look different in a labour relations context where the consequence, albeit serious, does not threaten liberty. In evaluating the reasonableness of the impugned search at the second step of </w:t>
      </w:r>
      <w:proofErr w:type="gramStart"/>
      <w:r w:rsidRPr="003163C7">
        <w:rPr>
          <w:rFonts w:cs="Times New Roman"/>
        </w:rPr>
        <w:t>a</w:t>
      </w:r>
      <w:proofErr w:type="gramEnd"/>
      <w:r w:rsidRPr="003163C7">
        <w:rPr>
          <w:rFonts w:cs="Times New Roman"/>
        </w:rPr>
        <w:t xml:space="preserve"> s. 8 analysis, arbitrators should have regard to employment relations under the terms of the collective agreements. The existing arbitral jurisprudence on the “balancing of interests”, including the consideration of management rights under the terms of the collective agreement, may properly inform the balanced analysis. There exists a considerable body of arbitral decisions regarding privacy in the context of collective agreements that arbitrators may properly have regard to in conducting a s. 8 analysis (see, e.g., </w:t>
      </w:r>
      <w:r w:rsidRPr="003163C7">
        <w:rPr>
          <w:rFonts w:cs="Times New Roman"/>
          <w:i/>
          <w:iCs/>
        </w:rPr>
        <w:t xml:space="preserve">Doman Forest Products Ltd. and I.W.A., Loc. 1-357, Re </w:t>
      </w:r>
      <w:r w:rsidRPr="003163C7">
        <w:rPr>
          <w:rFonts w:cs="Times New Roman"/>
          <w:iCs/>
        </w:rPr>
        <w:t>(1990)</w:t>
      </w:r>
      <w:r w:rsidRPr="003163C7">
        <w:rPr>
          <w:rFonts w:cs="Times New Roman"/>
        </w:rPr>
        <w:t xml:space="preserve">, 13 L.A.C. (4th) 275 (B.C.); </w:t>
      </w:r>
      <w:r w:rsidRPr="003163C7">
        <w:rPr>
          <w:rFonts w:cs="Times New Roman"/>
          <w:i/>
        </w:rPr>
        <w:t>Toronto Transit Commission and A.T.U., Loc. 113 (Belsito) (Re)</w:t>
      </w:r>
      <w:r w:rsidRPr="003163C7">
        <w:rPr>
          <w:rFonts w:cs="Times New Roman"/>
        </w:rPr>
        <w:t xml:space="preserve"> (1999), 95 L.A.C. (4th) 402 (Ont.)). </w:t>
      </w:r>
    </w:p>
    <w:p w14:paraId="4E63C1F4" w14:textId="77777777" w:rsidR="005F5184" w:rsidRPr="003163C7" w:rsidRDefault="005F5184" w:rsidP="005F5184">
      <w:pPr>
        <w:pStyle w:val="ParaNoNdepar-AltN"/>
        <w:rPr>
          <w:rFonts w:cs="Times New Roman"/>
          <w:szCs w:val="24"/>
        </w:rPr>
      </w:pPr>
      <w:r w:rsidRPr="003163C7">
        <w:rPr>
          <w:rFonts w:cs="Times New Roman"/>
        </w:rPr>
        <w:t xml:space="preserve">The effect of this decision is not to displace existing arbitral jurisprudence, but rather to ensure that it respects </w:t>
      </w:r>
      <w:r w:rsidRPr="003163C7">
        <w:rPr>
          <w:rFonts w:cs="Times New Roman"/>
          <w:i/>
        </w:rPr>
        <w:t xml:space="preserve">Charter </w:t>
      </w:r>
      <w:r w:rsidRPr="003163C7">
        <w:rPr>
          <w:rFonts w:cs="Times New Roman"/>
        </w:rPr>
        <w:t xml:space="preserve">rights. Arbitral jurisprudence now encompasses a considerable body of decisions that reflect a great breadth of experience; this will continue to play an important role in resolving grievances arising under collective agreements. However, such decisions should also be taken in accordance with the direction in </w:t>
      </w:r>
      <w:r w:rsidRPr="003163C7">
        <w:rPr>
          <w:rFonts w:cs="Times New Roman"/>
          <w:i/>
        </w:rPr>
        <w:t>Conway</w:t>
      </w:r>
      <w:r w:rsidRPr="003163C7">
        <w:rPr>
          <w:rFonts w:cs="Times New Roman"/>
        </w:rPr>
        <w:t xml:space="preserve"> to analyze </w:t>
      </w:r>
      <w:r w:rsidRPr="003163C7">
        <w:rPr>
          <w:rFonts w:cs="Times New Roman"/>
          <w:i/>
        </w:rPr>
        <w:t>Charter</w:t>
      </w:r>
      <w:r w:rsidRPr="003163C7">
        <w:rPr>
          <w:rFonts w:cs="Times New Roman"/>
        </w:rPr>
        <w:t xml:space="preserve"> rights when they apply. This must inform their decision as to the grievance under the collective agreement.</w:t>
      </w:r>
    </w:p>
    <w:p w14:paraId="64147E90" w14:textId="77777777" w:rsidR="005F5184" w:rsidRPr="003163C7" w:rsidRDefault="005F5184" w:rsidP="005F5184">
      <w:pPr>
        <w:pStyle w:val="Title1LevelTitre1Niveau-AltL"/>
        <w:numPr>
          <w:ilvl w:val="0"/>
          <w:numId w:val="8"/>
        </w:numPr>
        <w:rPr>
          <w:rFonts w:cs="Times New Roman"/>
        </w:rPr>
      </w:pPr>
      <w:bookmarkStart w:id="133" w:name="_Toc151455736"/>
      <w:bookmarkStart w:id="134" w:name="_Toc151736616"/>
      <w:bookmarkStart w:id="135" w:name="_Toc152516453"/>
      <w:bookmarkStart w:id="136" w:name="_Toc152600219"/>
      <w:bookmarkStart w:id="137" w:name="_Toc152697200"/>
      <w:bookmarkStart w:id="138" w:name="_Toc155875211"/>
      <w:bookmarkStart w:id="139" w:name="_Toc158295317"/>
      <w:bookmarkStart w:id="140" w:name="_Toc162277501"/>
      <w:r w:rsidRPr="003163C7">
        <w:rPr>
          <w:rFonts w:cs="Times New Roman"/>
        </w:rPr>
        <w:t>Conclusion</w:t>
      </w:r>
      <w:bookmarkEnd w:id="133"/>
      <w:bookmarkEnd w:id="134"/>
      <w:bookmarkEnd w:id="135"/>
      <w:bookmarkEnd w:id="136"/>
      <w:bookmarkEnd w:id="137"/>
      <w:bookmarkEnd w:id="138"/>
      <w:bookmarkEnd w:id="139"/>
      <w:bookmarkEnd w:id="140"/>
    </w:p>
    <w:p w14:paraId="01483AC0" w14:textId="77777777" w:rsidR="005F5184" w:rsidRPr="003163C7" w:rsidRDefault="005F5184" w:rsidP="005F5184">
      <w:pPr>
        <w:pStyle w:val="ParaNoNdepar-AltN"/>
        <w:rPr>
          <w:rFonts w:cs="Times New Roman"/>
        </w:rPr>
      </w:pPr>
      <w:r w:rsidRPr="003163C7">
        <w:rPr>
          <w:rFonts w:cs="Times New Roman"/>
        </w:rPr>
        <w:t xml:space="preserve">The appeal is dismissed with costs. There is no need to return the matter for further arbitral consideration, as the issue of the reprimand is moot. </w:t>
      </w:r>
    </w:p>
    <w:p w14:paraId="5363D1E8" w14:textId="77777777" w:rsidR="005F5184" w:rsidRPr="003163C7" w:rsidRDefault="005F5184" w:rsidP="005F5184">
      <w:pPr>
        <w:tabs>
          <w:tab w:val="left" w:pos="1134"/>
        </w:tabs>
        <w:spacing w:after="480" w:line="480" w:lineRule="auto"/>
        <w:jc w:val="both"/>
        <w:rPr>
          <w:lang w:val="en-US"/>
        </w:rPr>
      </w:pPr>
      <w:r w:rsidRPr="003163C7">
        <w:rPr>
          <w:lang w:val="fr-CA"/>
        </w:rPr>
        <w:tab/>
      </w:r>
      <w:r w:rsidRPr="003163C7">
        <w:rPr>
          <w:lang w:val="en-US"/>
        </w:rPr>
        <w:t>The following are the reasons delivered by</w:t>
      </w:r>
    </w:p>
    <w:p w14:paraId="105C20F6" w14:textId="77777777" w:rsidR="005F5184" w:rsidRPr="003163C7" w:rsidRDefault="005F5184" w:rsidP="00EF4A49">
      <w:pPr>
        <w:pStyle w:val="JudgeJuge"/>
        <w:tabs>
          <w:tab w:val="clear" w:pos="1166"/>
          <w:tab w:val="left" w:pos="1134"/>
        </w:tabs>
      </w:pPr>
      <w:r w:rsidRPr="003163C7">
        <w:tab/>
        <w:t xml:space="preserve">Karakatsanis and Martin JJ. — </w:t>
      </w:r>
    </w:p>
    <w:p w14:paraId="39692634" w14:textId="77777777" w:rsidR="005F5184" w:rsidRPr="003163C7" w:rsidRDefault="005F5184" w:rsidP="00EF4A49">
      <w:pPr>
        <w:pStyle w:val="Title1LevelTitre1Niveau-AltL"/>
        <w:numPr>
          <w:ilvl w:val="0"/>
          <w:numId w:val="21"/>
        </w:numPr>
        <w:rPr>
          <w:rFonts w:cs="Times New Roman"/>
        </w:rPr>
      </w:pPr>
      <w:r w:rsidRPr="003163C7">
        <w:rPr>
          <w:rFonts w:cs="Times New Roman"/>
        </w:rPr>
        <w:t xml:space="preserve">Introduction </w:t>
      </w:r>
    </w:p>
    <w:p w14:paraId="11EB7282" w14:textId="77777777" w:rsidR="005F5184" w:rsidRPr="003163C7" w:rsidRDefault="005F5184" w:rsidP="005F5184">
      <w:pPr>
        <w:pStyle w:val="ParaNoNdepar-AltN"/>
      </w:pPr>
      <w:r w:rsidRPr="003163C7">
        <w:t xml:space="preserve">We agree with the parties and Rowe J. that the issue of whether the </w:t>
      </w:r>
      <w:r w:rsidRPr="003163C7">
        <w:rPr>
          <w:i/>
        </w:rPr>
        <w:t>Canadian Charter of Rights and Freedoms</w:t>
      </w:r>
      <w:r w:rsidRPr="003163C7">
        <w:t xml:space="preserve"> applies to Ontario public school boards is one that must be correctly determined by this Court. We further agree that under the first branch of </w:t>
      </w:r>
      <w:r w:rsidRPr="003163C7">
        <w:rPr>
          <w:i/>
        </w:rPr>
        <w:t>Eldridge v. British Columbia (Attorney General)</w:t>
      </w:r>
      <w:r w:rsidRPr="003163C7">
        <w:t xml:space="preserve">, [1997] 3 S.C.R. 624, the </w:t>
      </w:r>
      <w:r w:rsidRPr="003163C7">
        <w:rPr>
          <w:i/>
        </w:rPr>
        <w:t>Charter</w:t>
      </w:r>
      <w:r w:rsidRPr="003163C7">
        <w:t xml:space="preserve"> applies to Ontario public school boards and all their activities (para. 44). However, we do not agree with how our colleague reviews the arbitrator’s decision. </w:t>
      </w:r>
    </w:p>
    <w:p w14:paraId="1094A1FF" w14:textId="77777777" w:rsidR="005F5184" w:rsidRPr="003163C7" w:rsidRDefault="005F5184" w:rsidP="005F5184">
      <w:pPr>
        <w:pStyle w:val="ParaNoNdepar-AltN"/>
        <w:rPr>
          <w:rFonts w:cs="Times New Roman"/>
          <w:szCs w:val="24"/>
        </w:rPr>
      </w:pPr>
      <w:r w:rsidRPr="003163C7">
        <w:rPr>
          <w:rFonts w:cs="Times New Roman"/>
          <w:szCs w:val="24"/>
        </w:rPr>
        <w:t xml:space="preserve">The arbitrator was asked to determine whether the privacy rights of two teachers (the Grievors) were violated and, as a result, whether the collective agreement was breached. The Grievors sought remedies under their collective agreement; no </w:t>
      </w:r>
      <w:r w:rsidRPr="003163C7">
        <w:rPr>
          <w:rFonts w:cs="Times New Roman"/>
          <w:i/>
          <w:szCs w:val="24"/>
        </w:rPr>
        <w:t>Charter</w:t>
      </w:r>
      <w:r w:rsidRPr="003163C7">
        <w:rPr>
          <w:rFonts w:cs="Times New Roman"/>
          <w:szCs w:val="24"/>
        </w:rPr>
        <w:t xml:space="preserve"> remedies were sought. This Court’s s. 8 </w:t>
      </w:r>
      <w:r w:rsidRPr="003163C7">
        <w:rPr>
          <w:rFonts w:cs="Times New Roman"/>
          <w:i/>
          <w:szCs w:val="24"/>
        </w:rPr>
        <w:t>Charter</w:t>
      </w:r>
      <w:r w:rsidRPr="003163C7">
        <w:rPr>
          <w:rFonts w:cs="Times New Roman"/>
          <w:szCs w:val="24"/>
        </w:rPr>
        <w:t xml:space="preserve"> jurisprudence was specifically argued by the parties, and the arbitrator’s reasons clearly demonstrate she appreciated that the s. 8 privacy framework applied and constrained her decision. The issue in this appeal is whether she used that framework reasonably in the circumstances of this case. We conclude, like Sachs J., in dissent at the Divisional Court, that the arbitrator’s reasoning is not consistent with the principle of content neutrality, which lies at the heart of s. 8’s normative approach to privacy, and therefore her decision is unreasonable. For the reasons that follow, we would dismiss the appeal.  </w:t>
      </w:r>
    </w:p>
    <w:p w14:paraId="31177307" w14:textId="77777777" w:rsidR="005F5184" w:rsidRPr="003163C7" w:rsidRDefault="005F5184" w:rsidP="005F5184">
      <w:pPr>
        <w:pStyle w:val="Title1LevelTitre1Niveau-AltL"/>
        <w:rPr>
          <w:rFonts w:cs="Times New Roman"/>
        </w:rPr>
      </w:pPr>
      <w:bookmarkStart w:id="141" w:name="_Hlk165021749"/>
      <w:r w:rsidRPr="003163C7">
        <w:rPr>
          <w:rFonts w:cs="Times New Roman"/>
        </w:rPr>
        <w:t xml:space="preserve">Standard of Review and Proper Analytical Framework </w:t>
      </w:r>
    </w:p>
    <w:bookmarkEnd w:id="141"/>
    <w:p w14:paraId="6BA4A0A4" w14:textId="77777777" w:rsidR="005F5184" w:rsidRPr="003163C7" w:rsidRDefault="005F5184" w:rsidP="005F5184">
      <w:pPr>
        <w:pStyle w:val="ParaNoNdepar-AltN"/>
        <w:rPr>
          <w:rFonts w:cs="Times New Roman"/>
          <w:szCs w:val="24"/>
        </w:rPr>
      </w:pPr>
      <w:r w:rsidRPr="003163C7">
        <w:rPr>
          <w:rFonts w:cs="Times New Roman"/>
          <w:szCs w:val="24"/>
        </w:rPr>
        <w:t xml:space="preserve">Our colleague faults the arbitrator for “applying the wrong analytical framework” and “failing to appreciate that a </w:t>
      </w:r>
      <w:r w:rsidRPr="003163C7">
        <w:rPr>
          <w:rFonts w:cs="Times New Roman"/>
          <w:i/>
          <w:szCs w:val="24"/>
        </w:rPr>
        <w:t>Charter</w:t>
      </w:r>
      <w:r w:rsidRPr="003163C7">
        <w:rPr>
          <w:rFonts w:cs="Times New Roman"/>
          <w:szCs w:val="24"/>
        </w:rPr>
        <w:t xml:space="preserve"> right </w:t>
      </w:r>
      <w:r w:rsidRPr="003163C7">
        <w:rPr>
          <w:rFonts w:cs="Times New Roman"/>
        </w:rPr>
        <w:t>arose from</w:t>
      </w:r>
      <w:r w:rsidRPr="003163C7">
        <w:rPr>
          <w:rFonts w:cs="Times New Roman"/>
          <w:szCs w:val="24"/>
        </w:rPr>
        <w:t xml:space="preserve"> the facts before her” (paras. 63, 68-69, 85 and 94-95). Relying on </w:t>
      </w:r>
      <w:r w:rsidRPr="003163C7">
        <w:rPr>
          <w:rFonts w:cs="Times New Roman"/>
        </w:rPr>
        <w:t xml:space="preserve">the “constitutional questions” exception to the presumption of reasonableness review from </w:t>
      </w:r>
      <w:r w:rsidRPr="003163C7">
        <w:rPr>
          <w:rFonts w:cs="Times New Roman"/>
          <w:i/>
        </w:rPr>
        <w:t>Canada (Minister of Citizenship and Immigration) v. Vavilov</w:t>
      </w:r>
      <w:r w:rsidRPr="003163C7">
        <w:rPr>
          <w:rFonts w:cs="Times New Roman"/>
        </w:rPr>
        <w:t>, 2019 SCC 65, [2019] 4 S.C.R. 653</w:t>
      </w:r>
      <w:r w:rsidRPr="003163C7">
        <w:rPr>
          <w:rFonts w:cs="Times New Roman"/>
          <w:szCs w:val="24"/>
        </w:rPr>
        <w:t xml:space="preserve">, he explains that the “issue of constitutionality on judicial review — of whether a </w:t>
      </w:r>
      <w:r w:rsidRPr="003163C7">
        <w:rPr>
          <w:rFonts w:cs="Times New Roman"/>
          <w:i/>
          <w:szCs w:val="24"/>
        </w:rPr>
        <w:t>Charter</w:t>
      </w:r>
      <w:r w:rsidRPr="003163C7">
        <w:rPr>
          <w:rFonts w:cs="Times New Roman"/>
          <w:szCs w:val="24"/>
        </w:rPr>
        <w:t xml:space="preserve"> right arises, the scope of its protection, and the appropriate framework of analysis”, is a constitutional question requiring a single, determinate answer from this Court (para. 63). Accordingly, he concludes the correctness standard applies to the review of the arbitrator’s decision</w:t>
      </w:r>
      <w:r w:rsidRPr="003163C7">
        <w:rPr>
          <w:rFonts w:cs="Times New Roman"/>
        </w:rPr>
        <w:t xml:space="preserve"> because she did not appreciate that the </w:t>
      </w:r>
      <w:r w:rsidRPr="003163C7">
        <w:rPr>
          <w:rFonts w:cs="Times New Roman"/>
          <w:i/>
        </w:rPr>
        <w:t xml:space="preserve">Charter </w:t>
      </w:r>
      <w:r w:rsidRPr="003163C7">
        <w:rPr>
          <w:rFonts w:cs="Times New Roman"/>
        </w:rPr>
        <w:t>applied to the decision she was tasked to make.</w:t>
      </w:r>
      <w:r w:rsidRPr="003163C7" w:rsidDel="001510CB">
        <w:rPr>
          <w:rFonts w:cs="Times New Roman"/>
          <w:szCs w:val="24"/>
        </w:rPr>
        <w:t xml:space="preserve"> </w:t>
      </w:r>
    </w:p>
    <w:p w14:paraId="25B3B043" w14:textId="77777777" w:rsidR="005F5184" w:rsidRPr="003163C7" w:rsidRDefault="005F5184" w:rsidP="005F5184">
      <w:pPr>
        <w:pStyle w:val="ParaNoNdepar-AltN"/>
        <w:rPr>
          <w:rFonts w:cs="Times New Roman"/>
        </w:rPr>
      </w:pPr>
      <w:r w:rsidRPr="003163C7">
        <w:rPr>
          <w:rFonts w:cs="Times New Roman"/>
        </w:rPr>
        <w:t xml:space="preserve">We do not agree with this broad statement of the constitutional questions exception or the characterization of the inquiry at the heart of this appeal. Clearly, whether or not teachers have a privacy right in their workplace is an issue that deserves to be correctly determined for all. We agree that they do. </w:t>
      </w:r>
    </w:p>
    <w:p w14:paraId="797DB767" w14:textId="77777777" w:rsidR="005F5184" w:rsidRPr="003163C7" w:rsidRDefault="005F5184" w:rsidP="005F5184">
      <w:pPr>
        <w:pStyle w:val="ParaNoNdepar-AltN"/>
        <w:rPr>
          <w:rFonts w:cs="Times New Roman"/>
        </w:rPr>
      </w:pPr>
      <w:r w:rsidRPr="003163C7">
        <w:rPr>
          <w:rFonts w:cs="Times New Roman"/>
        </w:rPr>
        <w:t xml:space="preserve">While we also agree with our colleague that any analysis had to be consistent with the </w:t>
      </w:r>
      <w:r w:rsidRPr="003163C7">
        <w:rPr>
          <w:rFonts w:cs="Times New Roman"/>
          <w:i/>
        </w:rPr>
        <w:t>Charter</w:t>
      </w:r>
      <w:r w:rsidRPr="003163C7">
        <w:rPr>
          <w:rFonts w:cs="Times New Roman"/>
        </w:rPr>
        <w:t xml:space="preserve"> framework, the </w:t>
      </w:r>
      <w:r w:rsidRPr="003163C7">
        <w:rPr>
          <w:rFonts w:cs="Times New Roman"/>
          <w:szCs w:val="24"/>
        </w:rPr>
        <w:t>a</w:t>
      </w:r>
      <w:r w:rsidRPr="003163C7">
        <w:rPr>
          <w:rFonts w:cs="Times New Roman"/>
        </w:rPr>
        <w:t xml:space="preserve">rbitrator’s reasons demonstrate she was reviewing the challenged conduct using the s. 8 </w:t>
      </w:r>
      <w:r w:rsidRPr="003163C7">
        <w:rPr>
          <w:rFonts w:cs="Times New Roman"/>
          <w:i/>
        </w:rPr>
        <w:t>Charter</w:t>
      </w:r>
      <w:r w:rsidRPr="003163C7">
        <w:rPr>
          <w:rFonts w:cs="Times New Roman"/>
        </w:rPr>
        <w:t xml:space="preserve"> framework as a touchstone. However, focusing on whether the arbitrator asked the right question and reviewing the </w:t>
      </w:r>
      <w:r w:rsidRPr="003163C7">
        <w:rPr>
          <w:rFonts w:cs="Times New Roman"/>
          <w:szCs w:val="24"/>
        </w:rPr>
        <w:t>a</w:t>
      </w:r>
      <w:r w:rsidRPr="003163C7">
        <w:rPr>
          <w:rFonts w:cs="Times New Roman"/>
        </w:rPr>
        <w:t xml:space="preserve">rbitrator’s decision on the correctness standard overshoots the ambit of the correctness exceptions laid down in </w:t>
      </w:r>
      <w:r w:rsidRPr="003163C7">
        <w:rPr>
          <w:rFonts w:cs="Times New Roman"/>
          <w:i/>
        </w:rPr>
        <w:t>Vavilov</w:t>
      </w:r>
      <w:r w:rsidRPr="003163C7">
        <w:rPr>
          <w:rFonts w:cs="Times New Roman"/>
        </w:rPr>
        <w:t xml:space="preserve">. The issue before the </w:t>
      </w:r>
      <w:r w:rsidRPr="003163C7">
        <w:rPr>
          <w:rFonts w:cs="Times New Roman"/>
          <w:szCs w:val="24"/>
        </w:rPr>
        <w:t>a</w:t>
      </w:r>
      <w:r w:rsidRPr="003163C7">
        <w:rPr>
          <w:rFonts w:cs="Times New Roman"/>
        </w:rPr>
        <w:t>rbitrator was whether the Grievors’ privacy rights had been breached — an application and assessment which heavily depended on the specific factual and statutory context. As a result, the presumption of reasonableness review applies.</w:t>
      </w:r>
    </w:p>
    <w:p w14:paraId="66F1EC0B" w14:textId="77777777" w:rsidR="005F5184" w:rsidRPr="003163C7" w:rsidRDefault="005F5184" w:rsidP="005F5184">
      <w:pPr>
        <w:pStyle w:val="Title2LevelTitre2Niveau"/>
        <w:rPr>
          <w:rFonts w:cs="Times New Roman"/>
        </w:rPr>
      </w:pPr>
      <w:r w:rsidRPr="003163C7">
        <w:rPr>
          <w:rFonts w:cs="Times New Roman"/>
        </w:rPr>
        <w:t xml:space="preserve">The Arbitrator Recognized That Section 8 of the Charter Constrained Her Decision </w:t>
      </w:r>
    </w:p>
    <w:p w14:paraId="69F94520" w14:textId="77777777" w:rsidR="005F5184" w:rsidRPr="003163C7" w:rsidRDefault="005F5184" w:rsidP="005F5184">
      <w:pPr>
        <w:pStyle w:val="ParaNoNdepar-AltN"/>
        <w:rPr>
          <w:rFonts w:cs="Times New Roman"/>
        </w:rPr>
      </w:pPr>
      <w:r w:rsidRPr="003163C7">
        <w:rPr>
          <w:rFonts w:cs="Times New Roman"/>
        </w:rPr>
        <w:t xml:space="preserve">The case was argued before the </w:t>
      </w:r>
      <w:r w:rsidRPr="003163C7">
        <w:rPr>
          <w:rFonts w:cs="Times New Roman"/>
          <w:szCs w:val="24"/>
        </w:rPr>
        <w:t>a</w:t>
      </w:r>
      <w:r w:rsidRPr="003163C7">
        <w:rPr>
          <w:rFonts w:cs="Times New Roman"/>
        </w:rPr>
        <w:t xml:space="preserve">rbitrator as a labour grievance, with the parties focusing on the facts of the case and on whether the appellant Board’s investigation, which led to discipline, breached the collective agreement. The </w:t>
      </w:r>
      <w:r w:rsidRPr="003163C7">
        <w:rPr>
          <w:rFonts w:cs="Times New Roman"/>
          <w:szCs w:val="24"/>
        </w:rPr>
        <w:t>a</w:t>
      </w:r>
      <w:r w:rsidRPr="003163C7">
        <w:rPr>
          <w:rFonts w:cs="Times New Roman"/>
        </w:rPr>
        <w:t xml:space="preserve">rbitrator was tasked with determining whether the Grievors’ privacy rights were violated and, as part of that inquiry, she recognized that the </w:t>
      </w:r>
      <w:r w:rsidRPr="003163C7">
        <w:rPr>
          <w:rFonts w:cs="Times New Roman"/>
          <w:i/>
        </w:rPr>
        <w:t xml:space="preserve">Charter </w:t>
      </w:r>
      <w:r w:rsidRPr="003163C7">
        <w:rPr>
          <w:rFonts w:cs="Times New Roman"/>
        </w:rPr>
        <w:t>and s. 8 jurisprudence were relevant constraints.</w:t>
      </w:r>
    </w:p>
    <w:p w14:paraId="1ADDC261" w14:textId="77777777" w:rsidR="005F5184" w:rsidRPr="003163C7" w:rsidRDefault="005F5184" w:rsidP="005F5184">
      <w:pPr>
        <w:pStyle w:val="ParaNoNdepar-AltN"/>
        <w:rPr>
          <w:rFonts w:cs="Times New Roman"/>
        </w:rPr>
      </w:pPr>
      <w:r w:rsidRPr="003163C7">
        <w:rPr>
          <w:rFonts w:cs="Times New Roman"/>
        </w:rPr>
        <w:t xml:space="preserve">The </w:t>
      </w:r>
      <w:r w:rsidRPr="003163C7">
        <w:rPr>
          <w:rFonts w:cs="Times New Roman"/>
          <w:szCs w:val="24"/>
        </w:rPr>
        <w:t>a</w:t>
      </w:r>
      <w:r w:rsidRPr="003163C7">
        <w:rPr>
          <w:rFonts w:cs="Times New Roman"/>
        </w:rPr>
        <w:t xml:space="preserve">rbitrator understood that administrative decision-makers must act consistently with the </w:t>
      </w:r>
      <w:r w:rsidRPr="003163C7">
        <w:rPr>
          <w:rFonts w:cs="Times New Roman"/>
          <w:i/>
        </w:rPr>
        <w:t>Charter</w:t>
      </w:r>
      <w:r w:rsidRPr="003163C7">
        <w:rPr>
          <w:rFonts w:cs="Times New Roman"/>
        </w:rPr>
        <w:t xml:space="preserve"> and its values when exercising statutory functions (</w:t>
      </w:r>
      <w:r w:rsidRPr="003163C7">
        <w:rPr>
          <w:rFonts w:cs="Times New Roman"/>
          <w:i/>
        </w:rPr>
        <w:t>R. v. Conway</w:t>
      </w:r>
      <w:r w:rsidRPr="003163C7">
        <w:rPr>
          <w:rFonts w:cs="Times New Roman"/>
        </w:rPr>
        <w:t xml:space="preserve">, 2010 SCC 22, [2010] 1 S.C.R. 765, at para. 78; </w:t>
      </w:r>
      <w:r w:rsidRPr="003163C7">
        <w:rPr>
          <w:rFonts w:cs="Times New Roman"/>
          <w:i/>
        </w:rPr>
        <w:t>R. v. Bird</w:t>
      </w:r>
      <w:r w:rsidRPr="003163C7">
        <w:rPr>
          <w:rFonts w:cs="Times New Roman"/>
        </w:rPr>
        <w:t>, 2019 SCC 7, [2019] 1 S.C.R. 409, at para. 52). This Court’s jurisprudence recognizes that “</w:t>
      </w:r>
      <w:r w:rsidRPr="003163C7">
        <w:rPr>
          <w:rFonts w:cs="Times New Roman"/>
          <w:i/>
        </w:rPr>
        <w:t>Charter</w:t>
      </w:r>
      <w:r w:rsidRPr="003163C7">
        <w:rPr>
          <w:rFonts w:cs="Times New Roman"/>
        </w:rPr>
        <w:t xml:space="preserve"> rights can be effectively vindicated through the exercise of statutory powers and processes” (</w:t>
      </w:r>
      <w:r w:rsidRPr="003163C7">
        <w:rPr>
          <w:rFonts w:cs="Times New Roman"/>
          <w:i/>
        </w:rPr>
        <w:t>Conway</w:t>
      </w:r>
      <w:r w:rsidRPr="003163C7">
        <w:rPr>
          <w:rFonts w:cs="Times New Roman"/>
        </w:rPr>
        <w:t xml:space="preserve">, at para. 103; see also para. 5; </w:t>
      </w:r>
      <w:proofErr w:type="spellStart"/>
      <w:r w:rsidRPr="003163C7">
        <w:rPr>
          <w:rFonts w:cs="Times New Roman"/>
          <w:i/>
        </w:rPr>
        <w:t>Slaight</w:t>
      </w:r>
      <w:proofErr w:type="spellEnd"/>
      <w:r w:rsidRPr="003163C7">
        <w:rPr>
          <w:rFonts w:cs="Times New Roman"/>
          <w:i/>
        </w:rPr>
        <w:t xml:space="preserve"> Communications Inc. v. Davidson</w:t>
      </w:r>
      <w:r w:rsidRPr="003163C7">
        <w:rPr>
          <w:rFonts w:cs="Times New Roman"/>
        </w:rPr>
        <w:t>, [1989] 1 S.C.R. 1038, at pp. 1077-78, adopted in</w:t>
      </w:r>
      <w:r w:rsidRPr="003163C7">
        <w:rPr>
          <w:rFonts w:cs="Times New Roman"/>
          <w:i/>
        </w:rPr>
        <w:t xml:space="preserve"> </w:t>
      </w:r>
      <w:proofErr w:type="spellStart"/>
      <w:r w:rsidRPr="003163C7">
        <w:rPr>
          <w:rFonts w:cs="Times New Roman"/>
          <w:i/>
        </w:rPr>
        <w:t>Dagenais</w:t>
      </w:r>
      <w:proofErr w:type="spellEnd"/>
      <w:r w:rsidRPr="003163C7">
        <w:rPr>
          <w:rFonts w:cs="Times New Roman"/>
          <w:i/>
        </w:rPr>
        <w:t xml:space="preserve"> v. Canadian Broadcasting Corp.</w:t>
      </w:r>
      <w:r w:rsidRPr="003163C7">
        <w:rPr>
          <w:rFonts w:cs="Times New Roman"/>
        </w:rPr>
        <w:t xml:space="preserve">, [1994] 3 S.C.R. 835, at p. 875; </w:t>
      </w:r>
      <w:r w:rsidRPr="003163C7">
        <w:rPr>
          <w:rFonts w:cs="Times New Roman"/>
          <w:i/>
        </w:rPr>
        <w:t>Baker v. Canada (Minister of Citizenship and Immigration)</w:t>
      </w:r>
      <w:r w:rsidRPr="003163C7">
        <w:rPr>
          <w:rFonts w:cs="Times New Roman"/>
        </w:rPr>
        <w:t>, [1999] 2 S.C.R. 817, at paras. 53-56).</w:t>
      </w:r>
    </w:p>
    <w:p w14:paraId="4876D057" w14:textId="77777777" w:rsidR="005F5184" w:rsidRPr="003163C7" w:rsidRDefault="005F5184" w:rsidP="005F5184">
      <w:pPr>
        <w:pStyle w:val="ParaNoNdepar-AltN"/>
        <w:rPr>
          <w:rFonts w:cs="Times New Roman"/>
        </w:rPr>
      </w:pPr>
      <w:r w:rsidRPr="003163C7">
        <w:rPr>
          <w:rFonts w:cs="Times New Roman"/>
        </w:rPr>
        <w:t xml:space="preserve">Consistency with s. 8 of the </w:t>
      </w:r>
      <w:r w:rsidRPr="003163C7">
        <w:rPr>
          <w:rFonts w:cs="Times New Roman"/>
          <w:i/>
        </w:rPr>
        <w:t>Charter</w:t>
      </w:r>
      <w:r w:rsidRPr="003163C7">
        <w:rPr>
          <w:rFonts w:cs="Times New Roman"/>
        </w:rPr>
        <w:t xml:space="preserve">, however, looks different in different contexts (see generally N. Hasan et al., </w:t>
      </w:r>
      <w:r w:rsidRPr="003163C7">
        <w:rPr>
          <w:rFonts w:cs="Times New Roman"/>
          <w:i/>
        </w:rPr>
        <w:t>Search and Seizure</w:t>
      </w:r>
      <w:r w:rsidRPr="003163C7">
        <w:rPr>
          <w:rFonts w:cs="Times New Roman"/>
        </w:rPr>
        <w:t xml:space="preserve"> (2021), at pp. 294-97; </w:t>
      </w:r>
      <w:r w:rsidRPr="003163C7">
        <w:rPr>
          <w:rFonts w:cs="Times New Roman"/>
          <w:i/>
        </w:rPr>
        <w:t xml:space="preserve">R. v. </w:t>
      </w:r>
      <w:proofErr w:type="spellStart"/>
      <w:r w:rsidRPr="003163C7">
        <w:rPr>
          <w:rFonts w:cs="Times New Roman"/>
          <w:i/>
        </w:rPr>
        <w:t>McKinlay</w:t>
      </w:r>
      <w:proofErr w:type="spellEnd"/>
      <w:r w:rsidRPr="003163C7">
        <w:rPr>
          <w:rFonts w:cs="Times New Roman"/>
          <w:i/>
        </w:rPr>
        <w:t xml:space="preserve"> Transport Ltd.</w:t>
      </w:r>
      <w:r w:rsidRPr="003163C7">
        <w:rPr>
          <w:rFonts w:cs="Times New Roman"/>
        </w:rPr>
        <w:t xml:space="preserve">, [1990] 1 S.C.R. 627, at pp. 644-46; </w:t>
      </w:r>
      <w:proofErr w:type="spellStart"/>
      <w:r w:rsidRPr="003163C7">
        <w:rPr>
          <w:rFonts w:cs="Times New Roman"/>
          <w:i/>
        </w:rPr>
        <w:t>Comité</w:t>
      </w:r>
      <w:proofErr w:type="spellEnd"/>
      <w:r w:rsidRPr="003163C7">
        <w:rPr>
          <w:rFonts w:cs="Times New Roman"/>
          <w:i/>
        </w:rPr>
        <w:t xml:space="preserve"> </w:t>
      </w:r>
      <w:proofErr w:type="spellStart"/>
      <w:r w:rsidRPr="003163C7">
        <w:rPr>
          <w:rFonts w:cs="Times New Roman"/>
          <w:i/>
        </w:rPr>
        <w:t>paritaire</w:t>
      </w:r>
      <w:proofErr w:type="spellEnd"/>
      <w:r w:rsidRPr="003163C7">
        <w:rPr>
          <w:rFonts w:cs="Times New Roman"/>
          <w:i/>
        </w:rPr>
        <w:t xml:space="preserve"> de </w:t>
      </w:r>
      <w:proofErr w:type="spellStart"/>
      <w:r w:rsidRPr="003163C7">
        <w:rPr>
          <w:rFonts w:cs="Times New Roman"/>
          <w:i/>
        </w:rPr>
        <w:t>l’industrie</w:t>
      </w:r>
      <w:proofErr w:type="spellEnd"/>
      <w:r w:rsidRPr="003163C7">
        <w:rPr>
          <w:rFonts w:cs="Times New Roman"/>
          <w:i/>
        </w:rPr>
        <w:t xml:space="preserve"> de la chemise v. Potash</w:t>
      </w:r>
      <w:r w:rsidRPr="003163C7">
        <w:rPr>
          <w:rFonts w:cs="Times New Roman"/>
        </w:rPr>
        <w:t xml:space="preserve">, [1994] 2 S.C.R. 406, at pp. 445-47; </w:t>
      </w:r>
      <w:r w:rsidRPr="003163C7">
        <w:rPr>
          <w:rFonts w:cs="Times New Roman"/>
          <w:i/>
        </w:rPr>
        <w:t>R. v. Wholesale Travel Group Inc.</w:t>
      </w:r>
      <w:r w:rsidRPr="003163C7">
        <w:rPr>
          <w:rFonts w:cs="Times New Roman"/>
        </w:rPr>
        <w:t xml:space="preserve">, [1991] 3 S.C.R. 154, at pp. 224-27, per Cory J.; see also 2022 ONCA 476, 340 L.A.C. (4th) 365, at paras. 3 and 42). While the s. 8 principles governing administrative powers of search and seizure may be analytically distinct from their operation in criminal investigations, the </w:t>
      </w:r>
      <w:r w:rsidRPr="003163C7">
        <w:rPr>
          <w:rFonts w:cs="Times New Roman"/>
          <w:i/>
        </w:rPr>
        <w:t>Charter</w:t>
      </w:r>
      <w:r w:rsidRPr="003163C7">
        <w:rPr>
          <w:rFonts w:cs="Times New Roman"/>
        </w:rPr>
        <w:t xml:space="preserve"> and the s. 8 jurisprudence were legal constraints bearing on the grievance within the meaning of </w:t>
      </w:r>
      <w:r w:rsidRPr="003163C7">
        <w:rPr>
          <w:rFonts w:cs="Times New Roman"/>
          <w:i/>
        </w:rPr>
        <w:t>Vavilov</w:t>
      </w:r>
      <w:r w:rsidRPr="003163C7">
        <w:rPr>
          <w:rFonts w:cs="Times New Roman"/>
        </w:rPr>
        <w:t>, at para. 105.</w:t>
      </w:r>
    </w:p>
    <w:p w14:paraId="11236FED" w14:textId="77777777" w:rsidR="005F5184" w:rsidRPr="003163C7" w:rsidRDefault="005F5184" w:rsidP="005F5184">
      <w:pPr>
        <w:pStyle w:val="ParaNoNdepar-AltN"/>
        <w:rPr>
          <w:rFonts w:cs="Times New Roman"/>
        </w:rPr>
      </w:pPr>
      <w:r w:rsidRPr="003163C7">
        <w:rPr>
          <w:rFonts w:cs="Times New Roman"/>
          <w:i/>
        </w:rPr>
        <w:t>Vavilov</w:t>
      </w:r>
      <w:r w:rsidRPr="003163C7">
        <w:rPr>
          <w:rFonts w:cs="Times New Roman"/>
        </w:rPr>
        <w:t xml:space="preserve"> instructs that administrative decisions are to be considered functionally — with an eye to substance, not form. Administrative decisions must be read as a whole and in light of the institutional context and history of the proceedings (paras. 91, 94 and 99). Administrators “cannot always be expected to deploy the same array of legal techniques that might be expected of a lawyer or judge”, and this reality impacts the form and content of reasons (para. 92). That the reasons given for a decision do “not include all the arguments, statutory provisions, jurisprudence or other details the reviewing judge would have preferred” is not on its own a basis to set the decision aside (para. 91, </w:t>
      </w:r>
      <w:r w:rsidRPr="003163C7">
        <w:rPr>
          <w:rFonts w:cs="Times New Roman"/>
          <w:iCs/>
        </w:rPr>
        <w:t xml:space="preserve">quoting </w:t>
      </w:r>
      <w:r w:rsidRPr="003163C7">
        <w:rPr>
          <w:rFonts w:cs="Times New Roman"/>
          <w:i/>
          <w:iCs/>
        </w:rPr>
        <w:t>Newfoundland and Labrador Nurses’ Union v. Newfoundland and Labrador (Treasury Board)</w:t>
      </w:r>
      <w:r w:rsidRPr="003163C7">
        <w:rPr>
          <w:rFonts w:cs="Times New Roman"/>
        </w:rPr>
        <w:t>, 2011 SCC 62, [2011] 3 S.C.R. 708, at para. 16). In sum, reviewing courts must remain cognizant of the fact that “‘[a]</w:t>
      </w:r>
      <w:proofErr w:type="spellStart"/>
      <w:r w:rsidRPr="003163C7">
        <w:rPr>
          <w:rFonts w:cs="Times New Roman"/>
        </w:rPr>
        <w:t>dministrative</w:t>
      </w:r>
      <w:proofErr w:type="spellEnd"/>
      <w:r w:rsidRPr="003163C7">
        <w:rPr>
          <w:rFonts w:cs="Times New Roman"/>
        </w:rPr>
        <w:t xml:space="preserve"> justice’ will not always look like ‘judicial justice’” (para. 92).  </w:t>
      </w:r>
    </w:p>
    <w:p w14:paraId="1789942B" w14:textId="77777777" w:rsidR="005F5184" w:rsidRPr="003163C7" w:rsidRDefault="005F5184" w:rsidP="005F5184">
      <w:pPr>
        <w:pStyle w:val="ParaNoNdepar-AltN"/>
        <w:rPr>
          <w:rFonts w:cs="Times New Roman"/>
        </w:rPr>
      </w:pPr>
      <w:r w:rsidRPr="003163C7">
        <w:rPr>
          <w:rFonts w:cs="Times New Roman"/>
        </w:rPr>
        <w:t xml:space="preserve">Reading the </w:t>
      </w:r>
      <w:r w:rsidRPr="003163C7">
        <w:rPr>
          <w:rFonts w:cs="Times New Roman"/>
          <w:szCs w:val="24"/>
        </w:rPr>
        <w:t>a</w:t>
      </w:r>
      <w:r w:rsidRPr="003163C7">
        <w:rPr>
          <w:rFonts w:cs="Times New Roman"/>
        </w:rPr>
        <w:t xml:space="preserve">rbitrator’s decision as a whole as </w:t>
      </w:r>
      <w:r w:rsidRPr="003163C7">
        <w:rPr>
          <w:rFonts w:cs="Times New Roman"/>
          <w:i/>
        </w:rPr>
        <w:t>Vavilov</w:t>
      </w:r>
      <w:r w:rsidRPr="003163C7">
        <w:rPr>
          <w:rFonts w:cs="Times New Roman"/>
        </w:rPr>
        <w:t xml:space="preserve"> instructs, and with sensitivity to the institutional and procedural context in which it was made, she plainly understood that the </w:t>
      </w:r>
      <w:r w:rsidRPr="003163C7">
        <w:rPr>
          <w:rFonts w:cs="Times New Roman"/>
          <w:i/>
        </w:rPr>
        <w:t>Charter</w:t>
      </w:r>
      <w:r w:rsidRPr="003163C7">
        <w:rPr>
          <w:rFonts w:cs="Times New Roman"/>
        </w:rPr>
        <w:t xml:space="preserve"> arose and s. 8 jurisprudence bore on the grievance. Both the Board and the respondent Union relied on s. 8 case law before her (see arbitrator’s reasons: (2018), 294 L.A.C. (4th) 341, at paras. 171 and 179). As the Union notes, the </w:t>
      </w:r>
      <w:r w:rsidRPr="003163C7">
        <w:rPr>
          <w:rFonts w:cs="Times New Roman"/>
          <w:szCs w:val="24"/>
        </w:rPr>
        <w:t>a</w:t>
      </w:r>
      <w:r w:rsidRPr="003163C7">
        <w:rPr>
          <w:rFonts w:cs="Times New Roman"/>
        </w:rPr>
        <w:t xml:space="preserve">rbitrator cited s. 8 case law and expressly recognized that this case law was applying s. 8 of the </w:t>
      </w:r>
      <w:r w:rsidRPr="003163C7">
        <w:rPr>
          <w:rFonts w:cs="Times New Roman"/>
          <w:i/>
        </w:rPr>
        <w:t xml:space="preserve">Charter </w:t>
      </w:r>
      <w:r w:rsidRPr="003163C7">
        <w:rPr>
          <w:rFonts w:cs="Times New Roman"/>
        </w:rPr>
        <w:t xml:space="preserve">(see C.A. reasons, at para. 36; see also R.F., at paras. 31-33). The </w:t>
      </w:r>
      <w:r w:rsidRPr="003163C7">
        <w:rPr>
          <w:rFonts w:cs="Times New Roman"/>
          <w:szCs w:val="24"/>
        </w:rPr>
        <w:t>a</w:t>
      </w:r>
      <w:r w:rsidRPr="003163C7">
        <w:rPr>
          <w:rFonts w:cs="Times New Roman"/>
        </w:rPr>
        <w:t xml:space="preserve">rbitrator engaged with the concepts of reasonable expectation of privacy, diminished reasonable expectation of privacy, plain view, and biographical core. </w:t>
      </w:r>
    </w:p>
    <w:p w14:paraId="1405EA86" w14:textId="77777777" w:rsidR="005F5184" w:rsidRPr="003163C7" w:rsidRDefault="005F5184" w:rsidP="005F5184">
      <w:pPr>
        <w:pStyle w:val="ParaNoNdepar-AltN"/>
        <w:rPr>
          <w:rFonts w:cs="Times New Roman"/>
        </w:rPr>
      </w:pPr>
      <w:r w:rsidRPr="003163C7">
        <w:rPr>
          <w:rFonts w:cs="Times New Roman"/>
        </w:rPr>
        <w:t xml:space="preserve">Thus, we cannot agree that the decision must be quashed because the </w:t>
      </w:r>
      <w:r w:rsidRPr="003163C7">
        <w:rPr>
          <w:rFonts w:cs="Times New Roman"/>
          <w:szCs w:val="24"/>
        </w:rPr>
        <w:t>a</w:t>
      </w:r>
      <w:r w:rsidRPr="003163C7">
        <w:rPr>
          <w:rFonts w:cs="Times New Roman"/>
        </w:rPr>
        <w:t xml:space="preserve">rbitrator did not expressly state that s. 8 of the </w:t>
      </w:r>
      <w:r w:rsidRPr="003163C7">
        <w:rPr>
          <w:rFonts w:cs="Times New Roman"/>
          <w:i/>
        </w:rPr>
        <w:t>Charter</w:t>
      </w:r>
      <w:r w:rsidRPr="003163C7">
        <w:rPr>
          <w:rFonts w:cs="Times New Roman"/>
        </w:rPr>
        <w:t xml:space="preserve"> applied or because she conducted her analysis “without regard” to the legal framework under s. 8 (Rowe J.’s reasons, at paras. 5, 69 and 94). That conclusion seizes on form, contrary to </w:t>
      </w:r>
      <w:r w:rsidRPr="003163C7">
        <w:rPr>
          <w:rFonts w:cs="Times New Roman"/>
          <w:i/>
        </w:rPr>
        <w:t>Vavilov’</w:t>
      </w:r>
      <w:r w:rsidRPr="003163C7">
        <w:rPr>
          <w:rFonts w:cs="Times New Roman"/>
        </w:rPr>
        <w:t>s</w:t>
      </w:r>
      <w:r w:rsidRPr="003163C7">
        <w:rPr>
          <w:rFonts w:cs="Times New Roman"/>
          <w:i/>
        </w:rPr>
        <w:t xml:space="preserve"> </w:t>
      </w:r>
      <w:r w:rsidRPr="003163C7">
        <w:rPr>
          <w:rFonts w:cs="Times New Roman"/>
        </w:rPr>
        <w:t xml:space="preserve">teachings. In our view, the </w:t>
      </w:r>
      <w:r w:rsidRPr="003163C7">
        <w:rPr>
          <w:rFonts w:cs="Times New Roman"/>
          <w:szCs w:val="24"/>
        </w:rPr>
        <w:t>a</w:t>
      </w:r>
      <w:r w:rsidRPr="003163C7">
        <w:rPr>
          <w:rFonts w:cs="Times New Roman"/>
        </w:rPr>
        <w:t>rbitrator directed herself to the relevant legal constraints on her decision making.</w:t>
      </w:r>
    </w:p>
    <w:p w14:paraId="4202D34C" w14:textId="77777777" w:rsidR="005F5184" w:rsidRPr="003163C7" w:rsidRDefault="005F5184" w:rsidP="005F5184">
      <w:pPr>
        <w:pStyle w:val="Title2LevelTitre2Niveau"/>
        <w:rPr>
          <w:rFonts w:cs="Times New Roman"/>
        </w:rPr>
      </w:pPr>
      <w:r w:rsidRPr="003163C7">
        <w:rPr>
          <w:rFonts w:cs="Times New Roman"/>
        </w:rPr>
        <w:t xml:space="preserve">No Basis To Depart From the Presumption of Reasonableness Review </w:t>
      </w:r>
    </w:p>
    <w:p w14:paraId="0170E26E" w14:textId="77777777" w:rsidR="005F5184" w:rsidRPr="003163C7" w:rsidRDefault="005F5184" w:rsidP="005F5184">
      <w:pPr>
        <w:pStyle w:val="ParaNoNdepar-AltN"/>
        <w:rPr>
          <w:rFonts w:cs="Times New Roman"/>
        </w:rPr>
      </w:pPr>
      <w:r w:rsidRPr="003163C7">
        <w:rPr>
          <w:rFonts w:cs="Times New Roman"/>
          <w:i/>
        </w:rPr>
        <w:t>Vavilov</w:t>
      </w:r>
      <w:r w:rsidRPr="003163C7">
        <w:rPr>
          <w:rFonts w:cs="Times New Roman"/>
        </w:rPr>
        <w:t xml:space="preserve"> was intended to provide a stable framework for determining and applying the standard of review and to encourage parties to focus instead on the merits (para. 69; see also </w:t>
      </w:r>
      <w:r w:rsidRPr="003163C7">
        <w:rPr>
          <w:rFonts w:cs="Times New Roman"/>
          <w:i/>
        </w:rPr>
        <w:t>Mason </w:t>
      </w:r>
      <w:r w:rsidRPr="003163C7">
        <w:rPr>
          <w:rFonts w:cs="Times New Roman"/>
          <w:i/>
          <w:iCs/>
        </w:rPr>
        <w:t>v.</w:t>
      </w:r>
      <w:r w:rsidRPr="003163C7">
        <w:rPr>
          <w:rFonts w:cs="Times New Roman"/>
          <w:i/>
        </w:rPr>
        <w:t> Canada (Citizenship and Immigration)</w:t>
      </w:r>
      <w:r w:rsidRPr="003163C7">
        <w:rPr>
          <w:rFonts w:cs="Times New Roman"/>
        </w:rPr>
        <w:t>, 2023 SCC 21, at para. 7). This Court affirmed a broad presumption of reasonableness review and discouraged reviewing courts from parsing sub-issues and assigning them different standards of review by articulating a limited number of exceptions where correctness review is warranted (</w:t>
      </w:r>
      <w:r w:rsidRPr="003163C7">
        <w:rPr>
          <w:rFonts w:cs="Times New Roman"/>
          <w:i/>
        </w:rPr>
        <w:t>Vavilov</w:t>
      </w:r>
      <w:r w:rsidRPr="003163C7">
        <w:rPr>
          <w:rFonts w:cs="Times New Roman"/>
        </w:rPr>
        <w:t>, at paras. 23, 33-64 and 69).</w:t>
      </w:r>
    </w:p>
    <w:p w14:paraId="62AB44F0" w14:textId="77777777" w:rsidR="005F5184" w:rsidRPr="003163C7" w:rsidRDefault="005F5184" w:rsidP="005F5184">
      <w:pPr>
        <w:pStyle w:val="ParaNoNdepar-AltN"/>
        <w:rPr>
          <w:rFonts w:cs="Times New Roman"/>
        </w:rPr>
      </w:pPr>
      <w:r w:rsidRPr="003163C7">
        <w:rPr>
          <w:rFonts w:cs="Times New Roman"/>
        </w:rPr>
        <w:t xml:space="preserve">Correctness exceptions from </w:t>
      </w:r>
      <w:r w:rsidRPr="003163C7">
        <w:rPr>
          <w:rFonts w:cs="Times New Roman"/>
          <w:i/>
        </w:rPr>
        <w:t>Vavilov</w:t>
      </w:r>
      <w:r w:rsidRPr="003163C7">
        <w:rPr>
          <w:rFonts w:cs="Times New Roman"/>
        </w:rPr>
        <w:t xml:space="preserve"> based on the rule of law are united by the need for courts to “provide the last word on questions for which the rule of law requires consistency and for which a final and determinate answer is necessary” (</w:t>
      </w:r>
      <w:r w:rsidRPr="003163C7">
        <w:rPr>
          <w:rFonts w:cs="Times New Roman"/>
          <w:i/>
        </w:rPr>
        <w:t>Vavilov</w:t>
      </w:r>
      <w:r w:rsidRPr="003163C7">
        <w:rPr>
          <w:rFonts w:cs="Times New Roman"/>
        </w:rPr>
        <w:t xml:space="preserve">, at para. 53; see also P. Daly, “Big Bang Theory: Vavilov’s New Framework for Substantive Review”, in C. M. Flood and P. Daly, eds., </w:t>
      </w:r>
      <w:r w:rsidRPr="003163C7">
        <w:rPr>
          <w:rFonts w:cs="Times New Roman"/>
          <w:i/>
        </w:rPr>
        <w:t>Administrative Law in Context</w:t>
      </w:r>
      <w:r w:rsidRPr="003163C7">
        <w:rPr>
          <w:rFonts w:cs="Times New Roman"/>
        </w:rPr>
        <w:t xml:space="preserve"> (4th ed. 2022), 327, at pp. 346-47). Within this category, the correctness exception for constitutional questions is similarly justified by the need for consistency, finality, and determinate answers:</w:t>
      </w:r>
    </w:p>
    <w:p w14:paraId="5F80A71E" w14:textId="77777777" w:rsidR="005F5184" w:rsidRPr="003163C7" w:rsidRDefault="005F5184" w:rsidP="005F5184">
      <w:pPr>
        <w:pStyle w:val="Citation-AltC"/>
        <w:ind w:firstLine="274"/>
      </w:pPr>
      <w:r w:rsidRPr="003163C7">
        <w:t>Questions regarding the division of powers between Parliament and the provinces, the relationship between the legislature and the other branches of the state, the scope of Aboriginal and treaty rights under s. 35 of the </w:t>
      </w:r>
      <w:r w:rsidRPr="003163C7">
        <w:rPr>
          <w:i/>
          <w:iCs/>
        </w:rPr>
        <w:t>Constitution Act, 1982</w:t>
      </w:r>
      <w:r w:rsidRPr="003163C7">
        <w:t xml:space="preserve">, and other constitutional matters </w:t>
      </w:r>
      <w:r w:rsidRPr="003163C7">
        <w:rPr>
          <w:u w:val="single"/>
        </w:rPr>
        <w:t>require a final and determinate answer from the courts</w:t>
      </w:r>
      <w:r w:rsidRPr="003163C7">
        <w:t xml:space="preserve">. Therefore, the standard of correctness must continue to be applied in reviewing such questions. [Emphasis added; citations omitted.] </w:t>
      </w:r>
    </w:p>
    <w:p w14:paraId="65981FD5" w14:textId="77777777" w:rsidR="005F5184" w:rsidRPr="003163C7" w:rsidRDefault="005F5184" w:rsidP="005F5184">
      <w:pPr>
        <w:pStyle w:val="Citation-AltC"/>
      </w:pPr>
    </w:p>
    <w:p w14:paraId="180A2AD6" w14:textId="77777777" w:rsidR="005F5184" w:rsidRPr="003163C7" w:rsidRDefault="005F5184" w:rsidP="005F5184">
      <w:pPr>
        <w:pStyle w:val="Citation-AltC"/>
      </w:pPr>
      <w:r w:rsidRPr="003163C7">
        <w:t>(</w:t>
      </w:r>
      <w:r w:rsidRPr="003163C7">
        <w:rPr>
          <w:i/>
        </w:rPr>
        <w:t>Vavilov</w:t>
      </w:r>
      <w:r w:rsidRPr="003163C7">
        <w:t>, at para. 55)</w:t>
      </w:r>
    </w:p>
    <w:p w14:paraId="591A2244" w14:textId="77777777" w:rsidR="005F5184" w:rsidRPr="003163C7" w:rsidRDefault="005F5184" w:rsidP="005F5184">
      <w:pPr>
        <w:pStyle w:val="ParaNoNdepar-AltN"/>
        <w:rPr>
          <w:rFonts w:cs="Times New Roman"/>
        </w:rPr>
      </w:pPr>
      <w:r w:rsidRPr="003163C7">
        <w:rPr>
          <w:rFonts w:cs="Times New Roman"/>
        </w:rPr>
        <w:t xml:space="preserve">Importantly, </w:t>
      </w:r>
      <w:r w:rsidRPr="003163C7">
        <w:rPr>
          <w:rFonts w:cs="Times New Roman"/>
          <w:i/>
        </w:rPr>
        <w:t xml:space="preserve">Vavilov </w:t>
      </w:r>
      <w:r w:rsidRPr="003163C7">
        <w:rPr>
          <w:rFonts w:cs="Times New Roman"/>
        </w:rPr>
        <w:t>was equally clear that constitutional matters not requiring courts to supply final and determinate answers fall outside the exception to the presumption of reasonableness review. Pre-</w:t>
      </w:r>
      <w:r w:rsidRPr="003163C7">
        <w:rPr>
          <w:rFonts w:cs="Times New Roman"/>
          <w:i/>
        </w:rPr>
        <w:t xml:space="preserve">Vavilov </w:t>
      </w:r>
      <w:r w:rsidRPr="003163C7">
        <w:rPr>
          <w:rFonts w:cs="Times New Roman"/>
        </w:rPr>
        <w:t xml:space="preserve">jurisprudence did not support correctness review for all cases involving the </w:t>
      </w:r>
      <w:r w:rsidRPr="003163C7">
        <w:rPr>
          <w:rFonts w:cs="Times New Roman"/>
          <w:i/>
        </w:rPr>
        <w:t>Charter</w:t>
      </w:r>
      <w:r w:rsidRPr="003163C7">
        <w:rPr>
          <w:rFonts w:cs="Times New Roman"/>
        </w:rPr>
        <w:t xml:space="preserve">, and that remains true today. This Court in </w:t>
      </w:r>
      <w:r w:rsidRPr="003163C7">
        <w:rPr>
          <w:rFonts w:cs="Times New Roman"/>
          <w:i/>
        </w:rPr>
        <w:t>Vavilov</w:t>
      </w:r>
      <w:r w:rsidRPr="003163C7">
        <w:rPr>
          <w:rFonts w:cs="Times New Roman"/>
        </w:rPr>
        <w:t xml:space="preserve"> expressly drew a distinction between “cases in which it is alleged that the effect of the administrative decision being reviewed is to unjustifiably limit rights under the [</w:t>
      </w:r>
      <w:r w:rsidRPr="003163C7">
        <w:rPr>
          <w:rFonts w:cs="Times New Roman"/>
          <w:i/>
        </w:rPr>
        <w:t>Charter</w:t>
      </w:r>
      <w:r w:rsidRPr="003163C7">
        <w:rPr>
          <w:rFonts w:cs="Times New Roman"/>
        </w:rPr>
        <w:t xml:space="preserve">] and those in which the issue on review is whether a provision of the decision maker’s enabling statute violates the </w:t>
      </w:r>
      <w:r w:rsidRPr="003163C7">
        <w:rPr>
          <w:rFonts w:cs="Times New Roman"/>
          <w:i/>
        </w:rPr>
        <w:t>Charter</w:t>
      </w:r>
      <w:r w:rsidRPr="003163C7">
        <w:rPr>
          <w:rFonts w:cs="Times New Roman"/>
        </w:rPr>
        <w:t xml:space="preserve">” (para. </w:t>
      </w:r>
      <w:r w:rsidRPr="003163C7">
        <w:rPr>
          <w:rFonts w:cs="Times New Roman"/>
          <w:lang w:val="fr-CA"/>
        </w:rPr>
        <w:t xml:space="preserve">57; see also para. 55; </w:t>
      </w:r>
      <w:r w:rsidRPr="003163C7">
        <w:rPr>
          <w:rFonts w:cs="Times New Roman"/>
          <w:i/>
          <w:lang w:val="fr-CA"/>
        </w:rPr>
        <w:t>Syndicat canadien de la fonction publique, section locale 1108 v. CHU de Québec — Université Laval</w:t>
      </w:r>
      <w:r w:rsidRPr="003163C7">
        <w:rPr>
          <w:rFonts w:cs="Times New Roman"/>
          <w:lang w:val="fr-CA"/>
        </w:rPr>
        <w:t xml:space="preserve">, 2020 QCCA 857, at paras. </w:t>
      </w:r>
      <w:r w:rsidRPr="003163C7">
        <w:rPr>
          <w:rFonts w:cs="Times New Roman"/>
        </w:rPr>
        <w:t xml:space="preserve">29-33 (CanLII)). Only the latter situation requires courts to provide a final and determinate answer and, therefore, correctness review. </w:t>
      </w:r>
    </w:p>
    <w:p w14:paraId="5AA17254" w14:textId="77777777" w:rsidR="005F5184" w:rsidRPr="003163C7" w:rsidRDefault="005F5184" w:rsidP="005F5184">
      <w:pPr>
        <w:pStyle w:val="ParaNoNdepar-AltN"/>
        <w:rPr>
          <w:rFonts w:cs="Times New Roman"/>
        </w:rPr>
      </w:pPr>
      <w:r w:rsidRPr="003163C7">
        <w:rPr>
          <w:rFonts w:cs="Times New Roman"/>
        </w:rPr>
        <w:t xml:space="preserve">Accordingly, individualized decisions involving the </w:t>
      </w:r>
      <w:r w:rsidRPr="003163C7">
        <w:rPr>
          <w:rFonts w:cs="Times New Roman"/>
          <w:i/>
        </w:rPr>
        <w:t>application</w:t>
      </w:r>
      <w:r w:rsidRPr="003163C7">
        <w:rPr>
          <w:rFonts w:cs="Times New Roman"/>
        </w:rPr>
        <w:t xml:space="preserve"> of the </w:t>
      </w:r>
      <w:r w:rsidRPr="003163C7">
        <w:rPr>
          <w:rFonts w:cs="Times New Roman"/>
          <w:i/>
        </w:rPr>
        <w:t>Charter</w:t>
      </w:r>
      <w:r w:rsidRPr="003163C7">
        <w:rPr>
          <w:rFonts w:cs="Times New Roman"/>
        </w:rPr>
        <w:t xml:space="preserve"> that are intrinsically linked to a specific factual and statutory context will generally not engage the same rule of law concern about potential inconsistency as that which motivated the correctness exception for “constitutional questions” in </w:t>
      </w:r>
      <w:r w:rsidRPr="003163C7">
        <w:rPr>
          <w:rFonts w:cs="Times New Roman"/>
          <w:i/>
        </w:rPr>
        <w:t>Vavilov</w:t>
      </w:r>
      <w:r w:rsidRPr="003163C7">
        <w:rPr>
          <w:rFonts w:cs="Times New Roman"/>
        </w:rPr>
        <w:t xml:space="preserve">. As Professor Daly explains, “variations between individualized decisions about the appropriate application of the Charter in a particular regulatory setting do not compromise the integrity of the legal system: different balances may perfectly legitimately be struck in different areas of regulation between individual rights and the public interest” (p. 347). This explanation reflects the </w:t>
      </w:r>
      <w:r w:rsidRPr="003163C7">
        <w:rPr>
          <w:rFonts w:cs="Times New Roman"/>
          <w:szCs w:val="24"/>
        </w:rPr>
        <w:t xml:space="preserve">conceptual underpinnings of reasonableness review, with its overall policy of deference and the recognition that courts do not possess a monopoly over the adjudication of </w:t>
      </w:r>
      <w:r w:rsidRPr="003163C7">
        <w:rPr>
          <w:rFonts w:cs="Times New Roman"/>
          <w:i/>
          <w:szCs w:val="24"/>
        </w:rPr>
        <w:t>Charter</w:t>
      </w:r>
      <w:r w:rsidRPr="003163C7">
        <w:rPr>
          <w:rFonts w:cs="Times New Roman"/>
          <w:szCs w:val="24"/>
        </w:rPr>
        <w:t xml:space="preserve">-related issues in the administrative context. Administrative decision-makers are empowered and required to consider the </w:t>
      </w:r>
      <w:r w:rsidRPr="003163C7">
        <w:rPr>
          <w:rFonts w:cs="Times New Roman"/>
          <w:i/>
          <w:szCs w:val="24"/>
        </w:rPr>
        <w:t>Charter</w:t>
      </w:r>
      <w:r w:rsidRPr="003163C7">
        <w:rPr>
          <w:rFonts w:cs="Times New Roman"/>
          <w:szCs w:val="24"/>
        </w:rPr>
        <w:t xml:space="preserve"> in exercising their statutory functions (</w:t>
      </w:r>
      <w:r w:rsidRPr="003163C7">
        <w:rPr>
          <w:rFonts w:cs="Times New Roman"/>
          <w:i/>
          <w:szCs w:val="24"/>
        </w:rPr>
        <w:t>Conway</w:t>
      </w:r>
      <w:r w:rsidRPr="003163C7">
        <w:rPr>
          <w:rFonts w:cs="Times New Roman"/>
          <w:szCs w:val="24"/>
        </w:rPr>
        <w:t>, at para. 78).</w:t>
      </w:r>
    </w:p>
    <w:p w14:paraId="7EABE25E" w14:textId="77777777" w:rsidR="005F5184" w:rsidRPr="003163C7" w:rsidRDefault="005F5184" w:rsidP="005F5184">
      <w:pPr>
        <w:pStyle w:val="ParaNoNdepar-AltN"/>
        <w:rPr>
          <w:rFonts w:cs="Times New Roman"/>
        </w:rPr>
      </w:pPr>
      <w:r w:rsidRPr="003163C7">
        <w:rPr>
          <w:rFonts w:cs="Times New Roman"/>
        </w:rPr>
        <w:t xml:space="preserve">Determining the engagement and scope of </w:t>
      </w:r>
      <w:r w:rsidRPr="003163C7">
        <w:rPr>
          <w:rFonts w:cs="Times New Roman"/>
          <w:i/>
        </w:rPr>
        <w:t>Charter</w:t>
      </w:r>
      <w:r w:rsidRPr="003163C7">
        <w:rPr>
          <w:rFonts w:cs="Times New Roman"/>
        </w:rPr>
        <w:t xml:space="preserve"> rights will sometimes entail a highly context specific exercise, which this case exemplifies. Not only will a search in an employment setting differ from a search executed by police officers in the course of a criminal investigation, the questions the </w:t>
      </w:r>
      <w:r w:rsidRPr="003163C7">
        <w:rPr>
          <w:rFonts w:cs="Times New Roman"/>
          <w:szCs w:val="24"/>
        </w:rPr>
        <w:t>a</w:t>
      </w:r>
      <w:r w:rsidRPr="003163C7">
        <w:rPr>
          <w:rFonts w:cs="Times New Roman"/>
        </w:rPr>
        <w:t xml:space="preserve">rbitrator had to answer were heavily interconnected and dependent on the particular factual and statutory context (see I.F., Attorney General of Canada, at para. 20). For instance, did the principal interfere with the Grievors’ reasonable expectation of privacy such that a search within the meaning of s. 8 occurred? Was the search reasonable in that it was authorized by law and conducted reasonably? In answering these questions, the </w:t>
      </w:r>
      <w:r w:rsidRPr="003163C7">
        <w:rPr>
          <w:rFonts w:cs="Times New Roman"/>
          <w:szCs w:val="24"/>
        </w:rPr>
        <w:t>a</w:t>
      </w:r>
      <w:r w:rsidRPr="003163C7">
        <w:rPr>
          <w:rFonts w:cs="Times New Roman"/>
        </w:rPr>
        <w:t xml:space="preserve">rbitrator had to consider workplace realities in an educational setting, the interpretation of the </w:t>
      </w:r>
      <w:r w:rsidRPr="003163C7">
        <w:rPr>
          <w:rFonts w:cs="Times New Roman"/>
          <w:i/>
        </w:rPr>
        <w:t>Education Act</w:t>
      </w:r>
      <w:r w:rsidRPr="003163C7">
        <w:rPr>
          <w:rFonts w:cs="Times New Roman"/>
        </w:rPr>
        <w:t xml:space="preserve">, R.S.O. 1990, c. E.2, and the authority it confers to conduct workplace searches in schools, and the reasonableness of the principal’s exercise of authority at a particular place and time. Deference should be afforded to the </w:t>
      </w:r>
      <w:r w:rsidRPr="003163C7">
        <w:rPr>
          <w:rFonts w:cs="Times New Roman"/>
          <w:szCs w:val="24"/>
        </w:rPr>
        <w:t>a</w:t>
      </w:r>
      <w:r w:rsidRPr="003163C7">
        <w:rPr>
          <w:rFonts w:cs="Times New Roman"/>
        </w:rPr>
        <w:t xml:space="preserve">rbitrator’s understanding of this critical, case-specific context, one in which there is no pressing need for “judicially imposed uniformity” (see P. Daly, “Unresolved Issues after </w:t>
      </w:r>
      <w:r w:rsidRPr="003163C7">
        <w:rPr>
          <w:rFonts w:cs="Times New Roman"/>
          <w:i/>
        </w:rPr>
        <w:t>Vavilov</w:t>
      </w:r>
      <w:r w:rsidRPr="003163C7">
        <w:rPr>
          <w:rFonts w:cs="Times New Roman"/>
        </w:rPr>
        <w:t xml:space="preserve">” (2022), 85 </w:t>
      </w:r>
      <w:r w:rsidRPr="003163C7">
        <w:rPr>
          <w:rFonts w:cs="Times New Roman"/>
          <w:i/>
          <w:iCs/>
        </w:rPr>
        <w:t xml:space="preserve">Sask. L. Rev. </w:t>
      </w:r>
      <w:r w:rsidRPr="003163C7">
        <w:rPr>
          <w:rFonts w:cs="Times New Roman"/>
        </w:rPr>
        <w:t xml:space="preserve">89, at pp. 106-7). </w:t>
      </w:r>
    </w:p>
    <w:p w14:paraId="231838E5" w14:textId="77777777" w:rsidR="005F5184" w:rsidRPr="003163C7" w:rsidRDefault="005F5184" w:rsidP="005F5184">
      <w:pPr>
        <w:pStyle w:val="ParaNoNdepar-AltN"/>
        <w:rPr>
          <w:rFonts w:cs="Times New Roman"/>
        </w:rPr>
      </w:pPr>
      <w:r w:rsidRPr="003163C7">
        <w:rPr>
          <w:rFonts w:cs="Times New Roman"/>
        </w:rPr>
        <w:t xml:space="preserve">In our view, the cases cited by our colleague, at para. 66, are distinguishable from the circumstances of this appeal and do not support correctness review for how administrators should assess a </w:t>
      </w:r>
      <w:r w:rsidRPr="003163C7">
        <w:rPr>
          <w:rFonts w:cs="Times New Roman"/>
          <w:i/>
        </w:rPr>
        <w:t>Charter</w:t>
      </w:r>
      <w:r w:rsidRPr="003163C7">
        <w:rPr>
          <w:rFonts w:cs="Times New Roman"/>
        </w:rPr>
        <w:t xml:space="preserve"> right in a particular factual context. </w:t>
      </w:r>
    </w:p>
    <w:p w14:paraId="734B6FB2" w14:textId="77777777" w:rsidR="005F5184" w:rsidRPr="003163C7" w:rsidRDefault="005F5184" w:rsidP="005F5184">
      <w:pPr>
        <w:pStyle w:val="ParaNoNdepar-AltN"/>
        <w:rPr>
          <w:rFonts w:cs="Times New Roman"/>
        </w:rPr>
      </w:pPr>
      <w:r w:rsidRPr="003163C7">
        <w:rPr>
          <w:rFonts w:cs="Times New Roman"/>
          <w:lang w:val="fr-CA" w:bidi="en-US"/>
        </w:rPr>
        <w:t xml:space="preserve">In our </w:t>
      </w:r>
      <w:proofErr w:type="spellStart"/>
      <w:r w:rsidRPr="003163C7">
        <w:rPr>
          <w:rFonts w:cs="Times New Roman"/>
          <w:lang w:val="fr-CA" w:bidi="en-US"/>
        </w:rPr>
        <w:t>view</w:t>
      </w:r>
      <w:proofErr w:type="spellEnd"/>
      <w:r w:rsidRPr="003163C7">
        <w:rPr>
          <w:rFonts w:cs="Times New Roman"/>
          <w:lang w:val="fr-CA" w:bidi="en-US"/>
        </w:rPr>
        <w:t xml:space="preserve">, </w:t>
      </w:r>
      <w:r w:rsidRPr="003163C7">
        <w:rPr>
          <w:rFonts w:cs="Times New Roman"/>
          <w:i/>
          <w:lang w:val="fr-CA" w:bidi="en-US"/>
        </w:rPr>
        <w:t>Société des casinos du Québec inc. v. Association des cadres de la Société des casinos du Québec</w:t>
      </w:r>
      <w:r w:rsidRPr="003163C7">
        <w:rPr>
          <w:rFonts w:cs="Times New Roman"/>
          <w:lang w:val="fr-CA" w:bidi="en-US"/>
        </w:rPr>
        <w:t xml:space="preserve">, 2024 SCC 13, is not </w:t>
      </w:r>
      <w:proofErr w:type="spellStart"/>
      <w:r w:rsidRPr="003163C7">
        <w:rPr>
          <w:rFonts w:cs="Times New Roman"/>
          <w:lang w:val="fr-CA" w:bidi="en-US"/>
        </w:rPr>
        <w:t>analogous</w:t>
      </w:r>
      <w:proofErr w:type="spellEnd"/>
      <w:r w:rsidRPr="003163C7">
        <w:rPr>
          <w:rFonts w:cs="Times New Roman"/>
          <w:lang w:val="fr-CA" w:bidi="en-US"/>
        </w:rPr>
        <w:t xml:space="preserve"> to this case. </w:t>
      </w:r>
      <w:r w:rsidRPr="003163C7">
        <w:rPr>
          <w:rFonts w:cs="Times New Roman"/>
          <w:lang w:bidi="en-US"/>
        </w:rPr>
        <w:t xml:space="preserve">It involved a </w:t>
      </w:r>
      <w:r w:rsidRPr="003163C7">
        <w:rPr>
          <w:rFonts w:cs="Times New Roman"/>
          <w:i/>
          <w:lang w:bidi="en-US"/>
        </w:rPr>
        <w:t xml:space="preserve">Charter </w:t>
      </w:r>
      <w:r w:rsidRPr="003163C7">
        <w:rPr>
          <w:rFonts w:cs="Times New Roman"/>
          <w:lang w:bidi="en-US"/>
        </w:rPr>
        <w:t xml:space="preserve">challenge to the constitutionality of a statutory provision. We do not read this case as purporting to erase the important distinction this Court drew in </w:t>
      </w:r>
      <w:r w:rsidRPr="003163C7">
        <w:rPr>
          <w:rFonts w:cs="Times New Roman"/>
          <w:i/>
          <w:lang w:bidi="en-US"/>
        </w:rPr>
        <w:t>Vavilov</w:t>
      </w:r>
      <w:r w:rsidRPr="003163C7">
        <w:rPr>
          <w:rFonts w:cs="Times New Roman"/>
          <w:lang w:bidi="en-US"/>
        </w:rPr>
        <w:t xml:space="preserve"> between the constitutionality of a statute and an administrative decision’s effect on </w:t>
      </w:r>
      <w:r w:rsidRPr="003163C7">
        <w:rPr>
          <w:rFonts w:cs="Times New Roman"/>
          <w:i/>
          <w:lang w:bidi="en-US"/>
        </w:rPr>
        <w:t xml:space="preserve">Charter </w:t>
      </w:r>
      <w:r w:rsidRPr="003163C7">
        <w:rPr>
          <w:rFonts w:cs="Times New Roman"/>
          <w:lang w:bidi="en-US"/>
        </w:rPr>
        <w:t xml:space="preserve">rights. </w:t>
      </w:r>
    </w:p>
    <w:p w14:paraId="3008FCF2" w14:textId="77777777" w:rsidR="005F5184" w:rsidRPr="003163C7" w:rsidRDefault="005F5184" w:rsidP="005F5184">
      <w:pPr>
        <w:pStyle w:val="ParaNoNdepar-AltN"/>
        <w:rPr>
          <w:rFonts w:cs="Times New Roman"/>
        </w:rPr>
      </w:pPr>
      <w:r w:rsidRPr="003163C7">
        <w:rPr>
          <w:rFonts w:cs="Times New Roman"/>
        </w:rPr>
        <w:t xml:space="preserve">Our colleague also relies on </w:t>
      </w:r>
      <w:r w:rsidRPr="003163C7">
        <w:rPr>
          <w:rFonts w:cs="Times New Roman"/>
          <w:i/>
        </w:rPr>
        <w:t>Canadian Broadcasting Corp. v. Ferrier</w:t>
      </w:r>
      <w:r w:rsidRPr="003163C7">
        <w:rPr>
          <w:rFonts w:cs="Times New Roman"/>
        </w:rPr>
        <w:t xml:space="preserve">, 2019 ONCA 1025, 148 O.R. (3d) 705, and a case citing it. </w:t>
      </w:r>
      <w:r w:rsidRPr="003163C7">
        <w:rPr>
          <w:rFonts w:cs="Times New Roman"/>
          <w:i/>
        </w:rPr>
        <w:t>Ferrier</w:t>
      </w:r>
      <w:r w:rsidRPr="003163C7">
        <w:rPr>
          <w:rFonts w:cs="Times New Roman"/>
        </w:rPr>
        <w:t xml:space="preserve"> was not considered by this Court on an appeal, and we make no comment on its conclusions. We accept that administrative decisions affecting </w:t>
      </w:r>
      <w:r w:rsidRPr="003163C7">
        <w:rPr>
          <w:rFonts w:cs="Times New Roman"/>
          <w:i/>
        </w:rPr>
        <w:t>Charter</w:t>
      </w:r>
      <w:r w:rsidRPr="003163C7">
        <w:rPr>
          <w:rFonts w:cs="Times New Roman"/>
        </w:rPr>
        <w:t xml:space="preserve"> rights can involve a question requiring a final and determinate answer within the meaning of </w:t>
      </w:r>
      <w:r w:rsidRPr="003163C7">
        <w:rPr>
          <w:rFonts w:cs="Times New Roman"/>
          <w:i/>
        </w:rPr>
        <w:t>Vavilov</w:t>
      </w:r>
      <w:r w:rsidRPr="003163C7">
        <w:rPr>
          <w:rFonts w:cs="Times New Roman"/>
        </w:rPr>
        <w:t xml:space="preserve"> (para. 55). As we have said, we agree that the issue of whether the </w:t>
      </w:r>
      <w:r w:rsidRPr="003163C7">
        <w:rPr>
          <w:rFonts w:cs="Times New Roman"/>
          <w:i/>
        </w:rPr>
        <w:t xml:space="preserve">Charter applies </w:t>
      </w:r>
      <w:r w:rsidRPr="003163C7">
        <w:rPr>
          <w:rFonts w:cs="Times New Roman"/>
        </w:rPr>
        <w:t xml:space="preserve">to Ontario public school boards must be answered correctly. Respectfully, we do not think that the principle requiring correctness for constitutional matters governs review of whether the privacy right was </w:t>
      </w:r>
      <w:r w:rsidRPr="003163C7">
        <w:rPr>
          <w:rFonts w:cs="Times New Roman"/>
          <w:i/>
        </w:rPr>
        <w:t xml:space="preserve">infringed </w:t>
      </w:r>
      <w:r w:rsidRPr="003163C7">
        <w:rPr>
          <w:rFonts w:cs="Times New Roman"/>
        </w:rPr>
        <w:t>in these circumstances.</w:t>
      </w:r>
    </w:p>
    <w:p w14:paraId="63DC9E5D" w14:textId="77777777" w:rsidR="005F5184" w:rsidRPr="003163C7" w:rsidRDefault="005F5184" w:rsidP="005F5184">
      <w:pPr>
        <w:pStyle w:val="ParaNoNdepar-AltN"/>
        <w:rPr>
          <w:rFonts w:cs="Times New Roman"/>
        </w:rPr>
      </w:pPr>
      <w:r w:rsidRPr="003163C7">
        <w:rPr>
          <w:rFonts w:cs="Times New Roman"/>
        </w:rPr>
        <w:t xml:space="preserve">Nor do we accept that the cases referred to by the majority qualify as a line of developing authority that requires correctness review for </w:t>
      </w:r>
      <w:r w:rsidRPr="003163C7">
        <w:rPr>
          <w:rFonts w:cs="Times New Roman"/>
          <w:szCs w:val="24"/>
        </w:rPr>
        <w:t xml:space="preserve">whether a </w:t>
      </w:r>
      <w:r w:rsidRPr="003163C7">
        <w:rPr>
          <w:rFonts w:cs="Times New Roman"/>
          <w:i/>
          <w:szCs w:val="24"/>
        </w:rPr>
        <w:t xml:space="preserve">Charter </w:t>
      </w:r>
      <w:r w:rsidRPr="003163C7">
        <w:rPr>
          <w:rFonts w:cs="Times New Roman"/>
          <w:szCs w:val="24"/>
        </w:rPr>
        <w:t xml:space="preserve">right arises on the facts or for questions about the scope of a </w:t>
      </w:r>
      <w:r w:rsidRPr="003163C7">
        <w:rPr>
          <w:rFonts w:cs="Times New Roman"/>
          <w:i/>
          <w:szCs w:val="24"/>
        </w:rPr>
        <w:t>Charter</w:t>
      </w:r>
      <w:r w:rsidRPr="003163C7">
        <w:rPr>
          <w:rFonts w:cs="Times New Roman"/>
          <w:szCs w:val="24"/>
        </w:rPr>
        <w:t xml:space="preserve"> right. Such an approach introduces uncertainty on what it means for a </w:t>
      </w:r>
      <w:r w:rsidRPr="003163C7">
        <w:rPr>
          <w:rFonts w:cs="Times New Roman"/>
          <w:i/>
          <w:szCs w:val="24"/>
        </w:rPr>
        <w:t xml:space="preserve">Charter </w:t>
      </w:r>
      <w:r w:rsidRPr="003163C7">
        <w:rPr>
          <w:rFonts w:cs="Times New Roman"/>
          <w:szCs w:val="24"/>
        </w:rPr>
        <w:t>right to be engaged, “</w:t>
      </w:r>
      <w:proofErr w:type="spellStart"/>
      <w:r w:rsidRPr="003163C7">
        <w:rPr>
          <w:rFonts w:cs="Times New Roman"/>
          <w:szCs w:val="24"/>
        </w:rPr>
        <w:t>appl</w:t>
      </w:r>
      <w:proofErr w:type="spellEnd"/>
      <w:r w:rsidRPr="003163C7">
        <w:rPr>
          <w:rFonts w:cs="Times New Roman"/>
          <w:szCs w:val="24"/>
        </w:rPr>
        <w:t>[y]” to, or “</w:t>
      </w:r>
      <w:proofErr w:type="spellStart"/>
      <w:r w:rsidRPr="003163C7">
        <w:rPr>
          <w:rFonts w:cs="Times New Roman"/>
          <w:szCs w:val="24"/>
        </w:rPr>
        <w:t>aris</w:t>
      </w:r>
      <w:proofErr w:type="spellEnd"/>
      <w:r w:rsidRPr="003163C7">
        <w:rPr>
          <w:rFonts w:cs="Times New Roman"/>
          <w:szCs w:val="24"/>
        </w:rPr>
        <w:t>[e]” from the facts (Rowe J.’s reasons, at paras. 63 and 69). It</w:t>
      </w:r>
      <w:r w:rsidRPr="003163C7">
        <w:rPr>
          <w:rFonts w:cs="Times New Roman"/>
        </w:rPr>
        <w:t xml:space="preserve"> undercuts </w:t>
      </w:r>
      <w:r w:rsidRPr="003163C7">
        <w:rPr>
          <w:rFonts w:cs="Times New Roman"/>
          <w:i/>
        </w:rPr>
        <w:t>Vavilov</w:t>
      </w:r>
      <w:r w:rsidRPr="003163C7">
        <w:rPr>
          <w:rFonts w:cs="Times New Roman"/>
        </w:rPr>
        <w:t>’s careful recalibration of the standard of review framework, which</w:t>
      </w:r>
      <w:r w:rsidRPr="003163C7">
        <w:rPr>
          <w:rFonts w:cs="Times New Roman"/>
          <w:i/>
        </w:rPr>
        <w:t xml:space="preserve"> </w:t>
      </w:r>
      <w:r w:rsidRPr="003163C7">
        <w:rPr>
          <w:rFonts w:cs="Times New Roman"/>
        </w:rPr>
        <w:t xml:space="preserve">makes plain that not all cases of constitutional interpretation require correctness review. Under </w:t>
      </w:r>
      <w:r w:rsidRPr="003163C7">
        <w:rPr>
          <w:rFonts w:cs="Times New Roman"/>
          <w:i/>
        </w:rPr>
        <w:t>Vavilov</w:t>
      </w:r>
      <w:r w:rsidRPr="003163C7">
        <w:rPr>
          <w:rFonts w:cs="Times New Roman"/>
        </w:rPr>
        <w:t>’s terms, q</w:t>
      </w:r>
      <w:r w:rsidRPr="003163C7">
        <w:rPr>
          <w:rFonts w:cs="Times New Roman"/>
          <w:szCs w:val="24"/>
        </w:rPr>
        <w:t xml:space="preserve">uestions about the engagement and scope of a </w:t>
      </w:r>
      <w:r w:rsidRPr="003163C7">
        <w:rPr>
          <w:rFonts w:cs="Times New Roman"/>
          <w:i/>
          <w:szCs w:val="24"/>
        </w:rPr>
        <w:t xml:space="preserve">Charter </w:t>
      </w:r>
      <w:r w:rsidRPr="003163C7">
        <w:rPr>
          <w:rFonts w:cs="Times New Roman"/>
          <w:szCs w:val="24"/>
        </w:rPr>
        <w:t>right will only sometimes require a final and determinate answer.</w:t>
      </w:r>
      <w:r w:rsidRPr="003163C7">
        <w:rPr>
          <w:rFonts w:cs="Times New Roman"/>
        </w:rPr>
        <w:t xml:space="preserve"> As we have explained, the </w:t>
      </w:r>
      <w:r w:rsidRPr="003163C7">
        <w:rPr>
          <w:rFonts w:cs="Times New Roman"/>
          <w:szCs w:val="24"/>
        </w:rPr>
        <w:t>a</w:t>
      </w:r>
      <w:r w:rsidRPr="003163C7">
        <w:rPr>
          <w:rFonts w:cs="Times New Roman"/>
        </w:rPr>
        <w:t xml:space="preserve">rbitrator’s decision and interpretive exercise were highly fact-specific, depended on a particular statutory context, and concerned the application of legal principles to the particular grievance presented. </w:t>
      </w:r>
    </w:p>
    <w:p w14:paraId="21B43672" w14:textId="77777777" w:rsidR="005F5184" w:rsidRPr="003163C7" w:rsidRDefault="005F5184" w:rsidP="005F5184">
      <w:pPr>
        <w:pStyle w:val="ParaNoNdepar-AltN"/>
        <w:rPr>
          <w:rFonts w:cs="Times New Roman"/>
        </w:rPr>
      </w:pPr>
      <w:r w:rsidRPr="003163C7">
        <w:rPr>
          <w:rFonts w:cs="Times New Roman"/>
        </w:rPr>
        <w:t xml:space="preserve">In sum, while we agree that whether the </w:t>
      </w:r>
      <w:r w:rsidRPr="003163C7">
        <w:rPr>
          <w:rFonts w:cs="Times New Roman"/>
          <w:i/>
        </w:rPr>
        <w:t>Charter</w:t>
      </w:r>
      <w:r w:rsidRPr="003163C7">
        <w:rPr>
          <w:rFonts w:cs="Times New Roman"/>
        </w:rPr>
        <w:t xml:space="preserve"> applies to Ontario public school boards at all would be a constitutional issue attracting the correctness standard, in our view, our colleague’s articulation of the breadth of the “constitutional questions” category does not align with </w:t>
      </w:r>
      <w:r w:rsidRPr="003163C7">
        <w:rPr>
          <w:rFonts w:cs="Times New Roman"/>
          <w:i/>
        </w:rPr>
        <w:t>Vavilov</w:t>
      </w:r>
      <w:r w:rsidRPr="003163C7">
        <w:rPr>
          <w:rFonts w:cs="Times New Roman"/>
        </w:rPr>
        <w:t xml:space="preserve">’s limited exceptions to reasonableness review. The issue in this case is one of application: Were the Grievors’ privacy rights breached in the context of the specific searches in issue? As a result, there is no basis to rebut </w:t>
      </w:r>
      <w:r w:rsidRPr="003163C7">
        <w:rPr>
          <w:rFonts w:cs="Times New Roman"/>
          <w:i/>
        </w:rPr>
        <w:t>Vavilov</w:t>
      </w:r>
      <w:r w:rsidRPr="003163C7">
        <w:rPr>
          <w:rFonts w:cs="Times New Roman"/>
        </w:rPr>
        <w:t xml:space="preserve">’s presumption that reasonableness review governs this appeal.  </w:t>
      </w:r>
    </w:p>
    <w:p w14:paraId="19997308" w14:textId="77777777" w:rsidR="005F5184" w:rsidRPr="003163C7" w:rsidRDefault="005F5184" w:rsidP="005F5184">
      <w:pPr>
        <w:pStyle w:val="Title1LevelTitre1Niveau-AltL"/>
        <w:rPr>
          <w:rFonts w:cs="Times New Roman"/>
        </w:rPr>
      </w:pPr>
      <w:r w:rsidRPr="003163C7">
        <w:rPr>
          <w:rFonts w:cs="Times New Roman"/>
        </w:rPr>
        <w:t xml:space="preserve">Reasonableness Review of the Arbitrator’s Decision </w:t>
      </w:r>
    </w:p>
    <w:p w14:paraId="2EDEB58D" w14:textId="77777777" w:rsidR="005F5184" w:rsidRPr="003163C7" w:rsidRDefault="005F5184" w:rsidP="005F5184">
      <w:pPr>
        <w:pStyle w:val="ParaNoNdepar-AltN"/>
        <w:rPr>
          <w:rFonts w:cs="Times New Roman"/>
        </w:rPr>
      </w:pPr>
      <w:r w:rsidRPr="003163C7">
        <w:rPr>
          <w:rFonts w:cs="Times New Roman"/>
        </w:rPr>
        <w:t xml:space="preserve">Reviewing the </w:t>
      </w:r>
      <w:r w:rsidRPr="003163C7">
        <w:rPr>
          <w:rFonts w:cs="Times New Roman"/>
          <w:szCs w:val="24"/>
        </w:rPr>
        <w:t>a</w:t>
      </w:r>
      <w:r w:rsidRPr="003163C7">
        <w:rPr>
          <w:rFonts w:cs="Times New Roman"/>
        </w:rPr>
        <w:t xml:space="preserve">rbitrator’s reasons, we conclude that the decision is not reasonable in light of the constraints bearing on it. The </w:t>
      </w:r>
      <w:r w:rsidRPr="003163C7">
        <w:rPr>
          <w:rFonts w:cs="Times New Roman"/>
          <w:szCs w:val="24"/>
        </w:rPr>
        <w:t>a</w:t>
      </w:r>
      <w:r w:rsidRPr="003163C7">
        <w:rPr>
          <w:rFonts w:cs="Times New Roman"/>
        </w:rPr>
        <w:t xml:space="preserve">rbitrator relied on the specific contents of the Grievors’ log in calibrating the privacy interest engaged and in determining the reasonableness of the search. This reasoning is inconsistent with the broad and content-neutral approach required by the normative nature of the s. 8 framework. </w:t>
      </w:r>
    </w:p>
    <w:p w14:paraId="30E7AC2E" w14:textId="77777777" w:rsidR="005F5184" w:rsidRPr="003163C7" w:rsidRDefault="005F5184" w:rsidP="005F5184">
      <w:pPr>
        <w:pStyle w:val="Title2LevelTitre2Niveau"/>
        <w:rPr>
          <w:rFonts w:cs="Times New Roman"/>
        </w:rPr>
      </w:pPr>
      <w:r w:rsidRPr="003163C7">
        <w:rPr>
          <w:rFonts w:cs="Times New Roman"/>
        </w:rPr>
        <w:t xml:space="preserve">The Arbitrator’s Reasons  </w:t>
      </w:r>
    </w:p>
    <w:p w14:paraId="42C51EE7" w14:textId="77777777" w:rsidR="005F5184" w:rsidRPr="003163C7" w:rsidRDefault="005F5184" w:rsidP="005F5184">
      <w:pPr>
        <w:pStyle w:val="ParaNoNdepar-AltN"/>
        <w:rPr>
          <w:rFonts w:cs="Times New Roman"/>
        </w:rPr>
      </w:pPr>
      <w:r w:rsidRPr="003163C7">
        <w:rPr>
          <w:rFonts w:cs="Times New Roman"/>
        </w:rPr>
        <w:t xml:space="preserve">Before the </w:t>
      </w:r>
      <w:r w:rsidRPr="003163C7">
        <w:rPr>
          <w:rFonts w:cs="Times New Roman"/>
          <w:szCs w:val="24"/>
        </w:rPr>
        <w:t>a</w:t>
      </w:r>
      <w:r w:rsidRPr="003163C7">
        <w:rPr>
          <w:rFonts w:cs="Times New Roman"/>
        </w:rPr>
        <w:t xml:space="preserve">rbitrator, the Union submitted that the Grievors had an expectation of privacy in the log, which was violated in three separate ways. The Board submitted there was no privacy violation because there was no expectation of privacy engaged in the circumstances and, in any event, the principal had reasonable cause for the investigation and the search was reasonable. </w:t>
      </w:r>
    </w:p>
    <w:p w14:paraId="1F3F549E" w14:textId="77777777" w:rsidR="005F5184" w:rsidRPr="003163C7" w:rsidRDefault="005F5184" w:rsidP="005F5184">
      <w:pPr>
        <w:pStyle w:val="ParaNoNdepar-AltN"/>
        <w:rPr>
          <w:rFonts w:cs="Times New Roman"/>
        </w:rPr>
      </w:pPr>
      <w:r w:rsidRPr="003163C7">
        <w:rPr>
          <w:rFonts w:cs="Times New Roman"/>
        </w:rPr>
        <w:t xml:space="preserve">The </w:t>
      </w:r>
      <w:r w:rsidRPr="003163C7">
        <w:rPr>
          <w:rFonts w:cs="Times New Roman"/>
          <w:szCs w:val="24"/>
        </w:rPr>
        <w:t>a</w:t>
      </w:r>
      <w:r w:rsidRPr="003163C7">
        <w:rPr>
          <w:rFonts w:cs="Times New Roman"/>
        </w:rPr>
        <w:t xml:space="preserve">rbitrator identified that the issue in dispute was whether the Grievors’ privacy rights were violated by the search. She further identified that, in order to establish a privacy violation, it must first be established that there is a reasonable expectation of privacy engaged in the circumstances. </w:t>
      </w:r>
    </w:p>
    <w:p w14:paraId="5B9DFCED" w14:textId="77777777" w:rsidR="005F5184" w:rsidRPr="003163C7" w:rsidRDefault="005F5184" w:rsidP="005F5184">
      <w:pPr>
        <w:pStyle w:val="ParaNoNdepar-AltN"/>
        <w:rPr>
          <w:rFonts w:cs="Times New Roman"/>
        </w:rPr>
      </w:pPr>
      <w:r w:rsidRPr="003163C7">
        <w:rPr>
          <w:rFonts w:cs="Times New Roman"/>
        </w:rPr>
        <w:t xml:space="preserve">The </w:t>
      </w:r>
      <w:r w:rsidRPr="003163C7">
        <w:rPr>
          <w:rFonts w:cs="Times New Roman"/>
          <w:szCs w:val="24"/>
        </w:rPr>
        <w:t>a</w:t>
      </w:r>
      <w:r w:rsidRPr="003163C7">
        <w:rPr>
          <w:rFonts w:cs="Times New Roman"/>
        </w:rPr>
        <w:t xml:space="preserve">rbitrator reviewed the entirety of the evidence, which consisted of will-say statements and affidavits, as well as some cross-examination evidence, and she analyzed the expectation of privacy asserted by the Union. Then, she set out the legal principles that animate s. 8 and arbitral jurisprudence, to the extent of their consistency (see, e.g., para. 259), before applying those principles to the circumstances before her. Dismissing the grievance, the </w:t>
      </w:r>
      <w:r w:rsidRPr="003163C7">
        <w:rPr>
          <w:rFonts w:cs="Times New Roman"/>
          <w:szCs w:val="24"/>
        </w:rPr>
        <w:t>a</w:t>
      </w:r>
      <w:r w:rsidRPr="003163C7">
        <w:rPr>
          <w:rFonts w:cs="Times New Roman"/>
        </w:rPr>
        <w:t xml:space="preserve">rbitrator found that there had been no breach of the Grievors’ reasonable expectation of privacy. </w:t>
      </w:r>
    </w:p>
    <w:p w14:paraId="56FCED88" w14:textId="77777777" w:rsidR="005F5184" w:rsidRPr="003163C7" w:rsidRDefault="005F5184" w:rsidP="005F5184">
      <w:pPr>
        <w:pStyle w:val="ParaNoNdepar-AltN"/>
        <w:rPr>
          <w:rFonts w:cs="Times New Roman"/>
        </w:rPr>
      </w:pPr>
      <w:r w:rsidRPr="003163C7">
        <w:rPr>
          <w:rFonts w:cs="Times New Roman"/>
        </w:rPr>
        <w:t xml:space="preserve">First, the </w:t>
      </w:r>
      <w:r w:rsidRPr="003163C7">
        <w:rPr>
          <w:rFonts w:cs="Times New Roman"/>
          <w:szCs w:val="24"/>
        </w:rPr>
        <w:t>a</w:t>
      </w:r>
      <w:r w:rsidRPr="003163C7">
        <w:rPr>
          <w:rFonts w:cs="Times New Roman"/>
        </w:rPr>
        <w:t xml:space="preserve">rbitrator agreed with the Union that the Grievors had a reasonable expectation of privacy in the circumstances. She identified the subject matter of the search (the log), and she concluded that the Grievors had a direct interest and subjective expectation of privacy in that subject matter. As for objective reasonableness, the </w:t>
      </w:r>
      <w:r w:rsidRPr="003163C7">
        <w:rPr>
          <w:rFonts w:cs="Times New Roman"/>
          <w:szCs w:val="24"/>
        </w:rPr>
        <w:t>a</w:t>
      </w:r>
      <w:r w:rsidRPr="003163C7">
        <w:rPr>
          <w:rFonts w:cs="Times New Roman"/>
        </w:rPr>
        <w:t xml:space="preserve">rbitrator reviewed the totality of the circumstances — control over the log, the place of the search, the private nature of the log’s content, ownership of the laptop, and the applicable policies in place in the school environment (paras. 199, 202-3 and 208-14). This led her to conclude that the Grievors had a reasonable expectation of privacy but that this expectation of privacy was diminished because one of the Grievors had left the log open on the laptop in the classroom. </w:t>
      </w:r>
    </w:p>
    <w:p w14:paraId="403167A7" w14:textId="77777777" w:rsidR="005F5184" w:rsidRPr="003163C7" w:rsidRDefault="005F5184" w:rsidP="005F5184">
      <w:pPr>
        <w:pStyle w:val="ParaNoNdepar-AltN"/>
        <w:rPr>
          <w:rFonts w:cs="Times New Roman"/>
        </w:rPr>
      </w:pPr>
      <w:r w:rsidRPr="003163C7">
        <w:rPr>
          <w:rFonts w:cs="Times New Roman"/>
        </w:rPr>
        <w:t xml:space="preserve">Turning to the asserted violations, the </w:t>
      </w:r>
      <w:r w:rsidRPr="003163C7">
        <w:rPr>
          <w:rFonts w:cs="Times New Roman"/>
          <w:szCs w:val="24"/>
        </w:rPr>
        <w:t>a</w:t>
      </w:r>
      <w:r w:rsidRPr="003163C7">
        <w:rPr>
          <w:rFonts w:cs="Times New Roman"/>
        </w:rPr>
        <w:t xml:space="preserve">rbitrator reviewed the principal’s conduct in touching the mousepad of the laptop, scrolling through the log, and taking screenshots of the log’s content. She considered the specific administrative action taken by the principal and the general school context in which the challenged action was taken. She identified the interest furthered by the search — cooperation and the maintenance of order in the school environment — and concluded that the search was authorized by law under s. 265 of the </w:t>
      </w:r>
      <w:r w:rsidRPr="003163C7">
        <w:rPr>
          <w:rFonts w:cs="Times New Roman"/>
          <w:i/>
        </w:rPr>
        <w:t>Education Act</w:t>
      </w:r>
      <w:r w:rsidRPr="003163C7">
        <w:rPr>
          <w:rFonts w:cs="Times New Roman"/>
        </w:rPr>
        <w:t xml:space="preserve"> (paras. 224, 230 and 247). </w:t>
      </w:r>
    </w:p>
    <w:p w14:paraId="42624510" w14:textId="77777777" w:rsidR="005F5184" w:rsidRPr="003163C7" w:rsidRDefault="005F5184" w:rsidP="005F5184">
      <w:pPr>
        <w:pStyle w:val="ParaNoNdepar-AltN"/>
        <w:rPr>
          <w:rFonts w:cs="Times New Roman"/>
        </w:rPr>
      </w:pPr>
      <w:r w:rsidRPr="003163C7">
        <w:rPr>
          <w:rFonts w:cs="Times New Roman"/>
        </w:rPr>
        <w:t xml:space="preserve">The </w:t>
      </w:r>
      <w:r w:rsidRPr="003163C7">
        <w:rPr>
          <w:rFonts w:cs="Times New Roman"/>
          <w:szCs w:val="24"/>
        </w:rPr>
        <w:t>a</w:t>
      </w:r>
      <w:r w:rsidRPr="003163C7">
        <w:rPr>
          <w:rFonts w:cs="Times New Roman"/>
        </w:rPr>
        <w:t xml:space="preserve">rbitrator then assessed the reasonableness of the search, focusing on what was known to the principal at the time. Much of her assessment was trained on the principal’s investigation into the alleged workplace misconduct in the school setting, in light of the </w:t>
      </w:r>
      <w:r w:rsidRPr="003163C7">
        <w:rPr>
          <w:rFonts w:cs="Times New Roman"/>
          <w:i/>
        </w:rPr>
        <w:t>Education Act</w:t>
      </w:r>
      <w:r w:rsidRPr="003163C7">
        <w:rPr>
          <w:rFonts w:cs="Times New Roman"/>
        </w:rPr>
        <w:t xml:space="preserve"> objectives he was furthering through the search. The </w:t>
      </w:r>
      <w:r w:rsidRPr="003163C7">
        <w:rPr>
          <w:rFonts w:cs="Times New Roman"/>
          <w:szCs w:val="24"/>
        </w:rPr>
        <w:t>a</w:t>
      </w:r>
      <w:r w:rsidRPr="003163C7">
        <w:rPr>
          <w:rFonts w:cs="Times New Roman"/>
        </w:rPr>
        <w:t xml:space="preserve">rbitrator examined the contents of the log, noting that it did not reveal personal or intimate information. In particular, she found the log had a “judgmental quality”, and she concluded that it did not reveal “personal or intimate information about either of [the Grievors]” (para. 246). Consequently, the </w:t>
      </w:r>
      <w:r w:rsidRPr="003163C7">
        <w:rPr>
          <w:rFonts w:cs="Times New Roman"/>
          <w:szCs w:val="24"/>
        </w:rPr>
        <w:t>a</w:t>
      </w:r>
      <w:r w:rsidRPr="003163C7">
        <w:rPr>
          <w:rFonts w:cs="Times New Roman"/>
        </w:rPr>
        <w:t>rbitrator concluded that it was “not close enough” to their biographical core (at paras. 246-47), the search itself was reasonable, and, therefore, there was no breach of the Grievors’ privacy.</w:t>
      </w:r>
    </w:p>
    <w:p w14:paraId="4F005705" w14:textId="77777777" w:rsidR="005F5184" w:rsidRPr="003163C7" w:rsidRDefault="005F5184" w:rsidP="005F5184">
      <w:pPr>
        <w:pStyle w:val="Title2LevelTitre2Niveau"/>
        <w:rPr>
          <w:rFonts w:cs="Times New Roman"/>
        </w:rPr>
      </w:pPr>
      <w:r w:rsidRPr="003163C7">
        <w:rPr>
          <w:rFonts w:cs="Times New Roman"/>
        </w:rPr>
        <w:t xml:space="preserve">The Arbitrator’s Decision Was Unreasonable </w:t>
      </w:r>
    </w:p>
    <w:p w14:paraId="5B173D59" w14:textId="77777777" w:rsidR="005F5184" w:rsidRPr="003163C7" w:rsidRDefault="005F5184" w:rsidP="005F5184">
      <w:pPr>
        <w:pStyle w:val="ParaNoNdepar-AltN"/>
        <w:tabs>
          <w:tab w:val="clear" w:pos="1152"/>
          <w:tab w:val="left" w:pos="1166"/>
        </w:tabs>
        <w:rPr>
          <w:rFonts w:cs="Times New Roman"/>
        </w:rPr>
      </w:pPr>
      <w:r w:rsidRPr="003163C7">
        <w:rPr>
          <w:rFonts w:cs="Times New Roman"/>
        </w:rPr>
        <w:t xml:space="preserve">The parties raise several issues relating to the </w:t>
      </w:r>
      <w:r w:rsidRPr="003163C7">
        <w:rPr>
          <w:rFonts w:cs="Times New Roman"/>
          <w:szCs w:val="24"/>
        </w:rPr>
        <w:t>a</w:t>
      </w:r>
      <w:r w:rsidRPr="003163C7">
        <w:rPr>
          <w:rFonts w:cs="Times New Roman"/>
        </w:rPr>
        <w:t xml:space="preserve">rbitrator’s privacy analysis. Read functionally, much of the </w:t>
      </w:r>
      <w:r w:rsidRPr="003163C7">
        <w:rPr>
          <w:rFonts w:cs="Times New Roman"/>
          <w:szCs w:val="24"/>
        </w:rPr>
        <w:t>a</w:t>
      </w:r>
      <w:r w:rsidRPr="003163C7">
        <w:rPr>
          <w:rFonts w:cs="Times New Roman"/>
        </w:rPr>
        <w:t xml:space="preserve">rbitrator’s reasoning is sound. She was sensitive to the application of s. 8 in the administrative context before her, and she reasonably distinguished the leading authorities. The arbitrator identified </w:t>
      </w:r>
      <w:r w:rsidRPr="003163C7">
        <w:rPr>
          <w:rFonts w:cs="Times New Roman"/>
          <w:i/>
        </w:rPr>
        <w:t>R. v. M. (M.R.)</w:t>
      </w:r>
      <w:r w:rsidRPr="003163C7">
        <w:rPr>
          <w:rFonts w:cs="Times New Roman"/>
        </w:rPr>
        <w:t xml:space="preserve">, [1998] 3 S.C.R. 393, and said it was similar to this case in the sense that the search under review was authorized by s. 265 of the </w:t>
      </w:r>
      <w:r w:rsidRPr="003163C7">
        <w:rPr>
          <w:rFonts w:cs="Times New Roman"/>
          <w:i/>
        </w:rPr>
        <w:t>Education Act</w:t>
      </w:r>
      <w:r w:rsidRPr="003163C7">
        <w:rPr>
          <w:rFonts w:cs="Times New Roman"/>
        </w:rPr>
        <w:t xml:space="preserve">. But she distinguished </w:t>
      </w:r>
      <w:r w:rsidRPr="003163C7">
        <w:rPr>
          <w:rFonts w:cs="Times New Roman"/>
          <w:i/>
        </w:rPr>
        <w:t xml:space="preserve">M. (M.R.) </w:t>
      </w:r>
      <w:r w:rsidRPr="003163C7">
        <w:rPr>
          <w:rFonts w:cs="Times New Roman"/>
        </w:rPr>
        <w:t xml:space="preserve">on the basis that, in that case, the search furthered a criminal investigation, which implicates different s. 8 concerns. She identified similarities and distinctions between this case and </w:t>
      </w:r>
      <w:r w:rsidRPr="003163C7">
        <w:rPr>
          <w:rFonts w:cs="Times New Roman"/>
          <w:i/>
        </w:rPr>
        <w:t>R. v. Cole</w:t>
      </w:r>
      <w:r w:rsidRPr="003163C7">
        <w:rPr>
          <w:rFonts w:cs="Times New Roman"/>
        </w:rPr>
        <w:t xml:space="preserve">, 2012 SCC 53, [2012] 3 S.C.R. 34, which, like </w:t>
      </w:r>
      <w:r w:rsidRPr="003163C7">
        <w:rPr>
          <w:rFonts w:cs="Times New Roman"/>
          <w:i/>
        </w:rPr>
        <w:t>M. (M.R.)</w:t>
      </w:r>
      <w:r w:rsidRPr="003163C7">
        <w:rPr>
          <w:rFonts w:cs="Times New Roman"/>
        </w:rPr>
        <w:t xml:space="preserve">, also involved a search by school officials and a related criminal investigation. </w:t>
      </w:r>
    </w:p>
    <w:p w14:paraId="259953B4" w14:textId="77777777" w:rsidR="005F5184" w:rsidRPr="003163C7" w:rsidRDefault="005F5184" w:rsidP="005F5184">
      <w:pPr>
        <w:pStyle w:val="ParaNoNdepar-AltN"/>
        <w:rPr>
          <w:rFonts w:cs="Times New Roman"/>
        </w:rPr>
      </w:pPr>
      <w:r w:rsidRPr="003163C7">
        <w:rPr>
          <w:rFonts w:cs="Times New Roman"/>
        </w:rPr>
        <w:t xml:space="preserve">A key issue discussed by the courts below was the </w:t>
      </w:r>
      <w:r w:rsidRPr="003163C7">
        <w:rPr>
          <w:rFonts w:cs="Times New Roman"/>
          <w:szCs w:val="24"/>
        </w:rPr>
        <w:t>a</w:t>
      </w:r>
      <w:r w:rsidRPr="003163C7">
        <w:rPr>
          <w:rFonts w:cs="Times New Roman"/>
        </w:rPr>
        <w:t xml:space="preserve">rbitrator’s treatment of the contents of the log (C.A. reasons, at paras. 53-57 and 69-70; 2020 ONSC 3685, 316 L.A.C. (4th) 1, at paras. 90-99 and 147-53). The respondent Union asserts that the </w:t>
      </w:r>
      <w:r w:rsidRPr="003163C7">
        <w:rPr>
          <w:rFonts w:cs="Times New Roman"/>
          <w:szCs w:val="24"/>
        </w:rPr>
        <w:t>a</w:t>
      </w:r>
      <w:r w:rsidRPr="003163C7">
        <w:rPr>
          <w:rFonts w:cs="Times New Roman"/>
        </w:rPr>
        <w:t xml:space="preserve">rbitrator examined the Grievors’ privacy interest in the log based on what it revealed and then concluded that what was revealed lay far from the Grievors’ biographical core (arbitrator’s reasons, at paras. 245-47). This reasoning is incompatible with the demands of content neutrality, a principle which animates the s. 8 framework. The appellant Board says there was no such error. </w:t>
      </w:r>
    </w:p>
    <w:p w14:paraId="062CE81A" w14:textId="77777777" w:rsidR="005F5184" w:rsidRPr="003163C7" w:rsidRDefault="005F5184" w:rsidP="005F5184">
      <w:pPr>
        <w:pStyle w:val="ParaNoNdepar-AltN"/>
        <w:rPr>
          <w:rFonts w:cs="Times New Roman"/>
        </w:rPr>
      </w:pPr>
      <w:r w:rsidRPr="003163C7">
        <w:rPr>
          <w:rFonts w:cs="Times New Roman"/>
        </w:rPr>
        <w:t xml:space="preserve">We agree with the Union. While administrative and regulatory investigations “may engage different interests from criminal investigations and may therefore import a different constitutional calculus than their criminal law analogues” (Hasan et al., at p. 294), the principle of content neutrality lies at the heart of the normative nature of privacy. </w:t>
      </w:r>
    </w:p>
    <w:p w14:paraId="03D0DA68" w14:textId="77777777" w:rsidR="005F5184" w:rsidRPr="003163C7" w:rsidRDefault="005F5184" w:rsidP="005F5184">
      <w:pPr>
        <w:pStyle w:val="ParaNoNdepar-AltN"/>
        <w:rPr>
          <w:rFonts w:cs="Times New Roman"/>
        </w:rPr>
      </w:pPr>
      <w:r w:rsidRPr="003163C7">
        <w:rPr>
          <w:rFonts w:cs="Times New Roman"/>
          <w:szCs w:val="24"/>
        </w:rPr>
        <w:t xml:space="preserve">Under the body of law that constrained the arbitrator’s decision, the actual contents of the Grievors’ log could not reasonably be relevant to the question she was required to answer. The s. 8 jurisprudence makes clear that the assessment of the Grievors’ reasonable expectation of privacy did not depend on what the log actually contained (see </w:t>
      </w:r>
      <w:r w:rsidRPr="003163C7">
        <w:rPr>
          <w:rFonts w:cs="Times New Roman"/>
          <w:i/>
          <w:szCs w:val="24"/>
        </w:rPr>
        <w:t xml:space="preserve">Hunter v. </w:t>
      </w:r>
      <w:proofErr w:type="spellStart"/>
      <w:r w:rsidRPr="003163C7">
        <w:rPr>
          <w:rFonts w:cs="Times New Roman"/>
          <w:i/>
          <w:szCs w:val="24"/>
        </w:rPr>
        <w:t>Southam</w:t>
      </w:r>
      <w:proofErr w:type="spellEnd"/>
      <w:r w:rsidRPr="003163C7">
        <w:rPr>
          <w:rFonts w:cs="Times New Roman"/>
          <w:i/>
          <w:szCs w:val="24"/>
        </w:rPr>
        <w:t xml:space="preserve"> Inc.</w:t>
      </w:r>
      <w:r w:rsidRPr="003163C7">
        <w:rPr>
          <w:rFonts w:cs="Times New Roman"/>
          <w:szCs w:val="24"/>
        </w:rPr>
        <w:t xml:space="preserve">, [1984] 2 S.C.R. 145, at p. 160; </w:t>
      </w:r>
      <w:r w:rsidRPr="003163C7">
        <w:rPr>
          <w:rFonts w:cs="Times New Roman"/>
          <w:i/>
          <w:szCs w:val="24"/>
        </w:rPr>
        <w:t>R. v. Wong</w:t>
      </w:r>
      <w:r w:rsidRPr="003163C7">
        <w:rPr>
          <w:rFonts w:cs="Times New Roman"/>
          <w:szCs w:val="24"/>
        </w:rPr>
        <w:t xml:space="preserve">, [1990] 3 S.C.R. 36, at pp. 49-50; </w:t>
      </w:r>
      <w:r w:rsidRPr="003163C7">
        <w:rPr>
          <w:rFonts w:cs="Times New Roman"/>
          <w:i/>
          <w:szCs w:val="24"/>
        </w:rPr>
        <w:t>R. v.</w:t>
      </w:r>
      <w:r w:rsidRPr="003163C7">
        <w:rPr>
          <w:rFonts w:cs="Times New Roman"/>
          <w:szCs w:val="24"/>
        </w:rPr>
        <w:t xml:space="preserve"> </w:t>
      </w:r>
      <w:r w:rsidRPr="003163C7">
        <w:rPr>
          <w:rFonts w:cs="Times New Roman"/>
          <w:i/>
          <w:szCs w:val="24"/>
        </w:rPr>
        <w:t>Marakah</w:t>
      </w:r>
      <w:r w:rsidRPr="003163C7">
        <w:rPr>
          <w:rFonts w:cs="Times New Roman"/>
          <w:szCs w:val="24"/>
        </w:rPr>
        <w:t xml:space="preserve">, 2017 SCC 59, [2017] 2 S.C.R. 608, at paras. 31-32; </w:t>
      </w:r>
      <w:r w:rsidRPr="003163C7">
        <w:rPr>
          <w:rFonts w:cs="Times New Roman"/>
          <w:i/>
          <w:szCs w:val="24"/>
        </w:rPr>
        <w:t>R. v. Patrick</w:t>
      </w:r>
      <w:r w:rsidRPr="003163C7">
        <w:rPr>
          <w:rFonts w:cs="Times New Roman"/>
          <w:szCs w:val="24"/>
        </w:rPr>
        <w:t>, 2009 SCC 17, [2009] 1 S.C.R. 579, at para. 32).</w:t>
      </w:r>
      <w:r w:rsidRPr="003163C7">
        <w:rPr>
          <w:rFonts w:cs="Times New Roman"/>
        </w:rPr>
        <w:t xml:space="preserve"> Rather, as the Court of Appeal accurately identified, what mattered was the potential for the search to reveal information touching on the Grievors’ biographical core. </w:t>
      </w:r>
    </w:p>
    <w:p w14:paraId="7E577AA7" w14:textId="77777777" w:rsidR="005F5184" w:rsidRPr="003163C7" w:rsidRDefault="005F5184" w:rsidP="005F5184">
      <w:pPr>
        <w:pStyle w:val="ParaNoNdepar-AltN"/>
        <w:rPr>
          <w:rFonts w:cs="Times New Roman"/>
        </w:rPr>
      </w:pPr>
      <w:r w:rsidRPr="003163C7">
        <w:rPr>
          <w:rFonts w:cs="Times New Roman"/>
        </w:rPr>
        <w:t xml:space="preserve">In order for s. 8 to fulfill its promise of being preventative, it must be approached in broad and neutral terms. As this Court stated in </w:t>
      </w:r>
      <w:r w:rsidRPr="003163C7">
        <w:rPr>
          <w:rFonts w:cs="Times New Roman"/>
          <w:i/>
        </w:rPr>
        <w:t>Cole</w:t>
      </w:r>
      <w:r w:rsidRPr="003163C7">
        <w:rPr>
          <w:rFonts w:cs="Times New Roman"/>
        </w:rPr>
        <w:t xml:space="preserve">, the information contained on Internet-connected devices, normatively, tends to reveal one’s “specific interests, likes, and propensities”, and as such it is “at the very heart of the ‘biographical core’ protected by s. 8” (paras. 47-48, quoting </w:t>
      </w:r>
      <w:r w:rsidRPr="003163C7">
        <w:rPr>
          <w:rFonts w:cs="Times New Roman"/>
          <w:i/>
          <w:iCs/>
        </w:rPr>
        <w:t>R. v. Morelli</w:t>
      </w:r>
      <w:r w:rsidRPr="003163C7">
        <w:rPr>
          <w:rFonts w:cs="Times New Roman"/>
        </w:rPr>
        <w:t xml:space="preserve">, 2010 SCC 8, [2010] 1 S.C.R. 253, at para. 105; see also </w:t>
      </w:r>
      <w:r w:rsidRPr="003163C7">
        <w:rPr>
          <w:rFonts w:cs="Times New Roman"/>
          <w:i/>
        </w:rPr>
        <w:t>R. v. Reeves</w:t>
      </w:r>
      <w:r w:rsidRPr="003163C7">
        <w:rPr>
          <w:rFonts w:cs="Times New Roman"/>
        </w:rPr>
        <w:t xml:space="preserve">, 2018 SCC 56, [2018] 3 S.C.R. 531, at paras. 33-34). The </w:t>
      </w:r>
      <w:r w:rsidRPr="003163C7">
        <w:rPr>
          <w:rFonts w:cs="Times New Roman"/>
          <w:szCs w:val="24"/>
        </w:rPr>
        <w:t>a</w:t>
      </w:r>
      <w:r w:rsidRPr="003163C7">
        <w:rPr>
          <w:rFonts w:cs="Times New Roman"/>
        </w:rPr>
        <w:t xml:space="preserve">rbitrator’s conclusion to the contrary — that the log was insufficiently close to the Grievors’ biographical core — is untenable in light of this proposition. The </w:t>
      </w:r>
      <w:r w:rsidRPr="003163C7">
        <w:rPr>
          <w:rFonts w:cs="Times New Roman"/>
          <w:szCs w:val="24"/>
        </w:rPr>
        <w:t>a</w:t>
      </w:r>
      <w:r w:rsidRPr="003163C7">
        <w:rPr>
          <w:rFonts w:cs="Times New Roman"/>
        </w:rPr>
        <w:t xml:space="preserve">rbitrator’s reasoning on this point was not reasonably reflective of privacy’s normative aspirations.  </w:t>
      </w:r>
    </w:p>
    <w:p w14:paraId="7D0965AE" w14:textId="77777777" w:rsidR="005F5184" w:rsidRPr="003163C7" w:rsidRDefault="005F5184" w:rsidP="005F5184">
      <w:pPr>
        <w:pStyle w:val="ParaNoNdepar-AltN"/>
        <w:rPr>
          <w:rFonts w:cs="Times New Roman"/>
        </w:rPr>
      </w:pPr>
      <w:r w:rsidRPr="003163C7">
        <w:rPr>
          <w:rFonts w:cs="Times New Roman"/>
        </w:rPr>
        <w:t xml:space="preserve">It is not necessary to consider the other issues raised by the parties or identified by the Court of Appeal, whose analysis employed the standard of correctness, to conclude that the decision was unreasonable. We are satisfied that the </w:t>
      </w:r>
      <w:r w:rsidRPr="003163C7">
        <w:rPr>
          <w:rFonts w:cs="Times New Roman"/>
          <w:szCs w:val="24"/>
        </w:rPr>
        <w:t>a</w:t>
      </w:r>
      <w:r w:rsidRPr="003163C7">
        <w:rPr>
          <w:rFonts w:cs="Times New Roman"/>
        </w:rPr>
        <w:t>rbitrator’s reliance on the contents of the log is central and significant, rendering the decision as a whole unreasonable (</w:t>
      </w:r>
      <w:r w:rsidRPr="003163C7">
        <w:rPr>
          <w:rFonts w:cs="Times New Roman"/>
          <w:i/>
        </w:rPr>
        <w:t>Vavilov</w:t>
      </w:r>
      <w:r w:rsidRPr="003163C7">
        <w:rPr>
          <w:rFonts w:cs="Times New Roman"/>
        </w:rPr>
        <w:t xml:space="preserve">, at para. 100). </w:t>
      </w:r>
    </w:p>
    <w:p w14:paraId="6C8EBEB7" w14:textId="77777777" w:rsidR="005F5184" w:rsidRPr="003163C7" w:rsidRDefault="005F5184" w:rsidP="005F5184">
      <w:pPr>
        <w:pStyle w:val="Title1LevelTitre1Niveau-AltL"/>
        <w:rPr>
          <w:rFonts w:cs="Times New Roman"/>
        </w:rPr>
      </w:pPr>
      <w:r w:rsidRPr="003163C7">
        <w:rPr>
          <w:rFonts w:cs="Times New Roman"/>
        </w:rPr>
        <w:t xml:space="preserve">Conclusion </w:t>
      </w:r>
    </w:p>
    <w:p w14:paraId="3B377215" w14:textId="77777777" w:rsidR="005F5184" w:rsidRPr="003163C7" w:rsidRDefault="005F5184" w:rsidP="005F5184">
      <w:pPr>
        <w:pStyle w:val="ParaNoNdepar-AltN"/>
        <w:rPr>
          <w:rFonts w:cs="Times New Roman"/>
        </w:rPr>
      </w:pPr>
      <w:r w:rsidRPr="003163C7">
        <w:rPr>
          <w:rFonts w:cs="Times New Roman"/>
        </w:rPr>
        <w:t xml:space="preserve">As the dissenting judge at the Divisional Court recognized, this case should not be remitted for further arbitral proceedings given that the events took place almost 10 years ago, there have been significant proceedings to date, and remitting in these circumstances raises concerns about the efficient use of public resources (see </w:t>
      </w:r>
      <w:r w:rsidRPr="003163C7">
        <w:rPr>
          <w:rFonts w:cs="Times New Roman"/>
          <w:i/>
        </w:rPr>
        <w:t>Vavilov</w:t>
      </w:r>
      <w:r w:rsidRPr="003163C7">
        <w:rPr>
          <w:rFonts w:cs="Times New Roman"/>
        </w:rPr>
        <w:t xml:space="preserve">, at para. 142). The Union sought clarity on whether teachers had s. 8 privacy rights in the workplace; and they seek dismissal of the appeal. As a result, the Union has this Court’s reasons that s. 8 of the </w:t>
      </w:r>
      <w:r w:rsidRPr="003163C7">
        <w:rPr>
          <w:rFonts w:cs="Times New Roman"/>
          <w:i/>
        </w:rPr>
        <w:t>Charter</w:t>
      </w:r>
      <w:r w:rsidRPr="003163C7">
        <w:rPr>
          <w:rFonts w:cs="Times New Roman"/>
        </w:rPr>
        <w:t xml:space="preserve"> applies to Ontario public school boards and the Court of Appeal’s determination that there was a breach of the Grievors’ privacy rights.</w:t>
      </w:r>
    </w:p>
    <w:p w14:paraId="5920765B" w14:textId="77777777" w:rsidR="005F5184" w:rsidRPr="003163C7" w:rsidRDefault="005F5184" w:rsidP="005F5184">
      <w:pPr>
        <w:pStyle w:val="ParaNoNdepar-AltN"/>
        <w:rPr>
          <w:rFonts w:cs="Times New Roman"/>
        </w:rPr>
      </w:pPr>
      <w:r w:rsidRPr="003163C7">
        <w:rPr>
          <w:rFonts w:cs="Times New Roman"/>
        </w:rPr>
        <w:t>For these reasons, we would dismiss the appeal with costs.</w:t>
      </w:r>
    </w:p>
    <w:p w14:paraId="67EC17BB" w14:textId="55663C7F" w:rsidR="009B57B3" w:rsidRPr="003163C7" w:rsidRDefault="009B57B3" w:rsidP="007270F8">
      <w:pPr>
        <w:pStyle w:val="SCCNormalDoubleSpacing"/>
        <w:spacing w:after="480"/>
      </w:pPr>
      <w:r w:rsidRPr="003163C7">
        <w:tab/>
      </w:r>
      <w:r w:rsidR="00656313" w:rsidRPr="003163C7">
        <w:rPr>
          <w:i/>
        </w:rPr>
        <w:t>Appeal</w:t>
      </w:r>
      <w:r w:rsidR="008C7709" w:rsidRPr="003163C7">
        <w:t xml:space="preserve"> </w:t>
      </w:r>
      <w:r w:rsidR="00031D2C" w:rsidRPr="003163C7">
        <w:rPr>
          <w:i/>
        </w:rPr>
        <w:t>dismissed with costs</w:t>
      </w:r>
      <w:r w:rsidR="00496023" w:rsidRPr="003163C7">
        <w:rPr>
          <w:i/>
        </w:rPr>
        <w:t>.</w:t>
      </w:r>
    </w:p>
    <w:p w14:paraId="1A0EBD3D" w14:textId="4BD7E37C" w:rsidR="005A7078" w:rsidRPr="003163C7" w:rsidRDefault="00E92B51" w:rsidP="007270F8">
      <w:pPr>
        <w:pStyle w:val="SCCLawFirm"/>
        <w:spacing w:after="480"/>
      </w:pPr>
      <w:r w:rsidRPr="003163C7">
        <w:tab/>
        <w:t>Solicitors</w:t>
      </w:r>
      <w:r w:rsidR="003138F3" w:rsidRPr="003163C7">
        <w:t xml:space="preserve"> for the appellant</w:t>
      </w:r>
      <w:r w:rsidR="005068B4" w:rsidRPr="003163C7">
        <w:t>: </w:t>
      </w:r>
      <w:r w:rsidR="003138F3" w:rsidRPr="003163C7">
        <w:t xml:space="preserve">Hicks Morley Hamilton Stewart </w:t>
      </w:r>
      <w:proofErr w:type="spellStart"/>
      <w:r w:rsidR="003138F3" w:rsidRPr="003163C7">
        <w:t>Storie</w:t>
      </w:r>
      <w:proofErr w:type="spellEnd"/>
      <w:r w:rsidR="003138F3" w:rsidRPr="003163C7">
        <w:t>, Toronto.</w:t>
      </w:r>
    </w:p>
    <w:p w14:paraId="0E528E43" w14:textId="6EA0E921" w:rsidR="005A7078" w:rsidRPr="003163C7" w:rsidRDefault="00E92B51" w:rsidP="007270F8">
      <w:pPr>
        <w:pStyle w:val="SCCLawFirm"/>
        <w:spacing w:after="480"/>
      </w:pPr>
      <w:r w:rsidRPr="003163C7">
        <w:tab/>
        <w:t>Solicitors</w:t>
      </w:r>
      <w:r w:rsidR="003138F3" w:rsidRPr="003163C7">
        <w:t xml:space="preserve"> for the respondent</w:t>
      </w:r>
      <w:r w:rsidR="005068B4" w:rsidRPr="003163C7">
        <w:t>: </w:t>
      </w:r>
      <w:r w:rsidR="003138F3" w:rsidRPr="003163C7">
        <w:t>Goldblatt Partners, Toronto.</w:t>
      </w:r>
    </w:p>
    <w:p w14:paraId="7AED04CD" w14:textId="1A42C027" w:rsidR="00214295" w:rsidRPr="003163C7" w:rsidRDefault="00E92B51" w:rsidP="007270F8">
      <w:pPr>
        <w:pStyle w:val="SCCLawFirm"/>
        <w:spacing w:after="480"/>
      </w:pPr>
      <w:r w:rsidRPr="003163C7">
        <w:tab/>
        <w:t>Solicitor</w:t>
      </w:r>
      <w:r w:rsidR="004A3C9F" w:rsidRPr="003163C7">
        <w:t>s</w:t>
      </w:r>
      <w:r w:rsidR="003138F3" w:rsidRPr="003163C7">
        <w:t xml:space="preserve"> for the intervener </w:t>
      </w:r>
      <w:r w:rsidR="003F1D4E" w:rsidRPr="003163C7">
        <w:t xml:space="preserve">the </w:t>
      </w:r>
      <w:r w:rsidR="003138F3" w:rsidRPr="003163C7">
        <w:t>Attorney General of Canada</w:t>
      </w:r>
      <w:r w:rsidR="005068B4" w:rsidRPr="003163C7">
        <w:t>: </w:t>
      </w:r>
      <w:r w:rsidR="00214295" w:rsidRPr="003163C7">
        <w:t xml:space="preserve">Department of Justice Canada — British Columbia Regional Office, Vancouver; Department of Justice Canada — Ontario Regional Office, </w:t>
      </w:r>
      <w:r w:rsidR="00930EB7" w:rsidRPr="003163C7">
        <w:t>Toronto</w:t>
      </w:r>
      <w:r w:rsidR="00214295" w:rsidRPr="003163C7">
        <w:t>.</w:t>
      </w:r>
    </w:p>
    <w:p w14:paraId="3FDCDBD8" w14:textId="5AA68857" w:rsidR="00607382" w:rsidRPr="003163C7" w:rsidRDefault="00607382" w:rsidP="007270F8">
      <w:pPr>
        <w:pStyle w:val="SCCLawFirm"/>
        <w:spacing w:after="480"/>
      </w:pPr>
      <w:r w:rsidRPr="003163C7">
        <w:tab/>
        <w:t>Solicitor for the intervener the Attorney General of Ontario</w:t>
      </w:r>
      <w:r w:rsidR="005068B4" w:rsidRPr="003163C7">
        <w:t>: </w:t>
      </w:r>
      <w:r w:rsidRPr="003163C7">
        <w:t>Attorney General of Ontario — Constitutional Law Branch, Toronto.</w:t>
      </w:r>
    </w:p>
    <w:p w14:paraId="71CF6CE7" w14:textId="655FA38E" w:rsidR="008C7709" w:rsidRPr="003163C7" w:rsidRDefault="008C7709" w:rsidP="007270F8">
      <w:pPr>
        <w:pStyle w:val="SCCLawFirm"/>
        <w:spacing w:after="480"/>
        <w:rPr>
          <w:lang w:val="fr-CA"/>
        </w:rPr>
      </w:pPr>
      <w:r w:rsidRPr="003163C7">
        <w:tab/>
      </w:r>
      <w:r w:rsidR="00E92B51" w:rsidRPr="003163C7">
        <w:rPr>
          <w:lang w:val="fr-CA"/>
        </w:rPr>
        <w:t>Solicitor</w:t>
      </w:r>
      <w:r w:rsidRPr="003163C7">
        <w:rPr>
          <w:lang w:val="fr-CA"/>
        </w:rPr>
        <w:t xml:space="preserve"> for the intervener </w:t>
      </w:r>
      <w:r w:rsidR="003F1D4E" w:rsidRPr="003163C7">
        <w:rPr>
          <w:lang w:val="fr-CA"/>
        </w:rPr>
        <w:t xml:space="preserve">the </w:t>
      </w:r>
      <w:r w:rsidRPr="003163C7">
        <w:rPr>
          <w:lang w:val="fr-CA"/>
        </w:rPr>
        <w:t>Attorney General of Quebec</w:t>
      </w:r>
      <w:r w:rsidR="005068B4" w:rsidRPr="003163C7">
        <w:rPr>
          <w:lang w:val="fr-CA"/>
        </w:rPr>
        <w:t>: </w:t>
      </w:r>
      <w:r w:rsidR="00E92B51" w:rsidRPr="003163C7">
        <w:rPr>
          <w:lang w:val="fr-CA"/>
        </w:rPr>
        <w:t xml:space="preserve">Ministère de la Justice du Québec </w:t>
      </w:r>
      <w:r w:rsidR="004A3C9F" w:rsidRPr="003163C7">
        <w:rPr>
          <w:lang w:val="fr-CA"/>
        </w:rPr>
        <w:t>—</w:t>
      </w:r>
      <w:r w:rsidR="00E92B51" w:rsidRPr="003163C7">
        <w:rPr>
          <w:lang w:val="fr-CA"/>
        </w:rPr>
        <w:t xml:space="preserve"> Direction du droit constitutionnel et autochtone</w:t>
      </w:r>
      <w:r w:rsidRPr="003163C7">
        <w:rPr>
          <w:lang w:val="fr-CA"/>
        </w:rPr>
        <w:t>, Québec.</w:t>
      </w:r>
    </w:p>
    <w:p w14:paraId="1C89CA1E" w14:textId="599A6AF7" w:rsidR="005A7078" w:rsidRPr="003163C7" w:rsidRDefault="003138F3" w:rsidP="007270F8">
      <w:pPr>
        <w:pStyle w:val="SCCLawFirm"/>
        <w:spacing w:after="480"/>
      </w:pPr>
      <w:r w:rsidRPr="003163C7">
        <w:rPr>
          <w:lang w:val="fr-CA"/>
        </w:rPr>
        <w:tab/>
      </w:r>
      <w:r w:rsidR="00E92B51" w:rsidRPr="003163C7">
        <w:t>Solicitor</w:t>
      </w:r>
      <w:r w:rsidR="004A3C9F" w:rsidRPr="003163C7">
        <w:t>s</w:t>
      </w:r>
      <w:r w:rsidRPr="003163C7">
        <w:t xml:space="preserve"> for the intervener</w:t>
      </w:r>
      <w:r w:rsidR="00E92B51" w:rsidRPr="003163C7">
        <w:t xml:space="preserve"> the</w:t>
      </w:r>
      <w:r w:rsidRPr="003163C7">
        <w:t xml:space="preserve"> British Columbia Civil </w:t>
      </w:r>
      <w:r w:rsidR="00E92B51" w:rsidRPr="003163C7">
        <w:t>Liberties Association</w:t>
      </w:r>
      <w:r w:rsidR="005068B4" w:rsidRPr="003163C7">
        <w:t>: </w:t>
      </w:r>
      <w:r w:rsidR="00E92B51" w:rsidRPr="003163C7">
        <w:t>Olthuis v</w:t>
      </w:r>
      <w:r w:rsidRPr="003163C7">
        <w:t xml:space="preserve">an </w:t>
      </w:r>
      <w:proofErr w:type="spellStart"/>
      <w:r w:rsidRPr="003163C7">
        <w:t>Ert</w:t>
      </w:r>
      <w:proofErr w:type="spellEnd"/>
      <w:r w:rsidRPr="003163C7">
        <w:t>, Ottawa.</w:t>
      </w:r>
    </w:p>
    <w:p w14:paraId="59F1EC30" w14:textId="54424D90" w:rsidR="005A7078" w:rsidRPr="003163C7" w:rsidRDefault="00E92B51" w:rsidP="007270F8">
      <w:pPr>
        <w:pStyle w:val="SCCLawFirm"/>
        <w:spacing w:after="480"/>
      </w:pPr>
      <w:r w:rsidRPr="003163C7">
        <w:tab/>
        <w:t>Solicitors</w:t>
      </w:r>
      <w:r w:rsidR="003138F3" w:rsidRPr="003163C7">
        <w:t xml:space="preserve"> for the intervener </w:t>
      </w:r>
      <w:r w:rsidR="003F1D4E" w:rsidRPr="003163C7">
        <w:t xml:space="preserve">the </w:t>
      </w:r>
      <w:r w:rsidR="003138F3" w:rsidRPr="003163C7">
        <w:t>British Columbia Teachers</w:t>
      </w:r>
      <w:r w:rsidR="008C7709" w:rsidRPr="003163C7">
        <w:t>’</w:t>
      </w:r>
      <w:r w:rsidR="003138F3" w:rsidRPr="003163C7">
        <w:t xml:space="preserve"> Federation</w:t>
      </w:r>
      <w:r w:rsidR="005068B4" w:rsidRPr="003163C7">
        <w:t>: </w:t>
      </w:r>
      <w:r w:rsidR="003138F3" w:rsidRPr="003163C7">
        <w:t>British Columbia Teachers</w:t>
      </w:r>
      <w:r w:rsidR="008C7709" w:rsidRPr="003163C7">
        <w:t>’</w:t>
      </w:r>
      <w:r w:rsidR="003138F3" w:rsidRPr="003163C7">
        <w:t xml:space="preserve"> Federation, Vancouver</w:t>
      </w:r>
      <w:r w:rsidRPr="003163C7">
        <w:t xml:space="preserve">; Michael </w:t>
      </w:r>
      <w:proofErr w:type="spellStart"/>
      <w:r w:rsidRPr="003163C7">
        <w:t>Sobkin</w:t>
      </w:r>
      <w:proofErr w:type="spellEnd"/>
      <w:r w:rsidRPr="003163C7">
        <w:t xml:space="preserve"> Barrister &amp; Solicitor, Ottawa.</w:t>
      </w:r>
    </w:p>
    <w:p w14:paraId="3A0476E5" w14:textId="2214E63A" w:rsidR="005A7078" w:rsidRPr="003163C7" w:rsidRDefault="00795EEA" w:rsidP="007270F8">
      <w:pPr>
        <w:pStyle w:val="SCCLawFirm"/>
        <w:spacing w:after="480"/>
      </w:pPr>
      <w:r w:rsidRPr="003163C7">
        <w:tab/>
        <w:t>Solicitors</w:t>
      </w:r>
      <w:r w:rsidR="003138F3" w:rsidRPr="003163C7">
        <w:t xml:space="preserve"> for the intervener </w:t>
      </w:r>
      <w:r w:rsidRPr="003163C7">
        <w:t xml:space="preserve">the </w:t>
      </w:r>
      <w:r w:rsidR="003138F3" w:rsidRPr="003163C7">
        <w:t>Centre for Free Expression</w:t>
      </w:r>
      <w:r w:rsidR="005068B4" w:rsidRPr="003163C7">
        <w:t>: </w:t>
      </w:r>
      <w:r w:rsidR="003138F3" w:rsidRPr="003163C7">
        <w:t xml:space="preserve">Ryder Wright Holmes </w:t>
      </w:r>
      <w:proofErr w:type="spellStart"/>
      <w:r w:rsidR="003138F3" w:rsidRPr="003163C7">
        <w:t>Bryden</w:t>
      </w:r>
      <w:proofErr w:type="spellEnd"/>
      <w:r w:rsidR="003138F3" w:rsidRPr="003163C7">
        <w:t xml:space="preserve"> Nam, Toronto.</w:t>
      </w:r>
    </w:p>
    <w:p w14:paraId="5E6AC6FD" w14:textId="6DD81E46" w:rsidR="005A7078" w:rsidRPr="003163C7" w:rsidRDefault="00E92B51" w:rsidP="007270F8">
      <w:pPr>
        <w:pStyle w:val="SCCLawFirm"/>
        <w:spacing w:after="480"/>
      </w:pPr>
      <w:r w:rsidRPr="003163C7">
        <w:tab/>
        <w:t>Solicitors</w:t>
      </w:r>
      <w:r w:rsidR="003138F3" w:rsidRPr="003163C7">
        <w:t xml:space="preserve"> for the intervener </w:t>
      </w:r>
      <w:r w:rsidR="008B6349" w:rsidRPr="003163C7">
        <w:t xml:space="preserve">the </w:t>
      </w:r>
      <w:r w:rsidR="003138F3" w:rsidRPr="003163C7">
        <w:t>Ontario College of Teachers</w:t>
      </w:r>
      <w:r w:rsidR="005068B4" w:rsidRPr="003163C7">
        <w:t>: </w:t>
      </w:r>
      <w:r w:rsidR="003138F3" w:rsidRPr="003163C7">
        <w:t>McCarthy Tétrault, Toronto.</w:t>
      </w:r>
    </w:p>
    <w:p w14:paraId="3A63ECD0" w14:textId="19CFA08A" w:rsidR="005A7078" w:rsidRPr="003163C7" w:rsidRDefault="00795EEA" w:rsidP="007270F8">
      <w:pPr>
        <w:pStyle w:val="SCCLawFirm"/>
        <w:spacing w:after="480"/>
      </w:pPr>
      <w:r w:rsidRPr="003163C7">
        <w:tab/>
        <w:t xml:space="preserve">Solicitors </w:t>
      </w:r>
      <w:r w:rsidR="003138F3" w:rsidRPr="003163C7">
        <w:t>for the intervener</w:t>
      </w:r>
      <w:r w:rsidRPr="003163C7">
        <w:t>s</w:t>
      </w:r>
      <w:r w:rsidR="003138F3" w:rsidRPr="003163C7">
        <w:t xml:space="preserve"> </w:t>
      </w:r>
      <w:r w:rsidRPr="003163C7">
        <w:t xml:space="preserve">the </w:t>
      </w:r>
      <w:r w:rsidR="003138F3" w:rsidRPr="003163C7">
        <w:t>Power Workers</w:t>
      </w:r>
      <w:r w:rsidR="008C7709" w:rsidRPr="003163C7">
        <w:t>’</w:t>
      </w:r>
      <w:r w:rsidR="003138F3" w:rsidRPr="003163C7">
        <w:t xml:space="preserve"> Union and </w:t>
      </w:r>
      <w:r w:rsidR="008B6349" w:rsidRPr="003163C7">
        <w:t xml:space="preserve">the </w:t>
      </w:r>
      <w:r w:rsidR="003138F3" w:rsidRPr="003163C7">
        <w:t>Society of United Professionals</w:t>
      </w:r>
      <w:r w:rsidR="005068B4" w:rsidRPr="003163C7">
        <w:t>: </w:t>
      </w:r>
      <w:proofErr w:type="spellStart"/>
      <w:r w:rsidR="003138F3" w:rsidRPr="003163C7">
        <w:t>Paliare</w:t>
      </w:r>
      <w:proofErr w:type="spellEnd"/>
      <w:r w:rsidR="003138F3" w:rsidRPr="003163C7">
        <w:t xml:space="preserve"> Roland Rosenberg Rothstein, Toronto</w:t>
      </w:r>
      <w:r w:rsidRPr="003163C7">
        <w:t xml:space="preserve">; Wright Henry, </w:t>
      </w:r>
      <w:r w:rsidR="00A36CA0" w:rsidRPr="003163C7">
        <w:t>Toronto</w:t>
      </w:r>
      <w:r w:rsidR="003138F3" w:rsidRPr="003163C7">
        <w:t>.</w:t>
      </w:r>
    </w:p>
    <w:p w14:paraId="335D6B8A" w14:textId="5BD700EA" w:rsidR="005A7078" w:rsidRPr="003163C7" w:rsidRDefault="00795EEA" w:rsidP="007270F8">
      <w:pPr>
        <w:pStyle w:val="SCCLawFirm"/>
        <w:spacing w:after="480"/>
      </w:pPr>
      <w:r w:rsidRPr="003163C7">
        <w:tab/>
        <w:t>Solicitors</w:t>
      </w:r>
      <w:r w:rsidR="003138F3" w:rsidRPr="003163C7">
        <w:t xml:space="preserve"> for the intervener </w:t>
      </w:r>
      <w:r w:rsidR="000E2E08" w:rsidRPr="003163C7">
        <w:t xml:space="preserve">the </w:t>
      </w:r>
      <w:r w:rsidR="003138F3" w:rsidRPr="003163C7">
        <w:t>National Police Federation</w:t>
      </w:r>
      <w:r w:rsidR="005068B4" w:rsidRPr="003163C7">
        <w:t>: </w:t>
      </w:r>
      <w:proofErr w:type="spellStart"/>
      <w:r w:rsidR="003138F3" w:rsidRPr="003163C7">
        <w:t>Nelligan</w:t>
      </w:r>
      <w:proofErr w:type="spellEnd"/>
      <w:r w:rsidR="003138F3" w:rsidRPr="003163C7">
        <w:t xml:space="preserve"> O</w:t>
      </w:r>
      <w:r w:rsidR="008C7709" w:rsidRPr="003163C7">
        <w:t>’</w:t>
      </w:r>
      <w:r w:rsidR="00E92B51" w:rsidRPr="003163C7">
        <w:t>Brien Payne</w:t>
      </w:r>
      <w:r w:rsidR="003138F3" w:rsidRPr="003163C7">
        <w:t>, Ottawa.</w:t>
      </w:r>
    </w:p>
    <w:p w14:paraId="12ADE587" w14:textId="71901C70" w:rsidR="005A7078" w:rsidRPr="003163C7" w:rsidRDefault="00795EEA" w:rsidP="007270F8">
      <w:pPr>
        <w:pStyle w:val="SCCLawFirm"/>
        <w:spacing w:after="480"/>
      </w:pPr>
      <w:r w:rsidRPr="003163C7">
        <w:tab/>
        <w:t>Solicitors</w:t>
      </w:r>
      <w:r w:rsidR="003138F3" w:rsidRPr="003163C7">
        <w:t xml:space="preserve"> for the intervener </w:t>
      </w:r>
      <w:r w:rsidR="000E2E08" w:rsidRPr="003163C7">
        <w:t xml:space="preserve">the </w:t>
      </w:r>
      <w:r w:rsidR="003138F3" w:rsidRPr="003163C7">
        <w:t>Ontario Principals</w:t>
      </w:r>
      <w:r w:rsidR="008C7709" w:rsidRPr="003163C7">
        <w:t>’</w:t>
      </w:r>
      <w:r w:rsidR="003138F3" w:rsidRPr="003163C7">
        <w:t xml:space="preserve"> Council</w:t>
      </w:r>
      <w:r w:rsidR="005068B4" w:rsidRPr="003163C7">
        <w:t>: </w:t>
      </w:r>
      <w:r w:rsidR="003138F3" w:rsidRPr="003163C7">
        <w:t>Jones Pearce, Toronto.</w:t>
      </w:r>
    </w:p>
    <w:p w14:paraId="420D7717" w14:textId="51A855FD" w:rsidR="005A7078" w:rsidRPr="003163C7" w:rsidRDefault="00E92B51" w:rsidP="007270F8">
      <w:pPr>
        <w:pStyle w:val="SCCLawFirm"/>
        <w:spacing w:after="480"/>
      </w:pPr>
      <w:r w:rsidRPr="003163C7">
        <w:tab/>
        <w:t>Solicitors</w:t>
      </w:r>
      <w:r w:rsidR="003138F3" w:rsidRPr="003163C7">
        <w:t xml:space="preserve"> for the intervener</w:t>
      </w:r>
      <w:r w:rsidRPr="003163C7">
        <w:t xml:space="preserve"> the</w:t>
      </w:r>
      <w:r w:rsidR="003138F3" w:rsidRPr="003163C7">
        <w:t xml:space="preserve"> Canadian Association of Counsel to Employers</w:t>
      </w:r>
      <w:r w:rsidR="005068B4" w:rsidRPr="003163C7">
        <w:t>: </w:t>
      </w:r>
      <w:r w:rsidR="003138F3" w:rsidRPr="003163C7">
        <w:t>Baker &amp; McKenzie, Toronto.</w:t>
      </w:r>
    </w:p>
    <w:p w14:paraId="7EC4913E" w14:textId="5E9A0A33" w:rsidR="00247B81" w:rsidRPr="003163C7" w:rsidRDefault="00247B81" w:rsidP="00247B81">
      <w:pPr>
        <w:pStyle w:val="SCCLawFirm"/>
        <w:spacing w:after="480"/>
      </w:pPr>
      <w:r w:rsidRPr="003163C7">
        <w:tab/>
        <w:t>Solicitors for the intervener Egale Canada: Blake, Cassels &amp; Graydon, Calgary; Blake, Cassels &amp; Graydon, Toronto; Egale Canada, Toronto.</w:t>
      </w:r>
    </w:p>
    <w:p w14:paraId="2833DA9A" w14:textId="6399AB42" w:rsidR="005A7078" w:rsidRPr="003163C7" w:rsidRDefault="000E2E08" w:rsidP="007270F8">
      <w:pPr>
        <w:pStyle w:val="SCCLawFirm"/>
        <w:spacing w:after="480"/>
      </w:pPr>
      <w:r w:rsidRPr="003163C7">
        <w:tab/>
        <w:t>Solicitors</w:t>
      </w:r>
      <w:r w:rsidR="003138F3" w:rsidRPr="003163C7">
        <w:t xml:space="preserve"> for the intervener </w:t>
      </w:r>
      <w:r w:rsidRPr="003163C7">
        <w:t xml:space="preserve">the </w:t>
      </w:r>
      <w:r w:rsidR="003138F3" w:rsidRPr="003163C7">
        <w:t>David Asper Centre for Constitutional Rights</w:t>
      </w:r>
      <w:r w:rsidR="005068B4" w:rsidRPr="003163C7">
        <w:t>: </w:t>
      </w:r>
      <w:proofErr w:type="spellStart"/>
      <w:r w:rsidR="003138F3" w:rsidRPr="003163C7">
        <w:t>Ursel</w:t>
      </w:r>
      <w:proofErr w:type="spellEnd"/>
      <w:r w:rsidR="003138F3" w:rsidRPr="003163C7">
        <w:t xml:space="preserve"> Philips Fellows Hopkinson, Toronto.</w:t>
      </w:r>
    </w:p>
    <w:p w14:paraId="4A3C5D22" w14:textId="0EB38BFB" w:rsidR="005A7078" w:rsidRPr="003163C7" w:rsidRDefault="000E2E08" w:rsidP="007270F8">
      <w:pPr>
        <w:pStyle w:val="SCCLawFirm"/>
        <w:spacing w:after="480"/>
      </w:pPr>
      <w:r w:rsidRPr="003163C7">
        <w:tab/>
        <w:t>Solicitors</w:t>
      </w:r>
      <w:r w:rsidR="003138F3" w:rsidRPr="003163C7">
        <w:t xml:space="preserve"> for the intervener </w:t>
      </w:r>
      <w:r w:rsidRPr="003163C7">
        <w:t xml:space="preserve">the </w:t>
      </w:r>
      <w:r w:rsidR="003138F3" w:rsidRPr="003163C7">
        <w:t>Canadian Civil Liberties Association</w:t>
      </w:r>
      <w:r w:rsidR="005068B4" w:rsidRPr="003163C7">
        <w:t>: </w:t>
      </w:r>
      <w:r w:rsidR="003138F3" w:rsidRPr="003163C7">
        <w:t>Stockwoods, Toronto.</w:t>
      </w:r>
    </w:p>
    <w:p w14:paraId="569903B9" w14:textId="41C7995C" w:rsidR="005A7078" w:rsidRPr="003163C7" w:rsidRDefault="003138F3" w:rsidP="007270F8">
      <w:pPr>
        <w:pStyle w:val="SCCLawFirm"/>
        <w:spacing w:after="480"/>
        <w:rPr>
          <w:lang w:val="fr-CA"/>
        </w:rPr>
      </w:pPr>
      <w:r w:rsidRPr="003163C7">
        <w:tab/>
      </w:r>
      <w:r w:rsidR="000E2E08" w:rsidRPr="003163C7">
        <w:rPr>
          <w:lang w:val="fr-CA"/>
        </w:rPr>
        <w:t>Solicitor</w:t>
      </w:r>
      <w:r w:rsidRPr="003163C7">
        <w:rPr>
          <w:lang w:val="fr-CA"/>
        </w:rPr>
        <w:t xml:space="preserve"> for the intervener Centrale des syndicats du Québec</w:t>
      </w:r>
      <w:r w:rsidR="005068B4" w:rsidRPr="003163C7">
        <w:rPr>
          <w:lang w:val="fr-CA"/>
        </w:rPr>
        <w:t>: </w:t>
      </w:r>
      <w:proofErr w:type="spellStart"/>
      <w:r w:rsidRPr="003163C7">
        <w:rPr>
          <w:lang w:val="fr-CA"/>
        </w:rPr>
        <w:t>Barabé</w:t>
      </w:r>
      <w:proofErr w:type="spellEnd"/>
      <w:r w:rsidRPr="003163C7">
        <w:rPr>
          <w:lang w:val="fr-CA"/>
        </w:rPr>
        <w:t xml:space="preserve"> Morin</w:t>
      </w:r>
      <w:r w:rsidR="00214295" w:rsidRPr="003163C7">
        <w:rPr>
          <w:lang w:val="fr-CA"/>
        </w:rPr>
        <w:t xml:space="preserve"> —</w:t>
      </w:r>
      <w:r w:rsidR="000E2E08" w:rsidRPr="003163C7">
        <w:rPr>
          <w:lang w:val="fr-CA"/>
        </w:rPr>
        <w:t xml:space="preserve"> Les services juridiques de la CSQ</w:t>
      </w:r>
      <w:r w:rsidRPr="003163C7">
        <w:rPr>
          <w:lang w:val="fr-CA"/>
        </w:rPr>
        <w:t>, Montréal.</w:t>
      </w:r>
    </w:p>
    <w:p w14:paraId="32E3E9EB" w14:textId="10FE2FE0" w:rsidR="005A7078" w:rsidRDefault="003138F3" w:rsidP="007270F8">
      <w:pPr>
        <w:pStyle w:val="SCCLawFirm"/>
        <w:spacing w:after="480"/>
      </w:pPr>
      <w:r w:rsidRPr="003163C7">
        <w:rPr>
          <w:lang w:val="fr-CA"/>
        </w:rPr>
        <w:tab/>
      </w:r>
      <w:r w:rsidR="000E2E08" w:rsidRPr="003163C7">
        <w:t>Solicitor</w:t>
      </w:r>
      <w:r w:rsidR="00D3786A" w:rsidRPr="003163C7">
        <w:t>s</w:t>
      </w:r>
      <w:r w:rsidRPr="003163C7">
        <w:t xml:space="preserve"> for the intervener </w:t>
      </w:r>
      <w:r w:rsidR="000E2E08" w:rsidRPr="003163C7">
        <w:t xml:space="preserve">the </w:t>
      </w:r>
      <w:r w:rsidRPr="003163C7">
        <w:t>Queen</w:t>
      </w:r>
      <w:r w:rsidR="008C7709" w:rsidRPr="003163C7">
        <w:t>’</w:t>
      </w:r>
      <w:r w:rsidRPr="003163C7">
        <w:t>s Prison Law Clinic</w:t>
      </w:r>
      <w:r w:rsidR="005068B4" w:rsidRPr="003163C7">
        <w:t>: </w:t>
      </w:r>
      <w:r w:rsidRPr="003163C7">
        <w:t>Jared Will &amp; Associates, Toronto.</w:t>
      </w:r>
      <w:bookmarkStart w:id="142" w:name="_GoBack"/>
      <w:bookmarkEnd w:id="142"/>
    </w:p>
    <w:sectPr w:rsidR="005A7078"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655E5" w14:textId="77777777" w:rsidR="000B437B" w:rsidRDefault="000B437B">
      <w:r>
        <w:separator/>
      </w:r>
    </w:p>
  </w:endnote>
  <w:endnote w:type="continuationSeparator" w:id="0">
    <w:p w14:paraId="6E915752" w14:textId="77777777" w:rsidR="000B437B" w:rsidRDefault="000B4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LTStd-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DD21" w14:textId="77777777" w:rsidR="00254C96" w:rsidRDefault="00254C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4DDAE" w14:textId="77777777" w:rsidR="00254C96" w:rsidRDefault="00254C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18BCF" w14:textId="77777777" w:rsidR="00254C96" w:rsidRDefault="00254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F767F" w14:textId="77777777" w:rsidR="000B437B" w:rsidRDefault="000B437B">
      <w:r>
        <w:separator/>
      </w:r>
    </w:p>
  </w:footnote>
  <w:footnote w:type="continuationSeparator" w:id="0">
    <w:p w14:paraId="505E8C49" w14:textId="77777777" w:rsidR="000B437B" w:rsidRDefault="000B43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84411" w14:textId="77777777" w:rsidR="00254C96" w:rsidRDefault="00254C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D1D1D" w14:textId="77777777" w:rsidR="00450352" w:rsidRPr="005068B4" w:rsidRDefault="00450352" w:rsidP="005068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EFAB4" w14:textId="77777777" w:rsidR="00254C96" w:rsidRDefault="00254C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811F13"/>
    <w:multiLevelType w:val="hybridMultilevel"/>
    <w:tmpl w:val="58EE023C"/>
    <w:lvl w:ilvl="0" w:tplc="84065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AC78A4"/>
    <w:multiLevelType w:val="multilevel"/>
    <w:tmpl w:val="BC188E64"/>
    <w:lvl w:ilvl="0">
      <w:start w:val="1"/>
      <w:numFmt w:val="bullet"/>
      <w:lvlText w:val=""/>
      <w:lvlJc w:val="left"/>
      <w:pPr>
        <w:tabs>
          <w:tab w:val="num" w:pos="1152"/>
        </w:tabs>
        <w:ind w:left="0" w:firstLine="0"/>
      </w:pPr>
      <w:rPr>
        <w:rFonts w:ascii="Symbol" w:hAnsi="Symbo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264FC8"/>
    <w:multiLevelType w:val="hybridMultilevel"/>
    <w:tmpl w:val="91C48090"/>
    <w:lvl w:ilvl="0" w:tplc="D0747EEC">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5" w15:restartNumberingAfterBreak="0">
    <w:nsid w:val="282A1303"/>
    <w:multiLevelType w:val="hybridMultilevel"/>
    <w:tmpl w:val="C922C2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7" w15:restartNumberingAfterBreak="0">
    <w:nsid w:val="4A6B3D95"/>
    <w:multiLevelType w:val="multilevel"/>
    <w:tmpl w:val="9C96D022"/>
    <w:lvl w:ilvl="0">
      <w:start w:val="1"/>
      <w:numFmt w:val="bullet"/>
      <w:lvlText w:val=""/>
      <w:lvlJc w:val="left"/>
      <w:pPr>
        <w:tabs>
          <w:tab w:val="num" w:pos="1152"/>
        </w:tabs>
        <w:ind w:left="0" w:firstLine="0"/>
      </w:pPr>
      <w:rPr>
        <w:rFonts w:ascii="Symbol" w:hAnsi="Symbo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A991454"/>
    <w:multiLevelType w:val="hybridMultilevel"/>
    <w:tmpl w:val="0DF48400"/>
    <w:lvl w:ilvl="0" w:tplc="D126367E">
      <w:start w:val="1"/>
      <w:numFmt w:val="decimal"/>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0"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D5D3148"/>
    <w:multiLevelType w:val="multilevel"/>
    <w:tmpl w:val="3A0EB9DC"/>
    <w:lvl w:ilvl="0">
      <w:start w:val="1"/>
      <w:numFmt w:val="bullet"/>
      <w:lvlText w:val=""/>
      <w:lvlJc w:val="left"/>
      <w:pPr>
        <w:tabs>
          <w:tab w:val="num" w:pos="1152"/>
        </w:tabs>
        <w:ind w:left="0" w:firstLine="0"/>
      </w:pPr>
      <w:rPr>
        <w:rFonts w:ascii="Symbol" w:hAnsi="Symbo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4283EE8"/>
    <w:multiLevelType w:val="multilevel"/>
    <w:tmpl w:val="39D4E84E"/>
    <w:lvl w:ilvl="0">
      <w:start w:val="1"/>
      <w:numFmt w:val="decimal"/>
      <w:pStyle w:val="ParaNoNdepar-AltN"/>
      <w:lvlText w:val="[%1]"/>
      <w:lvlJc w:val="left"/>
      <w:pPr>
        <w:tabs>
          <w:tab w:val="num" w:pos="1152"/>
        </w:tabs>
        <w:ind w:left="0" w:firstLine="0"/>
      </w:pPr>
      <w:rPr>
        <w:rFonts w:ascii="Times New Roman" w:hAnsi="Times New Roman" w:hint="default"/>
        <w:i w:val="0"/>
        <w:strike w:val="0"/>
        <w:sz w:val="24"/>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5B1B2F"/>
    <w:multiLevelType w:val="multilevel"/>
    <w:tmpl w:val="9C96D022"/>
    <w:lvl w:ilvl="0">
      <w:start w:val="1"/>
      <w:numFmt w:val="bullet"/>
      <w:lvlText w:val=""/>
      <w:lvlJc w:val="left"/>
      <w:pPr>
        <w:tabs>
          <w:tab w:val="num" w:pos="1152"/>
        </w:tabs>
        <w:ind w:left="0" w:firstLine="0"/>
      </w:pPr>
      <w:rPr>
        <w:rFonts w:ascii="Symbol" w:hAnsi="Symbo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90C227F"/>
    <w:multiLevelType w:val="hybridMultilevel"/>
    <w:tmpl w:val="5A8E64A6"/>
    <w:lvl w:ilvl="0" w:tplc="76F4F48C">
      <w:start w:val="1"/>
      <w:numFmt w:val="decimal"/>
      <w:lvlText w:val="(%1)"/>
      <w:lvlJc w:val="left"/>
      <w:pPr>
        <w:ind w:left="1104" w:hanging="624"/>
      </w:pPr>
      <w:rPr>
        <w:rFonts w:hint="default"/>
      </w:rPr>
    </w:lvl>
    <w:lvl w:ilvl="1" w:tplc="0C0C0019" w:tentative="1">
      <w:start w:val="1"/>
      <w:numFmt w:val="lowerLetter"/>
      <w:lvlText w:val="%2."/>
      <w:lvlJc w:val="left"/>
      <w:pPr>
        <w:ind w:left="1560" w:hanging="360"/>
      </w:pPr>
    </w:lvl>
    <w:lvl w:ilvl="2" w:tplc="0C0C001B">
      <w:start w:val="1"/>
      <w:numFmt w:val="lowerRoman"/>
      <w:lvlText w:val="%3."/>
      <w:lvlJc w:val="right"/>
      <w:pPr>
        <w:ind w:left="2280" w:hanging="180"/>
      </w:pPr>
    </w:lvl>
    <w:lvl w:ilvl="3" w:tplc="0C0C000F" w:tentative="1">
      <w:start w:val="1"/>
      <w:numFmt w:val="decimal"/>
      <w:lvlText w:val="%4."/>
      <w:lvlJc w:val="left"/>
      <w:pPr>
        <w:ind w:left="3000" w:hanging="360"/>
      </w:pPr>
    </w:lvl>
    <w:lvl w:ilvl="4" w:tplc="0C0C0019" w:tentative="1">
      <w:start w:val="1"/>
      <w:numFmt w:val="lowerLetter"/>
      <w:lvlText w:val="%5."/>
      <w:lvlJc w:val="left"/>
      <w:pPr>
        <w:ind w:left="3720" w:hanging="360"/>
      </w:pPr>
    </w:lvl>
    <w:lvl w:ilvl="5" w:tplc="0C0C001B" w:tentative="1">
      <w:start w:val="1"/>
      <w:numFmt w:val="lowerRoman"/>
      <w:lvlText w:val="%6."/>
      <w:lvlJc w:val="right"/>
      <w:pPr>
        <w:ind w:left="4440" w:hanging="180"/>
      </w:pPr>
    </w:lvl>
    <w:lvl w:ilvl="6" w:tplc="0C0C000F" w:tentative="1">
      <w:start w:val="1"/>
      <w:numFmt w:val="decimal"/>
      <w:lvlText w:val="%7."/>
      <w:lvlJc w:val="left"/>
      <w:pPr>
        <w:ind w:left="5160" w:hanging="360"/>
      </w:pPr>
    </w:lvl>
    <w:lvl w:ilvl="7" w:tplc="0C0C0019" w:tentative="1">
      <w:start w:val="1"/>
      <w:numFmt w:val="lowerLetter"/>
      <w:lvlText w:val="%8."/>
      <w:lvlJc w:val="left"/>
      <w:pPr>
        <w:ind w:left="5880" w:hanging="360"/>
      </w:pPr>
    </w:lvl>
    <w:lvl w:ilvl="8" w:tplc="0C0C001B" w:tentative="1">
      <w:start w:val="1"/>
      <w:numFmt w:val="lowerRoman"/>
      <w:lvlText w:val="%9."/>
      <w:lvlJc w:val="right"/>
      <w:pPr>
        <w:ind w:left="6600" w:hanging="180"/>
      </w:pPr>
    </w:lvl>
  </w:abstractNum>
  <w:abstractNum w:abstractNumId="16" w15:restartNumberingAfterBreak="0">
    <w:nsid w:val="7E2B1282"/>
    <w:multiLevelType w:val="hybridMultilevel"/>
    <w:tmpl w:val="E82CA10E"/>
    <w:lvl w:ilvl="0" w:tplc="BF9C41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0"/>
  </w:num>
  <w:num w:numId="4">
    <w:abstractNumId w:val="9"/>
  </w:num>
  <w:num w:numId="5">
    <w:abstractNumId w:val="10"/>
  </w:num>
  <w:num w:numId="6">
    <w:abstractNumId w:val="12"/>
  </w:num>
  <w:num w:numId="7">
    <w:abstractNumId w:val="6"/>
  </w:num>
  <w:num w:numId="8">
    <w:abstractNumId w:val="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7"/>
  </w:num>
  <w:num w:numId="10">
    <w:abstractNumId w:val="11"/>
  </w:num>
  <w:num w:numId="11">
    <w:abstractNumId w:val="14"/>
  </w:num>
  <w:num w:numId="12">
    <w:abstractNumId w:val="6"/>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num>
  <w:num w:numId="13">
    <w:abstractNumId w:val="6"/>
    <w:lvlOverride w:ilvl="0">
      <w:lvl w:ilvl="0">
        <w:start w:val="1"/>
        <w:numFmt w:val="upperRoman"/>
        <w:pStyle w:val="Title1LevelTitre1Niveau-AltL"/>
        <w:lvlText w:val="%1."/>
        <w:lvlJc w:val="left"/>
        <w:pPr>
          <w:tabs>
            <w:tab w:val="num" w:pos="666"/>
          </w:tabs>
          <w:ind w:left="66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4">
    <w:abstractNumId w:val="4"/>
  </w:num>
  <w:num w:numId="15">
    <w:abstractNumId w:val="5"/>
  </w:num>
  <w:num w:numId="16">
    <w:abstractNumId w:val="2"/>
  </w:num>
  <w:num w:numId="17">
    <w:abstractNumId w:val="15"/>
  </w:num>
  <w:num w:numId="18">
    <w:abstractNumId w:val="1"/>
  </w:num>
  <w:num w:numId="19">
    <w:abstractNumId w:val="16"/>
  </w:num>
  <w:num w:numId="20">
    <w:abstractNumId w:val="8"/>
  </w:num>
  <w:num w:numId="21">
    <w:abstractNumId w:val="6"/>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1260"/>
    <w:rsid w:val="00025198"/>
    <w:rsid w:val="00031D2C"/>
    <w:rsid w:val="00034BD8"/>
    <w:rsid w:val="000421BD"/>
    <w:rsid w:val="000578A3"/>
    <w:rsid w:val="0006339E"/>
    <w:rsid w:val="000648CC"/>
    <w:rsid w:val="000747F8"/>
    <w:rsid w:val="000B0E62"/>
    <w:rsid w:val="000B437B"/>
    <w:rsid w:val="000B7FB3"/>
    <w:rsid w:val="000C2408"/>
    <w:rsid w:val="000C59B8"/>
    <w:rsid w:val="000C6AF0"/>
    <w:rsid w:val="000D0315"/>
    <w:rsid w:val="000D6204"/>
    <w:rsid w:val="000E2E08"/>
    <w:rsid w:val="000F6A31"/>
    <w:rsid w:val="00104F33"/>
    <w:rsid w:val="00111DE2"/>
    <w:rsid w:val="00112712"/>
    <w:rsid w:val="00116B38"/>
    <w:rsid w:val="0012504B"/>
    <w:rsid w:val="00135406"/>
    <w:rsid w:val="00135972"/>
    <w:rsid w:val="00136355"/>
    <w:rsid w:val="001426A9"/>
    <w:rsid w:val="001437FC"/>
    <w:rsid w:val="0015151E"/>
    <w:rsid w:val="0015315A"/>
    <w:rsid w:val="00154D7C"/>
    <w:rsid w:val="001570B0"/>
    <w:rsid w:val="0015752C"/>
    <w:rsid w:val="00157737"/>
    <w:rsid w:val="001647FE"/>
    <w:rsid w:val="00165277"/>
    <w:rsid w:val="00170592"/>
    <w:rsid w:val="00180D00"/>
    <w:rsid w:val="00186351"/>
    <w:rsid w:val="00195D83"/>
    <w:rsid w:val="0019625D"/>
    <w:rsid w:val="001A00C1"/>
    <w:rsid w:val="001B33E0"/>
    <w:rsid w:val="001B4573"/>
    <w:rsid w:val="001C15E9"/>
    <w:rsid w:val="001C779F"/>
    <w:rsid w:val="001D2AC1"/>
    <w:rsid w:val="001D4E88"/>
    <w:rsid w:val="001F27B4"/>
    <w:rsid w:val="00214295"/>
    <w:rsid w:val="00220FC2"/>
    <w:rsid w:val="002222F4"/>
    <w:rsid w:val="00224FC0"/>
    <w:rsid w:val="00225EA4"/>
    <w:rsid w:val="00226EAF"/>
    <w:rsid w:val="00231F3A"/>
    <w:rsid w:val="00234199"/>
    <w:rsid w:val="002406EE"/>
    <w:rsid w:val="002412B5"/>
    <w:rsid w:val="00243EC8"/>
    <w:rsid w:val="00243F6B"/>
    <w:rsid w:val="00247B81"/>
    <w:rsid w:val="00254C96"/>
    <w:rsid w:val="00261855"/>
    <w:rsid w:val="00264D7A"/>
    <w:rsid w:val="00270D93"/>
    <w:rsid w:val="002745CC"/>
    <w:rsid w:val="00280241"/>
    <w:rsid w:val="00287DD2"/>
    <w:rsid w:val="002B7924"/>
    <w:rsid w:val="002C5913"/>
    <w:rsid w:val="002C7B18"/>
    <w:rsid w:val="002D28C3"/>
    <w:rsid w:val="002D39A4"/>
    <w:rsid w:val="002D69D5"/>
    <w:rsid w:val="002E6705"/>
    <w:rsid w:val="002F0E45"/>
    <w:rsid w:val="002F6030"/>
    <w:rsid w:val="00301D08"/>
    <w:rsid w:val="0030329A"/>
    <w:rsid w:val="0031086F"/>
    <w:rsid w:val="003138F3"/>
    <w:rsid w:val="0031414C"/>
    <w:rsid w:val="00314E01"/>
    <w:rsid w:val="003163C7"/>
    <w:rsid w:val="0032089D"/>
    <w:rsid w:val="003310DE"/>
    <w:rsid w:val="003323B0"/>
    <w:rsid w:val="003470A3"/>
    <w:rsid w:val="0035169A"/>
    <w:rsid w:val="0035259D"/>
    <w:rsid w:val="00364B18"/>
    <w:rsid w:val="003762F3"/>
    <w:rsid w:val="003A125D"/>
    <w:rsid w:val="003A4C70"/>
    <w:rsid w:val="003B215F"/>
    <w:rsid w:val="003C759C"/>
    <w:rsid w:val="003C799C"/>
    <w:rsid w:val="003D0399"/>
    <w:rsid w:val="003E1C71"/>
    <w:rsid w:val="003E6106"/>
    <w:rsid w:val="003F1D4E"/>
    <w:rsid w:val="003F327B"/>
    <w:rsid w:val="00406166"/>
    <w:rsid w:val="0040704B"/>
    <w:rsid w:val="00410A55"/>
    <w:rsid w:val="00411300"/>
    <w:rsid w:val="00415138"/>
    <w:rsid w:val="00415417"/>
    <w:rsid w:val="004251F7"/>
    <w:rsid w:val="00426659"/>
    <w:rsid w:val="00433044"/>
    <w:rsid w:val="004461FC"/>
    <w:rsid w:val="00450352"/>
    <w:rsid w:val="00453D8D"/>
    <w:rsid w:val="00454BDB"/>
    <w:rsid w:val="00456584"/>
    <w:rsid w:val="00463D02"/>
    <w:rsid w:val="00464800"/>
    <w:rsid w:val="00465132"/>
    <w:rsid w:val="004671B9"/>
    <w:rsid w:val="00480C90"/>
    <w:rsid w:val="0048396F"/>
    <w:rsid w:val="0049091F"/>
    <w:rsid w:val="00493C18"/>
    <w:rsid w:val="00496023"/>
    <w:rsid w:val="004A3C9F"/>
    <w:rsid w:val="004A600C"/>
    <w:rsid w:val="004A6118"/>
    <w:rsid w:val="004C2DD3"/>
    <w:rsid w:val="004C478D"/>
    <w:rsid w:val="004D0126"/>
    <w:rsid w:val="004D616E"/>
    <w:rsid w:val="004E2C26"/>
    <w:rsid w:val="004F36FF"/>
    <w:rsid w:val="004F38B9"/>
    <w:rsid w:val="004F6057"/>
    <w:rsid w:val="005068B4"/>
    <w:rsid w:val="00506C16"/>
    <w:rsid w:val="005125A8"/>
    <w:rsid w:val="00521AE8"/>
    <w:rsid w:val="00523312"/>
    <w:rsid w:val="00527180"/>
    <w:rsid w:val="0054201E"/>
    <w:rsid w:val="005532DA"/>
    <w:rsid w:val="00555291"/>
    <w:rsid w:val="00562A19"/>
    <w:rsid w:val="00566AD1"/>
    <w:rsid w:val="0057244C"/>
    <w:rsid w:val="005767EA"/>
    <w:rsid w:val="00583EDE"/>
    <w:rsid w:val="005A6079"/>
    <w:rsid w:val="005A7078"/>
    <w:rsid w:val="005C255E"/>
    <w:rsid w:val="005D7732"/>
    <w:rsid w:val="005E4698"/>
    <w:rsid w:val="005E5168"/>
    <w:rsid w:val="005F5184"/>
    <w:rsid w:val="00607238"/>
    <w:rsid w:val="00607382"/>
    <w:rsid w:val="00610539"/>
    <w:rsid w:val="00612D30"/>
    <w:rsid w:val="00613969"/>
    <w:rsid w:val="00625C35"/>
    <w:rsid w:val="00636B03"/>
    <w:rsid w:val="0064097A"/>
    <w:rsid w:val="00641CD4"/>
    <w:rsid w:val="00642AF8"/>
    <w:rsid w:val="00654036"/>
    <w:rsid w:val="00656313"/>
    <w:rsid w:val="006565F4"/>
    <w:rsid w:val="00675ED4"/>
    <w:rsid w:val="00677420"/>
    <w:rsid w:val="00677F33"/>
    <w:rsid w:val="00681962"/>
    <w:rsid w:val="00684EEA"/>
    <w:rsid w:val="0069689B"/>
    <w:rsid w:val="00697598"/>
    <w:rsid w:val="006A1551"/>
    <w:rsid w:val="006A61A5"/>
    <w:rsid w:val="006A63D9"/>
    <w:rsid w:val="006B5FF5"/>
    <w:rsid w:val="006F30AF"/>
    <w:rsid w:val="006F6C0F"/>
    <w:rsid w:val="00701759"/>
    <w:rsid w:val="00705C15"/>
    <w:rsid w:val="00711511"/>
    <w:rsid w:val="0071600E"/>
    <w:rsid w:val="007208D1"/>
    <w:rsid w:val="007250A0"/>
    <w:rsid w:val="00725AE4"/>
    <w:rsid w:val="007270F8"/>
    <w:rsid w:val="007308C2"/>
    <w:rsid w:val="00740A02"/>
    <w:rsid w:val="00747288"/>
    <w:rsid w:val="00747DD3"/>
    <w:rsid w:val="007549C8"/>
    <w:rsid w:val="00754A0B"/>
    <w:rsid w:val="007645D8"/>
    <w:rsid w:val="00766D14"/>
    <w:rsid w:val="00767A0F"/>
    <w:rsid w:val="00770E6D"/>
    <w:rsid w:val="00795EEA"/>
    <w:rsid w:val="00797F05"/>
    <w:rsid w:val="007A05F6"/>
    <w:rsid w:val="007A1B7F"/>
    <w:rsid w:val="007A1E3A"/>
    <w:rsid w:val="007B3264"/>
    <w:rsid w:val="007B6F4A"/>
    <w:rsid w:val="007D0615"/>
    <w:rsid w:val="007E1C47"/>
    <w:rsid w:val="007E337A"/>
    <w:rsid w:val="007E5C70"/>
    <w:rsid w:val="007F2FF5"/>
    <w:rsid w:val="007F3F08"/>
    <w:rsid w:val="00801B86"/>
    <w:rsid w:val="00804CC6"/>
    <w:rsid w:val="00817190"/>
    <w:rsid w:val="00820EE5"/>
    <w:rsid w:val="008260E2"/>
    <w:rsid w:val="00827C1D"/>
    <w:rsid w:val="008322BD"/>
    <w:rsid w:val="00833E0A"/>
    <w:rsid w:val="0083438A"/>
    <w:rsid w:val="00834F73"/>
    <w:rsid w:val="00864CF8"/>
    <w:rsid w:val="00872819"/>
    <w:rsid w:val="00874914"/>
    <w:rsid w:val="0088325C"/>
    <w:rsid w:val="00890AB4"/>
    <w:rsid w:val="00891422"/>
    <w:rsid w:val="00892E1A"/>
    <w:rsid w:val="008A3F29"/>
    <w:rsid w:val="008A4AC0"/>
    <w:rsid w:val="008A552C"/>
    <w:rsid w:val="008A79FE"/>
    <w:rsid w:val="008B6349"/>
    <w:rsid w:val="008B660A"/>
    <w:rsid w:val="008C01DA"/>
    <w:rsid w:val="008C4817"/>
    <w:rsid w:val="008C7709"/>
    <w:rsid w:val="008F78E9"/>
    <w:rsid w:val="009042EC"/>
    <w:rsid w:val="00911989"/>
    <w:rsid w:val="009179F9"/>
    <w:rsid w:val="009244F7"/>
    <w:rsid w:val="00930EB7"/>
    <w:rsid w:val="00933E5E"/>
    <w:rsid w:val="00935218"/>
    <w:rsid w:val="009403F3"/>
    <w:rsid w:val="0094395C"/>
    <w:rsid w:val="009555B7"/>
    <w:rsid w:val="009567AA"/>
    <w:rsid w:val="00957E76"/>
    <w:rsid w:val="00963455"/>
    <w:rsid w:val="00967374"/>
    <w:rsid w:val="009745E2"/>
    <w:rsid w:val="00975316"/>
    <w:rsid w:val="009A343A"/>
    <w:rsid w:val="009B2F23"/>
    <w:rsid w:val="009B57B3"/>
    <w:rsid w:val="009C5B92"/>
    <w:rsid w:val="009D16A1"/>
    <w:rsid w:val="009D2920"/>
    <w:rsid w:val="009D5AEB"/>
    <w:rsid w:val="009F0E33"/>
    <w:rsid w:val="00A015B5"/>
    <w:rsid w:val="00A030CE"/>
    <w:rsid w:val="00A149DF"/>
    <w:rsid w:val="00A1755C"/>
    <w:rsid w:val="00A21B90"/>
    <w:rsid w:val="00A26CD5"/>
    <w:rsid w:val="00A36CA0"/>
    <w:rsid w:val="00A4068C"/>
    <w:rsid w:val="00A41805"/>
    <w:rsid w:val="00A42DCD"/>
    <w:rsid w:val="00A44E0C"/>
    <w:rsid w:val="00A52AFB"/>
    <w:rsid w:val="00A548CB"/>
    <w:rsid w:val="00A5521C"/>
    <w:rsid w:val="00A643E7"/>
    <w:rsid w:val="00A64A6F"/>
    <w:rsid w:val="00A73C38"/>
    <w:rsid w:val="00A84B8B"/>
    <w:rsid w:val="00A95B64"/>
    <w:rsid w:val="00AB1761"/>
    <w:rsid w:val="00AB670D"/>
    <w:rsid w:val="00AC110E"/>
    <w:rsid w:val="00AC7A90"/>
    <w:rsid w:val="00AE4535"/>
    <w:rsid w:val="00AF03C5"/>
    <w:rsid w:val="00AF0696"/>
    <w:rsid w:val="00B000D8"/>
    <w:rsid w:val="00B00F75"/>
    <w:rsid w:val="00B145B6"/>
    <w:rsid w:val="00B246B8"/>
    <w:rsid w:val="00B261C8"/>
    <w:rsid w:val="00B279EB"/>
    <w:rsid w:val="00B50C81"/>
    <w:rsid w:val="00B557F8"/>
    <w:rsid w:val="00B6231C"/>
    <w:rsid w:val="00B62E36"/>
    <w:rsid w:val="00B80321"/>
    <w:rsid w:val="00B815FC"/>
    <w:rsid w:val="00B84D81"/>
    <w:rsid w:val="00B93FBC"/>
    <w:rsid w:val="00BA0851"/>
    <w:rsid w:val="00BA7DA0"/>
    <w:rsid w:val="00BB1DDC"/>
    <w:rsid w:val="00BB2EE4"/>
    <w:rsid w:val="00BC12F3"/>
    <w:rsid w:val="00BC2108"/>
    <w:rsid w:val="00BC2E31"/>
    <w:rsid w:val="00BC4C2A"/>
    <w:rsid w:val="00BD0E9E"/>
    <w:rsid w:val="00BD1BEC"/>
    <w:rsid w:val="00BD32FF"/>
    <w:rsid w:val="00BD72ED"/>
    <w:rsid w:val="00BE169D"/>
    <w:rsid w:val="00C01B5C"/>
    <w:rsid w:val="00C02092"/>
    <w:rsid w:val="00C05726"/>
    <w:rsid w:val="00C15C4C"/>
    <w:rsid w:val="00C20F12"/>
    <w:rsid w:val="00C22100"/>
    <w:rsid w:val="00C24D91"/>
    <w:rsid w:val="00C34DB3"/>
    <w:rsid w:val="00C53F14"/>
    <w:rsid w:val="00C600CF"/>
    <w:rsid w:val="00C6084F"/>
    <w:rsid w:val="00C62A66"/>
    <w:rsid w:val="00C676FE"/>
    <w:rsid w:val="00C71458"/>
    <w:rsid w:val="00C71A35"/>
    <w:rsid w:val="00C77613"/>
    <w:rsid w:val="00C828E7"/>
    <w:rsid w:val="00C83456"/>
    <w:rsid w:val="00C86719"/>
    <w:rsid w:val="00C921DD"/>
    <w:rsid w:val="00CA046A"/>
    <w:rsid w:val="00CA21CF"/>
    <w:rsid w:val="00CA6391"/>
    <w:rsid w:val="00CB7C58"/>
    <w:rsid w:val="00CC34BD"/>
    <w:rsid w:val="00CD3521"/>
    <w:rsid w:val="00CD656D"/>
    <w:rsid w:val="00CE161A"/>
    <w:rsid w:val="00CE3171"/>
    <w:rsid w:val="00CF1601"/>
    <w:rsid w:val="00D0172F"/>
    <w:rsid w:val="00D068A7"/>
    <w:rsid w:val="00D17476"/>
    <w:rsid w:val="00D25119"/>
    <w:rsid w:val="00D32086"/>
    <w:rsid w:val="00D32646"/>
    <w:rsid w:val="00D3662C"/>
    <w:rsid w:val="00D3786A"/>
    <w:rsid w:val="00D37A3F"/>
    <w:rsid w:val="00D41AB7"/>
    <w:rsid w:val="00D4431D"/>
    <w:rsid w:val="00D4667A"/>
    <w:rsid w:val="00D524CA"/>
    <w:rsid w:val="00D60C94"/>
    <w:rsid w:val="00D63A1C"/>
    <w:rsid w:val="00D7516F"/>
    <w:rsid w:val="00D8579F"/>
    <w:rsid w:val="00D95F8E"/>
    <w:rsid w:val="00DA0590"/>
    <w:rsid w:val="00DB7BEA"/>
    <w:rsid w:val="00DC1739"/>
    <w:rsid w:val="00DC1788"/>
    <w:rsid w:val="00DC2EDA"/>
    <w:rsid w:val="00DC7045"/>
    <w:rsid w:val="00DD07E5"/>
    <w:rsid w:val="00DE0242"/>
    <w:rsid w:val="00DE2B30"/>
    <w:rsid w:val="00DE2DEC"/>
    <w:rsid w:val="00DE319C"/>
    <w:rsid w:val="00DF0CA8"/>
    <w:rsid w:val="00DF2B48"/>
    <w:rsid w:val="00DF49A7"/>
    <w:rsid w:val="00E04EB4"/>
    <w:rsid w:val="00E07EE2"/>
    <w:rsid w:val="00E07FD1"/>
    <w:rsid w:val="00E1460E"/>
    <w:rsid w:val="00E15432"/>
    <w:rsid w:val="00E176D8"/>
    <w:rsid w:val="00E24573"/>
    <w:rsid w:val="00E25E1E"/>
    <w:rsid w:val="00E26175"/>
    <w:rsid w:val="00E27EE7"/>
    <w:rsid w:val="00E35404"/>
    <w:rsid w:val="00E45109"/>
    <w:rsid w:val="00E4794A"/>
    <w:rsid w:val="00E47B7A"/>
    <w:rsid w:val="00E5598A"/>
    <w:rsid w:val="00E56A44"/>
    <w:rsid w:val="00E60269"/>
    <w:rsid w:val="00E60BD5"/>
    <w:rsid w:val="00E72DF6"/>
    <w:rsid w:val="00E7330D"/>
    <w:rsid w:val="00E77932"/>
    <w:rsid w:val="00E92B51"/>
    <w:rsid w:val="00E97830"/>
    <w:rsid w:val="00EA6655"/>
    <w:rsid w:val="00EA7F13"/>
    <w:rsid w:val="00EB3D62"/>
    <w:rsid w:val="00EB7F13"/>
    <w:rsid w:val="00ED3B57"/>
    <w:rsid w:val="00EE643C"/>
    <w:rsid w:val="00EF0683"/>
    <w:rsid w:val="00EF4A49"/>
    <w:rsid w:val="00EF69D2"/>
    <w:rsid w:val="00EF766E"/>
    <w:rsid w:val="00F0070C"/>
    <w:rsid w:val="00F00CAE"/>
    <w:rsid w:val="00F00EB7"/>
    <w:rsid w:val="00F05956"/>
    <w:rsid w:val="00F15863"/>
    <w:rsid w:val="00F225F3"/>
    <w:rsid w:val="00F36AB6"/>
    <w:rsid w:val="00F37A09"/>
    <w:rsid w:val="00F409CE"/>
    <w:rsid w:val="00F4379D"/>
    <w:rsid w:val="00F50D2D"/>
    <w:rsid w:val="00F56C8B"/>
    <w:rsid w:val="00F606A0"/>
    <w:rsid w:val="00F634F1"/>
    <w:rsid w:val="00F66810"/>
    <w:rsid w:val="00F66F77"/>
    <w:rsid w:val="00F84107"/>
    <w:rsid w:val="00F846D9"/>
    <w:rsid w:val="00F84DF4"/>
    <w:rsid w:val="00F85C97"/>
    <w:rsid w:val="00FB37D2"/>
    <w:rsid w:val="00FB3F70"/>
    <w:rsid w:val="00FC1ACB"/>
    <w:rsid w:val="00FC2476"/>
    <w:rsid w:val="00FC4EFB"/>
    <w:rsid w:val="00FC58D5"/>
    <w:rsid w:val="00FC5DC1"/>
    <w:rsid w:val="00FD068D"/>
    <w:rsid w:val="00FD4F28"/>
    <w:rsid w:val="00FE1C86"/>
    <w:rsid w:val="00FE6784"/>
    <w:rsid w:val="00FE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E96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69D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5F5184"/>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5F5184"/>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5F5184"/>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5F5184"/>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5F5184"/>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5F5184"/>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5068B4"/>
    <w:rPr>
      <w:color w:val="660000"/>
      <w:u w:val="none"/>
    </w:rPr>
  </w:style>
  <w:style w:type="character" w:customStyle="1" w:styleId="fontstyle01">
    <w:name w:val="fontstyle01"/>
    <w:basedOn w:val="DefaultParagraphFont"/>
    <w:rsid w:val="008C7709"/>
    <w:rPr>
      <w:rFonts w:ascii="TimesLTStd-Roman" w:hAnsi="TimesLTStd-Roman" w:hint="default"/>
      <w:b w:val="0"/>
      <w:bCs w:val="0"/>
      <w:i w:val="0"/>
      <w:iCs w:val="0"/>
      <w:color w:val="000000"/>
      <w:sz w:val="20"/>
      <w:szCs w:val="20"/>
    </w:rPr>
  </w:style>
  <w:style w:type="character" w:styleId="CommentReference">
    <w:name w:val="annotation reference"/>
    <w:basedOn w:val="DefaultParagraphFont"/>
    <w:uiPriority w:val="99"/>
    <w:semiHidden/>
    <w:unhideWhenUsed/>
    <w:rsid w:val="00214295"/>
    <w:rPr>
      <w:sz w:val="16"/>
      <w:szCs w:val="16"/>
    </w:rPr>
  </w:style>
  <w:style w:type="paragraph" w:styleId="CommentText">
    <w:name w:val="annotation text"/>
    <w:basedOn w:val="Normal"/>
    <w:link w:val="CommentTextChar"/>
    <w:uiPriority w:val="99"/>
    <w:unhideWhenUsed/>
    <w:rsid w:val="00214295"/>
    <w:rPr>
      <w:sz w:val="20"/>
    </w:rPr>
  </w:style>
  <w:style w:type="character" w:customStyle="1" w:styleId="CommentTextChar">
    <w:name w:val="Comment Text Char"/>
    <w:basedOn w:val="DefaultParagraphFont"/>
    <w:link w:val="CommentText"/>
    <w:uiPriority w:val="99"/>
    <w:rsid w:val="00214295"/>
  </w:style>
  <w:style w:type="paragraph" w:styleId="CommentSubject">
    <w:name w:val="annotation subject"/>
    <w:basedOn w:val="CommentText"/>
    <w:next w:val="CommentText"/>
    <w:link w:val="CommentSubjectChar"/>
    <w:uiPriority w:val="99"/>
    <w:semiHidden/>
    <w:unhideWhenUsed/>
    <w:rsid w:val="003762F3"/>
    <w:rPr>
      <w:b/>
      <w:bCs/>
    </w:rPr>
  </w:style>
  <w:style w:type="character" w:customStyle="1" w:styleId="CommentSubjectChar">
    <w:name w:val="Comment Subject Char"/>
    <w:basedOn w:val="CommentTextChar"/>
    <w:link w:val="CommentSubject"/>
    <w:uiPriority w:val="99"/>
    <w:semiHidden/>
    <w:rsid w:val="003762F3"/>
    <w:rPr>
      <w:b/>
      <w:bCs/>
    </w:rPr>
  </w:style>
  <w:style w:type="character" w:customStyle="1" w:styleId="solexhl">
    <w:name w:val="solexhl"/>
    <w:basedOn w:val="DefaultParagraphFont"/>
    <w:rsid w:val="00827C1D"/>
  </w:style>
  <w:style w:type="character" w:styleId="FollowedHyperlink">
    <w:name w:val="FollowedHyperlink"/>
    <w:basedOn w:val="DefaultParagraphFont"/>
    <w:uiPriority w:val="99"/>
    <w:semiHidden/>
    <w:unhideWhenUsed/>
    <w:rsid w:val="00C676FE"/>
    <w:rPr>
      <w:color w:val="800080" w:themeColor="followedHyperlink"/>
      <w:u w:val="single"/>
    </w:rPr>
  </w:style>
  <w:style w:type="character" w:customStyle="1" w:styleId="Heading3Char">
    <w:name w:val="Heading 3 Char"/>
    <w:basedOn w:val="DefaultParagraphFont"/>
    <w:link w:val="Heading3"/>
    <w:uiPriority w:val="9"/>
    <w:semiHidden/>
    <w:rsid w:val="002D69D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F5184"/>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5F5184"/>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5F5184"/>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5F5184"/>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5F5184"/>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5F5184"/>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5F5184"/>
    <w:pPr>
      <w:spacing w:after="480"/>
    </w:pPr>
    <w:rPr>
      <w:rFonts w:eastAsiaTheme="minorHAnsi" w:cstheme="minorBidi"/>
      <w:szCs w:val="22"/>
      <w:lang w:eastAsia="en-US"/>
    </w:rPr>
  </w:style>
  <w:style w:type="paragraph" w:customStyle="1" w:styleId="SCCCoram">
    <w:name w:val="SCC.Coram"/>
    <w:basedOn w:val="Normal"/>
    <w:next w:val="Normal"/>
    <w:link w:val="SCCCoramChar"/>
    <w:rsid w:val="005F5184"/>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5F5184"/>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5F5184"/>
    <w:rPr>
      <w:rFonts w:eastAsiaTheme="minorHAnsi" w:cstheme="minorBidi"/>
      <w:sz w:val="24"/>
      <w:szCs w:val="22"/>
      <w:lang w:eastAsia="en-US"/>
    </w:rPr>
  </w:style>
  <w:style w:type="character" w:customStyle="1" w:styleId="SCCBanSummaryChar">
    <w:name w:val="SCC.BanSummary Char"/>
    <w:basedOn w:val="DefaultParagraphFont"/>
    <w:link w:val="SCCBanSummary"/>
    <w:rsid w:val="005F5184"/>
    <w:rPr>
      <w:b/>
      <w:sz w:val="24"/>
    </w:rPr>
  </w:style>
  <w:style w:type="table" w:styleId="TableGrid">
    <w:name w:val="Table Grid"/>
    <w:basedOn w:val="TableNormal"/>
    <w:uiPriority w:val="59"/>
    <w:rsid w:val="005F5184"/>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5F5184"/>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5F5184"/>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5F5184"/>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5F5184"/>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5F5184"/>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5F5184"/>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5F5184"/>
    <w:pPr>
      <w:numPr>
        <w:ilvl w:val="2"/>
      </w:numPr>
      <w:outlineLvl w:val="2"/>
    </w:pPr>
  </w:style>
  <w:style w:type="paragraph" w:customStyle="1" w:styleId="Title4LevelTitre4Niveau">
    <w:name w:val="Title 4 Level / Titre 4 Niveau"/>
    <w:basedOn w:val="Title3LevelTitre3Niveau"/>
    <w:next w:val="ParaNoNdepar-AltN"/>
    <w:uiPriority w:val="4"/>
    <w:qFormat/>
    <w:rsid w:val="005F518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5F5184"/>
    <w:pPr>
      <w:numPr>
        <w:ilvl w:val="4"/>
      </w:numPr>
      <w:outlineLvl w:val="4"/>
    </w:pPr>
  </w:style>
  <w:style w:type="paragraph" w:styleId="TOC1">
    <w:name w:val="toc 1"/>
    <w:basedOn w:val="Normal"/>
    <w:next w:val="Normal"/>
    <w:autoRedefine/>
    <w:uiPriority w:val="39"/>
    <w:unhideWhenUsed/>
    <w:rsid w:val="005F5184"/>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5F5184"/>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5F5184"/>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5F5184"/>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5F5184"/>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5F5184"/>
    <w:pPr>
      <w:tabs>
        <w:tab w:val="left" w:pos="2160"/>
        <w:tab w:val="right" w:leader="dot" w:pos="8270"/>
      </w:tabs>
      <w:spacing w:after="100"/>
      <w:ind w:left="1800"/>
    </w:pPr>
    <w:rPr>
      <w:noProof/>
    </w:rPr>
  </w:style>
  <w:style w:type="table" w:customStyle="1" w:styleId="TableGrid1">
    <w:name w:val="Table Grid1"/>
    <w:basedOn w:val="TableNormal"/>
    <w:uiPriority w:val="59"/>
    <w:rsid w:val="005F5184"/>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5F5184"/>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5F5184"/>
    <w:pPr>
      <w:numPr>
        <w:ilvl w:val="5"/>
      </w:numPr>
      <w:outlineLvl w:val="5"/>
    </w:pPr>
    <w:rPr>
      <w:i/>
      <w:u w:val="none"/>
    </w:rPr>
  </w:style>
  <w:style w:type="paragraph" w:styleId="FootnoteText">
    <w:name w:val="footnote text"/>
    <w:basedOn w:val="Normal"/>
    <w:link w:val="FootnoteTextChar"/>
    <w:uiPriority w:val="99"/>
    <w:unhideWhenUsed/>
    <w:rsid w:val="005F5184"/>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5F5184"/>
  </w:style>
  <w:style w:type="character" w:styleId="FootnoteReference">
    <w:name w:val="footnote reference"/>
    <w:basedOn w:val="DefaultParagraphFont"/>
    <w:uiPriority w:val="99"/>
    <w:semiHidden/>
    <w:unhideWhenUsed/>
    <w:rsid w:val="005F5184"/>
    <w:rPr>
      <w:vertAlign w:val="superscript"/>
    </w:rPr>
  </w:style>
  <w:style w:type="paragraph" w:styleId="TOCHeading">
    <w:name w:val="TOC Heading"/>
    <w:basedOn w:val="Heading1"/>
    <w:next w:val="Normal"/>
    <w:uiPriority w:val="39"/>
    <w:unhideWhenUsed/>
    <w:qFormat/>
    <w:rsid w:val="005F5184"/>
    <w:pPr>
      <w:spacing w:before="240" w:after="0"/>
      <w:ind w:left="0" w:firstLine="0"/>
      <w:outlineLvl w:val="9"/>
    </w:pPr>
    <w:rPr>
      <w:b w:val="0"/>
      <w:bCs w:val="0"/>
      <w:sz w:val="32"/>
      <w:szCs w:val="32"/>
    </w:rPr>
  </w:style>
  <w:style w:type="character" w:customStyle="1" w:styleId="ParaNoNdepar-AltNChar">
    <w:name w:val="Para. No. / Nº de par. - Alt N Char"/>
    <w:basedOn w:val="DefaultParagraphFont"/>
    <w:link w:val="ParaNoNdepar-AltN"/>
    <w:locked/>
    <w:rsid w:val="005F5184"/>
    <w:rPr>
      <w:rFonts w:eastAsiaTheme="minorEastAsia" w:cstheme="minorBidi"/>
      <w:sz w:val="24"/>
      <w:szCs w:val="22"/>
      <w:lang w:eastAsia="en-US"/>
    </w:rPr>
  </w:style>
  <w:style w:type="paragraph" w:styleId="ListParagraph">
    <w:name w:val="List Paragraph"/>
    <w:basedOn w:val="Normal"/>
    <w:uiPriority w:val="34"/>
    <w:qFormat/>
    <w:rsid w:val="005F5184"/>
    <w:pPr>
      <w:ind w:left="720"/>
      <w:contextualSpacing/>
    </w:pPr>
    <w:rPr>
      <w:rFonts w:eastAsiaTheme="minorHAnsi" w:cstheme="minorBidi"/>
      <w:szCs w:val="22"/>
      <w:lang w:val="en-US" w:eastAsia="en-US" w:bidi="en-US"/>
    </w:rPr>
  </w:style>
  <w:style w:type="character" w:customStyle="1" w:styleId="JudgeJugeChar">
    <w:name w:val="Judge / Juge Char"/>
    <w:basedOn w:val="DefaultParagraphFont"/>
    <w:link w:val="JudgeJuge"/>
    <w:uiPriority w:val="3"/>
    <w:rsid w:val="005F5184"/>
    <w:rPr>
      <w:smallCaps/>
      <w:sz w:val="24"/>
      <w:szCs w:val="24"/>
    </w:rPr>
  </w:style>
  <w:style w:type="paragraph" w:styleId="NoSpacing">
    <w:name w:val="No Spacing"/>
    <w:uiPriority w:val="1"/>
    <w:rsid w:val="005F5184"/>
    <w:rPr>
      <w:rFonts w:eastAsiaTheme="minorHAnsi" w:cstheme="minorBidi"/>
      <w:sz w:val="24"/>
      <w:szCs w:val="22"/>
      <w:lang w:val="en-US" w:eastAsia="en-US" w:bidi="en-US"/>
    </w:rPr>
  </w:style>
  <w:style w:type="paragraph" w:styleId="Caption">
    <w:name w:val="caption"/>
    <w:basedOn w:val="Normal"/>
    <w:next w:val="Normal"/>
    <w:uiPriority w:val="35"/>
    <w:semiHidden/>
    <w:unhideWhenUsed/>
    <w:qFormat/>
    <w:rsid w:val="005F5184"/>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5F51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5F5184"/>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5F5184"/>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5F5184"/>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5F5184"/>
    <w:rPr>
      <w:i/>
      <w:iCs/>
    </w:rPr>
  </w:style>
  <w:style w:type="paragraph" w:styleId="IntenseQuote">
    <w:name w:val="Intense Quote"/>
    <w:basedOn w:val="Normal"/>
    <w:next w:val="Normal"/>
    <w:link w:val="IntenseQuoteChar"/>
    <w:uiPriority w:val="30"/>
    <w:rsid w:val="005F5184"/>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5F5184"/>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5F5184"/>
    <w:rPr>
      <w:i/>
      <w:iCs/>
      <w:color w:val="808080" w:themeColor="text1" w:themeTint="7F"/>
    </w:rPr>
  </w:style>
  <w:style w:type="character" w:styleId="IntenseEmphasis">
    <w:name w:val="Intense Emphasis"/>
    <w:basedOn w:val="DefaultParagraphFont"/>
    <w:uiPriority w:val="21"/>
    <w:rsid w:val="005F5184"/>
    <w:rPr>
      <w:b/>
      <w:bCs/>
      <w:i/>
      <w:iCs/>
      <w:color w:val="4F81BD" w:themeColor="accent1"/>
    </w:rPr>
  </w:style>
  <w:style w:type="character" w:styleId="SubtleReference">
    <w:name w:val="Subtle Reference"/>
    <w:basedOn w:val="DefaultParagraphFont"/>
    <w:uiPriority w:val="31"/>
    <w:rsid w:val="005F5184"/>
    <w:rPr>
      <w:smallCaps/>
      <w:color w:val="C0504D" w:themeColor="accent2"/>
      <w:u w:val="single"/>
    </w:rPr>
  </w:style>
  <w:style w:type="character" w:styleId="IntenseReference">
    <w:name w:val="Intense Reference"/>
    <w:basedOn w:val="DefaultParagraphFont"/>
    <w:uiPriority w:val="32"/>
    <w:rsid w:val="005F5184"/>
    <w:rPr>
      <w:b/>
      <w:bCs/>
      <w:smallCaps/>
      <w:color w:val="C0504D" w:themeColor="accent2"/>
      <w:spacing w:val="5"/>
      <w:u w:val="single"/>
    </w:rPr>
  </w:style>
  <w:style w:type="character" w:styleId="BookTitle">
    <w:name w:val="Book Title"/>
    <w:basedOn w:val="DefaultParagraphFont"/>
    <w:uiPriority w:val="33"/>
    <w:rsid w:val="005F5184"/>
    <w:rPr>
      <w:b/>
      <w:bCs/>
      <w:smallCaps/>
      <w:spacing w:val="5"/>
    </w:rPr>
  </w:style>
  <w:style w:type="paragraph" w:styleId="Revision">
    <w:name w:val="Revision"/>
    <w:hidden/>
    <w:uiPriority w:val="99"/>
    <w:semiHidden/>
    <w:rsid w:val="005F5184"/>
    <w:rPr>
      <w:rFonts w:eastAsiaTheme="minorHAnsi" w:cstheme="minorBidi"/>
      <w:sz w:val="24"/>
      <w:szCs w:val="22"/>
      <w:lang w:val="en-US" w:eastAsia="en-US" w:bidi="en-US"/>
    </w:rPr>
  </w:style>
  <w:style w:type="paragraph" w:customStyle="1" w:styleId="mainparagraph">
    <w:name w:val="mainparagraph"/>
    <w:basedOn w:val="Normal"/>
    <w:rsid w:val="005F5184"/>
    <w:pPr>
      <w:spacing w:before="100" w:beforeAutospacing="1" w:after="100" w:afterAutospacing="1"/>
    </w:pPr>
    <w:rPr>
      <w:szCs w:val="24"/>
      <w:lang w:val="en-US" w:eastAsia="en-US"/>
    </w:rPr>
  </w:style>
  <w:style w:type="paragraph" w:styleId="BodyText">
    <w:name w:val="Body Text"/>
    <w:basedOn w:val="Normal"/>
    <w:link w:val="BodyTextChar"/>
    <w:uiPriority w:val="99"/>
    <w:semiHidden/>
    <w:unhideWhenUsed/>
    <w:rsid w:val="005F5184"/>
    <w:pPr>
      <w:spacing w:after="120"/>
    </w:pPr>
    <w:rPr>
      <w:rFonts w:eastAsiaTheme="minorHAnsi" w:cstheme="minorBidi"/>
      <w:szCs w:val="22"/>
      <w:lang w:val="en-US" w:eastAsia="en-US" w:bidi="en-US"/>
    </w:rPr>
  </w:style>
  <w:style w:type="character" w:customStyle="1" w:styleId="BodyTextChar">
    <w:name w:val="Body Text Char"/>
    <w:basedOn w:val="DefaultParagraphFont"/>
    <w:link w:val="BodyText"/>
    <w:uiPriority w:val="99"/>
    <w:semiHidden/>
    <w:rsid w:val="005F5184"/>
    <w:rPr>
      <w:rFonts w:eastAsiaTheme="minorHAnsi" w:cstheme="minorBidi"/>
      <w:sz w:val="24"/>
      <w:szCs w:val="22"/>
      <w:lang w:val="en-US" w:eastAsia="en-US" w:bidi="en-US"/>
    </w:rPr>
  </w:style>
  <w:style w:type="character" w:customStyle="1" w:styleId="ui-provider">
    <w:name w:val="ui-provider"/>
    <w:basedOn w:val="DefaultParagraphFont"/>
    <w:rsid w:val="005F5184"/>
  </w:style>
  <w:style w:type="table" w:customStyle="1" w:styleId="TableGrid2">
    <w:name w:val="Table Grid2"/>
    <w:basedOn w:val="TableNormal"/>
    <w:next w:val="TableGrid"/>
    <w:uiPriority w:val="59"/>
    <w:rsid w:val="005F518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8117">
      <w:bodyDiv w:val="1"/>
      <w:marLeft w:val="0"/>
      <w:marRight w:val="0"/>
      <w:marTop w:val="0"/>
      <w:marBottom w:val="0"/>
      <w:divBdr>
        <w:top w:val="none" w:sz="0" w:space="0" w:color="auto"/>
        <w:left w:val="none" w:sz="0" w:space="0" w:color="auto"/>
        <w:bottom w:val="none" w:sz="0" w:space="0" w:color="auto"/>
        <w:right w:val="none" w:sz="0" w:space="0" w:color="auto"/>
      </w:divBdr>
    </w:div>
    <w:div w:id="479999540">
      <w:bodyDiv w:val="1"/>
      <w:marLeft w:val="0"/>
      <w:marRight w:val="0"/>
      <w:marTop w:val="0"/>
      <w:marBottom w:val="0"/>
      <w:divBdr>
        <w:top w:val="none" w:sz="0" w:space="0" w:color="auto"/>
        <w:left w:val="none" w:sz="0" w:space="0" w:color="auto"/>
        <w:bottom w:val="none" w:sz="0" w:space="0" w:color="auto"/>
        <w:right w:val="none" w:sz="0" w:space="0" w:color="auto"/>
      </w:divBdr>
    </w:div>
    <w:div w:id="951980867">
      <w:bodyDiv w:val="1"/>
      <w:marLeft w:val="0"/>
      <w:marRight w:val="0"/>
      <w:marTop w:val="0"/>
      <w:marBottom w:val="0"/>
      <w:divBdr>
        <w:top w:val="none" w:sz="0" w:space="0" w:color="auto"/>
        <w:left w:val="none" w:sz="0" w:space="0" w:color="auto"/>
        <w:bottom w:val="none" w:sz="0" w:space="0" w:color="auto"/>
        <w:right w:val="none" w:sz="0" w:space="0" w:color="auto"/>
      </w:divBdr>
    </w:div>
    <w:div w:id="1483807900">
      <w:bodyDiv w:val="1"/>
      <w:marLeft w:val="0"/>
      <w:marRight w:val="0"/>
      <w:marTop w:val="0"/>
      <w:marBottom w:val="0"/>
      <w:divBdr>
        <w:top w:val="none" w:sz="0" w:space="0" w:color="auto"/>
        <w:left w:val="none" w:sz="0" w:space="0" w:color="auto"/>
        <w:bottom w:val="none" w:sz="0" w:space="0" w:color="auto"/>
        <w:right w:val="none" w:sz="0" w:space="0" w:color="auto"/>
      </w:divBdr>
    </w:div>
    <w:div w:id="154077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ontariocourts.ca/decisions/2022/2022ONCA0476.htm"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77259-6452-4B6D-8744-B1FFBFB9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16540</Words>
  <Characters>87483</Characters>
  <Application>Microsoft Office Word</Application>
  <DocSecurity>0</DocSecurity>
  <Lines>729</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2024-06-21T11:13:00Z</dcterms:created>
  <dcterms:modified xsi:type="dcterms:W3CDTF">2024-06-21T11:22:00Z</dcterms:modified>
</cp:coreProperties>
</file>