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156B04" w:rsidRPr="00156B04" w14:paraId="5DA1B54A" w14:textId="77777777" w:rsidTr="00DC6A98">
        <w:trPr>
          <w:trHeight w:val="2103"/>
        </w:trPr>
        <w:tc>
          <w:tcPr>
            <w:tcW w:w="5000" w:type="pct"/>
            <w:gridSpan w:val="4"/>
          </w:tcPr>
          <w:p w14:paraId="5B6024C6" w14:textId="77777777" w:rsidR="00156B04" w:rsidRPr="00156B04" w:rsidRDefault="00156B04" w:rsidP="00156B04">
            <w:pPr>
              <w:jc w:val="center"/>
              <w:rPr>
                <w:b/>
              </w:rPr>
            </w:pPr>
            <w:r w:rsidRPr="00156B04">
              <w:rPr>
                <w:b/>
                <w:noProof/>
                <w:lang w:val="fr-CA" w:eastAsia="fr-CA"/>
              </w:rPr>
              <w:drawing>
                <wp:inline distT="0" distB="0" distL="0" distR="0" wp14:anchorId="28102DFB" wp14:editId="0FC0B16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26F9487" w14:textId="77777777" w:rsidR="00156B04" w:rsidRPr="00156B04" w:rsidRDefault="00156B04" w:rsidP="00156B04">
            <w:pPr>
              <w:spacing w:before="120" w:after="100" w:afterAutospacing="1"/>
              <w:jc w:val="center"/>
            </w:pPr>
            <w:r w:rsidRPr="00156B04">
              <w:rPr>
                <w:b/>
              </w:rPr>
              <w:t>SUPREME COURT OF CANADA</w:t>
            </w:r>
          </w:p>
        </w:tc>
      </w:tr>
      <w:tr w:rsidR="00156B04" w:rsidRPr="00156B04" w14:paraId="76A74FF4" w14:textId="77777777" w:rsidTr="00DC6A98">
        <w:tblPrEx>
          <w:tblCellMar>
            <w:top w:w="58" w:type="dxa"/>
            <w:left w:w="58" w:type="dxa"/>
            <w:bottom w:w="58" w:type="dxa"/>
            <w:right w:w="58" w:type="dxa"/>
          </w:tblCellMar>
        </w:tblPrEx>
        <w:tc>
          <w:tcPr>
            <w:tcW w:w="2078" w:type="pct"/>
            <w:gridSpan w:val="2"/>
          </w:tcPr>
          <w:p w14:paraId="1FB4C535" w14:textId="77777777" w:rsidR="00156B04" w:rsidRPr="00156B04" w:rsidRDefault="00156B04" w:rsidP="00156B04">
            <w:pPr>
              <w:rPr>
                <w:b/>
                <w:smallCaps/>
              </w:rPr>
            </w:pPr>
          </w:p>
          <w:p w14:paraId="74FE3640" w14:textId="5EB8645D" w:rsidR="00156B04" w:rsidRPr="00156B04" w:rsidRDefault="00156B04" w:rsidP="00156B04">
            <w:pPr>
              <w:rPr>
                <w:b/>
                <w:smallCaps/>
              </w:rPr>
            </w:pPr>
            <w:r w:rsidRPr="00156B04">
              <w:rPr>
                <w:b/>
                <w:smallCaps/>
              </w:rPr>
              <w:t>Citation:</w:t>
            </w:r>
            <w:r w:rsidRPr="00156B04">
              <w:t xml:space="preserve"> International Air Transport Association </w:t>
            </w:r>
            <w:r w:rsidRPr="00156B04">
              <w:rPr>
                <w:i/>
              </w:rPr>
              <w:t>v.</w:t>
            </w:r>
            <w:r w:rsidR="0021549E">
              <w:t xml:space="preserve"> Canada</w:t>
            </w:r>
            <w:r w:rsidRPr="00156B04">
              <w:t xml:space="preserve"> </w:t>
            </w:r>
            <w:r w:rsidR="0021549E">
              <w:t>(</w:t>
            </w:r>
            <w:r w:rsidRPr="00156B04">
              <w:t>Transportation Agency</w:t>
            </w:r>
            <w:r w:rsidR="0021549E">
              <w:t>)</w:t>
            </w:r>
            <w:r w:rsidRPr="00156B04">
              <w:t>, 2024 SCC 30</w:t>
            </w:r>
          </w:p>
        </w:tc>
        <w:tc>
          <w:tcPr>
            <w:tcW w:w="781" w:type="pct"/>
          </w:tcPr>
          <w:p w14:paraId="577437B3" w14:textId="77777777" w:rsidR="00156B04" w:rsidRPr="00156B04" w:rsidRDefault="00156B04" w:rsidP="00156B04"/>
        </w:tc>
        <w:tc>
          <w:tcPr>
            <w:tcW w:w="2141" w:type="pct"/>
          </w:tcPr>
          <w:p w14:paraId="2089B103" w14:textId="77777777" w:rsidR="00156B04" w:rsidRPr="00156B04" w:rsidRDefault="00156B04" w:rsidP="00156B04">
            <w:pPr>
              <w:rPr>
                <w:b/>
                <w:smallCaps/>
              </w:rPr>
            </w:pPr>
          </w:p>
          <w:p w14:paraId="5D58718B" w14:textId="77777777" w:rsidR="00156B04" w:rsidRPr="00156B04" w:rsidRDefault="00156B04" w:rsidP="00156B04">
            <w:pPr>
              <w:jc w:val="both"/>
            </w:pPr>
            <w:r w:rsidRPr="00156B04">
              <w:rPr>
                <w:b/>
                <w:smallCaps/>
              </w:rPr>
              <w:t>Appeal Heard:</w:t>
            </w:r>
            <w:r w:rsidRPr="00156B04">
              <w:t xml:space="preserve"> March 25, 2024</w:t>
            </w:r>
          </w:p>
          <w:p w14:paraId="2508B6D7" w14:textId="77777777" w:rsidR="00156B04" w:rsidRPr="00156B04" w:rsidRDefault="00156B04" w:rsidP="00156B04">
            <w:r w:rsidRPr="00156B04">
              <w:rPr>
                <w:b/>
                <w:smallCaps/>
              </w:rPr>
              <w:t>Judgment Rendered:</w:t>
            </w:r>
            <w:r w:rsidRPr="00156B04">
              <w:t xml:space="preserve"> October 4, 2024</w:t>
            </w:r>
          </w:p>
          <w:p w14:paraId="5A5B2BAC" w14:textId="77777777" w:rsidR="00156B04" w:rsidRPr="00156B04" w:rsidRDefault="00156B04" w:rsidP="00156B04">
            <w:r w:rsidRPr="00156B04">
              <w:rPr>
                <w:b/>
                <w:smallCaps/>
              </w:rPr>
              <w:t>Docket:</w:t>
            </w:r>
            <w:r w:rsidRPr="00156B04">
              <w:t xml:space="preserve"> 40614</w:t>
            </w:r>
          </w:p>
        </w:tc>
      </w:tr>
      <w:tr w:rsidR="00156B04" w:rsidRPr="00156B04" w14:paraId="636702CD" w14:textId="77777777" w:rsidTr="00DC6A98">
        <w:tblPrEx>
          <w:tblCellMar>
            <w:top w:w="58" w:type="dxa"/>
            <w:left w:w="58" w:type="dxa"/>
            <w:bottom w:w="58" w:type="dxa"/>
            <w:right w:w="58" w:type="dxa"/>
          </w:tblCellMar>
        </w:tblPrEx>
        <w:tc>
          <w:tcPr>
            <w:tcW w:w="5000" w:type="pct"/>
            <w:gridSpan w:val="4"/>
          </w:tcPr>
          <w:p w14:paraId="0BB3481E" w14:textId="77777777" w:rsidR="00156B04" w:rsidRPr="00156B04" w:rsidRDefault="00156B04" w:rsidP="00156B04"/>
          <w:p w14:paraId="77E25FC4" w14:textId="77777777" w:rsidR="00156B04" w:rsidRPr="00156B04" w:rsidRDefault="00156B04" w:rsidP="00156B04">
            <w:pPr>
              <w:rPr>
                <w:b/>
                <w:smallCaps/>
              </w:rPr>
            </w:pPr>
            <w:r w:rsidRPr="00156B04">
              <w:rPr>
                <w:b/>
                <w:smallCaps/>
              </w:rPr>
              <w:t>Between:</w:t>
            </w:r>
          </w:p>
          <w:p w14:paraId="4280DD3C" w14:textId="77777777" w:rsidR="00156B04" w:rsidRPr="00156B04" w:rsidRDefault="00156B04" w:rsidP="00156B04"/>
          <w:p w14:paraId="64B42A86" w14:textId="77777777" w:rsidR="00156B04" w:rsidRPr="00156B04" w:rsidRDefault="00156B04" w:rsidP="00156B04">
            <w:pPr>
              <w:jc w:val="center"/>
              <w:rPr>
                <w:b/>
              </w:rPr>
            </w:pPr>
            <w:r w:rsidRPr="00156B04">
              <w:rPr>
                <w:b/>
              </w:rPr>
              <w:t xml:space="preserve">International Air Transport Association, Air Transportation Association of America doing business as Airlines for America, Deutsche Lufthansa AG, Air France, British Airways PLC, Air China Limited, All Nippon Airways Co., Ltd., Cathay Pacific Airways Limited, Swiss International Airlines Ltd., Qatar Airways Group </w:t>
            </w:r>
            <w:proofErr w:type="spellStart"/>
            <w:r w:rsidRPr="00156B04">
              <w:rPr>
                <w:b/>
              </w:rPr>
              <w:t>Q.C.S.C</w:t>
            </w:r>
            <w:proofErr w:type="spellEnd"/>
            <w:r w:rsidRPr="00156B04">
              <w:rPr>
                <w:b/>
              </w:rPr>
              <w:t xml:space="preserve">., Air Canada, Porter Airlines Inc., American Airlines Inc., United Airlines Inc., Delta Air Lines Inc., Alaska Airlines Inc., Hawaiian Airlines, Inc. and </w:t>
            </w:r>
            <w:proofErr w:type="spellStart"/>
            <w:r w:rsidRPr="00156B04">
              <w:rPr>
                <w:b/>
              </w:rPr>
              <w:t>Jetblue</w:t>
            </w:r>
            <w:proofErr w:type="spellEnd"/>
            <w:r w:rsidRPr="00156B04">
              <w:rPr>
                <w:b/>
              </w:rPr>
              <w:t xml:space="preserve"> Airways Corporation</w:t>
            </w:r>
          </w:p>
          <w:p w14:paraId="6ED04DD0" w14:textId="77777777" w:rsidR="00156B04" w:rsidRPr="00156B04" w:rsidRDefault="00156B04" w:rsidP="00156B04">
            <w:pPr>
              <w:jc w:val="center"/>
            </w:pPr>
            <w:r w:rsidRPr="00156B04">
              <w:t>Appellants</w:t>
            </w:r>
          </w:p>
          <w:p w14:paraId="48461D6C" w14:textId="77777777" w:rsidR="00156B04" w:rsidRPr="00156B04" w:rsidRDefault="00156B04" w:rsidP="00156B04"/>
          <w:p w14:paraId="44E391A0" w14:textId="77777777" w:rsidR="00156B04" w:rsidRPr="00156B04" w:rsidRDefault="00156B04" w:rsidP="00156B04">
            <w:pPr>
              <w:jc w:val="center"/>
            </w:pPr>
            <w:r w:rsidRPr="00156B04">
              <w:t>and</w:t>
            </w:r>
          </w:p>
          <w:p w14:paraId="69567559" w14:textId="77777777" w:rsidR="00156B04" w:rsidRPr="00156B04" w:rsidRDefault="00156B04" w:rsidP="00156B04"/>
          <w:p w14:paraId="34E0C973" w14:textId="77777777" w:rsidR="00156B04" w:rsidRPr="00156B04" w:rsidRDefault="00156B04" w:rsidP="00156B04">
            <w:pPr>
              <w:jc w:val="center"/>
              <w:rPr>
                <w:b/>
              </w:rPr>
            </w:pPr>
            <w:r w:rsidRPr="00156B04">
              <w:rPr>
                <w:b/>
              </w:rPr>
              <w:t>Canadian Transportation Agency and Attorney General of Canada</w:t>
            </w:r>
          </w:p>
          <w:p w14:paraId="2E9D0CC2" w14:textId="77777777" w:rsidR="00156B04" w:rsidRPr="00156B04" w:rsidRDefault="00156B04" w:rsidP="00156B04">
            <w:pPr>
              <w:jc w:val="center"/>
            </w:pPr>
            <w:r w:rsidRPr="00156B04">
              <w:t>Respondents</w:t>
            </w:r>
          </w:p>
          <w:p w14:paraId="59FF28FF" w14:textId="77777777" w:rsidR="00156B04" w:rsidRPr="00156B04" w:rsidRDefault="00156B04" w:rsidP="00156B04"/>
          <w:p w14:paraId="2CD49328" w14:textId="77777777" w:rsidR="00156B04" w:rsidRPr="00156B04" w:rsidRDefault="00156B04" w:rsidP="00156B04">
            <w:pPr>
              <w:jc w:val="center"/>
            </w:pPr>
            <w:r w:rsidRPr="00156B04">
              <w:t>- and -</w:t>
            </w:r>
          </w:p>
          <w:p w14:paraId="721E3B2C" w14:textId="77777777" w:rsidR="00156B04" w:rsidRPr="00156B04" w:rsidRDefault="00156B04" w:rsidP="00156B04"/>
          <w:p w14:paraId="0CD0F86E" w14:textId="77777777" w:rsidR="00156B04" w:rsidRPr="00156B04" w:rsidRDefault="00156B04" w:rsidP="00156B04">
            <w:pPr>
              <w:jc w:val="center"/>
              <w:rPr>
                <w:b/>
              </w:rPr>
            </w:pPr>
            <w:proofErr w:type="spellStart"/>
            <w:r w:rsidRPr="00156B04">
              <w:rPr>
                <w:b/>
              </w:rPr>
              <w:t>Gábor</w:t>
            </w:r>
            <w:proofErr w:type="spellEnd"/>
            <w:r w:rsidRPr="00156B04">
              <w:rPr>
                <w:b/>
              </w:rPr>
              <w:t xml:space="preserve"> </w:t>
            </w:r>
            <w:proofErr w:type="spellStart"/>
            <w:r w:rsidRPr="00156B04">
              <w:rPr>
                <w:b/>
              </w:rPr>
              <w:t>Lukács</w:t>
            </w:r>
            <w:proofErr w:type="spellEnd"/>
            <w:r w:rsidRPr="00156B04">
              <w:rPr>
                <w:b/>
              </w:rPr>
              <w:t xml:space="preserve">, Council of Canadians with Disabilities, National Pensioners Federation, Public Interest Advocacy Centre and </w:t>
            </w:r>
            <w:proofErr w:type="spellStart"/>
            <w:r w:rsidRPr="00156B04">
              <w:rPr>
                <w:b/>
              </w:rPr>
              <w:t>Société</w:t>
            </w:r>
            <w:proofErr w:type="spellEnd"/>
            <w:r w:rsidRPr="00156B04">
              <w:rPr>
                <w:b/>
              </w:rPr>
              <w:t xml:space="preserve"> </w:t>
            </w:r>
            <w:proofErr w:type="spellStart"/>
            <w:r w:rsidRPr="00156B04">
              <w:rPr>
                <w:b/>
              </w:rPr>
              <w:t>québécoise</w:t>
            </w:r>
            <w:proofErr w:type="spellEnd"/>
            <w:r w:rsidRPr="00156B04">
              <w:rPr>
                <w:b/>
              </w:rPr>
              <w:t xml:space="preserve"> de droit international</w:t>
            </w:r>
          </w:p>
          <w:p w14:paraId="47D747BC" w14:textId="77777777" w:rsidR="00156B04" w:rsidRPr="00156B04" w:rsidRDefault="00156B04" w:rsidP="00156B04">
            <w:pPr>
              <w:jc w:val="center"/>
            </w:pPr>
            <w:r w:rsidRPr="00156B04">
              <w:t>Interveners</w:t>
            </w:r>
          </w:p>
          <w:p w14:paraId="28E7E4D8" w14:textId="77777777" w:rsidR="00156B04" w:rsidRPr="00156B04" w:rsidRDefault="00156B04" w:rsidP="00156B04"/>
          <w:p w14:paraId="6342FB5F" w14:textId="77777777" w:rsidR="00156B04" w:rsidRPr="00156B04" w:rsidRDefault="00156B04" w:rsidP="00156B04">
            <w:pPr>
              <w:jc w:val="center"/>
              <w:rPr>
                <w:b/>
                <w:smallCaps/>
              </w:rPr>
            </w:pPr>
          </w:p>
          <w:p w14:paraId="1BB2619A" w14:textId="77777777" w:rsidR="00156B04" w:rsidRPr="00156B04" w:rsidRDefault="00156B04" w:rsidP="00156B04"/>
          <w:p w14:paraId="25570E9D" w14:textId="77777777" w:rsidR="00156B04" w:rsidRPr="00156B04" w:rsidRDefault="00156B04" w:rsidP="00156B04">
            <w:r w:rsidRPr="00156B04">
              <w:rPr>
                <w:b/>
                <w:smallCaps/>
              </w:rPr>
              <w:t>Coram:</w:t>
            </w:r>
            <w:r w:rsidRPr="00156B04">
              <w:t xml:space="preserve"> Wagner </w:t>
            </w:r>
            <w:proofErr w:type="spellStart"/>
            <w:r w:rsidRPr="00156B04">
              <w:t>C.J</w:t>
            </w:r>
            <w:proofErr w:type="spellEnd"/>
            <w:r w:rsidRPr="00156B04">
              <w:t xml:space="preserve">. and </w:t>
            </w:r>
            <w:proofErr w:type="spellStart"/>
            <w:r w:rsidRPr="00156B04">
              <w:t>Karakatsanis</w:t>
            </w:r>
            <w:proofErr w:type="spellEnd"/>
            <w:r w:rsidRPr="00156B04">
              <w:t xml:space="preserve">, Côté, Rowe, Martin, </w:t>
            </w:r>
            <w:proofErr w:type="spellStart"/>
            <w:r w:rsidRPr="00156B04">
              <w:t>Kasirer</w:t>
            </w:r>
            <w:proofErr w:type="spellEnd"/>
            <w:r w:rsidRPr="00156B04">
              <w:t xml:space="preserve">, Jamal, </w:t>
            </w:r>
            <w:proofErr w:type="spellStart"/>
            <w:r w:rsidRPr="00156B04">
              <w:t>O’Bonsawin</w:t>
            </w:r>
            <w:proofErr w:type="spellEnd"/>
            <w:r w:rsidRPr="00156B04">
              <w:t xml:space="preserve"> and Moreau </w:t>
            </w:r>
            <w:proofErr w:type="spellStart"/>
            <w:r w:rsidRPr="00156B04">
              <w:t>JJ</w:t>
            </w:r>
            <w:proofErr w:type="spellEnd"/>
            <w:r w:rsidRPr="00156B04">
              <w:t>.</w:t>
            </w:r>
          </w:p>
          <w:p w14:paraId="17D86352" w14:textId="77777777" w:rsidR="00156B04" w:rsidRPr="00156B04" w:rsidRDefault="00156B04" w:rsidP="00156B04">
            <w:pPr>
              <w:rPr>
                <w:b/>
                <w:smallCaps/>
              </w:rPr>
            </w:pPr>
          </w:p>
        </w:tc>
      </w:tr>
      <w:tr w:rsidR="00156B04" w:rsidRPr="00156B04" w14:paraId="440C62CB" w14:textId="77777777" w:rsidTr="00DC6A98">
        <w:tblPrEx>
          <w:tblCellMar>
            <w:top w:w="58" w:type="dxa"/>
            <w:left w:w="58" w:type="dxa"/>
            <w:bottom w:w="58" w:type="dxa"/>
            <w:right w:w="58" w:type="dxa"/>
          </w:tblCellMar>
        </w:tblPrEx>
        <w:tc>
          <w:tcPr>
            <w:tcW w:w="1231" w:type="pct"/>
          </w:tcPr>
          <w:p w14:paraId="01E34D4A" w14:textId="77777777" w:rsidR="00156B04" w:rsidRPr="00156B04" w:rsidRDefault="00156B04" w:rsidP="00156B04">
            <w:pPr>
              <w:rPr>
                <w:smallCaps/>
              </w:rPr>
            </w:pPr>
            <w:r w:rsidRPr="00156B04">
              <w:rPr>
                <w:b/>
                <w:smallCaps/>
              </w:rPr>
              <w:lastRenderedPageBreak/>
              <w:t>Reasons for Judgment:</w:t>
            </w:r>
            <w:r w:rsidRPr="00156B04">
              <w:rPr>
                <w:smallCaps/>
              </w:rPr>
              <w:t xml:space="preserve"> </w:t>
            </w:r>
          </w:p>
          <w:p w14:paraId="0818C90F" w14:textId="77777777" w:rsidR="00156B04" w:rsidRPr="00156B04" w:rsidRDefault="00156B04" w:rsidP="00156B04">
            <w:r w:rsidRPr="00156B04">
              <w:t>(paras. 1 to 104)</w:t>
            </w:r>
          </w:p>
        </w:tc>
        <w:tc>
          <w:tcPr>
            <w:tcW w:w="3769" w:type="pct"/>
            <w:gridSpan w:val="3"/>
          </w:tcPr>
          <w:p w14:paraId="39E5E845" w14:textId="77777777" w:rsidR="00156B04" w:rsidRPr="00156B04" w:rsidRDefault="00156B04" w:rsidP="00156B04">
            <w:r w:rsidRPr="00156B04">
              <w:t xml:space="preserve">Rowe J. (Wagner </w:t>
            </w:r>
            <w:proofErr w:type="spellStart"/>
            <w:r w:rsidRPr="00156B04">
              <w:t>C.J</w:t>
            </w:r>
            <w:proofErr w:type="spellEnd"/>
            <w:r w:rsidRPr="00156B04">
              <w:t xml:space="preserve">. and </w:t>
            </w:r>
            <w:proofErr w:type="spellStart"/>
            <w:r w:rsidRPr="00156B04">
              <w:t>Karakatsanis</w:t>
            </w:r>
            <w:proofErr w:type="spellEnd"/>
            <w:r w:rsidRPr="00156B04">
              <w:t xml:space="preserve">, Côté, Martin, </w:t>
            </w:r>
            <w:proofErr w:type="spellStart"/>
            <w:r w:rsidRPr="00156B04">
              <w:t>Kasirer</w:t>
            </w:r>
            <w:proofErr w:type="spellEnd"/>
            <w:r w:rsidRPr="00156B04">
              <w:t xml:space="preserve">, Jamal, </w:t>
            </w:r>
            <w:proofErr w:type="spellStart"/>
            <w:r w:rsidRPr="00156B04">
              <w:t>O’Bonsawin</w:t>
            </w:r>
            <w:proofErr w:type="spellEnd"/>
            <w:r w:rsidRPr="00156B04">
              <w:t xml:space="preserve"> and Moreau </w:t>
            </w:r>
            <w:proofErr w:type="spellStart"/>
            <w:r w:rsidRPr="00156B04">
              <w:t>JJ</w:t>
            </w:r>
            <w:proofErr w:type="spellEnd"/>
            <w:r w:rsidRPr="00156B04">
              <w:t>. concurring)</w:t>
            </w:r>
          </w:p>
        </w:tc>
      </w:tr>
    </w:tbl>
    <w:p w14:paraId="2A36D818" w14:textId="77777777" w:rsidR="00156B04" w:rsidRPr="00156B04" w:rsidRDefault="00156B04" w:rsidP="00156B04">
      <w:pPr>
        <w:rPr>
          <w:rFonts w:eastAsiaTheme="minorHAnsi" w:cstheme="minorBidi"/>
          <w:szCs w:val="24"/>
          <w:lang w:eastAsia="en-US"/>
        </w:rPr>
      </w:pPr>
    </w:p>
    <w:p w14:paraId="150CDC19" w14:textId="77777777" w:rsidR="00156B04" w:rsidRPr="00156B04" w:rsidRDefault="00156B04" w:rsidP="00156B04">
      <w:pPr>
        <w:rPr>
          <w:rFonts w:eastAsiaTheme="minorHAnsi" w:cstheme="minorBidi"/>
          <w:szCs w:val="24"/>
          <w:lang w:eastAsia="en-US"/>
        </w:rPr>
      </w:pPr>
    </w:p>
    <w:p w14:paraId="29647A95" w14:textId="77777777" w:rsidR="00156B04" w:rsidRPr="00156B04" w:rsidRDefault="00156B04" w:rsidP="00156B04">
      <w:pPr>
        <w:rPr>
          <w:rFonts w:eastAsiaTheme="minorHAnsi" w:cstheme="minorBidi"/>
          <w:szCs w:val="24"/>
          <w:lang w:eastAsia="en-US"/>
        </w:rPr>
      </w:pPr>
      <w:r w:rsidRPr="00156B04">
        <w:rPr>
          <w:rFonts w:eastAsiaTheme="minorHAnsi" w:cstheme="minorBidi"/>
          <w:b/>
          <w:smallCaps/>
          <w:szCs w:val="24"/>
          <w:lang w:eastAsia="en-US"/>
        </w:rPr>
        <w:t>Note:</w:t>
      </w:r>
      <w:r w:rsidRPr="00156B04">
        <w:rPr>
          <w:rFonts w:eastAsiaTheme="minorHAnsi" w:cstheme="minorBidi"/>
          <w:b/>
          <w:szCs w:val="24"/>
          <w:lang w:eastAsia="en-US"/>
        </w:rPr>
        <w:t xml:space="preserve"> </w:t>
      </w:r>
      <w:r w:rsidRPr="00156B04">
        <w:rPr>
          <w:rFonts w:eastAsiaTheme="minorHAnsi" w:cstheme="minorBidi"/>
          <w:szCs w:val="24"/>
          <w:lang w:eastAsia="en-US"/>
        </w:rPr>
        <w:t xml:space="preserve">This document is subject to editorial revision before its reproduction in final form in the </w:t>
      </w:r>
      <w:r w:rsidRPr="00156B04">
        <w:rPr>
          <w:rFonts w:eastAsiaTheme="minorHAnsi" w:cstheme="minorBidi"/>
          <w:i/>
          <w:szCs w:val="24"/>
          <w:lang w:eastAsia="en-US"/>
        </w:rPr>
        <w:t>Canada Supreme Court Reports</w:t>
      </w:r>
      <w:r w:rsidRPr="00156B0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56B04" w:rsidRPr="00156B04" w14:paraId="7DABAE72" w14:textId="77777777" w:rsidTr="009466AD">
        <w:tc>
          <w:tcPr>
            <w:tcW w:w="1500" w:type="pct"/>
            <w:tcMar>
              <w:top w:w="284" w:type="dxa"/>
            </w:tcMar>
          </w:tcPr>
          <w:p w14:paraId="0EBF7542" w14:textId="77777777" w:rsidR="00156B04" w:rsidRPr="00156B04" w:rsidRDefault="00156B04" w:rsidP="00156B04"/>
        </w:tc>
        <w:tc>
          <w:tcPr>
            <w:tcW w:w="2000" w:type="pct"/>
            <w:tcBorders>
              <w:bottom w:val="single" w:sz="4" w:space="0" w:color="auto"/>
            </w:tcBorders>
            <w:tcMar>
              <w:top w:w="284" w:type="dxa"/>
            </w:tcMar>
          </w:tcPr>
          <w:p w14:paraId="62021142" w14:textId="77777777" w:rsidR="00156B04" w:rsidRPr="00156B04" w:rsidRDefault="00156B04" w:rsidP="00156B04"/>
        </w:tc>
        <w:tc>
          <w:tcPr>
            <w:tcW w:w="1500" w:type="pct"/>
            <w:tcMar>
              <w:top w:w="284" w:type="dxa"/>
            </w:tcMar>
          </w:tcPr>
          <w:p w14:paraId="045CF83B" w14:textId="77777777" w:rsidR="00156B04" w:rsidRPr="00156B04" w:rsidRDefault="00156B04" w:rsidP="00156B04"/>
        </w:tc>
      </w:tr>
    </w:tbl>
    <w:p w14:paraId="3E504267" w14:textId="77777777" w:rsidR="00156B04" w:rsidRPr="00156B04" w:rsidRDefault="00156B04" w:rsidP="00156B04">
      <w:pPr>
        <w:rPr>
          <w:rFonts w:eastAsiaTheme="minorHAnsi" w:cstheme="minorBidi"/>
          <w:szCs w:val="24"/>
          <w:lang w:eastAsia="en-US"/>
        </w:rPr>
      </w:pPr>
    </w:p>
    <w:p w14:paraId="79B39A20" w14:textId="77777777" w:rsidR="00156B04" w:rsidRPr="00156B04" w:rsidRDefault="00156B04">
      <w:pPr>
        <w:rPr>
          <w:b/>
        </w:rPr>
      </w:pPr>
      <w:r w:rsidRPr="00156B04">
        <w:br w:type="page"/>
      </w:r>
    </w:p>
    <w:p w14:paraId="10DAD351" w14:textId="0037DA05" w:rsidR="00B96D6E" w:rsidRPr="00156B04" w:rsidRDefault="000A221A">
      <w:pPr>
        <w:pStyle w:val="SCCLsocParty"/>
      </w:pPr>
      <w:r w:rsidRPr="00156B04">
        <w:t>International Air Transport Association,</w:t>
      </w:r>
    </w:p>
    <w:p w14:paraId="10D43AB7" w14:textId="77777777" w:rsidR="004F2064" w:rsidRDefault="000A221A">
      <w:pPr>
        <w:pStyle w:val="SCCLsocParty"/>
      </w:pPr>
      <w:r w:rsidRPr="00156B04">
        <w:t>Air Transp</w:t>
      </w:r>
      <w:r w:rsidR="00DB55D3" w:rsidRPr="00156B04">
        <w:t>ortation Association of America</w:t>
      </w:r>
      <w:r w:rsidRPr="00156B04">
        <w:t xml:space="preserve"> </w:t>
      </w:r>
      <w:r w:rsidR="00DB55D3" w:rsidRPr="00156B04">
        <w:t xml:space="preserve">doing </w:t>
      </w:r>
    </w:p>
    <w:p w14:paraId="35E978BB" w14:textId="38DD36E7" w:rsidR="00047E0F" w:rsidRPr="00156B04" w:rsidRDefault="00DB55D3">
      <w:pPr>
        <w:pStyle w:val="SCCLsocParty"/>
      </w:pPr>
      <w:proofErr w:type="gramStart"/>
      <w:r w:rsidRPr="00156B04">
        <w:t>business</w:t>
      </w:r>
      <w:proofErr w:type="gramEnd"/>
      <w:r w:rsidRPr="00156B04">
        <w:t xml:space="preserve"> as</w:t>
      </w:r>
      <w:r w:rsidR="000A221A" w:rsidRPr="00156B04">
        <w:t xml:space="preserve"> Airlines for America, </w:t>
      </w:r>
    </w:p>
    <w:p w14:paraId="58C98183" w14:textId="61EDDC2D" w:rsidR="00047E0F" w:rsidRPr="00156B04" w:rsidRDefault="006340AE">
      <w:pPr>
        <w:pStyle w:val="SCCLsocParty"/>
      </w:pPr>
      <w:r w:rsidRPr="00156B04">
        <w:t>Deutsche Lufthansa AG</w:t>
      </w:r>
      <w:r w:rsidR="000A221A" w:rsidRPr="00156B04">
        <w:t>, A</w:t>
      </w:r>
      <w:r w:rsidR="005A5928" w:rsidRPr="00156B04">
        <w:t>ir France, British Airways PLC,</w:t>
      </w:r>
    </w:p>
    <w:p w14:paraId="457A67CA" w14:textId="1F6FE28F" w:rsidR="00047E0F" w:rsidRPr="00156B04" w:rsidRDefault="000A221A">
      <w:pPr>
        <w:pStyle w:val="SCCLsocParty"/>
      </w:pPr>
      <w:r w:rsidRPr="00156B04">
        <w:t>Air China Limite</w:t>
      </w:r>
      <w:r w:rsidR="008553F3" w:rsidRPr="00156B04">
        <w:t>d, All Nippon Airways Co., Ltd.,</w:t>
      </w:r>
    </w:p>
    <w:p w14:paraId="03EC8B20" w14:textId="3B319A28" w:rsidR="00047E0F" w:rsidRPr="00156B04" w:rsidRDefault="000A221A" w:rsidP="00047E0F">
      <w:pPr>
        <w:pStyle w:val="SCCLsocParty"/>
      </w:pPr>
      <w:r w:rsidRPr="00156B04">
        <w:t>Cathay Pacific Airways Limited,</w:t>
      </w:r>
      <w:r w:rsidR="00047E0F" w:rsidRPr="00156B04">
        <w:t xml:space="preserve"> </w:t>
      </w:r>
      <w:r w:rsidRPr="00156B04">
        <w:t xml:space="preserve">Swiss </w:t>
      </w:r>
      <w:r w:rsidR="005A5928" w:rsidRPr="00156B04">
        <w:t>International Airlines Ltd.,</w:t>
      </w:r>
    </w:p>
    <w:p w14:paraId="24A1FCD4" w14:textId="536C9719" w:rsidR="00047E0F" w:rsidRPr="00156B04" w:rsidRDefault="000A221A" w:rsidP="00047E0F">
      <w:pPr>
        <w:pStyle w:val="SCCLsocParty"/>
      </w:pPr>
      <w:r w:rsidRPr="00156B04">
        <w:t xml:space="preserve">Qatar Airways Group </w:t>
      </w:r>
      <w:proofErr w:type="spellStart"/>
      <w:r w:rsidRPr="00156B04">
        <w:t>Q.C.S.C</w:t>
      </w:r>
      <w:proofErr w:type="spellEnd"/>
      <w:r w:rsidRPr="00156B04">
        <w:t>., Ai</w:t>
      </w:r>
      <w:r w:rsidR="005A5928" w:rsidRPr="00156B04">
        <w:t>r Canada, Porter Airlines Inc.,</w:t>
      </w:r>
    </w:p>
    <w:p w14:paraId="756D1F50" w14:textId="60130122" w:rsidR="00047E0F" w:rsidRPr="00156B04" w:rsidRDefault="000A221A" w:rsidP="00047E0F">
      <w:pPr>
        <w:pStyle w:val="SCCLsocParty"/>
      </w:pPr>
      <w:r w:rsidRPr="00156B04">
        <w:t>American Airlines Inc., United Airli</w:t>
      </w:r>
      <w:r w:rsidR="005A5928" w:rsidRPr="00156B04">
        <w:t>nes Inc., Delta Air Lines Inc.,</w:t>
      </w:r>
    </w:p>
    <w:p w14:paraId="76573925" w14:textId="77777777" w:rsidR="00047E0F" w:rsidRPr="00156B04" w:rsidRDefault="000A221A" w:rsidP="00047E0F">
      <w:pPr>
        <w:pStyle w:val="SCCLsocParty"/>
      </w:pPr>
      <w:r w:rsidRPr="00156B04">
        <w:t xml:space="preserve">Alaska Airlines Inc., Hawaiian Airlines, Inc. and </w:t>
      </w:r>
    </w:p>
    <w:p w14:paraId="0B382EAA" w14:textId="77777777" w:rsidR="00B96D6E" w:rsidRPr="00156B04" w:rsidRDefault="000A221A" w:rsidP="00146D45">
      <w:pPr>
        <w:pStyle w:val="SCCLsocParty"/>
        <w:spacing w:after="720"/>
      </w:pPr>
      <w:proofErr w:type="spellStart"/>
      <w:r w:rsidRPr="00156B04">
        <w:t>Jetblue</w:t>
      </w:r>
      <w:proofErr w:type="spellEnd"/>
      <w:r w:rsidRPr="00156B04">
        <w:t xml:space="preserve"> Airways Corporation</w:t>
      </w:r>
      <w:r w:rsidRPr="00156B04">
        <w:rPr>
          <w:rStyle w:val="SCCLsocPartyRole"/>
        </w:rPr>
        <w:tab/>
        <w:t>Appellants</w:t>
      </w:r>
    </w:p>
    <w:p w14:paraId="0562EABB" w14:textId="77777777" w:rsidR="00B96D6E" w:rsidRPr="00156B04" w:rsidRDefault="000A221A" w:rsidP="00146D45">
      <w:pPr>
        <w:pStyle w:val="SCCLsocVersus"/>
      </w:pPr>
      <w:proofErr w:type="gramStart"/>
      <w:r w:rsidRPr="00156B04">
        <w:t>v</w:t>
      </w:r>
      <w:proofErr w:type="gramEnd"/>
      <w:r w:rsidRPr="00156B04">
        <w:t>.</w:t>
      </w:r>
    </w:p>
    <w:p w14:paraId="3ED3B989" w14:textId="77777777" w:rsidR="00B96D6E" w:rsidRPr="00156B04" w:rsidRDefault="00047E0F">
      <w:pPr>
        <w:pStyle w:val="SCCLsocParty"/>
      </w:pPr>
      <w:r w:rsidRPr="00156B04">
        <w:t>Canadian Transportation Agency and</w:t>
      </w:r>
    </w:p>
    <w:p w14:paraId="5B81A00C" w14:textId="77777777" w:rsidR="00B96D6E" w:rsidRPr="00156B04" w:rsidRDefault="000A221A" w:rsidP="00146D45">
      <w:pPr>
        <w:pStyle w:val="SCCLsocLastPartyInRole"/>
      </w:pPr>
      <w:r w:rsidRPr="00156B04">
        <w:t>Attorney General of Canada</w:t>
      </w:r>
      <w:r w:rsidRPr="00156B04">
        <w:rPr>
          <w:rStyle w:val="SCCLsocPartyRole"/>
        </w:rPr>
        <w:tab/>
        <w:t>Respondents</w:t>
      </w:r>
    </w:p>
    <w:p w14:paraId="16E5E00D" w14:textId="77777777" w:rsidR="00B96D6E" w:rsidRPr="00156B04" w:rsidRDefault="000A221A" w:rsidP="00146D45">
      <w:pPr>
        <w:pStyle w:val="SCCLsocOtherPartySeparator"/>
      </w:pPr>
      <w:proofErr w:type="gramStart"/>
      <w:r w:rsidRPr="00156B04">
        <w:t>and</w:t>
      </w:r>
      <w:proofErr w:type="gramEnd"/>
    </w:p>
    <w:p w14:paraId="0BD11796" w14:textId="1F494C3C" w:rsidR="00047E0F" w:rsidRPr="00156B04" w:rsidRDefault="000A221A">
      <w:pPr>
        <w:pStyle w:val="SCCLsocParty"/>
      </w:pPr>
      <w:proofErr w:type="spellStart"/>
      <w:r w:rsidRPr="00156B04">
        <w:t>Gábor</w:t>
      </w:r>
      <w:proofErr w:type="spellEnd"/>
      <w:r w:rsidRPr="00156B04">
        <w:t xml:space="preserve"> </w:t>
      </w:r>
      <w:proofErr w:type="spellStart"/>
      <w:r w:rsidRPr="00156B04">
        <w:t>Lukács</w:t>
      </w:r>
      <w:proofErr w:type="spellEnd"/>
      <w:r w:rsidRPr="00156B04">
        <w:t>,</w:t>
      </w:r>
      <w:r w:rsidR="00047E0F" w:rsidRPr="00156B04">
        <w:t xml:space="preserve"> </w:t>
      </w:r>
      <w:r w:rsidRPr="00156B04">
        <w:t xml:space="preserve">Council </w:t>
      </w:r>
      <w:r w:rsidR="001A1826" w:rsidRPr="00156B04">
        <w:t>of Canadians with Disabilities,</w:t>
      </w:r>
    </w:p>
    <w:p w14:paraId="6F828631" w14:textId="615A1049" w:rsidR="00B96D6E" w:rsidRPr="00156B04" w:rsidRDefault="000A221A">
      <w:pPr>
        <w:pStyle w:val="SCCLsocParty"/>
      </w:pPr>
      <w:r w:rsidRPr="00156B04">
        <w:t>Na</w:t>
      </w:r>
      <w:r w:rsidR="00361214" w:rsidRPr="00156B04">
        <w:t>tional Pensioners Federation,</w:t>
      </w:r>
      <w:r w:rsidRPr="00156B04">
        <w:t xml:space="preserve"> Public Interest Advocacy Centre</w:t>
      </w:r>
    </w:p>
    <w:p w14:paraId="7D63088C" w14:textId="77777777" w:rsidR="00B96D6E" w:rsidRPr="00156B04" w:rsidRDefault="00607956" w:rsidP="00146D45">
      <w:pPr>
        <w:pStyle w:val="SCCLsocLastPartyInRole"/>
        <w:rPr>
          <w:lang w:val="fr-CA"/>
        </w:rPr>
      </w:pPr>
      <w:proofErr w:type="gramStart"/>
      <w:r w:rsidRPr="00156B04">
        <w:rPr>
          <w:lang w:val="fr-CA"/>
        </w:rPr>
        <w:t>and</w:t>
      </w:r>
      <w:proofErr w:type="gramEnd"/>
      <w:r w:rsidRPr="00156B04">
        <w:rPr>
          <w:lang w:val="fr-CA"/>
        </w:rPr>
        <w:t xml:space="preserve"> </w:t>
      </w:r>
      <w:r w:rsidR="000A221A" w:rsidRPr="00156B04">
        <w:rPr>
          <w:lang w:val="fr-CA"/>
        </w:rPr>
        <w:t>Société québécoise de droit international</w:t>
      </w:r>
      <w:r w:rsidR="000A221A" w:rsidRPr="00156B04">
        <w:rPr>
          <w:rStyle w:val="SCCLsocPartyRole"/>
          <w:lang w:val="fr-CA"/>
        </w:rPr>
        <w:tab/>
      </w:r>
      <w:proofErr w:type="spellStart"/>
      <w:r w:rsidR="000A221A" w:rsidRPr="00156B04">
        <w:rPr>
          <w:rStyle w:val="SCCLsocPartyRole"/>
          <w:lang w:val="fr-CA"/>
        </w:rPr>
        <w:t>Interveners</w:t>
      </w:r>
      <w:proofErr w:type="spellEnd"/>
    </w:p>
    <w:p w14:paraId="0125F128" w14:textId="23E4CB06" w:rsidR="00426659" w:rsidRPr="00156B04" w:rsidRDefault="00426659" w:rsidP="00146D45">
      <w:pPr>
        <w:spacing w:after="720"/>
        <w:jc w:val="both"/>
        <w:rPr>
          <w:b/>
        </w:rPr>
      </w:pPr>
      <w:r w:rsidRPr="00156B04">
        <w:rPr>
          <w:b/>
        </w:rPr>
        <w:t xml:space="preserve">Indexed as: </w:t>
      </w:r>
      <w:r w:rsidR="00047E0F" w:rsidRPr="00156B04">
        <w:rPr>
          <w:b/>
        </w:rPr>
        <w:t>International Air Transport Association</w:t>
      </w:r>
      <w:r w:rsidRPr="00156B04">
        <w:rPr>
          <w:b/>
        </w:rPr>
        <w:t xml:space="preserve"> </w:t>
      </w:r>
      <w:r w:rsidRPr="00156B04">
        <w:rPr>
          <w:b/>
          <w:i/>
        </w:rPr>
        <w:t>v.</w:t>
      </w:r>
      <w:r w:rsidRPr="00156B04">
        <w:rPr>
          <w:b/>
        </w:rPr>
        <w:t xml:space="preserve"> </w:t>
      </w:r>
      <w:r w:rsidR="0021549E">
        <w:rPr>
          <w:b/>
        </w:rPr>
        <w:t>Canada</w:t>
      </w:r>
      <w:r w:rsidR="00047E0F" w:rsidRPr="00156B04">
        <w:rPr>
          <w:b/>
        </w:rPr>
        <w:t xml:space="preserve"> </w:t>
      </w:r>
      <w:r w:rsidR="0021549E">
        <w:rPr>
          <w:b/>
        </w:rPr>
        <w:t>(</w:t>
      </w:r>
      <w:r w:rsidR="00047E0F" w:rsidRPr="00156B04">
        <w:rPr>
          <w:b/>
        </w:rPr>
        <w:t>Transportation Agency</w:t>
      </w:r>
      <w:r w:rsidR="0021549E">
        <w:rPr>
          <w:b/>
        </w:rPr>
        <w:t>)</w:t>
      </w:r>
    </w:p>
    <w:p w14:paraId="440924FC" w14:textId="5058512F" w:rsidR="00426659" w:rsidRPr="00156B04" w:rsidRDefault="00AE4535" w:rsidP="00146D45">
      <w:pPr>
        <w:pStyle w:val="SCCSystemYear"/>
        <w:spacing w:after="720"/>
        <w:jc w:val="both"/>
      </w:pPr>
      <w:r w:rsidRPr="00156B04">
        <w:t>2024</w:t>
      </w:r>
      <w:r w:rsidR="003D0399" w:rsidRPr="00156B04">
        <w:t xml:space="preserve"> </w:t>
      </w:r>
      <w:r w:rsidR="00426659" w:rsidRPr="00156B04">
        <w:t>SCC </w:t>
      </w:r>
      <w:r w:rsidR="00295920" w:rsidRPr="00156B04">
        <w:t>30</w:t>
      </w:r>
    </w:p>
    <w:p w14:paraId="04783A5F" w14:textId="77777777" w:rsidR="008322BD" w:rsidRPr="00156B04" w:rsidRDefault="00047E0F" w:rsidP="00146D45">
      <w:pPr>
        <w:spacing w:after="720"/>
        <w:jc w:val="both"/>
      </w:pPr>
      <w:r w:rsidRPr="00156B04">
        <w:t xml:space="preserve">File No.: </w:t>
      </w:r>
      <w:r w:rsidR="009B57B3" w:rsidRPr="00156B04">
        <w:t>40614.</w:t>
      </w:r>
    </w:p>
    <w:p w14:paraId="4CE5549B" w14:textId="41015C1D" w:rsidR="008322BD" w:rsidRPr="00156B04" w:rsidRDefault="00146D45" w:rsidP="00146D45">
      <w:pPr>
        <w:spacing w:after="720"/>
        <w:jc w:val="both"/>
      </w:pPr>
      <w:r w:rsidRPr="00156B04">
        <w:t>2024: March </w:t>
      </w:r>
      <w:r w:rsidR="00AE4535" w:rsidRPr="00156B04">
        <w:t>25</w:t>
      </w:r>
      <w:r w:rsidR="009B57B3" w:rsidRPr="00156B04">
        <w:t xml:space="preserve">; </w:t>
      </w:r>
      <w:r w:rsidR="00A12EDF" w:rsidRPr="00156B04">
        <w:t>2024: </w:t>
      </w:r>
      <w:r w:rsidR="00C9444D" w:rsidRPr="00156B04">
        <w:t>October </w:t>
      </w:r>
      <w:r w:rsidR="003705C0" w:rsidRPr="00156B04">
        <w:t>4</w:t>
      </w:r>
      <w:r w:rsidR="009B57B3" w:rsidRPr="00156B04">
        <w:t>.</w:t>
      </w:r>
    </w:p>
    <w:p w14:paraId="03BABD6A" w14:textId="09DA2DB4" w:rsidR="008322BD" w:rsidRPr="00156B04" w:rsidRDefault="009B57B3" w:rsidP="00146D45">
      <w:pPr>
        <w:spacing w:after="720"/>
        <w:jc w:val="both"/>
      </w:pPr>
      <w:r w:rsidRPr="00156B04">
        <w:t xml:space="preserve">Present: </w:t>
      </w:r>
      <w:r w:rsidR="00146D45" w:rsidRPr="00156B04">
        <w:t>Wagner </w:t>
      </w:r>
      <w:proofErr w:type="spellStart"/>
      <w:r w:rsidRPr="00156B04">
        <w:t>C.J</w:t>
      </w:r>
      <w:proofErr w:type="spellEnd"/>
      <w:r w:rsidRPr="00156B04">
        <w:t xml:space="preserve">. and </w:t>
      </w:r>
      <w:proofErr w:type="spellStart"/>
      <w:r w:rsidRPr="00156B04">
        <w:t>Karakatsanis</w:t>
      </w:r>
      <w:proofErr w:type="spellEnd"/>
      <w:r w:rsidRPr="00156B04">
        <w:t xml:space="preserve">, Côté, Rowe, Martin, </w:t>
      </w:r>
      <w:proofErr w:type="spellStart"/>
      <w:r w:rsidRPr="00156B04">
        <w:t>Kasirer</w:t>
      </w:r>
      <w:proofErr w:type="spellEnd"/>
      <w:r w:rsidRPr="00156B04">
        <w:t xml:space="preserve">, Jamal, </w:t>
      </w:r>
      <w:proofErr w:type="spellStart"/>
      <w:r w:rsidRPr="00156B04">
        <w:t>O</w:t>
      </w:r>
      <w:r w:rsidR="000C7DD5" w:rsidRPr="00156B04">
        <w:t>’</w:t>
      </w:r>
      <w:r w:rsidR="00146D45" w:rsidRPr="00156B04">
        <w:t>Bonsawin</w:t>
      </w:r>
      <w:proofErr w:type="spellEnd"/>
      <w:r w:rsidR="00146D45" w:rsidRPr="00156B04">
        <w:t xml:space="preserve"> and Moreau </w:t>
      </w:r>
      <w:proofErr w:type="spellStart"/>
      <w:r w:rsidRPr="00156B04">
        <w:t>JJ</w:t>
      </w:r>
      <w:proofErr w:type="spellEnd"/>
      <w:r w:rsidRPr="00156B04">
        <w:t>.</w:t>
      </w:r>
    </w:p>
    <w:p w14:paraId="2D6CDA6D" w14:textId="77777777" w:rsidR="000F6A3A" w:rsidRPr="00156B04" w:rsidRDefault="000F6A3A" w:rsidP="000F6A3A">
      <w:pPr>
        <w:pStyle w:val="SCCLowerCourtNameLowercase"/>
        <w:spacing w:after="720" w:line="240" w:lineRule="auto"/>
        <w:rPr>
          <w:szCs w:val="24"/>
        </w:rPr>
      </w:pPr>
      <w:r w:rsidRPr="00156B04">
        <w:t>on appeal from the federal court of appeal</w:t>
      </w:r>
    </w:p>
    <w:p w14:paraId="44045BD1" w14:textId="6C37A856" w:rsidR="000F6A3A" w:rsidRPr="00156B04" w:rsidRDefault="000F6A3A" w:rsidP="000F6A3A">
      <w:pPr>
        <w:pStyle w:val="SCCNormalDoubleSpacing"/>
        <w:spacing w:after="480"/>
        <w:rPr>
          <w:i/>
          <w:iCs/>
          <w:color w:val="000000"/>
        </w:rPr>
      </w:pPr>
      <w:r w:rsidRPr="00156B04">
        <w:tab/>
      </w:r>
      <w:r w:rsidRPr="00156B04">
        <w:rPr>
          <w:i/>
        </w:rPr>
        <w:t xml:space="preserve">Transportation law </w:t>
      </w:r>
      <w:r w:rsidRPr="00156B04">
        <w:rPr>
          <w:i/>
          <w:iCs/>
          <w:color w:val="000000"/>
        </w:rPr>
        <w:t xml:space="preserve">— Air transport — Passenger compensation — Federal transportation agency adopting regulations providing for minimum compensation to passengers on flights to and from Canada in case of delay, cancellation, denial of boarding and lost or </w:t>
      </w:r>
      <w:r w:rsidRPr="00156B04">
        <w:rPr>
          <w:i/>
          <w:iCs/>
          <w:color w:val="000000"/>
          <w:szCs w:val="24"/>
        </w:rPr>
        <w:t>damaged</w:t>
      </w:r>
      <w:r w:rsidRPr="00156B04">
        <w:rPr>
          <w:i/>
          <w:iCs/>
          <w:color w:val="000000"/>
        </w:rPr>
        <w:t xml:space="preserve"> baggage — Provisions challenged by air carriers on basis that they conflict with exclusivity principle of international convention implemented in Canadian law governing damages liability of international air carriers — Whether impugned provisions of regulations ultra vires agency — Convention for the Unification of Certain Rules for International Carriage by Air, 2242 </w:t>
      </w:r>
      <w:proofErr w:type="spellStart"/>
      <w:r w:rsidRPr="00156B04">
        <w:rPr>
          <w:i/>
          <w:iCs/>
          <w:color w:val="000000"/>
        </w:rPr>
        <w:t>U.N.T.S</w:t>
      </w:r>
      <w:proofErr w:type="spellEnd"/>
      <w:r w:rsidRPr="00156B04">
        <w:rPr>
          <w:i/>
          <w:iCs/>
          <w:color w:val="000000"/>
        </w:rPr>
        <w:t xml:space="preserve">. 309, Article 29 — Air Passenger Protection Regulations, </w:t>
      </w:r>
      <w:proofErr w:type="spellStart"/>
      <w:r w:rsidRPr="00156B04">
        <w:rPr>
          <w:i/>
          <w:iCs/>
          <w:color w:val="000000"/>
        </w:rPr>
        <w:t>SOR</w:t>
      </w:r>
      <w:proofErr w:type="spellEnd"/>
      <w:r w:rsidRPr="00156B04">
        <w:rPr>
          <w:i/>
          <w:iCs/>
          <w:color w:val="000000"/>
        </w:rPr>
        <w:t>/2019-150.</w:t>
      </w:r>
    </w:p>
    <w:p w14:paraId="7643410E" w14:textId="77777777" w:rsidR="000F6A3A" w:rsidRPr="00156B04" w:rsidRDefault="000F6A3A" w:rsidP="000F6A3A">
      <w:pPr>
        <w:pStyle w:val="SCCNormalDoubleSpacing"/>
        <w:spacing w:after="480"/>
        <w:rPr>
          <w:color w:val="000000"/>
        </w:rPr>
      </w:pPr>
      <w:r w:rsidRPr="00156B04">
        <w:rPr>
          <w:i/>
          <w:iCs/>
          <w:color w:val="000000"/>
        </w:rPr>
        <w:tab/>
        <w:t xml:space="preserve">Evidence — Admissibility — Expert evidence — International law — Airlines challenging regulations adopted by federal agency on basis of conflict with international convention </w:t>
      </w:r>
      <w:r w:rsidRPr="00156B04">
        <w:rPr>
          <w:i/>
          <w:iCs/>
          <w:color w:val="000000"/>
          <w:szCs w:val="24"/>
        </w:rPr>
        <w:t>implemented</w:t>
      </w:r>
      <w:r w:rsidRPr="00156B04">
        <w:rPr>
          <w:i/>
          <w:iCs/>
          <w:color w:val="000000"/>
        </w:rPr>
        <w:t xml:space="preserve"> in Canadian law — Parties seeking to rely on expert affidavits on questions of international law — Framework governing admissibility of expert evidence in context of international law.</w:t>
      </w:r>
    </w:p>
    <w:p w14:paraId="0D23B804" w14:textId="0136C831" w:rsidR="000F6A3A" w:rsidRPr="00156B04" w:rsidRDefault="000F6A3A" w:rsidP="000F6A3A">
      <w:pPr>
        <w:pStyle w:val="SCCNormalDoubleSpacing"/>
        <w:spacing w:after="480"/>
        <w:rPr>
          <w:szCs w:val="24"/>
        </w:rPr>
      </w:pPr>
      <w:r w:rsidRPr="00156B04">
        <w:rPr>
          <w:szCs w:val="24"/>
        </w:rPr>
        <w:tab/>
        <w:t xml:space="preserve">In 2018, the </w:t>
      </w:r>
      <w:r w:rsidRPr="00156B04">
        <w:rPr>
          <w:i/>
          <w:szCs w:val="24"/>
        </w:rPr>
        <w:t>Canada Transportation Act</w:t>
      </w:r>
      <w:r w:rsidRPr="00156B04">
        <w:rPr>
          <w:szCs w:val="24"/>
        </w:rPr>
        <w:t xml:space="preserve"> (“</w:t>
      </w:r>
      <w:r w:rsidRPr="00156B04">
        <w:rPr>
          <w:i/>
          <w:szCs w:val="24"/>
        </w:rPr>
        <w:t>CTA</w:t>
      </w:r>
      <w:r w:rsidRPr="00156B04">
        <w:rPr>
          <w:szCs w:val="24"/>
        </w:rPr>
        <w:t xml:space="preserve">”) was amended to allow the </w:t>
      </w:r>
      <w:r w:rsidRPr="00156B04">
        <w:rPr>
          <w:lang w:val="en-US"/>
        </w:rPr>
        <w:t>Canadian</w:t>
      </w:r>
      <w:r w:rsidRPr="00156B04">
        <w:rPr>
          <w:szCs w:val="24"/>
        </w:rPr>
        <w:t xml:space="preserve"> Transportation Agency (“Agency”) to make regulations in relation to flights to and from Canada with respect to a number of areas. The Agency thereafter adopted the </w:t>
      </w:r>
      <w:r w:rsidRPr="00156B04">
        <w:rPr>
          <w:i/>
          <w:szCs w:val="24"/>
        </w:rPr>
        <w:t xml:space="preserve">Air </w:t>
      </w:r>
      <w:r w:rsidRPr="00156B04">
        <w:rPr>
          <w:i/>
          <w:iCs/>
          <w:color w:val="000000"/>
          <w:szCs w:val="24"/>
        </w:rPr>
        <w:t>Passenger</w:t>
      </w:r>
      <w:r w:rsidRPr="00156B04">
        <w:rPr>
          <w:i/>
          <w:szCs w:val="24"/>
        </w:rPr>
        <w:t xml:space="preserve"> Protection Regulations </w:t>
      </w:r>
      <w:r w:rsidRPr="00156B04">
        <w:rPr>
          <w:szCs w:val="24"/>
        </w:rPr>
        <w:t>(“</w:t>
      </w:r>
      <w:r w:rsidRPr="00156B04">
        <w:rPr>
          <w:i/>
          <w:szCs w:val="24"/>
        </w:rPr>
        <w:t>Regulations</w:t>
      </w:r>
      <w:r w:rsidRPr="00156B04">
        <w:rPr>
          <w:szCs w:val="24"/>
        </w:rPr>
        <w:t xml:space="preserve">”), which came into force in 2019. The </w:t>
      </w:r>
      <w:r w:rsidRPr="00156B04">
        <w:rPr>
          <w:i/>
          <w:szCs w:val="24"/>
        </w:rPr>
        <w:t>Regulations</w:t>
      </w:r>
      <w:r w:rsidRPr="00156B04">
        <w:rPr>
          <w:szCs w:val="24"/>
        </w:rPr>
        <w:t xml:space="preserve"> include provisions dealing with </w:t>
      </w:r>
      <w:r w:rsidR="00AE154D" w:rsidRPr="00156B04">
        <w:rPr>
          <w:szCs w:val="24"/>
        </w:rPr>
        <w:t>standardized</w:t>
      </w:r>
      <w:r w:rsidRPr="00156B04">
        <w:rPr>
          <w:szCs w:val="24"/>
        </w:rPr>
        <w:t xml:space="preserve"> amounts of compensation for international flight delays, cancellations and denial of boarding when the disruption occurs for reasons within a carrier’s control and is not re</w:t>
      </w:r>
      <w:r w:rsidR="00A12EDF" w:rsidRPr="00156B04">
        <w:rPr>
          <w:szCs w:val="24"/>
        </w:rPr>
        <w:t>quired for safety purposes (ss. </w:t>
      </w:r>
      <w:r w:rsidRPr="00156B04">
        <w:rPr>
          <w:szCs w:val="24"/>
        </w:rPr>
        <w:t>12(2</w:t>
      </w:r>
      <w:proofErr w:type="gramStart"/>
      <w:r w:rsidRPr="00156B04">
        <w:rPr>
          <w:szCs w:val="24"/>
        </w:rPr>
        <w:t>)(</w:t>
      </w:r>
      <w:proofErr w:type="gramEnd"/>
      <w:r w:rsidRPr="00156B04">
        <w:rPr>
          <w:szCs w:val="24"/>
        </w:rPr>
        <w:t>d), (3)(d) and (4)(d), 19 and 20), and refunds of baggage fees paid by passengers when the carrier has lost or damaged their bagga</w:t>
      </w:r>
      <w:r w:rsidR="00A12EDF" w:rsidRPr="00156B04">
        <w:rPr>
          <w:szCs w:val="24"/>
        </w:rPr>
        <w:t>ge on international flights (s. </w:t>
      </w:r>
      <w:r w:rsidRPr="00156B04">
        <w:rPr>
          <w:szCs w:val="24"/>
        </w:rPr>
        <w:t>23).</w:t>
      </w:r>
    </w:p>
    <w:p w14:paraId="2E5723BB" w14:textId="2DAAA6C4" w:rsidR="000F6A3A" w:rsidRPr="00156B04" w:rsidRDefault="000F6A3A" w:rsidP="000F6A3A">
      <w:pPr>
        <w:pStyle w:val="SCCNormalDoubleSpacing"/>
        <w:spacing w:after="480"/>
        <w:rPr>
          <w:szCs w:val="24"/>
        </w:rPr>
      </w:pPr>
      <w:r w:rsidRPr="00156B04">
        <w:rPr>
          <w:szCs w:val="24"/>
        </w:rPr>
        <w:tab/>
        <w:t>In a statutory appeal to the Federal Court of Appeal, the International Air Transport Association, the Air Transportation Association of America, and several air carriers serving Canadian and international airports (collectively, “airlines”) challenged those provision</w:t>
      </w:r>
      <w:r w:rsidR="00AE154D" w:rsidRPr="00156B04">
        <w:rPr>
          <w:szCs w:val="24"/>
        </w:rPr>
        <w:t>s</w:t>
      </w:r>
      <w:r w:rsidRPr="00156B04">
        <w:rPr>
          <w:szCs w:val="24"/>
        </w:rPr>
        <w:t xml:space="preserve">. The airlines alleged that the </w:t>
      </w:r>
      <w:r w:rsidRPr="00156B04">
        <w:rPr>
          <w:i/>
          <w:szCs w:val="24"/>
        </w:rPr>
        <w:t>Regulations</w:t>
      </w:r>
      <w:r w:rsidRPr="00156B04">
        <w:rPr>
          <w:szCs w:val="24"/>
        </w:rPr>
        <w:t xml:space="preserve"> conflict with the exclusivity principle of the </w:t>
      </w:r>
      <w:r w:rsidRPr="00156B04">
        <w:rPr>
          <w:i/>
          <w:szCs w:val="24"/>
        </w:rPr>
        <w:t>Convention for the Unification of Certain Rules for International Carriage by Air</w:t>
      </w:r>
      <w:r w:rsidRPr="00156B04">
        <w:rPr>
          <w:szCs w:val="24"/>
        </w:rPr>
        <w:t xml:space="preserve"> (“</w:t>
      </w:r>
      <w:r w:rsidRPr="00156B04">
        <w:rPr>
          <w:i/>
          <w:szCs w:val="24"/>
        </w:rPr>
        <w:t>Montreal Convention</w:t>
      </w:r>
      <w:r w:rsidRPr="00156B04">
        <w:rPr>
          <w:szCs w:val="24"/>
        </w:rPr>
        <w:t xml:space="preserve">”) and are </w:t>
      </w:r>
      <w:r w:rsidRPr="00156B04">
        <w:rPr>
          <w:i/>
          <w:szCs w:val="24"/>
        </w:rPr>
        <w:t>ultra vires</w:t>
      </w:r>
      <w:r w:rsidRPr="00156B04">
        <w:rPr>
          <w:szCs w:val="24"/>
        </w:rPr>
        <w:t xml:space="preserve"> the Agency’s regulation-making authority under the </w:t>
      </w:r>
      <w:r w:rsidRPr="00156B04">
        <w:rPr>
          <w:i/>
          <w:szCs w:val="24"/>
        </w:rPr>
        <w:t>CTA</w:t>
      </w:r>
      <w:r w:rsidRPr="00156B04">
        <w:rPr>
          <w:szCs w:val="24"/>
        </w:rPr>
        <w:t xml:space="preserve">. Canada signed the </w:t>
      </w:r>
      <w:r w:rsidRPr="00156B04">
        <w:rPr>
          <w:i/>
          <w:szCs w:val="24"/>
        </w:rPr>
        <w:t>Montreal Convention</w:t>
      </w:r>
      <w:r w:rsidRPr="00156B04">
        <w:rPr>
          <w:szCs w:val="24"/>
        </w:rPr>
        <w:t xml:space="preserve"> in 2001, and it was implemented into Canadian law by amendments to the </w:t>
      </w:r>
      <w:r w:rsidRPr="00156B04">
        <w:rPr>
          <w:i/>
          <w:szCs w:val="24"/>
        </w:rPr>
        <w:t xml:space="preserve">Carriage by Air Act </w:t>
      </w:r>
      <w:r w:rsidRPr="00156B04">
        <w:rPr>
          <w:szCs w:val="24"/>
        </w:rPr>
        <w:t>(“</w:t>
      </w:r>
      <w:r w:rsidRPr="00156B04">
        <w:rPr>
          <w:i/>
          <w:szCs w:val="24"/>
        </w:rPr>
        <w:t>CAA</w:t>
      </w:r>
      <w:r w:rsidRPr="00156B04">
        <w:rPr>
          <w:szCs w:val="24"/>
        </w:rPr>
        <w:t xml:space="preserve">”). Article 29 of the </w:t>
      </w:r>
      <w:r w:rsidRPr="00156B04">
        <w:rPr>
          <w:i/>
          <w:szCs w:val="24"/>
        </w:rPr>
        <w:t>Montreal Convention</w:t>
      </w:r>
      <w:r w:rsidRPr="00156B04">
        <w:rPr>
          <w:szCs w:val="24"/>
        </w:rPr>
        <w:t xml:space="preserve"> codifies its exclusivity, by stating that “any action for damages” is subject to the conditions and limits of liability that it sets out. </w:t>
      </w:r>
    </w:p>
    <w:p w14:paraId="60029233" w14:textId="0AD526A5" w:rsidR="000F6A3A" w:rsidRPr="00156B04" w:rsidRDefault="000F6A3A" w:rsidP="000F6A3A">
      <w:pPr>
        <w:pStyle w:val="SCCNormalDoubleSpacing"/>
        <w:spacing w:after="480"/>
        <w:rPr>
          <w:szCs w:val="24"/>
        </w:rPr>
      </w:pPr>
      <w:r w:rsidRPr="00156B04">
        <w:rPr>
          <w:szCs w:val="24"/>
        </w:rPr>
        <w:tab/>
        <w:t xml:space="preserve">The Federal Court of Appeal dismissed the challenge brought by the airlines, with the exception of the provisions relating to the temporary loss of baggage. The court considered the compatibility of the </w:t>
      </w:r>
      <w:r w:rsidRPr="00156B04">
        <w:rPr>
          <w:i/>
          <w:szCs w:val="24"/>
        </w:rPr>
        <w:t xml:space="preserve">Regulations </w:t>
      </w:r>
      <w:r w:rsidRPr="00156B04">
        <w:rPr>
          <w:szCs w:val="24"/>
        </w:rPr>
        <w:t xml:space="preserve">with the </w:t>
      </w:r>
      <w:r w:rsidRPr="00156B04">
        <w:rPr>
          <w:i/>
          <w:szCs w:val="24"/>
        </w:rPr>
        <w:t>Montreal Convention</w:t>
      </w:r>
      <w:r w:rsidRPr="00156B04">
        <w:rPr>
          <w:szCs w:val="24"/>
        </w:rPr>
        <w:t xml:space="preserve">, and held that the compensation provided for under the </w:t>
      </w:r>
      <w:r w:rsidRPr="00156B04">
        <w:rPr>
          <w:i/>
          <w:szCs w:val="24"/>
        </w:rPr>
        <w:t>Regulations</w:t>
      </w:r>
      <w:r w:rsidRPr="00156B04">
        <w:rPr>
          <w:szCs w:val="24"/>
        </w:rPr>
        <w:t xml:space="preserve"> is not an action for damages, and that cancellation, denial of boarding, and delay are factual and legal concepts that do not fall within the scope of the exclusivity principle. The court also addressed the admissibility of expert affidavits on questions of international law.</w:t>
      </w:r>
    </w:p>
    <w:p w14:paraId="5DAFA37D" w14:textId="77777777" w:rsidR="000F6A3A" w:rsidRPr="00156B04" w:rsidRDefault="000F6A3A" w:rsidP="000F6A3A">
      <w:pPr>
        <w:pStyle w:val="SCCNormalDoubleSpacing"/>
        <w:spacing w:after="480"/>
        <w:rPr>
          <w:szCs w:val="24"/>
        </w:rPr>
      </w:pPr>
      <w:r w:rsidRPr="00156B04">
        <w:rPr>
          <w:szCs w:val="24"/>
        </w:rPr>
        <w:tab/>
      </w:r>
      <w:r w:rsidRPr="00156B04">
        <w:rPr>
          <w:i/>
          <w:iCs/>
          <w:color w:val="000000" w:themeColor="text1"/>
          <w:szCs w:val="24"/>
        </w:rPr>
        <w:t>Held:</w:t>
      </w:r>
      <w:r w:rsidRPr="00156B04">
        <w:rPr>
          <w:szCs w:val="24"/>
        </w:rPr>
        <w:t xml:space="preserve"> The appeal should be dismissed.</w:t>
      </w:r>
    </w:p>
    <w:p w14:paraId="361FE101" w14:textId="06CC7211" w:rsidR="000F6A3A" w:rsidRPr="00156B04" w:rsidRDefault="000F6A3A" w:rsidP="000F6A3A">
      <w:pPr>
        <w:pStyle w:val="SCCNormalDoubleSpacing"/>
        <w:spacing w:after="480"/>
        <w:rPr>
          <w:szCs w:val="24"/>
        </w:rPr>
      </w:pPr>
      <w:r w:rsidRPr="00156B04">
        <w:rPr>
          <w:szCs w:val="24"/>
        </w:rPr>
        <w:tab/>
        <w:t xml:space="preserve">The </w:t>
      </w:r>
      <w:r w:rsidRPr="00156B04">
        <w:rPr>
          <w:i/>
          <w:szCs w:val="24"/>
        </w:rPr>
        <w:t>Montreal Convention</w:t>
      </w:r>
      <w:r w:rsidRPr="00156B04">
        <w:rPr>
          <w:szCs w:val="24"/>
        </w:rPr>
        <w:t xml:space="preserve"> is exclusive within the scope of the matters that it addresses</w:t>
      </w:r>
      <w:r w:rsidR="00AE154D" w:rsidRPr="00156B04">
        <w:rPr>
          <w:szCs w:val="24"/>
        </w:rPr>
        <w:t>,</w:t>
      </w:r>
      <w:r w:rsidRPr="00156B04">
        <w:rPr>
          <w:szCs w:val="24"/>
        </w:rPr>
        <w:t xml:space="preserve"> but does not deal comprehensively with all aspects of international carriage by air. Pursuant to the text of its Article 29, there must be an “action” that leads to “damages” for the exclusivity principle to apply. The </w:t>
      </w:r>
      <w:r w:rsidRPr="00156B04">
        <w:rPr>
          <w:i/>
          <w:szCs w:val="24"/>
        </w:rPr>
        <w:t xml:space="preserve">Regulations </w:t>
      </w:r>
      <w:r w:rsidRPr="00156B04">
        <w:rPr>
          <w:szCs w:val="24"/>
        </w:rPr>
        <w:t xml:space="preserve">do not provide for an “action for damages” because they do not provide for individualized compensation; rather, they create a consumer protection scheme that operates in parallel with the </w:t>
      </w:r>
      <w:r w:rsidRPr="00156B04">
        <w:rPr>
          <w:i/>
          <w:szCs w:val="24"/>
        </w:rPr>
        <w:t>Montreal Convention</w:t>
      </w:r>
      <w:r w:rsidRPr="00156B04">
        <w:rPr>
          <w:szCs w:val="24"/>
        </w:rPr>
        <w:t xml:space="preserve">, without trenching on its liability limitation provisions. Accordingly, they do not fall within the scope of the </w:t>
      </w:r>
      <w:r w:rsidRPr="00156B04">
        <w:rPr>
          <w:i/>
          <w:szCs w:val="24"/>
        </w:rPr>
        <w:t>Montreal Convention</w:t>
      </w:r>
      <w:r w:rsidRPr="00156B04">
        <w:rPr>
          <w:szCs w:val="24"/>
        </w:rPr>
        <w:t xml:space="preserve">’s exclusivity principle. Since the </w:t>
      </w:r>
      <w:r w:rsidRPr="00156B04">
        <w:rPr>
          <w:i/>
          <w:szCs w:val="24"/>
        </w:rPr>
        <w:t xml:space="preserve">Regulations </w:t>
      </w:r>
      <w:r w:rsidRPr="00156B04">
        <w:rPr>
          <w:szCs w:val="24"/>
        </w:rPr>
        <w:t xml:space="preserve">do not give rise to liability that is pre-empted by Article 29, they do not conflict with the </w:t>
      </w:r>
      <w:r w:rsidRPr="00156B04">
        <w:rPr>
          <w:i/>
          <w:szCs w:val="24"/>
        </w:rPr>
        <w:t xml:space="preserve">Montreal Convention </w:t>
      </w:r>
      <w:r w:rsidRPr="00156B04">
        <w:rPr>
          <w:szCs w:val="24"/>
        </w:rPr>
        <w:t xml:space="preserve">as implemented by the </w:t>
      </w:r>
      <w:r w:rsidRPr="00156B04">
        <w:rPr>
          <w:i/>
          <w:szCs w:val="24"/>
        </w:rPr>
        <w:t>CAA</w:t>
      </w:r>
      <w:r w:rsidRPr="00156B04">
        <w:rPr>
          <w:szCs w:val="24"/>
        </w:rPr>
        <w:t xml:space="preserve"> and there is no basis to conclude that they exceed the jurisdiction of the Agency, as conferred by the </w:t>
      </w:r>
      <w:r w:rsidRPr="00156B04">
        <w:rPr>
          <w:i/>
          <w:szCs w:val="24"/>
        </w:rPr>
        <w:t>CTA</w:t>
      </w:r>
      <w:r w:rsidRPr="00156B04">
        <w:rPr>
          <w:szCs w:val="24"/>
        </w:rPr>
        <w:t>.</w:t>
      </w:r>
    </w:p>
    <w:p w14:paraId="0007C11A" w14:textId="09081E47" w:rsidR="000F6A3A" w:rsidRPr="00156B04" w:rsidRDefault="000F6A3A" w:rsidP="000F6A3A">
      <w:pPr>
        <w:pStyle w:val="SCCNormalDoubleSpacing"/>
        <w:spacing w:after="480"/>
        <w:rPr>
          <w:szCs w:val="24"/>
        </w:rPr>
      </w:pPr>
      <w:r w:rsidRPr="00156B04">
        <w:rPr>
          <w:szCs w:val="24"/>
        </w:rPr>
        <w:tab/>
        <w:t xml:space="preserve">The </w:t>
      </w:r>
      <w:r w:rsidRPr="00156B04">
        <w:rPr>
          <w:i/>
          <w:szCs w:val="24"/>
        </w:rPr>
        <w:t>Vienna Convention</w:t>
      </w:r>
      <w:r w:rsidRPr="00156B04">
        <w:rPr>
          <w:szCs w:val="24"/>
        </w:rPr>
        <w:t xml:space="preserve"> is the starting point for determining the scope of the </w:t>
      </w:r>
      <w:r w:rsidRPr="00156B04">
        <w:rPr>
          <w:i/>
          <w:szCs w:val="24"/>
        </w:rPr>
        <w:t>Montreal Convention</w:t>
      </w:r>
      <w:r w:rsidRPr="00156B04">
        <w:rPr>
          <w:szCs w:val="24"/>
        </w:rPr>
        <w:t xml:space="preserve"> and the exclusivity principle. Article 31 of the </w:t>
      </w:r>
      <w:r w:rsidRPr="00156B04">
        <w:rPr>
          <w:i/>
          <w:szCs w:val="24"/>
        </w:rPr>
        <w:t>Vienna Convention</w:t>
      </w:r>
      <w:r w:rsidRPr="00156B04">
        <w:rPr>
          <w:szCs w:val="24"/>
        </w:rPr>
        <w:t xml:space="preserve"> directs that the </w:t>
      </w:r>
      <w:r w:rsidRPr="00156B04">
        <w:rPr>
          <w:i/>
          <w:szCs w:val="24"/>
        </w:rPr>
        <w:t>Montreal Convention</w:t>
      </w:r>
      <w:r w:rsidRPr="00156B04">
        <w:rPr>
          <w:szCs w:val="24"/>
        </w:rPr>
        <w:t xml:space="preserve">, like all treaties, should be interpreted in good faith in accordance with the ordinary meaning to be given to the terms of the treaty in their context and in light of its object and purpose. Therefore, the analysis begins with the words chosen by the state parties to the </w:t>
      </w:r>
      <w:r w:rsidRPr="00156B04">
        <w:rPr>
          <w:i/>
          <w:szCs w:val="24"/>
        </w:rPr>
        <w:t>Montreal Convention</w:t>
      </w:r>
      <w:r w:rsidRPr="00156B04">
        <w:rPr>
          <w:szCs w:val="24"/>
        </w:rPr>
        <w:t xml:space="preserve">. Article 29, in explaining the exclusivity principle, states that it applies to “any action for damages, however founded”. The ordinary meaning of an “action for damages” points towards an action that shares the characteristics of a judicial proceeding and that seeks individualized compensation that is tied to an injury caused by another. Damages awards are individualized in that they seek to compensate the plaintiff for the loss suffered as a result of an injury caused by another. An action for damages is distinct from standardized compensation, which may be owed identically to all claimants irrespective of the harm (if any) they have suffered. The broader context of the </w:t>
      </w:r>
      <w:r w:rsidRPr="00156B04">
        <w:rPr>
          <w:i/>
          <w:szCs w:val="24"/>
        </w:rPr>
        <w:t>Montreal Convention</w:t>
      </w:r>
      <w:r w:rsidRPr="00156B04">
        <w:rPr>
          <w:szCs w:val="24"/>
        </w:rPr>
        <w:t xml:space="preserve"> supports an understanding of the words “action” and “damages” consonant with their “ordinary meaning” in Canadian law: the relevant articles of the </w:t>
      </w:r>
      <w:r w:rsidRPr="00156B04">
        <w:rPr>
          <w:i/>
          <w:szCs w:val="24"/>
        </w:rPr>
        <w:t>Montreal Convention</w:t>
      </w:r>
      <w:r w:rsidRPr="00156B04">
        <w:rPr>
          <w:szCs w:val="24"/>
        </w:rPr>
        <w:t xml:space="preserve"> are framed in a way that plainly envisages actions which share the characteristics of judicial proceedings in a court of law. The object and purpose of the </w:t>
      </w:r>
      <w:r w:rsidRPr="00156B04">
        <w:rPr>
          <w:i/>
          <w:szCs w:val="24"/>
        </w:rPr>
        <w:t>Montreal Convention</w:t>
      </w:r>
      <w:r w:rsidRPr="00156B04">
        <w:rPr>
          <w:szCs w:val="24"/>
        </w:rPr>
        <w:t>, including the history of its development, support this conclusion, as does foreign jurisprudence and state practice. Article 29 should therefore be understood as precluding actions for damages that share the characteristics of judicial proceedings in courts of law, and that seek individual</w:t>
      </w:r>
      <w:r w:rsidR="00AE154D" w:rsidRPr="00156B04">
        <w:rPr>
          <w:szCs w:val="24"/>
        </w:rPr>
        <w:t>ized</w:t>
      </w:r>
      <w:r w:rsidRPr="00156B04">
        <w:rPr>
          <w:szCs w:val="24"/>
        </w:rPr>
        <w:t xml:space="preserve"> compensation for death or bodily injury, damage or loss of baggage and cargo, and for delay in international carriage.</w:t>
      </w:r>
    </w:p>
    <w:p w14:paraId="4487BED6" w14:textId="5F5CA25C" w:rsidR="000F6A3A" w:rsidRPr="00156B04" w:rsidRDefault="000F6A3A" w:rsidP="000F6A3A">
      <w:pPr>
        <w:pStyle w:val="SCCNormalDoubleSpacing"/>
        <w:spacing w:after="480"/>
        <w:rPr>
          <w:szCs w:val="24"/>
        </w:rPr>
      </w:pPr>
      <w:r w:rsidRPr="00156B04">
        <w:rPr>
          <w:szCs w:val="24"/>
        </w:rPr>
        <w:tab/>
        <w:t xml:space="preserve">The </w:t>
      </w:r>
      <w:r w:rsidRPr="00156B04">
        <w:rPr>
          <w:i/>
          <w:szCs w:val="24"/>
        </w:rPr>
        <w:t>Regulations</w:t>
      </w:r>
      <w:r w:rsidRPr="00156B04">
        <w:rPr>
          <w:szCs w:val="24"/>
        </w:rPr>
        <w:t xml:space="preserve"> are best understood as providing for statutory entitlements under a consumer protection scheme. Passengers claiming under the </w:t>
      </w:r>
      <w:r w:rsidRPr="00156B04">
        <w:rPr>
          <w:i/>
          <w:szCs w:val="24"/>
        </w:rPr>
        <w:t xml:space="preserve">Regulations </w:t>
      </w:r>
      <w:r w:rsidRPr="00156B04">
        <w:rPr>
          <w:szCs w:val="24"/>
        </w:rPr>
        <w:t xml:space="preserve">need not show what harm, if any, they have suffered in order to claim compensation. The </w:t>
      </w:r>
      <w:r w:rsidRPr="00156B04">
        <w:rPr>
          <w:i/>
          <w:szCs w:val="24"/>
        </w:rPr>
        <w:t>Regulations</w:t>
      </w:r>
      <w:r w:rsidRPr="00156B04">
        <w:rPr>
          <w:szCs w:val="24"/>
        </w:rPr>
        <w:t xml:space="preserve"> do not tie compensation to </w:t>
      </w:r>
      <w:r w:rsidR="00AE154D" w:rsidRPr="00156B04">
        <w:rPr>
          <w:szCs w:val="24"/>
        </w:rPr>
        <w:t>harm</w:t>
      </w:r>
      <w:r w:rsidRPr="00156B04">
        <w:rPr>
          <w:szCs w:val="24"/>
        </w:rPr>
        <w:t xml:space="preserve"> or inconvenience: they mandate compensation for delay, cancellation or denial of boarding based on the time by which a passenger’s arrival at their ultimate destination is delayed, and compensation owed for lost or damaged baggage is tied to the baggage fees charged by the carrier, </w:t>
      </w:r>
      <w:bookmarkStart w:id="0" w:name="_Hlk178267876"/>
      <w:r w:rsidRPr="00156B04">
        <w:rPr>
          <w:szCs w:val="24"/>
        </w:rPr>
        <w:t>not to the harm</w:t>
      </w:r>
      <w:bookmarkEnd w:id="0"/>
      <w:r w:rsidRPr="00156B04">
        <w:rPr>
          <w:szCs w:val="24"/>
        </w:rPr>
        <w:t xml:space="preserve">. Unlike the </w:t>
      </w:r>
      <w:r w:rsidRPr="00156B04">
        <w:rPr>
          <w:i/>
          <w:szCs w:val="24"/>
        </w:rPr>
        <w:t>Montreal Convention</w:t>
      </w:r>
      <w:r w:rsidRPr="00156B04">
        <w:rPr>
          <w:szCs w:val="24"/>
        </w:rPr>
        <w:t xml:space="preserve">, the </w:t>
      </w:r>
      <w:r w:rsidRPr="00156B04">
        <w:rPr>
          <w:i/>
          <w:szCs w:val="24"/>
        </w:rPr>
        <w:t>Regulations</w:t>
      </w:r>
      <w:r w:rsidRPr="00156B04">
        <w:rPr>
          <w:szCs w:val="24"/>
        </w:rPr>
        <w:t xml:space="preserve"> do not enable a carrier to avoid having to pay compensation otherwise due to a passenger by invoking a due diligence defence or pointing to contributory negligence. As long as the disruption in question occurred for a reason within the carrier’s control and was not required for safety purposes, the compensation is fixed. Moreover, the Agency is empowered to extend a finding that compensation is owed to one passenger to other passengers similarly situated.</w:t>
      </w:r>
    </w:p>
    <w:p w14:paraId="26B10105" w14:textId="77777777" w:rsidR="000F6A3A" w:rsidRPr="00156B04" w:rsidRDefault="000F6A3A" w:rsidP="000F6A3A">
      <w:pPr>
        <w:pStyle w:val="SCCNormalDoubleSpacing"/>
        <w:spacing w:after="480"/>
        <w:rPr>
          <w:szCs w:val="24"/>
        </w:rPr>
      </w:pPr>
      <w:r w:rsidRPr="00156B04">
        <w:rPr>
          <w:szCs w:val="24"/>
        </w:rPr>
        <w:tab/>
        <w:t xml:space="preserve">To find a conflict between the </w:t>
      </w:r>
      <w:r w:rsidRPr="00156B04">
        <w:rPr>
          <w:i/>
          <w:szCs w:val="24"/>
        </w:rPr>
        <w:t xml:space="preserve">Montreal Convention </w:t>
      </w:r>
      <w:r w:rsidRPr="00156B04">
        <w:rPr>
          <w:szCs w:val="24"/>
        </w:rPr>
        <w:t xml:space="preserve">and the impugned </w:t>
      </w:r>
      <w:r w:rsidRPr="00156B04">
        <w:rPr>
          <w:i/>
          <w:szCs w:val="24"/>
        </w:rPr>
        <w:t>Regulations</w:t>
      </w:r>
      <w:r w:rsidRPr="00156B04">
        <w:rPr>
          <w:szCs w:val="24"/>
        </w:rPr>
        <w:t xml:space="preserve">, the latter must be so inconsistent with the former that they are incapable of standing together. As the </w:t>
      </w:r>
      <w:r w:rsidRPr="00156B04">
        <w:rPr>
          <w:i/>
          <w:szCs w:val="24"/>
        </w:rPr>
        <w:t>Montreal Convention</w:t>
      </w:r>
      <w:r w:rsidRPr="00156B04">
        <w:rPr>
          <w:szCs w:val="24"/>
        </w:rPr>
        <w:t xml:space="preserve"> has been implemented in Canadian law, the established test for statutory conflicts applies and there is no need to have regard to the presumption that Parliament legislates in conformity with international law. </w:t>
      </w:r>
      <w:bookmarkStart w:id="1" w:name="_Hlk178268752"/>
      <w:r w:rsidRPr="00156B04">
        <w:rPr>
          <w:szCs w:val="24"/>
        </w:rPr>
        <w:t xml:space="preserve">Because the </w:t>
      </w:r>
      <w:r w:rsidRPr="00156B04">
        <w:rPr>
          <w:i/>
          <w:szCs w:val="24"/>
        </w:rPr>
        <w:t>Regulations</w:t>
      </w:r>
      <w:r w:rsidRPr="00156B04">
        <w:rPr>
          <w:szCs w:val="24"/>
        </w:rPr>
        <w:t xml:space="preserve"> do not provide for an action for damages, but instead create an entitlement to standardized compensation that does not seek to measure a passenger’s actual loss, they fall outside the scope of Article 29 and do not conflict with the </w:t>
      </w:r>
      <w:r w:rsidRPr="00156B04">
        <w:rPr>
          <w:i/>
          <w:szCs w:val="24"/>
        </w:rPr>
        <w:t>Montreal Convention</w:t>
      </w:r>
      <w:r w:rsidRPr="00156B04">
        <w:rPr>
          <w:szCs w:val="24"/>
        </w:rPr>
        <w:t xml:space="preserve">. </w:t>
      </w:r>
      <w:bookmarkEnd w:id="1"/>
      <w:r w:rsidRPr="00156B04">
        <w:rPr>
          <w:szCs w:val="24"/>
        </w:rPr>
        <w:t xml:space="preserve">The two forms of passenger compensation envisaged by the </w:t>
      </w:r>
      <w:r w:rsidRPr="00156B04">
        <w:rPr>
          <w:i/>
          <w:szCs w:val="24"/>
        </w:rPr>
        <w:t>Regulations</w:t>
      </w:r>
      <w:r w:rsidRPr="00156B04">
        <w:rPr>
          <w:szCs w:val="24"/>
        </w:rPr>
        <w:t xml:space="preserve"> and the </w:t>
      </w:r>
      <w:r w:rsidRPr="00156B04">
        <w:rPr>
          <w:i/>
          <w:szCs w:val="24"/>
        </w:rPr>
        <w:t>Montreal Convention</w:t>
      </w:r>
      <w:r w:rsidRPr="00156B04">
        <w:rPr>
          <w:szCs w:val="24"/>
        </w:rPr>
        <w:t xml:space="preserve"> are capable of standing together. The bargain at the centre of the </w:t>
      </w:r>
      <w:r w:rsidRPr="00156B04">
        <w:rPr>
          <w:i/>
          <w:szCs w:val="24"/>
        </w:rPr>
        <w:t>Montreal Convention</w:t>
      </w:r>
      <w:r w:rsidRPr="00156B04">
        <w:rPr>
          <w:szCs w:val="24"/>
        </w:rPr>
        <w:t xml:space="preserve"> remains undisturbed: passengers continue to enjoy certain evidentiary presumptions on proof of damage, while carriers remain shielded from unlimited liability arising from actions for damages related to claims for death or bodily injury, damage or loss of baggage and cargo, and for delay. In signing on to the </w:t>
      </w:r>
      <w:r w:rsidRPr="00156B04">
        <w:rPr>
          <w:i/>
          <w:szCs w:val="24"/>
        </w:rPr>
        <w:t>Montreal</w:t>
      </w:r>
      <w:r w:rsidRPr="00156B04">
        <w:rPr>
          <w:szCs w:val="24"/>
        </w:rPr>
        <w:t xml:space="preserve"> </w:t>
      </w:r>
      <w:r w:rsidRPr="00156B04">
        <w:rPr>
          <w:i/>
          <w:szCs w:val="24"/>
        </w:rPr>
        <w:t>Convention</w:t>
      </w:r>
      <w:r w:rsidRPr="00156B04">
        <w:rPr>
          <w:szCs w:val="24"/>
        </w:rPr>
        <w:t>, there is no indication that Canada or any other state party agreed to forego its ability to provide for minimum standards of treatment for passengers within its jurisdiction.</w:t>
      </w:r>
    </w:p>
    <w:p w14:paraId="005DBF09" w14:textId="6F80E5CB" w:rsidR="00AB0341" w:rsidRPr="00156B04" w:rsidRDefault="000F6A3A" w:rsidP="000F6A3A">
      <w:pPr>
        <w:pStyle w:val="SCCNormalDoubleSpacing"/>
        <w:spacing w:after="480"/>
        <w:rPr>
          <w:szCs w:val="24"/>
        </w:rPr>
      </w:pPr>
      <w:r w:rsidRPr="00156B04">
        <w:rPr>
          <w:szCs w:val="24"/>
        </w:rPr>
        <w:tab/>
        <w:t xml:space="preserve">Finally, clarification is needed as to the treatment of expert evidence on questions of international law. The test from </w:t>
      </w:r>
      <w:r w:rsidRPr="00156B04">
        <w:rPr>
          <w:i/>
          <w:szCs w:val="24"/>
        </w:rPr>
        <w:t>R. v. Mohan</w:t>
      </w:r>
      <w:r w:rsidRPr="00156B04">
        <w:rPr>
          <w:szCs w:val="24"/>
        </w:rPr>
        <w:t xml:space="preserve">, [1994] 2 </w:t>
      </w:r>
      <w:proofErr w:type="spellStart"/>
      <w:r w:rsidRPr="00156B04">
        <w:rPr>
          <w:szCs w:val="24"/>
        </w:rPr>
        <w:t>S.C.R</w:t>
      </w:r>
      <w:proofErr w:type="spellEnd"/>
      <w:r w:rsidRPr="00156B04">
        <w:rPr>
          <w:szCs w:val="24"/>
        </w:rPr>
        <w:t>. 9, should be applied in the context of international law as it is in other circumstances where expert evidence is sought to be admitted. The appropriate framework is the following: where expert evidence satisfies</w:t>
      </w:r>
      <w:r w:rsidRPr="00156B04">
        <w:rPr>
          <w:i/>
          <w:szCs w:val="24"/>
        </w:rPr>
        <w:t xml:space="preserve"> Mohan</w:t>
      </w:r>
      <w:r w:rsidRPr="00156B04">
        <w:rPr>
          <w:szCs w:val="24"/>
        </w:rPr>
        <w:t xml:space="preserve">’s criteria, it may be considered. Otherwise, judges should proceed as they would for any other question of law — that is, on the basis of the submissions of the parties before the court and authorities on which they rely. In applying </w:t>
      </w:r>
      <w:r w:rsidRPr="00156B04">
        <w:rPr>
          <w:i/>
          <w:szCs w:val="24"/>
        </w:rPr>
        <w:t>Mohan</w:t>
      </w:r>
      <w:r w:rsidRPr="00156B04">
        <w:rPr>
          <w:szCs w:val="24"/>
        </w:rPr>
        <w:t>, the admissibility of expert evidence is within the court’s discretion so long as the threshold requirements of admissibility are satisfied. Given the variety of contexts in which expert evidence is sought to be adduced on questions of international law, the admissibility of such evidence is best left as a matter of judicial discretion rather than being subject to a fixed and invariable rule.</w:t>
      </w:r>
    </w:p>
    <w:p w14:paraId="52FBBCFD" w14:textId="77777777" w:rsidR="007E1C47" w:rsidRPr="00156B04" w:rsidRDefault="002E6705" w:rsidP="00146D45">
      <w:pPr>
        <w:pStyle w:val="SCCNormalDoubleSpacing"/>
        <w:spacing w:after="720" w:line="240" w:lineRule="auto"/>
        <w:rPr>
          <w:b/>
        </w:rPr>
      </w:pPr>
      <w:r w:rsidRPr="00156B04">
        <w:rPr>
          <w:b/>
        </w:rPr>
        <w:t>Cases Cited</w:t>
      </w:r>
    </w:p>
    <w:p w14:paraId="496C9C87" w14:textId="619A566D" w:rsidR="004E2C26" w:rsidRPr="00156B04" w:rsidRDefault="002E6705" w:rsidP="00146D45">
      <w:pPr>
        <w:pStyle w:val="SCCNormalDoubleSpacing"/>
        <w:widowControl w:val="0"/>
        <w:spacing w:after="480"/>
      </w:pPr>
      <w:r w:rsidRPr="00156B04">
        <w:tab/>
      </w:r>
      <w:r w:rsidR="00AE154D" w:rsidRPr="00156B04">
        <w:rPr>
          <w:b/>
        </w:rPr>
        <w:t xml:space="preserve">Applied: </w:t>
      </w:r>
      <w:r w:rsidR="00AE154D" w:rsidRPr="00156B04">
        <w:rPr>
          <w:i/>
        </w:rPr>
        <w:t>R. v. Mohan</w:t>
      </w:r>
      <w:r w:rsidR="00AE154D" w:rsidRPr="00156B04">
        <w:t xml:space="preserve">, [1994] 2 </w:t>
      </w:r>
      <w:proofErr w:type="spellStart"/>
      <w:r w:rsidR="00AE154D" w:rsidRPr="00156B04">
        <w:t>S.C.R</w:t>
      </w:r>
      <w:proofErr w:type="spellEnd"/>
      <w:r w:rsidR="00AE154D" w:rsidRPr="00156B04">
        <w:t xml:space="preserve">. 9; </w:t>
      </w:r>
      <w:r w:rsidR="00AE154D" w:rsidRPr="00156B04">
        <w:rPr>
          <w:b/>
        </w:rPr>
        <w:t>considered:</w:t>
      </w:r>
      <w:r w:rsidR="00AE154D" w:rsidRPr="00156B04">
        <w:t xml:space="preserve"> </w:t>
      </w:r>
      <w:proofErr w:type="spellStart"/>
      <w:r w:rsidR="00AE154D" w:rsidRPr="00156B04">
        <w:rPr>
          <w:i/>
        </w:rPr>
        <w:t>Thibodeau</w:t>
      </w:r>
      <w:proofErr w:type="spellEnd"/>
      <w:r w:rsidR="00AE154D" w:rsidRPr="00156B04">
        <w:rPr>
          <w:i/>
        </w:rPr>
        <w:t xml:space="preserve"> v. Air Canada</w:t>
      </w:r>
      <w:r w:rsidR="00AE154D" w:rsidRPr="00156B04">
        <w:t xml:space="preserve">, 2014 SCC 67, [2014] 3 </w:t>
      </w:r>
      <w:proofErr w:type="spellStart"/>
      <w:r w:rsidR="00AE154D" w:rsidRPr="00156B04">
        <w:t>S.C.R</w:t>
      </w:r>
      <w:proofErr w:type="spellEnd"/>
      <w:r w:rsidR="00AE154D" w:rsidRPr="00156B04">
        <w:t xml:space="preserve">. 340; </w:t>
      </w:r>
      <w:r w:rsidR="00AE154D" w:rsidRPr="00156B04">
        <w:rPr>
          <w:i/>
          <w:iCs/>
        </w:rPr>
        <w:t>International Air Transport Association v. Department for Transport</w:t>
      </w:r>
      <w:r w:rsidR="00AE154D" w:rsidRPr="00156B04">
        <w:rPr>
          <w:iCs/>
        </w:rPr>
        <w:t xml:space="preserve">, C-344/04, [2006] </w:t>
      </w:r>
      <w:proofErr w:type="spellStart"/>
      <w:r w:rsidR="00AE154D" w:rsidRPr="00156B04">
        <w:rPr>
          <w:iCs/>
        </w:rPr>
        <w:t>E.C.R</w:t>
      </w:r>
      <w:proofErr w:type="spellEnd"/>
      <w:r w:rsidR="00AE154D" w:rsidRPr="00156B04">
        <w:rPr>
          <w:iCs/>
        </w:rPr>
        <w:t xml:space="preserve">. I-403; </w:t>
      </w:r>
      <w:proofErr w:type="spellStart"/>
      <w:r w:rsidR="00AE154D" w:rsidRPr="00156B04">
        <w:rPr>
          <w:i/>
        </w:rPr>
        <w:t>Zicherman</w:t>
      </w:r>
      <w:proofErr w:type="spellEnd"/>
      <w:r w:rsidR="00AE154D" w:rsidRPr="00156B04">
        <w:rPr>
          <w:i/>
        </w:rPr>
        <w:t xml:space="preserve"> v. Korean Air Lines Co.</w:t>
      </w:r>
      <w:r w:rsidR="00AE154D" w:rsidRPr="00156B04">
        <w:t xml:space="preserve">, 516 U.S. 217 (1996); </w:t>
      </w:r>
      <w:r w:rsidR="00AE154D" w:rsidRPr="00156B04">
        <w:rPr>
          <w:i/>
        </w:rPr>
        <w:t xml:space="preserve">El Al Israel Airlines, Ltd. v. </w:t>
      </w:r>
      <w:proofErr w:type="spellStart"/>
      <w:r w:rsidR="00AE154D" w:rsidRPr="00156B04">
        <w:rPr>
          <w:i/>
        </w:rPr>
        <w:t>Tsui</w:t>
      </w:r>
      <w:proofErr w:type="spellEnd"/>
      <w:r w:rsidR="00AE154D" w:rsidRPr="00156B04">
        <w:rPr>
          <w:i/>
        </w:rPr>
        <w:t xml:space="preserve"> Yuan Tseng</w:t>
      </w:r>
      <w:r w:rsidR="00AE154D" w:rsidRPr="00156B04">
        <w:t xml:space="preserve">, 525 U.S. 155 (1999); </w:t>
      </w:r>
      <w:r w:rsidR="00AE154D" w:rsidRPr="00156B04">
        <w:rPr>
          <w:i/>
        </w:rPr>
        <w:t>King v. American Airlines, Inc.</w:t>
      </w:r>
      <w:r w:rsidR="00AE154D" w:rsidRPr="00156B04">
        <w:t xml:space="preserve">, 284 </w:t>
      </w:r>
      <w:proofErr w:type="spellStart"/>
      <w:r w:rsidR="00AE154D" w:rsidRPr="00156B04">
        <w:t>F.3d</w:t>
      </w:r>
      <w:proofErr w:type="spellEnd"/>
      <w:r w:rsidR="00AE154D" w:rsidRPr="00156B04">
        <w:t xml:space="preserve"> 352 (</w:t>
      </w:r>
      <w:proofErr w:type="spellStart"/>
      <w:r w:rsidR="00AE154D" w:rsidRPr="00156B04">
        <w:t>2d</w:t>
      </w:r>
      <w:proofErr w:type="spellEnd"/>
      <w:r w:rsidR="00AE154D" w:rsidRPr="00156B04">
        <w:t xml:space="preserve"> Cir. 2002); </w:t>
      </w:r>
      <w:r w:rsidR="00AE154D" w:rsidRPr="00156B04">
        <w:rPr>
          <w:i/>
        </w:rPr>
        <w:t xml:space="preserve">Brake v. </w:t>
      </w:r>
      <w:proofErr w:type="spellStart"/>
      <w:r w:rsidR="00AE154D" w:rsidRPr="00156B04">
        <w:rPr>
          <w:i/>
        </w:rPr>
        <w:t>PJ-M2R</w:t>
      </w:r>
      <w:proofErr w:type="spellEnd"/>
      <w:r w:rsidR="00AE154D" w:rsidRPr="00156B04">
        <w:rPr>
          <w:i/>
        </w:rPr>
        <w:t xml:space="preserve"> Restaurant Inc.</w:t>
      </w:r>
      <w:r w:rsidR="00AE154D" w:rsidRPr="00156B04">
        <w:t xml:space="preserve">, 2017 </w:t>
      </w:r>
      <w:proofErr w:type="spellStart"/>
      <w:r w:rsidR="00AE154D" w:rsidRPr="00156B04">
        <w:t>ONCA</w:t>
      </w:r>
      <w:proofErr w:type="spellEnd"/>
      <w:r w:rsidR="00AE154D" w:rsidRPr="00156B04">
        <w:t xml:space="preserve"> 402, 135 </w:t>
      </w:r>
      <w:proofErr w:type="spellStart"/>
      <w:r w:rsidR="00AE154D" w:rsidRPr="00156B04">
        <w:t>O.R</w:t>
      </w:r>
      <w:proofErr w:type="spellEnd"/>
      <w:r w:rsidR="00AE154D" w:rsidRPr="00156B04">
        <w:t>. (</w:t>
      </w:r>
      <w:proofErr w:type="spellStart"/>
      <w:r w:rsidR="00AE154D" w:rsidRPr="00156B04">
        <w:t>3d</w:t>
      </w:r>
      <w:proofErr w:type="spellEnd"/>
      <w:r w:rsidR="00AE154D" w:rsidRPr="00156B04">
        <w:t xml:space="preserve">) 561; </w:t>
      </w:r>
      <w:r w:rsidR="00AE154D" w:rsidRPr="00156B04">
        <w:rPr>
          <w:b/>
        </w:rPr>
        <w:t>r</w:t>
      </w:r>
      <w:r w:rsidRPr="00156B04">
        <w:rPr>
          <w:b/>
        </w:rPr>
        <w:t>eferred to:</w:t>
      </w:r>
      <w:r w:rsidR="00BD0E9E" w:rsidRPr="00156B04">
        <w:t xml:space="preserve"> </w:t>
      </w:r>
      <w:r w:rsidR="000B44EC" w:rsidRPr="00156B04">
        <w:rPr>
          <w:i/>
        </w:rPr>
        <w:t>Council of Canadians with Disabilities v. VIA Rail Canada Inc.</w:t>
      </w:r>
      <w:r w:rsidR="000B44EC" w:rsidRPr="00156B04">
        <w:t xml:space="preserve">, 2007 SCC 15, [2007] 1 </w:t>
      </w:r>
      <w:proofErr w:type="spellStart"/>
      <w:r w:rsidR="000B44EC" w:rsidRPr="00156B04">
        <w:t>S.C.R</w:t>
      </w:r>
      <w:proofErr w:type="spellEnd"/>
      <w:r w:rsidR="000B44EC" w:rsidRPr="00156B04">
        <w:t xml:space="preserve">. 650; </w:t>
      </w:r>
      <w:r w:rsidR="00C811C8" w:rsidRPr="00156B04">
        <w:rPr>
          <w:i/>
        </w:rPr>
        <w:t>Canadian National Railway Company v. Emerson Milling Inc.</w:t>
      </w:r>
      <w:r w:rsidR="00C811C8" w:rsidRPr="00156B04">
        <w:t>,</w:t>
      </w:r>
      <w:r w:rsidR="00C811C8" w:rsidRPr="00156B04">
        <w:rPr>
          <w:i/>
        </w:rPr>
        <w:t xml:space="preserve"> </w:t>
      </w:r>
      <w:r w:rsidR="00C811C8" w:rsidRPr="00156B04">
        <w:t xml:space="preserve">2017 </w:t>
      </w:r>
      <w:proofErr w:type="spellStart"/>
      <w:r w:rsidR="00C811C8" w:rsidRPr="00156B04">
        <w:t>FCA</w:t>
      </w:r>
      <w:proofErr w:type="spellEnd"/>
      <w:r w:rsidR="00C811C8" w:rsidRPr="00156B04">
        <w:t xml:space="preserve"> 79, [2018] 2 </w:t>
      </w:r>
      <w:proofErr w:type="spellStart"/>
      <w:r w:rsidR="00C811C8" w:rsidRPr="00156B04">
        <w:t>F.C.R</w:t>
      </w:r>
      <w:proofErr w:type="spellEnd"/>
      <w:r w:rsidR="00C811C8" w:rsidRPr="00156B04">
        <w:t xml:space="preserve">. 573; </w:t>
      </w:r>
      <w:proofErr w:type="spellStart"/>
      <w:r w:rsidR="00BD49BF" w:rsidRPr="00156B04">
        <w:rPr>
          <w:i/>
        </w:rPr>
        <w:t>Housen</w:t>
      </w:r>
      <w:proofErr w:type="spellEnd"/>
      <w:r w:rsidR="00BD49BF" w:rsidRPr="00156B04">
        <w:rPr>
          <w:i/>
        </w:rPr>
        <w:t xml:space="preserve"> v. </w:t>
      </w:r>
      <w:proofErr w:type="spellStart"/>
      <w:r w:rsidR="00BD49BF" w:rsidRPr="00156B04">
        <w:rPr>
          <w:i/>
        </w:rPr>
        <w:t>Nikolaisen</w:t>
      </w:r>
      <w:proofErr w:type="spellEnd"/>
      <w:r w:rsidR="00BD49BF" w:rsidRPr="00156B04">
        <w:t xml:space="preserve">, 2002 SCC 33, [2002] 2 </w:t>
      </w:r>
      <w:proofErr w:type="spellStart"/>
      <w:r w:rsidR="00BD49BF" w:rsidRPr="00156B04">
        <w:t>S.C.R</w:t>
      </w:r>
      <w:proofErr w:type="spellEnd"/>
      <w:r w:rsidR="00BD49BF" w:rsidRPr="00156B04">
        <w:t xml:space="preserve">. 235; </w:t>
      </w:r>
      <w:proofErr w:type="spellStart"/>
      <w:r w:rsidR="0043669D" w:rsidRPr="00156B04">
        <w:rPr>
          <w:i/>
        </w:rPr>
        <w:t>Thibodeau</w:t>
      </w:r>
      <w:proofErr w:type="spellEnd"/>
      <w:r w:rsidR="0043669D" w:rsidRPr="00156B04">
        <w:rPr>
          <w:i/>
        </w:rPr>
        <w:t xml:space="preserve"> v. Air Canada</w:t>
      </w:r>
      <w:r w:rsidR="0043669D" w:rsidRPr="00156B04">
        <w:t xml:space="preserve">, 2011 FC 876, [2013] 2 </w:t>
      </w:r>
      <w:proofErr w:type="spellStart"/>
      <w:r w:rsidR="0043669D" w:rsidRPr="00156B04">
        <w:t>F.C.R</w:t>
      </w:r>
      <w:proofErr w:type="spellEnd"/>
      <w:r w:rsidR="0043669D" w:rsidRPr="00156B04">
        <w:t xml:space="preserve">. 83; </w:t>
      </w:r>
      <w:proofErr w:type="spellStart"/>
      <w:r w:rsidR="004F45F9" w:rsidRPr="00156B04">
        <w:rPr>
          <w:i/>
          <w:iCs/>
        </w:rPr>
        <w:t>Pushpanathan</w:t>
      </w:r>
      <w:proofErr w:type="spellEnd"/>
      <w:r w:rsidR="004F45F9" w:rsidRPr="00156B04">
        <w:rPr>
          <w:i/>
          <w:iCs/>
        </w:rPr>
        <w:t xml:space="preserve"> v. Canada (Minister of Citizenship and Immigration)</w:t>
      </w:r>
      <w:r w:rsidR="004F45F9" w:rsidRPr="00156B04">
        <w:rPr>
          <w:iCs/>
        </w:rPr>
        <w:t xml:space="preserve">, </w:t>
      </w:r>
      <w:r w:rsidR="004F45F9" w:rsidRPr="00156B04">
        <w:rPr>
          <w:iCs/>
          <w:szCs w:val="24"/>
        </w:rPr>
        <w:t xml:space="preserve">[1998] 1 </w:t>
      </w:r>
      <w:proofErr w:type="spellStart"/>
      <w:r w:rsidR="004F45F9" w:rsidRPr="00156B04">
        <w:rPr>
          <w:iCs/>
          <w:szCs w:val="24"/>
        </w:rPr>
        <w:t>S.C.R</w:t>
      </w:r>
      <w:proofErr w:type="spellEnd"/>
      <w:r w:rsidR="004F45F9" w:rsidRPr="00156B04">
        <w:rPr>
          <w:iCs/>
          <w:szCs w:val="24"/>
        </w:rPr>
        <w:t xml:space="preserve">. 982; </w:t>
      </w:r>
      <w:r w:rsidR="007A3914" w:rsidRPr="00156B04">
        <w:rPr>
          <w:i/>
        </w:rPr>
        <w:t>Thomson v. Thomson</w:t>
      </w:r>
      <w:r w:rsidR="007A3914" w:rsidRPr="00156B04">
        <w:t xml:space="preserve">, [1994] 3 </w:t>
      </w:r>
      <w:proofErr w:type="spellStart"/>
      <w:r w:rsidR="007A3914" w:rsidRPr="00156B04">
        <w:t>S.C.R</w:t>
      </w:r>
      <w:proofErr w:type="spellEnd"/>
      <w:r w:rsidR="007A3914" w:rsidRPr="00156B04">
        <w:t xml:space="preserve">. 551; </w:t>
      </w:r>
      <w:proofErr w:type="spellStart"/>
      <w:r w:rsidR="00292EE0" w:rsidRPr="00156B04">
        <w:rPr>
          <w:i/>
        </w:rPr>
        <w:t>Febles</w:t>
      </w:r>
      <w:proofErr w:type="spellEnd"/>
      <w:r w:rsidR="00292EE0" w:rsidRPr="00156B04">
        <w:rPr>
          <w:i/>
        </w:rPr>
        <w:t xml:space="preserve"> v. Canada</w:t>
      </w:r>
      <w:r w:rsidR="00292EE0" w:rsidRPr="00156B04">
        <w:t xml:space="preserve"> </w:t>
      </w:r>
      <w:r w:rsidR="00292EE0" w:rsidRPr="00156B04">
        <w:rPr>
          <w:i/>
        </w:rPr>
        <w:t>(Citizenship and Immigration)</w:t>
      </w:r>
      <w:r w:rsidR="00292EE0" w:rsidRPr="00156B04">
        <w:t xml:space="preserve">, 2014 SCC 68, [2014] 3 </w:t>
      </w:r>
      <w:proofErr w:type="spellStart"/>
      <w:r w:rsidR="00292EE0" w:rsidRPr="00156B04">
        <w:t>S.C.R</w:t>
      </w:r>
      <w:proofErr w:type="spellEnd"/>
      <w:r w:rsidR="00292EE0" w:rsidRPr="00156B04">
        <w:t xml:space="preserve">. 431; </w:t>
      </w:r>
      <w:r w:rsidR="001D0027" w:rsidRPr="00156B04">
        <w:rPr>
          <w:i/>
        </w:rPr>
        <w:t>Sullivan v. Old Colony St. Ry. Co.</w:t>
      </w:r>
      <w:r w:rsidR="001D0027" w:rsidRPr="00156B04">
        <w:t xml:space="preserve">, 83 N.E. 1091 (Mass. 1908); </w:t>
      </w:r>
      <w:r w:rsidR="00706263" w:rsidRPr="00156B04">
        <w:rPr>
          <w:i/>
        </w:rPr>
        <w:t>Nelson v. Deutsche Lufthansa AG</w:t>
      </w:r>
      <w:r w:rsidR="00706263" w:rsidRPr="00156B04">
        <w:t>, C-581/10 and C-6</w:t>
      </w:r>
      <w:r w:rsidR="00A12EDF" w:rsidRPr="00156B04">
        <w:t xml:space="preserve">29/10, [2013] 1 </w:t>
      </w:r>
      <w:proofErr w:type="spellStart"/>
      <w:r w:rsidR="00A12EDF" w:rsidRPr="00156B04">
        <w:t>C.M.L.R</w:t>
      </w:r>
      <w:proofErr w:type="spellEnd"/>
      <w:r w:rsidR="00A12EDF" w:rsidRPr="00156B04">
        <w:t>. 42 (p. </w:t>
      </w:r>
      <w:r w:rsidR="00706263" w:rsidRPr="00156B04">
        <w:t xml:space="preserve">1191); </w:t>
      </w:r>
      <w:r w:rsidR="0082656E" w:rsidRPr="00156B04">
        <w:rPr>
          <w:i/>
        </w:rPr>
        <w:t>R. v. McGregor</w:t>
      </w:r>
      <w:r w:rsidR="0082656E" w:rsidRPr="00156B04">
        <w:t xml:space="preserve">, 2023 SCC 4; </w:t>
      </w:r>
      <w:r w:rsidR="006107BB" w:rsidRPr="00156B04">
        <w:rPr>
          <w:i/>
        </w:rPr>
        <w:t xml:space="preserve">Canada (Minister of Citizenship and Immigration) v. </w:t>
      </w:r>
      <w:proofErr w:type="spellStart"/>
      <w:r w:rsidR="006107BB" w:rsidRPr="00156B04">
        <w:rPr>
          <w:i/>
        </w:rPr>
        <w:t>Vavilov</w:t>
      </w:r>
      <w:proofErr w:type="spellEnd"/>
      <w:r w:rsidR="006107BB" w:rsidRPr="00156B04">
        <w:t xml:space="preserve">, 2019 SCC 65, [2019] 4 </w:t>
      </w:r>
      <w:proofErr w:type="spellStart"/>
      <w:r w:rsidR="006107BB" w:rsidRPr="00156B04">
        <w:t>S.C.R</w:t>
      </w:r>
      <w:proofErr w:type="spellEnd"/>
      <w:r w:rsidR="006107BB" w:rsidRPr="00156B04">
        <w:t xml:space="preserve">. 653; </w:t>
      </w:r>
      <w:r w:rsidR="00FB4028" w:rsidRPr="00156B04">
        <w:rPr>
          <w:i/>
          <w:iCs/>
        </w:rPr>
        <w:t>R. v. Kirkpatrick</w:t>
      </w:r>
      <w:r w:rsidR="00A12EDF" w:rsidRPr="00156B04">
        <w:t xml:space="preserve">, </w:t>
      </w:r>
      <w:r w:rsidR="00FB4028" w:rsidRPr="00156B04">
        <w:t xml:space="preserve">2022 SCC 33; </w:t>
      </w:r>
      <w:proofErr w:type="spellStart"/>
      <w:r w:rsidR="001A157D" w:rsidRPr="00156B04">
        <w:rPr>
          <w:i/>
          <w:iCs/>
          <w:lang w:val="en-US"/>
        </w:rPr>
        <w:t>Yugraneft</w:t>
      </w:r>
      <w:proofErr w:type="spellEnd"/>
      <w:r w:rsidR="001A157D" w:rsidRPr="00156B04">
        <w:rPr>
          <w:i/>
          <w:iCs/>
          <w:lang w:val="en-US"/>
        </w:rPr>
        <w:t xml:space="preserve"> Corp. </w:t>
      </w:r>
      <w:r w:rsidR="001A157D" w:rsidRPr="00156B04">
        <w:rPr>
          <w:i/>
          <w:lang w:val="en-US"/>
        </w:rPr>
        <w:t>v.</w:t>
      </w:r>
      <w:r w:rsidR="001A157D" w:rsidRPr="00156B04">
        <w:rPr>
          <w:lang w:val="en-US"/>
        </w:rPr>
        <w:t xml:space="preserve"> </w:t>
      </w:r>
      <w:proofErr w:type="spellStart"/>
      <w:r w:rsidR="001A157D" w:rsidRPr="00156B04">
        <w:rPr>
          <w:i/>
          <w:iCs/>
          <w:lang w:val="en-US"/>
        </w:rPr>
        <w:t>Rexx</w:t>
      </w:r>
      <w:proofErr w:type="spellEnd"/>
      <w:r w:rsidR="001A157D" w:rsidRPr="00156B04">
        <w:rPr>
          <w:i/>
          <w:iCs/>
          <w:lang w:val="en-US"/>
        </w:rPr>
        <w:t xml:space="preserve"> Management Corp.</w:t>
      </w:r>
      <w:r w:rsidR="001A157D" w:rsidRPr="00156B04">
        <w:rPr>
          <w:iCs/>
          <w:lang w:val="en-US"/>
        </w:rPr>
        <w:t>,</w:t>
      </w:r>
      <w:r w:rsidR="001A157D" w:rsidRPr="00156B04">
        <w:rPr>
          <w:i/>
          <w:iCs/>
          <w:lang w:val="en-US"/>
        </w:rPr>
        <w:t xml:space="preserve"> </w:t>
      </w:r>
      <w:r w:rsidR="001A157D" w:rsidRPr="00156B04">
        <w:rPr>
          <w:lang w:val="en-US"/>
        </w:rPr>
        <w:t xml:space="preserve">2010 SCC 19, </w:t>
      </w:r>
      <w:r w:rsidR="001A157D" w:rsidRPr="00156B04">
        <w:t xml:space="preserve">[2010] 1 </w:t>
      </w:r>
      <w:proofErr w:type="spellStart"/>
      <w:r w:rsidR="001A157D" w:rsidRPr="00156B04">
        <w:t>S.C.R</w:t>
      </w:r>
      <w:proofErr w:type="spellEnd"/>
      <w:r w:rsidR="001A157D" w:rsidRPr="00156B04">
        <w:t xml:space="preserve">. 649; </w:t>
      </w:r>
      <w:proofErr w:type="spellStart"/>
      <w:r w:rsidR="00086D87" w:rsidRPr="00156B04">
        <w:rPr>
          <w:i/>
          <w:iCs/>
          <w:lang w:val="en-US"/>
        </w:rPr>
        <w:t>Kasikili</w:t>
      </w:r>
      <w:proofErr w:type="spellEnd"/>
      <w:r w:rsidR="00086D87" w:rsidRPr="00156B04">
        <w:rPr>
          <w:i/>
          <w:iCs/>
          <w:lang w:val="en-US"/>
        </w:rPr>
        <w:t>/</w:t>
      </w:r>
      <w:proofErr w:type="spellStart"/>
      <w:r w:rsidR="00086D87" w:rsidRPr="00156B04">
        <w:rPr>
          <w:i/>
          <w:iCs/>
          <w:lang w:val="en-US"/>
        </w:rPr>
        <w:t>Sedudu</w:t>
      </w:r>
      <w:proofErr w:type="spellEnd"/>
      <w:r w:rsidR="00086D87" w:rsidRPr="00156B04">
        <w:rPr>
          <w:i/>
          <w:iCs/>
          <w:lang w:val="en-US"/>
        </w:rPr>
        <w:t xml:space="preserve"> Island (Botswana/Namibia)</w:t>
      </w:r>
      <w:r w:rsidR="00086D87" w:rsidRPr="00156B04">
        <w:rPr>
          <w:lang w:val="en-US"/>
        </w:rPr>
        <w:t xml:space="preserve">, Judgment, </w:t>
      </w:r>
      <w:proofErr w:type="spellStart"/>
      <w:r w:rsidR="00086D87" w:rsidRPr="00156B04">
        <w:rPr>
          <w:lang w:val="en-US"/>
        </w:rPr>
        <w:t>I.C.J</w:t>
      </w:r>
      <w:proofErr w:type="spellEnd"/>
      <w:r w:rsidR="00086D87" w:rsidRPr="00156B04">
        <w:rPr>
          <w:lang w:val="en-US"/>
        </w:rPr>
        <w:t xml:space="preserve">. Reports 1999, p. 1045; </w:t>
      </w:r>
      <w:r w:rsidR="00C3086B" w:rsidRPr="00156B04">
        <w:rPr>
          <w:i/>
          <w:iCs/>
        </w:rPr>
        <w:t xml:space="preserve">Hunt v. </w:t>
      </w:r>
      <w:proofErr w:type="spellStart"/>
      <w:r w:rsidR="00C3086B" w:rsidRPr="00156B04">
        <w:rPr>
          <w:i/>
          <w:iCs/>
        </w:rPr>
        <w:t>T&amp;N</w:t>
      </w:r>
      <w:proofErr w:type="spellEnd"/>
      <w:r w:rsidR="00C3086B" w:rsidRPr="00156B04">
        <w:rPr>
          <w:i/>
          <w:iCs/>
        </w:rPr>
        <w:t xml:space="preserve"> plc</w:t>
      </w:r>
      <w:r w:rsidR="00C3086B" w:rsidRPr="00156B04">
        <w:t xml:space="preserve">, [1993] 4 </w:t>
      </w:r>
      <w:proofErr w:type="spellStart"/>
      <w:r w:rsidR="00C3086B" w:rsidRPr="00156B04">
        <w:t>S.C.R</w:t>
      </w:r>
      <w:proofErr w:type="spellEnd"/>
      <w:r w:rsidR="00C3086B" w:rsidRPr="00156B04">
        <w:t xml:space="preserve">. 289; </w:t>
      </w:r>
      <w:proofErr w:type="spellStart"/>
      <w:r w:rsidR="007A3327" w:rsidRPr="00156B04">
        <w:rPr>
          <w:i/>
          <w:iCs/>
        </w:rPr>
        <w:t>Nevsun</w:t>
      </w:r>
      <w:proofErr w:type="spellEnd"/>
      <w:r w:rsidR="007A3327" w:rsidRPr="00156B04">
        <w:rPr>
          <w:i/>
          <w:iCs/>
        </w:rPr>
        <w:t xml:space="preserve"> Resources Ltd. v. Araya</w:t>
      </w:r>
      <w:r w:rsidR="007A3327" w:rsidRPr="00156B04">
        <w:t xml:space="preserve">, 2020 SCC 5, [2020] 1 </w:t>
      </w:r>
      <w:proofErr w:type="spellStart"/>
      <w:r w:rsidR="007A3327" w:rsidRPr="00156B04">
        <w:t>S.C.R</w:t>
      </w:r>
      <w:proofErr w:type="spellEnd"/>
      <w:r w:rsidR="007A3327" w:rsidRPr="00156B04">
        <w:t xml:space="preserve">. 166; </w:t>
      </w:r>
      <w:proofErr w:type="spellStart"/>
      <w:r w:rsidR="00A73B45" w:rsidRPr="00156B04">
        <w:rPr>
          <w:i/>
        </w:rPr>
        <w:t>Turp</w:t>
      </w:r>
      <w:proofErr w:type="spellEnd"/>
      <w:r w:rsidR="00A73B45" w:rsidRPr="00156B04">
        <w:rPr>
          <w:i/>
        </w:rPr>
        <w:t xml:space="preserve"> v. Canada (Foreign Affairs)</w:t>
      </w:r>
      <w:r w:rsidR="00A73B45" w:rsidRPr="00156B04">
        <w:t xml:space="preserve">, 2018 </w:t>
      </w:r>
      <w:proofErr w:type="spellStart"/>
      <w:r w:rsidR="00A73B45" w:rsidRPr="00156B04">
        <w:t>FCA</w:t>
      </w:r>
      <w:proofErr w:type="spellEnd"/>
      <w:r w:rsidR="00A73B45" w:rsidRPr="00156B04">
        <w:t xml:space="preserve"> 133, [2019] 1 </w:t>
      </w:r>
      <w:proofErr w:type="spellStart"/>
      <w:r w:rsidR="00A73B45" w:rsidRPr="00156B04">
        <w:t>F.C.R</w:t>
      </w:r>
      <w:proofErr w:type="spellEnd"/>
      <w:r w:rsidR="00A73B45" w:rsidRPr="00156B04">
        <w:t xml:space="preserve">. 198; </w:t>
      </w:r>
      <w:r w:rsidR="009A337A" w:rsidRPr="00156B04">
        <w:rPr>
          <w:rFonts w:eastAsiaTheme="minorHAnsi"/>
          <w:i/>
        </w:rPr>
        <w:t>Suresh v. Canada (Minister of Citizenship and Immigration)</w:t>
      </w:r>
      <w:r w:rsidR="009A337A" w:rsidRPr="00156B04">
        <w:rPr>
          <w:rFonts w:eastAsiaTheme="minorHAnsi"/>
        </w:rPr>
        <w:t xml:space="preserve">, 2002 SCC 1, [2002] 1 </w:t>
      </w:r>
      <w:proofErr w:type="spellStart"/>
      <w:r w:rsidR="009A337A" w:rsidRPr="00156B04">
        <w:rPr>
          <w:rFonts w:eastAsiaTheme="minorHAnsi"/>
        </w:rPr>
        <w:t>S.C.R</w:t>
      </w:r>
      <w:proofErr w:type="spellEnd"/>
      <w:r w:rsidR="009A337A" w:rsidRPr="00156B04">
        <w:rPr>
          <w:rFonts w:eastAsiaTheme="minorHAnsi"/>
        </w:rPr>
        <w:t xml:space="preserve">. 3; </w:t>
      </w:r>
      <w:r w:rsidR="00676DA7" w:rsidRPr="00156B04">
        <w:rPr>
          <w:i/>
        </w:rPr>
        <w:t xml:space="preserve">Holding Tusculum </w:t>
      </w:r>
      <w:proofErr w:type="spellStart"/>
      <w:r w:rsidR="00676DA7" w:rsidRPr="00156B04">
        <w:rPr>
          <w:i/>
        </w:rPr>
        <w:t>B.V</w:t>
      </w:r>
      <w:proofErr w:type="spellEnd"/>
      <w:r w:rsidR="00676DA7" w:rsidRPr="00156B04">
        <w:rPr>
          <w:i/>
        </w:rPr>
        <w:t xml:space="preserve">. v. S.A. Louis Dreyfus &amp; </w:t>
      </w:r>
      <w:proofErr w:type="spellStart"/>
      <w:r w:rsidR="00676DA7" w:rsidRPr="00156B04">
        <w:rPr>
          <w:i/>
        </w:rPr>
        <w:t>Cie</w:t>
      </w:r>
      <w:proofErr w:type="spellEnd"/>
      <w:r w:rsidR="00A12EDF" w:rsidRPr="00156B04">
        <w:t xml:space="preserve">, </w:t>
      </w:r>
      <w:r w:rsidR="00676DA7" w:rsidRPr="00156B04">
        <w:t xml:space="preserve">2006 </w:t>
      </w:r>
      <w:proofErr w:type="spellStart"/>
      <w:r w:rsidR="00676DA7" w:rsidRPr="00156B04">
        <w:t>QCCS</w:t>
      </w:r>
      <w:proofErr w:type="spellEnd"/>
      <w:r w:rsidR="00676DA7" w:rsidRPr="00156B04">
        <w:t xml:space="preserve"> 2827; </w:t>
      </w:r>
      <w:proofErr w:type="spellStart"/>
      <w:r w:rsidR="00C800CE" w:rsidRPr="00156B04">
        <w:rPr>
          <w:i/>
        </w:rPr>
        <w:t>Fédération</w:t>
      </w:r>
      <w:proofErr w:type="spellEnd"/>
      <w:r w:rsidR="00C800CE" w:rsidRPr="00156B04">
        <w:rPr>
          <w:i/>
        </w:rPr>
        <w:t xml:space="preserve"> des </w:t>
      </w:r>
      <w:proofErr w:type="spellStart"/>
      <w:r w:rsidR="00C800CE" w:rsidRPr="00156B04">
        <w:rPr>
          <w:i/>
        </w:rPr>
        <w:t>travailleurs</w:t>
      </w:r>
      <w:proofErr w:type="spellEnd"/>
      <w:r w:rsidR="00C800CE" w:rsidRPr="00156B04">
        <w:rPr>
          <w:i/>
        </w:rPr>
        <w:t xml:space="preserve"> du Québec (</w:t>
      </w:r>
      <w:proofErr w:type="spellStart"/>
      <w:r w:rsidR="00C800CE" w:rsidRPr="00156B04">
        <w:rPr>
          <w:i/>
        </w:rPr>
        <w:t>FTQ</w:t>
      </w:r>
      <w:proofErr w:type="spellEnd"/>
      <w:r w:rsidR="00C800CE" w:rsidRPr="00156B04">
        <w:rPr>
          <w:i/>
        </w:rPr>
        <w:t xml:space="preserve"> - Construction) v. </w:t>
      </w:r>
      <w:proofErr w:type="spellStart"/>
      <w:r w:rsidR="00C800CE" w:rsidRPr="00156B04">
        <w:rPr>
          <w:i/>
        </w:rPr>
        <w:t>Procureure</w:t>
      </w:r>
      <w:proofErr w:type="spellEnd"/>
      <w:r w:rsidR="00C800CE" w:rsidRPr="00156B04">
        <w:rPr>
          <w:i/>
        </w:rPr>
        <w:t xml:space="preserve"> </w:t>
      </w:r>
      <w:proofErr w:type="spellStart"/>
      <w:r w:rsidR="00C800CE" w:rsidRPr="00156B04">
        <w:rPr>
          <w:i/>
        </w:rPr>
        <w:t>générale</w:t>
      </w:r>
      <w:proofErr w:type="spellEnd"/>
      <w:r w:rsidR="00C800CE" w:rsidRPr="00156B04">
        <w:rPr>
          <w:i/>
        </w:rPr>
        <w:t xml:space="preserve"> du Québec</w:t>
      </w:r>
      <w:r w:rsidR="00A12EDF" w:rsidRPr="00156B04">
        <w:t xml:space="preserve">, </w:t>
      </w:r>
      <w:r w:rsidR="00C800CE" w:rsidRPr="00156B04">
        <w:t xml:space="preserve">2018 </w:t>
      </w:r>
      <w:proofErr w:type="spellStart"/>
      <w:r w:rsidR="00C800CE" w:rsidRPr="00156B04">
        <w:t>QCCS</w:t>
      </w:r>
      <w:proofErr w:type="spellEnd"/>
      <w:r w:rsidR="00C800CE" w:rsidRPr="00156B04">
        <w:t xml:space="preserve"> 4548; </w:t>
      </w:r>
      <w:r w:rsidR="00A76B15" w:rsidRPr="00156B04">
        <w:rPr>
          <w:i/>
        </w:rPr>
        <w:t>R. v. Abbey</w:t>
      </w:r>
      <w:r w:rsidR="00A76B15" w:rsidRPr="00156B04">
        <w:t xml:space="preserve">, [1982] 2 </w:t>
      </w:r>
      <w:proofErr w:type="spellStart"/>
      <w:r w:rsidR="00A76B15" w:rsidRPr="00156B04">
        <w:t>S.C.R</w:t>
      </w:r>
      <w:proofErr w:type="spellEnd"/>
      <w:r w:rsidR="00A76B15" w:rsidRPr="00156B04">
        <w:t xml:space="preserve">. 24; </w:t>
      </w:r>
      <w:r w:rsidR="00FF2537" w:rsidRPr="00156B04">
        <w:rPr>
          <w:i/>
        </w:rPr>
        <w:t xml:space="preserve">White Burgess </w:t>
      </w:r>
      <w:proofErr w:type="spellStart"/>
      <w:r w:rsidR="00FF2537" w:rsidRPr="00156B04">
        <w:rPr>
          <w:i/>
        </w:rPr>
        <w:t>Langille</w:t>
      </w:r>
      <w:proofErr w:type="spellEnd"/>
      <w:r w:rsidR="00FF2537" w:rsidRPr="00156B04">
        <w:rPr>
          <w:i/>
        </w:rPr>
        <w:t xml:space="preserve"> Inman v. Abbott and Haliburton Co.</w:t>
      </w:r>
      <w:r w:rsidR="00FF2537" w:rsidRPr="00156B04">
        <w:t xml:space="preserve">, 2015 SCC 23, [2015] 2 </w:t>
      </w:r>
      <w:proofErr w:type="spellStart"/>
      <w:r w:rsidR="00FF2537" w:rsidRPr="00156B04">
        <w:t>S.C.R</w:t>
      </w:r>
      <w:proofErr w:type="spellEnd"/>
      <w:r w:rsidR="00FF2537" w:rsidRPr="00156B04">
        <w:t xml:space="preserve">. 182; </w:t>
      </w:r>
      <w:r w:rsidR="00F87797" w:rsidRPr="00156B04">
        <w:rPr>
          <w:i/>
        </w:rPr>
        <w:t>M</w:t>
      </w:r>
      <w:r w:rsidR="00F87797" w:rsidRPr="00156B04">
        <w:rPr>
          <w:i/>
          <w:iCs/>
        </w:rPr>
        <w:t xml:space="preserve">asterpiece Inc. v. </w:t>
      </w:r>
      <w:proofErr w:type="spellStart"/>
      <w:r w:rsidR="00F87797" w:rsidRPr="00156B04">
        <w:rPr>
          <w:i/>
          <w:iCs/>
        </w:rPr>
        <w:t>Alavida</w:t>
      </w:r>
      <w:proofErr w:type="spellEnd"/>
      <w:r w:rsidR="00F87797" w:rsidRPr="00156B04">
        <w:rPr>
          <w:i/>
          <w:iCs/>
        </w:rPr>
        <w:t xml:space="preserve"> Lifestyles Inc.</w:t>
      </w:r>
      <w:r w:rsidR="00F87797" w:rsidRPr="00156B04">
        <w:t>,</w:t>
      </w:r>
      <w:r w:rsidR="00F87797" w:rsidRPr="00156B04">
        <w:rPr>
          <w:i/>
          <w:iCs/>
        </w:rPr>
        <w:t> </w:t>
      </w:r>
      <w:r w:rsidR="00F87797" w:rsidRPr="00156B04">
        <w:t xml:space="preserve">2011 SCC 27, [2011] 2 </w:t>
      </w:r>
      <w:proofErr w:type="spellStart"/>
      <w:r w:rsidR="00F87797" w:rsidRPr="00156B04">
        <w:t>S.C.R</w:t>
      </w:r>
      <w:proofErr w:type="spellEnd"/>
      <w:r w:rsidR="00F87797" w:rsidRPr="00156B04">
        <w:t xml:space="preserve">. 387; </w:t>
      </w:r>
      <w:proofErr w:type="spellStart"/>
      <w:r w:rsidR="00A73991" w:rsidRPr="00156B04">
        <w:rPr>
          <w:i/>
        </w:rPr>
        <w:t>Clayson</w:t>
      </w:r>
      <w:proofErr w:type="spellEnd"/>
      <w:r w:rsidR="00A73991" w:rsidRPr="00156B04">
        <w:rPr>
          <w:i/>
        </w:rPr>
        <w:t>-Martin v. Martin</w:t>
      </w:r>
      <w:r w:rsidR="00A73991" w:rsidRPr="00156B04">
        <w:t xml:space="preserve">, 2015 </w:t>
      </w:r>
      <w:proofErr w:type="spellStart"/>
      <w:r w:rsidR="00A73991" w:rsidRPr="00156B04">
        <w:t>ONCA</w:t>
      </w:r>
      <w:proofErr w:type="spellEnd"/>
      <w:r w:rsidR="00A73991" w:rsidRPr="00156B04">
        <w:t xml:space="preserve"> 596, 127 </w:t>
      </w:r>
      <w:proofErr w:type="spellStart"/>
      <w:r w:rsidR="00A73991" w:rsidRPr="00156B04">
        <w:t>O.R</w:t>
      </w:r>
      <w:proofErr w:type="spellEnd"/>
      <w:r w:rsidR="00A73991" w:rsidRPr="00156B04">
        <w:t>. (</w:t>
      </w:r>
      <w:proofErr w:type="spellStart"/>
      <w:r w:rsidR="00A73991" w:rsidRPr="00156B04">
        <w:t>3d</w:t>
      </w:r>
      <w:proofErr w:type="spellEnd"/>
      <w:r w:rsidR="00A73991" w:rsidRPr="00156B04">
        <w:t xml:space="preserve">) 1; </w:t>
      </w:r>
      <w:r w:rsidR="0041449F" w:rsidRPr="00156B04">
        <w:rPr>
          <w:i/>
        </w:rPr>
        <w:t xml:space="preserve">R. v. </w:t>
      </w:r>
      <w:proofErr w:type="spellStart"/>
      <w:r w:rsidR="0041449F" w:rsidRPr="00156B04">
        <w:rPr>
          <w:i/>
        </w:rPr>
        <w:t>Abdullahi</w:t>
      </w:r>
      <w:proofErr w:type="spellEnd"/>
      <w:r w:rsidR="0041449F" w:rsidRPr="00156B04">
        <w:t xml:space="preserve">, 2021 </w:t>
      </w:r>
      <w:proofErr w:type="spellStart"/>
      <w:r w:rsidR="0041449F" w:rsidRPr="00156B04">
        <w:t>ONCA</w:t>
      </w:r>
      <w:proofErr w:type="spellEnd"/>
      <w:r w:rsidR="0041449F" w:rsidRPr="00156B04">
        <w:t xml:space="preserve"> 82, 399 </w:t>
      </w:r>
      <w:proofErr w:type="spellStart"/>
      <w:r w:rsidR="0041449F" w:rsidRPr="00156B04">
        <w:t>C.C.C</w:t>
      </w:r>
      <w:proofErr w:type="spellEnd"/>
      <w:r w:rsidR="0041449F" w:rsidRPr="00156B04">
        <w:t>. (</w:t>
      </w:r>
      <w:proofErr w:type="spellStart"/>
      <w:r w:rsidR="0041449F" w:rsidRPr="00156B04">
        <w:t>3d</w:t>
      </w:r>
      <w:proofErr w:type="spellEnd"/>
      <w:r w:rsidR="0041449F" w:rsidRPr="00156B04">
        <w:t>)</w:t>
      </w:r>
      <w:r w:rsidR="0041449F" w:rsidRPr="00156B04">
        <w:rPr>
          <w:rFonts w:ascii="Times-Roman" w:hAnsi="Times-Roman" w:cs="Times-Roman"/>
          <w:sz w:val="18"/>
          <w:szCs w:val="18"/>
        </w:rPr>
        <w:t xml:space="preserve"> </w:t>
      </w:r>
      <w:r w:rsidR="0041449F" w:rsidRPr="00156B04">
        <w:t xml:space="preserve">397; </w:t>
      </w:r>
      <w:r w:rsidR="001463BC" w:rsidRPr="00156B04">
        <w:rPr>
          <w:i/>
        </w:rPr>
        <w:t>Quebec (Attorney General) v. Canada</w:t>
      </w:r>
      <w:r w:rsidR="001463BC" w:rsidRPr="00156B04">
        <w:t xml:space="preserve">, 2008 FC 713, 359 </w:t>
      </w:r>
      <w:proofErr w:type="spellStart"/>
      <w:r w:rsidR="001463BC" w:rsidRPr="00156B04">
        <w:t>F.T.R</w:t>
      </w:r>
      <w:proofErr w:type="spellEnd"/>
      <w:r w:rsidR="001463BC" w:rsidRPr="00156B04">
        <w:t xml:space="preserve">. 1, aff’d 2009 </w:t>
      </w:r>
      <w:proofErr w:type="spellStart"/>
      <w:r w:rsidR="001463BC" w:rsidRPr="00156B04">
        <w:t>FCA</w:t>
      </w:r>
      <w:proofErr w:type="spellEnd"/>
      <w:r w:rsidR="001463BC" w:rsidRPr="00156B04">
        <w:t xml:space="preserve"> 361, 400 </w:t>
      </w:r>
      <w:proofErr w:type="spellStart"/>
      <w:r w:rsidR="001463BC" w:rsidRPr="00156B04">
        <w:t>N.R</w:t>
      </w:r>
      <w:proofErr w:type="spellEnd"/>
      <w:r w:rsidR="001463BC" w:rsidRPr="00156B04">
        <w:t xml:space="preserve">. 323, aff’d 2011 SCC 11, [2011] 1 </w:t>
      </w:r>
      <w:proofErr w:type="spellStart"/>
      <w:r w:rsidR="001463BC" w:rsidRPr="00156B04">
        <w:t>S.C.R</w:t>
      </w:r>
      <w:proofErr w:type="spellEnd"/>
      <w:r w:rsidR="001463BC" w:rsidRPr="00156B04">
        <w:t>. 368;</w:t>
      </w:r>
      <w:r w:rsidR="004027F2" w:rsidRPr="00156B04">
        <w:rPr>
          <w:i/>
        </w:rPr>
        <w:t xml:space="preserve"> Surrey Credit Union v. </w:t>
      </w:r>
      <w:proofErr w:type="spellStart"/>
      <w:r w:rsidR="004027F2" w:rsidRPr="00156B04">
        <w:rPr>
          <w:i/>
        </w:rPr>
        <w:t>Willson</w:t>
      </w:r>
      <w:proofErr w:type="spellEnd"/>
      <w:r w:rsidR="004027F2" w:rsidRPr="00156B04">
        <w:t xml:space="preserve"> (1990), 45 </w:t>
      </w:r>
      <w:proofErr w:type="spellStart"/>
      <w:r w:rsidR="004027F2" w:rsidRPr="00156B04">
        <w:t>B.C.L.R</w:t>
      </w:r>
      <w:proofErr w:type="spellEnd"/>
      <w:r w:rsidR="004027F2" w:rsidRPr="00156B04">
        <w:t>. (</w:t>
      </w:r>
      <w:proofErr w:type="spellStart"/>
      <w:r w:rsidR="004027F2" w:rsidRPr="00156B04">
        <w:t>2d</w:t>
      </w:r>
      <w:proofErr w:type="spellEnd"/>
      <w:r w:rsidR="004027F2" w:rsidRPr="00156B04">
        <w:t xml:space="preserve">) 310; </w:t>
      </w:r>
      <w:r w:rsidR="00CA204D" w:rsidRPr="00156B04">
        <w:rPr>
          <w:i/>
        </w:rPr>
        <w:t>Daniels v. White</w:t>
      </w:r>
      <w:r w:rsidR="00CA204D" w:rsidRPr="00156B04">
        <w:t xml:space="preserve">, [1968] </w:t>
      </w:r>
      <w:proofErr w:type="spellStart"/>
      <w:r w:rsidR="00CA204D" w:rsidRPr="00156B04">
        <w:t>S.C.R</w:t>
      </w:r>
      <w:proofErr w:type="spellEnd"/>
      <w:r w:rsidR="00CA204D" w:rsidRPr="00156B04">
        <w:t xml:space="preserve">. 517; </w:t>
      </w:r>
      <w:r w:rsidR="00E0736C" w:rsidRPr="00156B04">
        <w:rPr>
          <w:i/>
        </w:rPr>
        <w:t xml:space="preserve">R. v. </w:t>
      </w:r>
      <w:proofErr w:type="spellStart"/>
      <w:r w:rsidR="00E0736C" w:rsidRPr="00156B04">
        <w:rPr>
          <w:i/>
        </w:rPr>
        <w:t>Hape</w:t>
      </w:r>
      <w:proofErr w:type="spellEnd"/>
      <w:r w:rsidR="00E0736C" w:rsidRPr="00156B04">
        <w:t xml:space="preserve">, 2007 SCC 26, [2007] 2 </w:t>
      </w:r>
      <w:proofErr w:type="spellStart"/>
      <w:r w:rsidR="00E0736C" w:rsidRPr="00156B04">
        <w:t>S.C.R</w:t>
      </w:r>
      <w:proofErr w:type="spellEnd"/>
      <w:r w:rsidR="00E0736C" w:rsidRPr="00156B04">
        <w:t xml:space="preserve">. 292; </w:t>
      </w:r>
      <w:r w:rsidR="000A1A3B" w:rsidRPr="00156B04">
        <w:rPr>
          <w:i/>
        </w:rPr>
        <w:t xml:space="preserve">Boland v. </w:t>
      </w:r>
      <w:proofErr w:type="spellStart"/>
      <w:r w:rsidR="000A1A3B" w:rsidRPr="00156B04">
        <w:rPr>
          <w:i/>
        </w:rPr>
        <w:t>APV</w:t>
      </w:r>
      <w:proofErr w:type="spellEnd"/>
      <w:r w:rsidR="000A1A3B" w:rsidRPr="00156B04">
        <w:rPr>
          <w:i/>
        </w:rPr>
        <w:t xml:space="preserve"> Canada Inc.</w:t>
      </w:r>
      <w:r w:rsidR="000A1A3B" w:rsidRPr="00156B04">
        <w:t xml:space="preserve"> (2005), 250 </w:t>
      </w:r>
      <w:proofErr w:type="spellStart"/>
      <w:r w:rsidR="000A1A3B" w:rsidRPr="00156B04">
        <w:t>D.L.R</w:t>
      </w:r>
      <w:proofErr w:type="spellEnd"/>
      <w:r w:rsidR="000A1A3B" w:rsidRPr="00156B04">
        <w:t>. (4th) 376</w:t>
      </w:r>
      <w:r w:rsidR="00DB055E" w:rsidRPr="00156B04">
        <w:t>.</w:t>
      </w:r>
    </w:p>
    <w:p w14:paraId="18C5ADF7" w14:textId="77777777" w:rsidR="003B215F" w:rsidRPr="00156B04" w:rsidRDefault="002E6705" w:rsidP="00146D45">
      <w:pPr>
        <w:pStyle w:val="SCCNormalDoubleSpacing"/>
        <w:spacing w:after="720" w:line="240" w:lineRule="auto"/>
      </w:pPr>
      <w:r w:rsidRPr="00156B04">
        <w:rPr>
          <w:b/>
        </w:rPr>
        <w:t>Statutes and Regulations Cite</w:t>
      </w:r>
      <w:r w:rsidR="00A41805" w:rsidRPr="00156B04">
        <w:rPr>
          <w:b/>
        </w:rPr>
        <w:t>d</w:t>
      </w:r>
    </w:p>
    <w:p w14:paraId="42042CB9" w14:textId="0EE95384" w:rsidR="002C3E50" w:rsidRPr="00156B04" w:rsidRDefault="002C3E50" w:rsidP="00146D45">
      <w:pPr>
        <w:pStyle w:val="SCCNormalDoubleSpacing"/>
        <w:spacing w:after="240" w:line="240" w:lineRule="auto"/>
        <w:ind w:left="540" w:hanging="540"/>
        <w:rPr>
          <w:i/>
        </w:rPr>
      </w:pPr>
      <w:r w:rsidRPr="00156B04">
        <w:rPr>
          <w:i/>
        </w:rPr>
        <w:t>Act to amend the Carriage by Air Act</w:t>
      </w:r>
      <w:r w:rsidRPr="00156B04">
        <w:t xml:space="preserve">, </w:t>
      </w:r>
      <w:r w:rsidR="00146D45" w:rsidRPr="00156B04">
        <w:t xml:space="preserve">S.C. 2001, </w:t>
      </w:r>
      <w:proofErr w:type="gramStart"/>
      <w:r w:rsidR="00146D45" w:rsidRPr="00156B04">
        <w:t>c</w:t>
      </w:r>
      <w:proofErr w:type="gramEnd"/>
      <w:r w:rsidR="00146D45" w:rsidRPr="00156B04">
        <w:t>. </w:t>
      </w:r>
      <w:r w:rsidRPr="00156B04">
        <w:t>31.</w:t>
      </w:r>
    </w:p>
    <w:p w14:paraId="5704F2DA" w14:textId="2B26D8D6" w:rsidR="00A149DF" w:rsidRPr="00156B04" w:rsidRDefault="0075168D" w:rsidP="00146D45">
      <w:pPr>
        <w:pStyle w:val="SCCNormalDoubleSpacing"/>
        <w:spacing w:after="240" w:line="240" w:lineRule="auto"/>
        <w:ind w:left="540" w:hanging="540"/>
      </w:pPr>
      <w:r w:rsidRPr="00156B04">
        <w:rPr>
          <w:i/>
        </w:rPr>
        <w:t>Air Passenger Protection Regulations</w:t>
      </w:r>
      <w:r w:rsidR="00146D45" w:rsidRPr="00156B04">
        <w:t xml:space="preserve">, </w:t>
      </w:r>
      <w:proofErr w:type="spellStart"/>
      <w:r w:rsidR="00146D45" w:rsidRPr="00156B04">
        <w:t>SOR</w:t>
      </w:r>
      <w:proofErr w:type="spellEnd"/>
      <w:r w:rsidR="00146D45" w:rsidRPr="00156B04">
        <w:t>/2019</w:t>
      </w:r>
      <w:r w:rsidR="00146D45" w:rsidRPr="00156B04">
        <w:noBreakHyphen/>
      </w:r>
      <w:r w:rsidRPr="00156B04">
        <w:t>150</w:t>
      </w:r>
      <w:r w:rsidR="00496F8A" w:rsidRPr="00156B04">
        <w:t>, ss. </w:t>
      </w:r>
      <w:r w:rsidR="00E00AE6" w:rsidRPr="00156B04">
        <w:t xml:space="preserve">5 to 8, 10(3), </w:t>
      </w:r>
      <w:r w:rsidR="00563011" w:rsidRPr="00156B04">
        <w:t xml:space="preserve">11, </w:t>
      </w:r>
      <w:r w:rsidR="00496F8A" w:rsidRPr="00156B04">
        <w:t>12</w:t>
      </w:r>
      <w:r w:rsidR="00E00AE6" w:rsidRPr="00156B04">
        <w:t>(2) to (4), 13 to 18</w:t>
      </w:r>
      <w:r w:rsidR="00496F8A" w:rsidRPr="00156B04">
        <w:t>, 19, 20</w:t>
      </w:r>
      <w:r w:rsidR="00B01AAE" w:rsidRPr="00156B04">
        <w:t>, 23</w:t>
      </w:r>
      <w:r w:rsidR="00E00AE6" w:rsidRPr="00156B04">
        <w:t>, 24</w:t>
      </w:r>
      <w:r w:rsidRPr="00156B04">
        <w:t>.</w:t>
      </w:r>
    </w:p>
    <w:p w14:paraId="7F4E4D74" w14:textId="5823ACC8" w:rsidR="00E6361B" w:rsidRPr="00156B04" w:rsidRDefault="00E6361B" w:rsidP="00146D45">
      <w:pPr>
        <w:pStyle w:val="SCCNormalDoubleSpacing"/>
        <w:spacing w:after="240" w:line="240" w:lineRule="auto"/>
        <w:ind w:left="540" w:hanging="540"/>
        <w:rPr>
          <w:i/>
        </w:rPr>
      </w:pPr>
      <w:r w:rsidRPr="00156B04">
        <w:rPr>
          <w:i/>
        </w:rPr>
        <w:t>Air Transportation Regulations</w:t>
      </w:r>
      <w:r w:rsidRPr="00156B04">
        <w:t xml:space="preserve">, </w:t>
      </w:r>
      <w:proofErr w:type="spellStart"/>
      <w:r w:rsidRPr="00156B04">
        <w:t>SOR</w:t>
      </w:r>
      <w:proofErr w:type="spellEnd"/>
      <w:r w:rsidRPr="00156B04">
        <w:t>/88-58</w:t>
      </w:r>
      <w:r w:rsidR="00C16691" w:rsidRPr="00156B04">
        <w:t>, s</w:t>
      </w:r>
      <w:r w:rsidR="00146D45" w:rsidRPr="00156B04">
        <w:t>s. </w:t>
      </w:r>
      <w:r w:rsidR="00323917" w:rsidRPr="00156B04">
        <w:t xml:space="preserve">113.1, </w:t>
      </w:r>
      <w:r w:rsidR="00C16691" w:rsidRPr="00156B04">
        <w:t>122(c</w:t>
      </w:r>
      <w:proofErr w:type="gramStart"/>
      <w:r w:rsidR="00C16691" w:rsidRPr="00156B04">
        <w:t>)(</w:t>
      </w:r>
      <w:proofErr w:type="gramEnd"/>
      <w:r w:rsidR="00C16691" w:rsidRPr="00156B04">
        <w:t>xxi)</w:t>
      </w:r>
      <w:r w:rsidRPr="00156B04">
        <w:t>.</w:t>
      </w:r>
    </w:p>
    <w:p w14:paraId="61EA2CA7" w14:textId="1A3932EF" w:rsidR="00C62F15" w:rsidRPr="00156B04" w:rsidRDefault="00C62F15" w:rsidP="00146D45">
      <w:pPr>
        <w:pStyle w:val="SCCNormalDoubleSpacing"/>
        <w:spacing w:after="240" w:line="240" w:lineRule="auto"/>
        <w:ind w:left="540" w:hanging="540"/>
      </w:pPr>
      <w:r w:rsidRPr="00156B04">
        <w:rPr>
          <w:i/>
        </w:rPr>
        <w:t>Canada Transportation Act</w:t>
      </w:r>
      <w:r w:rsidRPr="00156B04">
        <w:t>, S.C. 1996, c.</w:t>
      </w:r>
      <w:r w:rsidR="00146D45" w:rsidRPr="00156B04">
        <w:t> </w:t>
      </w:r>
      <w:r w:rsidRPr="00156B04">
        <w:t>10</w:t>
      </w:r>
      <w:r w:rsidR="00B87665" w:rsidRPr="00156B04">
        <w:t>, s</w:t>
      </w:r>
      <w:r w:rsidR="0076670B" w:rsidRPr="00156B04">
        <w:t>s</w:t>
      </w:r>
      <w:r w:rsidR="00B87665" w:rsidRPr="00156B04">
        <w:t>.</w:t>
      </w:r>
      <w:r w:rsidR="00146D45" w:rsidRPr="00156B04">
        <w:t> </w:t>
      </w:r>
      <w:r w:rsidR="0076670B" w:rsidRPr="00156B04">
        <w:t>41</w:t>
      </w:r>
      <w:r w:rsidR="009B3620" w:rsidRPr="00156B04">
        <w:t>, 85.04(1</w:t>
      </w:r>
      <w:proofErr w:type="gramStart"/>
      <w:r w:rsidR="009B3620" w:rsidRPr="00156B04">
        <w:t>)(</w:t>
      </w:r>
      <w:proofErr w:type="gramEnd"/>
      <w:r w:rsidR="009B3620" w:rsidRPr="00156B04">
        <w:t>a), (c)</w:t>
      </w:r>
      <w:r w:rsidR="000D59D5" w:rsidRPr="00156B04">
        <w:t>, 85.05(1)</w:t>
      </w:r>
      <w:r w:rsidR="00E60964" w:rsidRPr="00156B04">
        <w:t>, 85.06</w:t>
      </w:r>
      <w:r w:rsidR="00422173" w:rsidRPr="00156B04">
        <w:t>, 85.07(1)</w:t>
      </w:r>
      <w:r w:rsidR="007D4F10" w:rsidRPr="00156B04">
        <w:t>,</w:t>
      </w:r>
      <w:r w:rsidR="00422173" w:rsidRPr="00156B04">
        <w:t xml:space="preserve"> (3)</w:t>
      </w:r>
      <w:r w:rsidR="00C35769" w:rsidRPr="00156B04">
        <w:t>, 85.08</w:t>
      </w:r>
      <w:r w:rsidR="005540CE" w:rsidRPr="00156B04">
        <w:t>, 85.14</w:t>
      </w:r>
      <w:r w:rsidR="00A93A6C" w:rsidRPr="00156B04">
        <w:t>, 86(1)(h)(</w:t>
      </w:r>
      <w:proofErr w:type="spellStart"/>
      <w:r w:rsidR="00A93A6C" w:rsidRPr="00156B04">
        <w:t>iii.1</w:t>
      </w:r>
      <w:proofErr w:type="spellEnd"/>
      <w:r w:rsidR="00A93A6C" w:rsidRPr="00156B04">
        <w:t>)</w:t>
      </w:r>
      <w:r w:rsidR="0076670B" w:rsidRPr="00156B04">
        <w:t>,</w:t>
      </w:r>
      <w:r w:rsidR="00A93A6C" w:rsidRPr="00156B04">
        <w:t xml:space="preserve"> </w:t>
      </w:r>
      <w:r w:rsidR="00B87665" w:rsidRPr="00156B04">
        <w:t>86.11</w:t>
      </w:r>
      <w:r w:rsidR="00CC27FA" w:rsidRPr="00156B04">
        <w:t xml:space="preserve"> [</w:t>
      </w:r>
      <w:r w:rsidR="00E44AFC" w:rsidRPr="00156B04">
        <w:t>a</w:t>
      </w:r>
      <w:r w:rsidR="003C7473" w:rsidRPr="00156B04">
        <w:t>d</w:t>
      </w:r>
      <w:r w:rsidR="00CC27FA" w:rsidRPr="00156B04">
        <w:t>. 2018, c. 10, s. 19]</w:t>
      </w:r>
      <w:r w:rsidR="005943FE" w:rsidRPr="00156B04">
        <w:t>, 177(1)</w:t>
      </w:r>
      <w:r w:rsidRPr="00156B04">
        <w:t>.</w:t>
      </w:r>
    </w:p>
    <w:p w14:paraId="7C682A0C" w14:textId="1EBDAEAE" w:rsidR="00F0213F" w:rsidRPr="00156B04" w:rsidRDefault="00F0213F" w:rsidP="00146D45">
      <w:pPr>
        <w:pStyle w:val="SCCNormalDoubleSpacing"/>
        <w:spacing w:after="240" w:line="240" w:lineRule="auto"/>
        <w:ind w:left="540" w:hanging="540"/>
      </w:pPr>
      <w:r w:rsidRPr="00156B04">
        <w:rPr>
          <w:i/>
        </w:rPr>
        <w:t>Carriage by Air Act</w:t>
      </w:r>
      <w:r w:rsidR="00146D45" w:rsidRPr="00156B04">
        <w:t xml:space="preserve">, </w:t>
      </w:r>
      <w:proofErr w:type="spellStart"/>
      <w:r w:rsidR="00146D45" w:rsidRPr="00156B04">
        <w:t>R.S.C</w:t>
      </w:r>
      <w:proofErr w:type="spellEnd"/>
      <w:r w:rsidR="00146D45" w:rsidRPr="00156B04">
        <w:t>. 1985, c. C</w:t>
      </w:r>
      <w:r w:rsidR="00146D45" w:rsidRPr="00156B04">
        <w:noBreakHyphen/>
      </w:r>
      <w:r w:rsidRPr="00156B04">
        <w:t>26</w:t>
      </w:r>
      <w:r w:rsidR="003B5CBB" w:rsidRPr="00156B04">
        <w:t>, Sch. VI</w:t>
      </w:r>
      <w:r w:rsidRPr="00156B04">
        <w:t>.</w:t>
      </w:r>
    </w:p>
    <w:p w14:paraId="7A6326B2" w14:textId="262118BE" w:rsidR="007059A2" w:rsidRPr="00156B04" w:rsidRDefault="007059A2" w:rsidP="00146D45">
      <w:pPr>
        <w:pStyle w:val="SCCNormalDoubleSpacing"/>
        <w:spacing w:after="240" w:line="240" w:lineRule="auto"/>
        <w:ind w:left="540" w:hanging="540"/>
      </w:pPr>
      <w:r w:rsidRPr="00156B04">
        <w:rPr>
          <w:i/>
        </w:rPr>
        <w:t>Direction Respecting Tarmac Delays of Three Hours or Less</w:t>
      </w:r>
      <w:r w:rsidR="00146D45" w:rsidRPr="00156B04">
        <w:t xml:space="preserve">, </w:t>
      </w:r>
      <w:proofErr w:type="spellStart"/>
      <w:r w:rsidR="00146D45" w:rsidRPr="00156B04">
        <w:t>SOR</w:t>
      </w:r>
      <w:proofErr w:type="spellEnd"/>
      <w:r w:rsidR="00146D45" w:rsidRPr="00156B04">
        <w:t>/2019</w:t>
      </w:r>
      <w:r w:rsidR="00146D45" w:rsidRPr="00156B04">
        <w:noBreakHyphen/>
      </w:r>
      <w:r w:rsidRPr="00156B04">
        <w:t>110.</w:t>
      </w:r>
    </w:p>
    <w:p w14:paraId="755E9E6C" w14:textId="77777777" w:rsidR="00522488" w:rsidRPr="00156B04" w:rsidRDefault="00522488" w:rsidP="00522488">
      <w:pPr>
        <w:pStyle w:val="SCCNormalDoubleSpacing"/>
        <w:spacing w:after="240" w:line="240" w:lineRule="auto"/>
        <w:ind w:left="540" w:hanging="540"/>
      </w:pPr>
      <w:r w:rsidRPr="00156B04">
        <w:rPr>
          <w:i/>
        </w:rPr>
        <w:t>Federal Courts Rules</w:t>
      </w:r>
      <w:r w:rsidRPr="00156B04">
        <w:t xml:space="preserve">, </w:t>
      </w:r>
      <w:proofErr w:type="spellStart"/>
      <w:r w:rsidRPr="00156B04">
        <w:t>SOR</w:t>
      </w:r>
      <w:proofErr w:type="spellEnd"/>
      <w:r w:rsidRPr="00156B04">
        <w:t>/98</w:t>
      </w:r>
      <w:r w:rsidRPr="00156B04">
        <w:noBreakHyphen/>
        <w:t>106, r. 369.</w:t>
      </w:r>
    </w:p>
    <w:p w14:paraId="79E3D8F4" w14:textId="6A135667" w:rsidR="00A64469" w:rsidRPr="00156B04" w:rsidRDefault="00A64469" w:rsidP="00522488">
      <w:pPr>
        <w:pStyle w:val="SCCNormalDoubleSpacing"/>
        <w:spacing w:after="720" w:line="240" w:lineRule="auto"/>
        <w:ind w:left="540" w:hanging="540"/>
      </w:pPr>
      <w:r w:rsidRPr="00156B04">
        <w:rPr>
          <w:i/>
        </w:rPr>
        <w:t>Transportation Modernization Act</w:t>
      </w:r>
      <w:r w:rsidRPr="00156B04">
        <w:t>, S.C. 2018, c. 10.</w:t>
      </w:r>
    </w:p>
    <w:p w14:paraId="4C530B45" w14:textId="77777777" w:rsidR="005D2040" w:rsidRPr="00156B04" w:rsidRDefault="005D2040" w:rsidP="00146D45">
      <w:pPr>
        <w:pStyle w:val="sccnormaldoublespacing0"/>
        <w:spacing w:before="0" w:beforeAutospacing="0" w:after="720" w:afterAutospacing="0"/>
        <w:jc w:val="both"/>
        <w:rPr>
          <w:color w:val="000000"/>
        </w:rPr>
      </w:pPr>
      <w:r w:rsidRPr="00156B04">
        <w:rPr>
          <w:b/>
          <w:bCs/>
          <w:color w:val="000000"/>
        </w:rPr>
        <w:t>Treaties and Other International Instruments</w:t>
      </w:r>
    </w:p>
    <w:p w14:paraId="28E42C16" w14:textId="3C628162" w:rsidR="005D2040" w:rsidRPr="00156B04" w:rsidRDefault="005D2040" w:rsidP="00146D45">
      <w:pPr>
        <w:pStyle w:val="sccnormaldoublespacing0"/>
        <w:spacing w:before="0" w:beforeAutospacing="0" w:after="240" w:afterAutospacing="0"/>
        <w:ind w:left="547" w:hanging="547"/>
        <w:jc w:val="both"/>
        <w:rPr>
          <w:color w:val="000000"/>
        </w:rPr>
      </w:pPr>
      <w:r w:rsidRPr="00156B04">
        <w:rPr>
          <w:rStyle w:val="solexhl"/>
          <w:i/>
          <w:iCs/>
          <w:color w:val="000000"/>
        </w:rPr>
        <w:t>Convention for the Unification of Certain Rules for International Carriage by Air</w:t>
      </w:r>
      <w:r w:rsidRPr="00156B04">
        <w:rPr>
          <w:color w:val="000000"/>
        </w:rPr>
        <w:t xml:space="preserve">, 2242 </w:t>
      </w:r>
      <w:proofErr w:type="spellStart"/>
      <w:r w:rsidRPr="00156B04">
        <w:rPr>
          <w:color w:val="000000"/>
        </w:rPr>
        <w:t>U.N.T.S</w:t>
      </w:r>
      <w:proofErr w:type="spellEnd"/>
      <w:r w:rsidRPr="00156B04">
        <w:rPr>
          <w:color w:val="000000"/>
        </w:rPr>
        <w:t>. 309 [</w:t>
      </w:r>
      <w:r w:rsidRPr="00156B04">
        <w:rPr>
          <w:i/>
          <w:iCs/>
          <w:color w:val="000000"/>
        </w:rPr>
        <w:t>Montreal Convention</w:t>
      </w:r>
      <w:r w:rsidRPr="00156B04">
        <w:rPr>
          <w:color w:val="000000"/>
        </w:rPr>
        <w:t>]</w:t>
      </w:r>
      <w:r w:rsidR="009B738B" w:rsidRPr="00156B04">
        <w:rPr>
          <w:color w:val="000000"/>
        </w:rPr>
        <w:t xml:space="preserve">, </w:t>
      </w:r>
      <w:r w:rsidR="009B738B" w:rsidRPr="00156B04">
        <w:t>preamble</w:t>
      </w:r>
      <w:r w:rsidRPr="00156B04">
        <w:rPr>
          <w:color w:val="000000"/>
        </w:rPr>
        <w:t>,</w:t>
      </w:r>
      <w:r w:rsidR="00DA571A" w:rsidRPr="00156B04">
        <w:rPr>
          <w:color w:val="000000"/>
        </w:rPr>
        <w:t xml:space="preserve"> Art</w:t>
      </w:r>
      <w:r w:rsidR="007F7717" w:rsidRPr="00156B04">
        <w:rPr>
          <w:color w:val="000000"/>
        </w:rPr>
        <w:t>s</w:t>
      </w:r>
      <w:r w:rsidR="00146D45" w:rsidRPr="00156B04">
        <w:rPr>
          <w:color w:val="000000"/>
        </w:rPr>
        <w:t>. </w:t>
      </w:r>
      <w:r w:rsidR="0032057C" w:rsidRPr="00156B04">
        <w:rPr>
          <w:color w:val="000000"/>
        </w:rPr>
        <w:t xml:space="preserve">1, </w:t>
      </w:r>
      <w:r w:rsidR="007F7717" w:rsidRPr="00156B04">
        <w:t>17 to 19</w:t>
      </w:r>
      <w:r w:rsidR="000E1B1E" w:rsidRPr="00156B04">
        <w:t>, 20</w:t>
      </w:r>
      <w:r w:rsidR="006161D6" w:rsidRPr="00156B04">
        <w:t>, 21, 22, 26</w:t>
      </w:r>
      <w:r w:rsidR="003A5503" w:rsidRPr="00156B04">
        <w:t>, 27</w:t>
      </w:r>
      <w:r w:rsidR="007F7717" w:rsidRPr="00156B04">
        <w:t xml:space="preserve">, </w:t>
      </w:r>
      <w:r w:rsidR="00DA571A" w:rsidRPr="00156B04">
        <w:rPr>
          <w:color w:val="000000"/>
        </w:rPr>
        <w:t>29</w:t>
      </w:r>
      <w:r w:rsidR="00713187" w:rsidRPr="00156B04">
        <w:rPr>
          <w:color w:val="000000"/>
        </w:rPr>
        <w:t xml:space="preserve">, </w:t>
      </w:r>
      <w:r w:rsidR="00713187" w:rsidRPr="00156B04">
        <w:t>33(1), 35(2)</w:t>
      </w:r>
      <w:r w:rsidR="00DA571A" w:rsidRPr="00156B04">
        <w:rPr>
          <w:color w:val="000000"/>
        </w:rPr>
        <w:t>.</w:t>
      </w:r>
    </w:p>
    <w:p w14:paraId="2F18559A" w14:textId="29B0E904" w:rsidR="00042379" w:rsidRPr="00156B04" w:rsidRDefault="00042379" w:rsidP="00146D45">
      <w:pPr>
        <w:pStyle w:val="sccnormaldoublespacing0"/>
        <w:spacing w:before="0" w:beforeAutospacing="0" w:after="720" w:afterAutospacing="0"/>
        <w:ind w:left="547" w:hanging="547"/>
        <w:jc w:val="both"/>
        <w:rPr>
          <w:color w:val="000000"/>
        </w:rPr>
      </w:pPr>
      <w:r w:rsidRPr="00156B04">
        <w:rPr>
          <w:i/>
        </w:rPr>
        <w:t>Vienna Convention on the Law of Treaties</w:t>
      </w:r>
      <w:r w:rsidR="00146D45" w:rsidRPr="00156B04">
        <w:t xml:space="preserve">, Can. </w:t>
      </w:r>
      <w:proofErr w:type="spellStart"/>
      <w:r w:rsidR="00146D45" w:rsidRPr="00156B04">
        <w:t>T.S</w:t>
      </w:r>
      <w:proofErr w:type="spellEnd"/>
      <w:r w:rsidR="00146D45" w:rsidRPr="00156B04">
        <w:t>. 1980 No. </w:t>
      </w:r>
      <w:r w:rsidRPr="00156B04">
        <w:t>37, Art</w:t>
      </w:r>
      <w:r w:rsidR="0032659F" w:rsidRPr="00156B04">
        <w:t>s</w:t>
      </w:r>
      <w:r w:rsidR="00146D45" w:rsidRPr="00156B04">
        <w:t>. </w:t>
      </w:r>
      <w:r w:rsidRPr="00156B04">
        <w:t>31</w:t>
      </w:r>
      <w:r w:rsidR="0032659F" w:rsidRPr="00156B04">
        <w:t>, 32</w:t>
      </w:r>
      <w:r w:rsidRPr="00156B04">
        <w:t>.</w:t>
      </w:r>
    </w:p>
    <w:p w14:paraId="45E6E6AA" w14:textId="77777777" w:rsidR="002E6705" w:rsidRPr="00156B04" w:rsidRDefault="002E6705" w:rsidP="00146D45">
      <w:pPr>
        <w:pStyle w:val="SCCNormalDoubleSpacing"/>
        <w:spacing w:after="720" w:line="240" w:lineRule="auto"/>
        <w:rPr>
          <w:b/>
        </w:rPr>
      </w:pPr>
      <w:r w:rsidRPr="00156B04">
        <w:rPr>
          <w:b/>
        </w:rPr>
        <w:t>Authors Cited</w:t>
      </w:r>
    </w:p>
    <w:p w14:paraId="292DA280" w14:textId="3966361A" w:rsidR="005E5E95" w:rsidRPr="00156B04" w:rsidRDefault="005E5E95" w:rsidP="00146D45">
      <w:pPr>
        <w:pStyle w:val="SCCNormalDoubleSpacing"/>
        <w:spacing w:after="240" w:line="240" w:lineRule="auto"/>
        <w:ind w:left="540" w:hanging="540"/>
        <w:rPr>
          <w:szCs w:val="24"/>
        </w:rPr>
      </w:pPr>
      <w:r w:rsidRPr="00156B04">
        <w:rPr>
          <w:rStyle w:val="solexhl"/>
          <w:i/>
          <w:iCs/>
          <w:color w:val="000000"/>
        </w:rPr>
        <w:t>Black’s Law Dictionary</w:t>
      </w:r>
      <w:r w:rsidRPr="00156B04">
        <w:rPr>
          <w:color w:val="000000"/>
        </w:rPr>
        <w:t>, 11</w:t>
      </w:r>
      <w:r w:rsidR="00A12EDF" w:rsidRPr="00156B04">
        <w:rPr>
          <w:color w:val="000000"/>
        </w:rPr>
        <w:t xml:space="preserve">th ed., by Bryan A. </w:t>
      </w:r>
      <w:r w:rsidR="00ED175A" w:rsidRPr="00156B04">
        <w:rPr>
          <w:color w:val="000000"/>
        </w:rPr>
        <w:t>Garner. St. </w:t>
      </w:r>
      <w:r w:rsidRPr="00156B04">
        <w:rPr>
          <w:color w:val="000000"/>
        </w:rPr>
        <w:t>Paul, Minn.: Thomson Reuters, 2019</w:t>
      </w:r>
      <w:r w:rsidRPr="00156B04">
        <w:rPr>
          <w:rStyle w:val="ui-provider"/>
          <w:rFonts w:eastAsiaTheme="majorEastAsia"/>
          <w:color w:val="000000"/>
        </w:rPr>
        <w:t>, “</w:t>
      </w:r>
      <w:r w:rsidRPr="00156B04">
        <w:t>action”</w:t>
      </w:r>
      <w:r w:rsidR="009852EB" w:rsidRPr="00156B04">
        <w:t>, “damages”</w:t>
      </w:r>
      <w:r w:rsidRPr="00156B04">
        <w:t>.</w:t>
      </w:r>
    </w:p>
    <w:p w14:paraId="5868CE53" w14:textId="657F0FB7" w:rsidR="000A0C0B" w:rsidRPr="00156B04" w:rsidRDefault="000A0C0B" w:rsidP="00146D45">
      <w:pPr>
        <w:pStyle w:val="SCCNormalDoubleSpacing"/>
        <w:spacing w:after="240" w:line="240" w:lineRule="auto"/>
        <w:ind w:left="540" w:hanging="540"/>
        <w:rPr>
          <w:szCs w:val="24"/>
        </w:rPr>
      </w:pPr>
      <w:r w:rsidRPr="00156B04">
        <w:rPr>
          <w:szCs w:val="24"/>
        </w:rPr>
        <w:t xml:space="preserve">Canada. Library of Parliament. Parliamentary Information, Education and Research Services. </w:t>
      </w:r>
      <w:r w:rsidRPr="00156B04">
        <w:rPr>
          <w:i/>
          <w:szCs w:val="24"/>
        </w:rPr>
        <w:t>Canada’s Approach to the Treaty-Making Process</w:t>
      </w:r>
      <w:r w:rsidRPr="00156B04">
        <w:rPr>
          <w:szCs w:val="24"/>
        </w:rPr>
        <w:t xml:space="preserve">, </w:t>
      </w:r>
      <w:r w:rsidR="00F51C1B" w:rsidRPr="00156B04">
        <w:rPr>
          <w:szCs w:val="24"/>
        </w:rPr>
        <w:t xml:space="preserve">Hill Studies </w:t>
      </w:r>
      <w:r w:rsidR="00146D45" w:rsidRPr="00156B04">
        <w:rPr>
          <w:szCs w:val="24"/>
        </w:rPr>
        <w:t>2008-45</w:t>
      </w:r>
      <w:r w:rsidR="00146D45" w:rsidRPr="00156B04">
        <w:rPr>
          <w:szCs w:val="24"/>
        </w:rPr>
        <w:noBreakHyphen/>
      </w:r>
      <w:r w:rsidRPr="00156B04">
        <w:rPr>
          <w:szCs w:val="24"/>
        </w:rPr>
        <w:t>E, by Laura Barnett, Legal and Social Affairs Division</w:t>
      </w:r>
      <w:r w:rsidR="00146D45" w:rsidRPr="00156B04">
        <w:rPr>
          <w:szCs w:val="24"/>
        </w:rPr>
        <w:t>, April </w:t>
      </w:r>
      <w:r w:rsidRPr="00156B04">
        <w:rPr>
          <w:szCs w:val="24"/>
        </w:rPr>
        <w:t>1, 2021.</w:t>
      </w:r>
    </w:p>
    <w:p w14:paraId="12BC97F7" w14:textId="07E232AA" w:rsidR="00BA7B77" w:rsidRPr="00156B04" w:rsidRDefault="00BA7B77" w:rsidP="00146D45">
      <w:pPr>
        <w:pStyle w:val="SCCNormalDoubleSpacing"/>
        <w:spacing w:after="240" w:line="240" w:lineRule="auto"/>
        <w:ind w:left="540" w:hanging="540"/>
        <w:rPr>
          <w:szCs w:val="24"/>
        </w:rPr>
      </w:pPr>
      <w:r w:rsidRPr="00156B04">
        <w:rPr>
          <w:i/>
        </w:rPr>
        <w:t>Canadian Law Dictionary</w:t>
      </w:r>
      <w:r w:rsidRPr="00156B04">
        <w:t xml:space="preserve">, 7th ed., by Steve Coughlan, </w:t>
      </w:r>
      <w:r w:rsidR="00177504" w:rsidRPr="00156B04">
        <w:t>John </w:t>
      </w:r>
      <w:r w:rsidRPr="00156B04">
        <w:t>A. Yogis and Catherine Cotter</w:t>
      </w:r>
      <w:r w:rsidR="00356FD8" w:rsidRPr="00156B04">
        <w:t>.</w:t>
      </w:r>
      <w:r w:rsidR="00C93354" w:rsidRPr="00156B04">
        <w:t xml:space="preserve"> New York: Barron’s Educational Series, 2013, “action at law”</w:t>
      </w:r>
      <w:r w:rsidR="00EA5A07" w:rsidRPr="00156B04">
        <w:t>, “damages”</w:t>
      </w:r>
      <w:r w:rsidR="00C93354" w:rsidRPr="00156B04">
        <w:t>.</w:t>
      </w:r>
    </w:p>
    <w:p w14:paraId="1A809305" w14:textId="336ECECD" w:rsidR="00A149DF" w:rsidRPr="00156B04" w:rsidRDefault="00177504" w:rsidP="00146D45">
      <w:pPr>
        <w:pStyle w:val="SCCNormalDoubleSpacing"/>
        <w:spacing w:after="240" w:line="240" w:lineRule="auto"/>
        <w:ind w:left="540" w:hanging="540"/>
        <w:rPr>
          <w:szCs w:val="24"/>
        </w:rPr>
      </w:pPr>
      <w:r w:rsidRPr="00156B04">
        <w:rPr>
          <w:szCs w:val="24"/>
        </w:rPr>
        <w:t>Currie, John </w:t>
      </w:r>
      <w:r w:rsidR="005168D2" w:rsidRPr="00156B04">
        <w:rPr>
          <w:szCs w:val="24"/>
        </w:rPr>
        <w:t xml:space="preserve">H., et al. </w:t>
      </w:r>
      <w:r w:rsidR="005168D2" w:rsidRPr="00156B04">
        <w:rPr>
          <w:i/>
          <w:szCs w:val="24"/>
        </w:rPr>
        <w:t>International Law: Doctrine, Practice, and Theory</w:t>
      </w:r>
      <w:r w:rsidR="005168D2" w:rsidRPr="00156B04">
        <w:rPr>
          <w:szCs w:val="24"/>
        </w:rPr>
        <w:t>, 3rd ed. Toronto: Irwin Law, 2022.</w:t>
      </w:r>
    </w:p>
    <w:p w14:paraId="3815480C" w14:textId="41E28A58" w:rsidR="00051EB6" w:rsidRPr="00156B04" w:rsidRDefault="00051EB6" w:rsidP="00146D45">
      <w:pPr>
        <w:pStyle w:val="SCCNormalDoubleSpacing"/>
        <w:spacing w:after="240" w:line="240" w:lineRule="auto"/>
        <w:ind w:left="540" w:hanging="540"/>
      </w:pPr>
      <w:r w:rsidRPr="00156B04">
        <w:t xml:space="preserve">Dempsey, Paul Stephen. </w:t>
      </w:r>
      <w:r w:rsidRPr="00156B04">
        <w:rPr>
          <w:i/>
        </w:rPr>
        <w:t>Aviation Liability Law</w:t>
      </w:r>
      <w:r w:rsidRPr="00156B04">
        <w:t>, 2nd ed. Markham, Ont.: LexisNexis, 2013.</w:t>
      </w:r>
    </w:p>
    <w:p w14:paraId="5DA00F17" w14:textId="4921061C" w:rsidR="00E77EB9" w:rsidRPr="00156B04" w:rsidRDefault="00E77EB9" w:rsidP="00146D45">
      <w:pPr>
        <w:pStyle w:val="SCCNormalDoubleSpacing"/>
        <w:spacing w:after="240" w:line="240" w:lineRule="auto"/>
        <w:ind w:left="540" w:hanging="540"/>
      </w:pPr>
      <w:r w:rsidRPr="00156B04">
        <w:t>I</w:t>
      </w:r>
      <w:r w:rsidRPr="00156B04">
        <w:rPr>
          <w:color w:val="000000"/>
        </w:rPr>
        <w:t>nternational</w:t>
      </w:r>
      <w:r w:rsidRPr="00156B04">
        <w:t xml:space="preserve"> Civil Aviation Organization. </w:t>
      </w:r>
      <w:r w:rsidRPr="00156B04">
        <w:rPr>
          <w:i/>
        </w:rPr>
        <w:t>International Conference on Air Law</w:t>
      </w:r>
      <w:r w:rsidR="00177504" w:rsidRPr="00156B04">
        <w:t>, vol. </w:t>
      </w:r>
      <w:r w:rsidRPr="00156B04">
        <w:t xml:space="preserve">I, </w:t>
      </w:r>
      <w:r w:rsidRPr="00156B04">
        <w:rPr>
          <w:i/>
        </w:rPr>
        <w:t>Minutes</w:t>
      </w:r>
      <w:r w:rsidRPr="00156B04">
        <w:t xml:space="preserve">, Doc. 9775-DC/2. </w:t>
      </w:r>
      <w:r w:rsidRPr="00156B04">
        <w:rPr>
          <w:color w:val="000000"/>
        </w:rPr>
        <w:t>Montréal,</w:t>
      </w:r>
      <w:r w:rsidRPr="00156B04">
        <w:t xml:space="preserve"> 2001.</w:t>
      </w:r>
    </w:p>
    <w:p w14:paraId="0D8290B6" w14:textId="6CB722C6" w:rsidR="00DD591C" w:rsidRPr="00156B04" w:rsidRDefault="00DD591C" w:rsidP="00146D45">
      <w:pPr>
        <w:pStyle w:val="SCCNormalDoubleSpacing"/>
        <w:spacing w:after="240" w:line="240" w:lineRule="auto"/>
        <w:ind w:left="540" w:hanging="540"/>
        <w:rPr>
          <w:color w:val="000000"/>
        </w:rPr>
      </w:pPr>
      <w:proofErr w:type="gramStart"/>
      <w:r w:rsidRPr="00156B04">
        <w:t>van</w:t>
      </w:r>
      <w:proofErr w:type="gramEnd"/>
      <w:r w:rsidRPr="00156B04">
        <w:t xml:space="preserve"> </w:t>
      </w:r>
      <w:proofErr w:type="spellStart"/>
      <w:r w:rsidRPr="00156B04">
        <w:t>Ert</w:t>
      </w:r>
      <w:proofErr w:type="spellEnd"/>
      <w:r w:rsidRPr="00156B04">
        <w:t>,</w:t>
      </w:r>
      <w:r w:rsidR="0069120E" w:rsidRPr="00156B04">
        <w:t xml:space="preserve"> Gib.</w:t>
      </w:r>
      <w:r w:rsidRPr="00156B04">
        <w:t xml:space="preserve"> </w:t>
      </w:r>
      <w:r w:rsidRPr="00156B04">
        <w:rPr>
          <w:i/>
        </w:rPr>
        <w:t>Recent Federal Courts decisions on expert evidence of international law</w:t>
      </w:r>
      <w:r w:rsidRPr="00156B04">
        <w:t xml:space="preserve">, </w:t>
      </w:r>
      <w:r w:rsidR="00177504" w:rsidRPr="00156B04">
        <w:t>December </w:t>
      </w:r>
      <w:r w:rsidRPr="00156B04">
        <w:t xml:space="preserve">31, 2018 (online: https://gibvanert.com/2018/12/31/recent-federal-courts-decisions-on-expert-evidence-of-international-law/; </w:t>
      </w:r>
      <w:r w:rsidRPr="00156B04">
        <w:rPr>
          <w:rStyle w:val="solexhl"/>
          <w:rFonts w:eastAsiaTheme="majorEastAsia"/>
          <w:color w:val="000000"/>
        </w:rPr>
        <w:t>archived version</w:t>
      </w:r>
      <w:r w:rsidRPr="00156B04">
        <w:rPr>
          <w:color w:val="000000"/>
        </w:rPr>
        <w:t>:</w:t>
      </w:r>
      <w:r w:rsidR="0069120E" w:rsidRPr="00156B04">
        <w:rPr>
          <w:color w:val="000000"/>
        </w:rPr>
        <w:t xml:space="preserve"> </w:t>
      </w:r>
      <w:hyperlink r:id="rId9" w:history="1">
        <w:r w:rsidRPr="00FC5393">
          <w:rPr>
            <w:rStyle w:val="Hyperlink"/>
          </w:rPr>
          <w:t>https://www.scc-csc.ca/cso-dce/2024SCC-CSC</w:t>
        </w:r>
        <w:r w:rsidR="00482818" w:rsidRPr="00FC5393">
          <w:rPr>
            <w:rStyle w:val="Hyperlink"/>
          </w:rPr>
          <w:t>30</w:t>
        </w:r>
        <w:r w:rsidRPr="00FC5393">
          <w:rPr>
            <w:rStyle w:val="Hyperlink"/>
          </w:rPr>
          <w:t>_1_eng.pdf</w:t>
        </w:r>
      </w:hyperlink>
      <w:r w:rsidRPr="00156B04">
        <w:rPr>
          <w:color w:val="000000"/>
        </w:rPr>
        <w:t>).</w:t>
      </w:r>
    </w:p>
    <w:p w14:paraId="3BE3CD70" w14:textId="13DDBCBD" w:rsidR="0038084E" w:rsidRPr="00156B04" w:rsidRDefault="0038084E" w:rsidP="00146D45">
      <w:pPr>
        <w:pStyle w:val="SCCNormalDoubleSpacing"/>
        <w:spacing w:after="240" w:line="240" w:lineRule="auto"/>
        <w:ind w:left="540" w:hanging="540"/>
      </w:pPr>
      <w:proofErr w:type="gramStart"/>
      <w:r w:rsidRPr="00156B04">
        <w:t>van</w:t>
      </w:r>
      <w:proofErr w:type="gramEnd"/>
      <w:r w:rsidRPr="00156B04">
        <w:t xml:space="preserve"> </w:t>
      </w:r>
      <w:proofErr w:type="spellStart"/>
      <w:r w:rsidRPr="00156B04">
        <w:t>Ert</w:t>
      </w:r>
      <w:proofErr w:type="spellEnd"/>
      <w:r w:rsidRPr="00156B04">
        <w:t xml:space="preserve">, Gib. </w:t>
      </w:r>
      <w:r w:rsidRPr="00156B04">
        <w:rPr>
          <w:i/>
        </w:rPr>
        <w:t>Using International Law in Canadian Courts</w:t>
      </w:r>
      <w:r w:rsidR="00EB26CB" w:rsidRPr="00156B04">
        <w:t xml:space="preserve">, </w:t>
      </w:r>
      <w:r w:rsidRPr="00156B04">
        <w:t xml:space="preserve">2nd ed. </w:t>
      </w:r>
      <w:r w:rsidR="00EB26CB" w:rsidRPr="00156B04">
        <w:t xml:space="preserve">Toronto: Irwin Law, </w:t>
      </w:r>
      <w:r w:rsidRPr="00156B04">
        <w:t>2008</w:t>
      </w:r>
      <w:r w:rsidR="00EB26CB" w:rsidRPr="00156B04">
        <w:t>.</w:t>
      </w:r>
    </w:p>
    <w:p w14:paraId="58D4E1C8" w14:textId="3AA3067B" w:rsidR="00491C54" w:rsidRPr="00156B04" w:rsidRDefault="00491C54" w:rsidP="00146D45">
      <w:pPr>
        <w:pStyle w:val="SCCNormalDoubleSpacing"/>
        <w:spacing w:after="720" w:line="240" w:lineRule="auto"/>
        <w:ind w:left="540" w:hanging="540"/>
      </w:pPr>
      <w:proofErr w:type="gramStart"/>
      <w:r w:rsidRPr="00156B04">
        <w:t>van</w:t>
      </w:r>
      <w:proofErr w:type="gramEnd"/>
      <w:r w:rsidRPr="00156B04">
        <w:t xml:space="preserve"> </w:t>
      </w:r>
      <w:proofErr w:type="spellStart"/>
      <w:r w:rsidRPr="00156B04">
        <w:t>Ert</w:t>
      </w:r>
      <w:proofErr w:type="spellEnd"/>
      <w:r w:rsidRPr="00156B04">
        <w:t xml:space="preserve">, Gibran. “The Admissibility of International Legal Evidence” (2005), 84 </w:t>
      </w:r>
      <w:r w:rsidRPr="00156B04">
        <w:rPr>
          <w:i/>
        </w:rPr>
        <w:t>Can. Bar Rev.</w:t>
      </w:r>
      <w:r w:rsidRPr="00156B04">
        <w:t xml:space="preserve"> 31.</w:t>
      </w:r>
    </w:p>
    <w:p w14:paraId="55EC07E7" w14:textId="1D4B6A84" w:rsidR="00656313" w:rsidRPr="00156B04" w:rsidRDefault="009B57B3" w:rsidP="00146D45">
      <w:pPr>
        <w:pStyle w:val="SCCNormalDoubleSpacing"/>
        <w:spacing w:after="480"/>
      </w:pPr>
      <w:r w:rsidRPr="00156B04">
        <w:tab/>
        <w:t>APPEAL from a judgment of the Federal Court of Appeal</w:t>
      </w:r>
      <w:r w:rsidR="00990D76" w:rsidRPr="00156B04">
        <w:t xml:space="preserve"> (</w:t>
      </w:r>
      <w:r w:rsidR="00CD44CF" w:rsidRPr="00156B04">
        <w:t xml:space="preserve">Pelletier, de </w:t>
      </w:r>
      <w:proofErr w:type="spellStart"/>
      <w:r w:rsidR="00CD44CF" w:rsidRPr="00156B04">
        <w:t>Montigny</w:t>
      </w:r>
      <w:proofErr w:type="spellEnd"/>
      <w:r w:rsidR="00CD44CF" w:rsidRPr="00156B04">
        <w:t xml:space="preserve"> and Locke </w:t>
      </w:r>
      <w:proofErr w:type="spellStart"/>
      <w:r w:rsidR="00CD44CF" w:rsidRPr="00156B04">
        <w:t>JJ.A</w:t>
      </w:r>
      <w:proofErr w:type="spellEnd"/>
      <w:r w:rsidR="00CD44CF" w:rsidRPr="00156B04">
        <w:t>.</w:t>
      </w:r>
      <w:r w:rsidR="00990D76" w:rsidRPr="00156B04">
        <w:t>),</w:t>
      </w:r>
      <w:r w:rsidR="00D052AE" w:rsidRPr="00156B04">
        <w:t xml:space="preserve"> </w:t>
      </w:r>
      <w:hyperlink r:id="rId10" w:history="1">
        <w:r w:rsidR="00D052AE" w:rsidRPr="00156B04">
          <w:rPr>
            <w:rStyle w:val="Hyperlink"/>
          </w:rPr>
          <w:t xml:space="preserve">2022 </w:t>
        </w:r>
        <w:proofErr w:type="spellStart"/>
        <w:r w:rsidR="00D052AE" w:rsidRPr="00156B04">
          <w:rPr>
            <w:rStyle w:val="Hyperlink"/>
          </w:rPr>
          <w:t>FCA</w:t>
        </w:r>
        <w:proofErr w:type="spellEnd"/>
        <w:r w:rsidR="00D052AE" w:rsidRPr="00156B04">
          <w:rPr>
            <w:rStyle w:val="Hyperlink"/>
          </w:rPr>
          <w:t xml:space="preserve"> 211</w:t>
        </w:r>
      </w:hyperlink>
      <w:r w:rsidR="008829FF" w:rsidRPr="00156B04">
        <w:t xml:space="preserve">, [2022] </w:t>
      </w:r>
      <w:proofErr w:type="spellStart"/>
      <w:r w:rsidR="008829FF" w:rsidRPr="00156B04">
        <w:t>F.C.J</w:t>
      </w:r>
      <w:proofErr w:type="spellEnd"/>
      <w:r w:rsidR="008829FF" w:rsidRPr="00156B04">
        <w:t xml:space="preserve">. No. 1702 (Lexis), 2022 </w:t>
      </w:r>
      <w:proofErr w:type="spellStart"/>
      <w:r w:rsidR="008829FF" w:rsidRPr="00156B04">
        <w:t>CarswellNat</w:t>
      </w:r>
      <w:proofErr w:type="spellEnd"/>
      <w:r w:rsidR="008829FF" w:rsidRPr="00156B04">
        <w:t xml:space="preserve"> 5115 (WL), dismissing in part a challenge </w:t>
      </w:r>
      <w:r w:rsidR="0077485A" w:rsidRPr="00156B04">
        <w:t>t</w:t>
      </w:r>
      <w:r w:rsidR="008829FF" w:rsidRPr="00156B04">
        <w:t>o the validity of regulations adopted by the Canadian Transportation Agency</w:t>
      </w:r>
      <w:r w:rsidR="002D5F26" w:rsidRPr="00156B04">
        <w:t xml:space="preserve">. Appeal </w:t>
      </w:r>
      <w:r w:rsidR="003138F4" w:rsidRPr="00156B04">
        <w:t>dismissed</w:t>
      </w:r>
      <w:r w:rsidR="002D5F26" w:rsidRPr="00156B04">
        <w:t>.</w:t>
      </w:r>
    </w:p>
    <w:p w14:paraId="76582C1D" w14:textId="7A7F1D43" w:rsidR="00B96D6E" w:rsidRPr="00156B04" w:rsidRDefault="000A221A" w:rsidP="00146D45">
      <w:pPr>
        <w:pStyle w:val="SCCNormalDoubleSpacing"/>
        <w:spacing w:after="480"/>
      </w:pPr>
      <w:r w:rsidRPr="00156B04">
        <w:rPr>
          <w:rStyle w:val="SCCCounselNameChar"/>
        </w:rPr>
        <w:tab/>
        <w:t xml:space="preserve">Pierre </w:t>
      </w:r>
      <w:proofErr w:type="spellStart"/>
      <w:r w:rsidRPr="00156B04">
        <w:rPr>
          <w:rStyle w:val="SCCCounselNameChar"/>
        </w:rPr>
        <w:t>Bienvenu</w:t>
      </w:r>
      <w:proofErr w:type="spellEnd"/>
      <w:r w:rsidRPr="00156B04">
        <w:rPr>
          <w:rStyle w:val="SCCCounselNameChar"/>
          <w:i w:val="0"/>
        </w:rPr>
        <w:t>,</w:t>
      </w:r>
      <w:r w:rsidRPr="00156B04">
        <w:rPr>
          <w:rStyle w:val="SCCCounselNameChar"/>
        </w:rPr>
        <w:t xml:space="preserve"> Clay Hunter</w:t>
      </w:r>
      <w:r w:rsidRPr="00156B04">
        <w:rPr>
          <w:rStyle w:val="SCCCounselNameChar"/>
          <w:i w:val="0"/>
        </w:rPr>
        <w:t>,</w:t>
      </w:r>
      <w:r w:rsidR="00177504" w:rsidRPr="00156B04">
        <w:rPr>
          <w:rStyle w:val="SCCCounselNameChar"/>
        </w:rPr>
        <w:t xml:space="preserve"> </w:t>
      </w:r>
      <w:proofErr w:type="spellStart"/>
      <w:r w:rsidR="00177504" w:rsidRPr="00156B04">
        <w:rPr>
          <w:rStyle w:val="SCCCounselNameChar"/>
        </w:rPr>
        <w:t>Virginie</w:t>
      </w:r>
      <w:proofErr w:type="spellEnd"/>
      <w:r w:rsidR="00177504" w:rsidRPr="00156B04">
        <w:rPr>
          <w:rStyle w:val="SCCCounselNameChar"/>
        </w:rPr>
        <w:t xml:space="preserve"> </w:t>
      </w:r>
      <w:proofErr w:type="spellStart"/>
      <w:r w:rsidR="00177504" w:rsidRPr="00156B04">
        <w:rPr>
          <w:rStyle w:val="SCCCounselNameChar"/>
        </w:rPr>
        <w:t>Blanchette</w:t>
      </w:r>
      <w:proofErr w:type="spellEnd"/>
      <w:r w:rsidR="00177504" w:rsidRPr="00156B04">
        <w:rPr>
          <w:rStyle w:val="SCCCounselNameChar"/>
        </w:rPr>
        <w:noBreakHyphen/>
      </w:r>
      <w:r w:rsidRPr="00156B04">
        <w:rPr>
          <w:rStyle w:val="SCCCounselNameChar"/>
        </w:rPr>
        <w:t>Séguin</w:t>
      </w:r>
      <w:r w:rsidR="004F49FE" w:rsidRPr="00156B04">
        <w:rPr>
          <w:rStyle w:val="SCCCounselSeparatorChar"/>
        </w:rPr>
        <w:t>,</w:t>
      </w:r>
      <w:r w:rsidRPr="00156B04">
        <w:rPr>
          <w:rStyle w:val="SCCCounselSeparatorChar"/>
        </w:rPr>
        <w:t xml:space="preserve"> </w:t>
      </w:r>
      <w:r w:rsidRPr="00156B04">
        <w:rPr>
          <w:rStyle w:val="SCCCounselNameChar"/>
        </w:rPr>
        <w:t xml:space="preserve">Jean-Simon </w:t>
      </w:r>
      <w:proofErr w:type="spellStart"/>
      <w:r w:rsidRPr="00156B04">
        <w:rPr>
          <w:rStyle w:val="SCCCounselNameChar"/>
        </w:rPr>
        <w:t>Schoenholz</w:t>
      </w:r>
      <w:proofErr w:type="spellEnd"/>
      <w:r w:rsidR="004F49FE" w:rsidRPr="00156B04">
        <w:rPr>
          <w:rStyle w:val="SCCCounselNameChar"/>
        </w:rPr>
        <w:t xml:space="preserve"> </w:t>
      </w:r>
      <w:r w:rsidR="004F49FE" w:rsidRPr="00156B04">
        <w:rPr>
          <w:rStyle w:val="SCCCounselNameChar"/>
          <w:i w:val="0"/>
        </w:rPr>
        <w:t xml:space="preserve">and </w:t>
      </w:r>
      <w:proofErr w:type="spellStart"/>
      <w:r w:rsidR="004F49FE" w:rsidRPr="00156B04">
        <w:rPr>
          <w:rStyle w:val="SCCCounselNameChar"/>
        </w:rPr>
        <w:t>Jiwan</w:t>
      </w:r>
      <w:proofErr w:type="spellEnd"/>
      <w:r w:rsidR="004F49FE" w:rsidRPr="00156B04">
        <w:rPr>
          <w:rStyle w:val="SCCCounselNameChar"/>
        </w:rPr>
        <w:t xml:space="preserve"> Son</w:t>
      </w:r>
      <w:r w:rsidRPr="00156B04">
        <w:rPr>
          <w:rStyle w:val="SCCCounselPartyRoleChar"/>
        </w:rPr>
        <w:t>, for the appellant</w:t>
      </w:r>
      <w:r w:rsidR="00F632C8" w:rsidRPr="00156B04">
        <w:rPr>
          <w:rStyle w:val="SCCCounselPartyRoleChar"/>
        </w:rPr>
        <w:t>s</w:t>
      </w:r>
      <w:r w:rsidRPr="00156B04">
        <w:rPr>
          <w:rStyle w:val="SCCCounselPartyRoleChar"/>
        </w:rPr>
        <w:t>.</w:t>
      </w:r>
    </w:p>
    <w:p w14:paraId="58E10390" w14:textId="77777777" w:rsidR="00B96D6E" w:rsidRPr="00156B04" w:rsidRDefault="000A221A" w:rsidP="00146D45">
      <w:pPr>
        <w:pStyle w:val="SCCNormalDoubleSpacing"/>
        <w:spacing w:after="480"/>
      </w:pPr>
      <w:r w:rsidRPr="00156B04">
        <w:rPr>
          <w:rStyle w:val="SCCCounselNameChar"/>
        </w:rPr>
        <w:tab/>
        <w:t xml:space="preserve">Barbara </w:t>
      </w:r>
      <w:proofErr w:type="spellStart"/>
      <w:r w:rsidRPr="00156B04">
        <w:rPr>
          <w:rStyle w:val="SCCCounselNameChar"/>
        </w:rPr>
        <w:t>Cuber</w:t>
      </w:r>
      <w:proofErr w:type="spellEnd"/>
      <w:r w:rsidRPr="00156B04">
        <w:rPr>
          <w:rStyle w:val="SCCCounselPartyRoleChar"/>
        </w:rPr>
        <w:t>, for the respondent</w:t>
      </w:r>
      <w:r w:rsidR="00082B47" w:rsidRPr="00156B04">
        <w:rPr>
          <w:rStyle w:val="SCCCounselPartyRoleChar"/>
        </w:rPr>
        <w:t xml:space="preserve"> the </w:t>
      </w:r>
      <w:r w:rsidR="00082B47" w:rsidRPr="00156B04">
        <w:t>Canadian Transportation Agency</w:t>
      </w:r>
      <w:r w:rsidRPr="00156B04">
        <w:rPr>
          <w:rStyle w:val="SCCCounselPartyRoleChar"/>
        </w:rPr>
        <w:t>.</w:t>
      </w:r>
    </w:p>
    <w:p w14:paraId="3BFB2A9A" w14:textId="7B60BF6E" w:rsidR="00B96D6E" w:rsidRPr="00156B04" w:rsidRDefault="000A221A" w:rsidP="00146D45">
      <w:pPr>
        <w:pStyle w:val="SCCNormalDoubleSpacing"/>
        <w:spacing w:after="480"/>
      </w:pPr>
      <w:r w:rsidRPr="00156B04">
        <w:rPr>
          <w:rStyle w:val="SCCCounselNameChar"/>
        </w:rPr>
        <w:tab/>
        <w:t xml:space="preserve">Bernard </w:t>
      </w:r>
      <w:proofErr w:type="spellStart"/>
      <w:r w:rsidRPr="00156B04">
        <w:rPr>
          <w:rStyle w:val="SCCCounselNameChar"/>
        </w:rPr>
        <w:t>Letarte</w:t>
      </w:r>
      <w:proofErr w:type="spellEnd"/>
      <w:r w:rsidR="00DF1CAB" w:rsidRPr="00156B04">
        <w:rPr>
          <w:rStyle w:val="SCCCounselNameChar"/>
          <w:i w:val="0"/>
        </w:rPr>
        <w:t xml:space="preserve"> and</w:t>
      </w:r>
      <w:r w:rsidR="00146D45" w:rsidRPr="00156B04">
        <w:rPr>
          <w:rStyle w:val="SCCCounselNameChar"/>
        </w:rPr>
        <w:t xml:space="preserve"> Lindy Rouillard</w:t>
      </w:r>
      <w:r w:rsidR="00146D45" w:rsidRPr="00156B04">
        <w:rPr>
          <w:rStyle w:val="SCCCounselNameChar"/>
        </w:rPr>
        <w:noBreakHyphen/>
      </w:r>
      <w:proofErr w:type="spellStart"/>
      <w:r w:rsidRPr="00156B04">
        <w:rPr>
          <w:rStyle w:val="SCCCounselNameChar"/>
        </w:rPr>
        <w:t>Labbé</w:t>
      </w:r>
      <w:proofErr w:type="spellEnd"/>
      <w:r w:rsidRPr="00156B04">
        <w:rPr>
          <w:rStyle w:val="SCCCounselPartyRoleChar"/>
        </w:rPr>
        <w:t>, for the respondent</w:t>
      </w:r>
      <w:r w:rsidR="00082B47" w:rsidRPr="00156B04">
        <w:rPr>
          <w:rStyle w:val="SCCCounselPartyRoleChar"/>
        </w:rPr>
        <w:t xml:space="preserve"> the </w:t>
      </w:r>
      <w:r w:rsidR="00082B47" w:rsidRPr="00156B04">
        <w:t>Attorney General of Canada</w:t>
      </w:r>
      <w:r w:rsidRPr="00156B04">
        <w:rPr>
          <w:rStyle w:val="SCCCounselPartyRoleChar"/>
        </w:rPr>
        <w:t>.</w:t>
      </w:r>
    </w:p>
    <w:p w14:paraId="3386FDC8" w14:textId="12E515C4" w:rsidR="00643E75" w:rsidRPr="00156B04" w:rsidRDefault="000A221A" w:rsidP="00146D45">
      <w:pPr>
        <w:pStyle w:val="SCCNormalDoubleSpacing"/>
        <w:spacing w:after="480"/>
        <w:rPr>
          <w:rStyle w:val="SCCCounselNameChar"/>
          <w:i w:val="0"/>
        </w:rPr>
      </w:pPr>
      <w:r w:rsidRPr="00156B04">
        <w:rPr>
          <w:rStyle w:val="SCCCounselNameChar"/>
        </w:rPr>
        <w:tab/>
      </w:r>
      <w:proofErr w:type="spellStart"/>
      <w:r w:rsidR="00643E75" w:rsidRPr="00156B04">
        <w:rPr>
          <w:rStyle w:val="SCCCounselNameChar"/>
        </w:rPr>
        <w:t>Gábor</w:t>
      </w:r>
      <w:proofErr w:type="spellEnd"/>
      <w:r w:rsidR="00643E75" w:rsidRPr="00156B04">
        <w:rPr>
          <w:rStyle w:val="SCCCounselNameChar"/>
        </w:rPr>
        <w:t xml:space="preserve"> </w:t>
      </w:r>
      <w:proofErr w:type="spellStart"/>
      <w:r w:rsidR="00643E75" w:rsidRPr="00156B04">
        <w:rPr>
          <w:rStyle w:val="SCCCounselNameChar"/>
        </w:rPr>
        <w:t>Lukács</w:t>
      </w:r>
      <w:proofErr w:type="spellEnd"/>
      <w:r w:rsidR="00643E75" w:rsidRPr="00156B04">
        <w:rPr>
          <w:rStyle w:val="SCCCounselNameChar"/>
          <w:i w:val="0"/>
        </w:rPr>
        <w:t xml:space="preserve">, </w:t>
      </w:r>
      <w:r w:rsidR="00643E75" w:rsidRPr="00156B04">
        <w:t>on his own behalf.</w:t>
      </w:r>
    </w:p>
    <w:p w14:paraId="282628FF" w14:textId="0FF3A130" w:rsidR="00B96D6E" w:rsidRPr="00156B04" w:rsidRDefault="00643E75" w:rsidP="00146D45">
      <w:pPr>
        <w:pStyle w:val="SCCNormalDoubleSpacing"/>
        <w:spacing w:after="480"/>
      </w:pPr>
      <w:r w:rsidRPr="00156B04">
        <w:rPr>
          <w:rStyle w:val="SCCCounselNameChar"/>
        </w:rPr>
        <w:tab/>
      </w:r>
      <w:r w:rsidR="000A221A" w:rsidRPr="00156B04">
        <w:rPr>
          <w:rStyle w:val="SCCCounselNameChar"/>
        </w:rPr>
        <w:t xml:space="preserve">Katrine </w:t>
      </w:r>
      <w:proofErr w:type="spellStart"/>
      <w:r w:rsidR="000A221A" w:rsidRPr="00156B04">
        <w:rPr>
          <w:rStyle w:val="SCCCounselNameChar"/>
        </w:rPr>
        <w:t>Dilay</w:t>
      </w:r>
      <w:proofErr w:type="spellEnd"/>
      <w:r w:rsidR="000A221A" w:rsidRPr="00156B04">
        <w:rPr>
          <w:rStyle w:val="SCCCounselSeparatorChar"/>
        </w:rPr>
        <w:t xml:space="preserve"> and </w:t>
      </w:r>
      <w:r w:rsidR="000A221A" w:rsidRPr="00156B04">
        <w:rPr>
          <w:rStyle w:val="SCCCounselNameChar"/>
        </w:rPr>
        <w:t xml:space="preserve">Marina </w:t>
      </w:r>
      <w:proofErr w:type="spellStart"/>
      <w:r w:rsidR="000A221A" w:rsidRPr="00156B04">
        <w:rPr>
          <w:rStyle w:val="SCCCounselNameChar"/>
        </w:rPr>
        <w:t>Pavlovic</w:t>
      </w:r>
      <w:proofErr w:type="spellEnd"/>
      <w:r w:rsidR="000A221A" w:rsidRPr="00156B04">
        <w:rPr>
          <w:rStyle w:val="SCCCounselPartyRoleChar"/>
        </w:rPr>
        <w:t>, for the intervener</w:t>
      </w:r>
      <w:r w:rsidR="00082B47" w:rsidRPr="00156B04">
        <w:rPr>
          <w:rStyle w:val="SCCCounselPartyRoleChar"/>
        </w:rPr>
        <w:t>s</w:t>
      </w:r>
      <w:r w:rsidR="000A221A" w:rsidRPr="00156B04">
        <w:rPr>
          <w:rStyle w:val="SCCCounselPartyRoleChar"/>
        </w:rPr>
        <w:t xml:space="preserve"> </w:t>
      </w:r>
      <w:r w:rsidR="00082B47" w:rsidRPr="00156B04">
        <w:rPr>
          <w:rStyle w:val="SCCCounselPartyRoleChar"/>
        </w:rPr>
        <w:t xml:space="preserve">the </w:t>
      </w:r>
      <w:r w:rsidR="000A221A" w:rsidRPr="00156B04">
        <w:rPr>
          <w:rStyle w:val="SCCCounselPartyRoleChar"/>
        </w:rPr>
        <w:t>Council</w:t>
      </w:r>
      <w:r w:rsidR="00082B47" w:rsidRPr="00156B04">
        <w:rPr>
          <w:rStyle w:val="SCCCounselPartyRoleChar"/>
        </w:rPr>
        <w:t xml:space="preserve"> of Canadians with Disabilities, the </w:t>
      </w:r>
      <w:r w:rsidR="000A221A" w:rsidRPr="00156B04">
        <w:rPr>
          <w:rStyle w:val="SCCCounselPartyRoleChar"/>
        </w:rPr>
        <w:t xml:space="preserve">National Pensioners Federation and </w:t>
      </w:r>
      <w:r w:rsidR="00082B47" w:rsidRPr="00156B04">
        <w:rPr>
          <w:rStyle w:val="SCCCounselPartyRoleChar"/>
        </w:rPr>
        <w:t xml:space="preserve">the </w:t>
      </w:r>
      <w:r w:rsidR="000A221A" w:rsidRPr="00156B04">
        <w:rPr>
          <w:rStyle w:val="SCCCounselPartyRoleChar"/>
        </w:rPr>
        <w:t>Public Interest Advocacy Centre.</w:t>
      </w:r>
    </w:p>
    <w:p w14:paraId="170B5A37" w14:textId="201C1799" w:rsidR="00B96D6E" w:rsidRPr="00156B04" w:rsidRDefault="000A221A" w:rsidP="00156B04">
      <w:pPr>
        <w:pStyle w:val="SCCNormalDoubleSpacing"/>
        <w:spacing w:after="480"/>
        <w:rPr>
          <w:rStyle w:val="SCCCounselPartyRoleChar"/>
          <w:lang w:val="fr-CA"/>
        </w:rPr>
      </w:pPr>
      <w:r w:rsidRPr="00156B04">
        <w:rPr>
          <w:rStyle w:val="SCCCounselNameChar"/>
        </w:rPr>
        <w:tab/>
      </w:r>
      <w:r w:rsidR="00146D45" w:rsidRPr="00156B04">
        <w:rPr>
          <w:rStyle w:val="SCCCounselNameChar"/>
          <w:lang w:val="fr-CA"/>
        </w:rPr>
        <w:t>Charles</w:t>
      </w:r>
      <w:r w:rsidR="00146D45" w:rsidRPr="00156B04">
        <w:rPr>
          <w:rStyle w:val="SCCCounselNameChar"/>
          <w:lang w:val="fr-CA"/>
        </w:rPr>
        <w:noBreakHyphen/>
      </w:r>
      <w:r w:rsidR="003B5C6E" w:rsidRPr="00156B04">
        <w:rPr>
          <w:rStyle w:val="SCCCounselNameChar"/>
          <w:lang w:val="fr-CA"/>
        </w:rPr>
        <w:t>Emmanuel Côté</w:t>
      </w:r>
      <w:r w:rsidR="003B5C6E" w:rsidRPr="00156B04">
        <w:rPr>
          <w:rStyle w:val="SCCCounselSeparatorChar"/>
          <w:lang w:val="fr-CA"/>
        </w:rPr>
        <w:t xml:space="preserve"> </w:t>
      </w:r>
      <w:r w:rsidRPr="00156B04">
        <w:rPr>
          <w:rStyle w:val="SCCCounselSeparatorChar"/>
          <w:lang w:val="fr-CA"/>
        </w:rPr>
        <w:t xml:space="preserve">and </w:t>
      </w:r>
      <w:r w:rsidR="003B5C6E" w:rsidRPr="00156B04">
        <w:rPr>
          <w:rStyle w:val="SCCCounselNameChar"/>
          <w:lang w:val="fr-CA"/>
        </w:rPr>
        <w:t>Bruno Gélinas-Faucher</w:t>
      </w:r>
      <w:r w:rsidRPr="00156B04">
        <w:rPr>
          <w:rStyle w:val="SCCCounselPartyRoleChar"/>
          <w:lang w:val="fr-CA"/>
        </w:rPr>
        <w:t xml:space="preserve">, for the </w:t>
      </w:r>
      <w:proofErr w:type="spellStart"/>
      <w:r w:rsidRPr="00156B04">
        <w:rPr>
          <w:rStyle w:val="SCCCounselPartyRoleChar"/>
          <w:lang w:val="fr-CA"/>
        </w:rPr>
        <w:t>intervener</w:t>
      </w:r>
      <w:proofErr w:type="spellEnd"/>
      <w:r w:rsidRPr="00156B04">
        <w:rPr>
          <w:rStyle w:val="SCCCounselPartyRoleChar"/>
          <w:lang w:val="fr-CA"/>
        </w:rPr>
        <w:t xml:space="preserve"> Société québécoise de droit international.</w:t>
      </w:r>
    </w:p>
    <w:p w14:paraId="753A094D" w14:textId="77777777" w:rsidR="00156B04" w:rsidRPr="00156B04" w:rsidRDefault="00156B04" w:rsidP="00156B04">
      <w:pPr>
        <w:tabs>
          <w:tab w:val="left" w:pos="1134"/>
        </w:tabs>
        <w:spacing w:after="480" w:line="480" w:lineRule="auto"/>
        <w:ind w:firstLine="12"/>
        <w:jc w:val="both"/>
        <w:rPr>
          <w:lang w:val="en-US"/>
        </w:rPr>
      </w:pPr>
      <w:r w:rsidRPr="00156B04">
        <w:tab/>
        <w:t>The judgment of the Court was delivered by</w:t>
      </w:r>
    </w:p>
    <w:p w14:paraId="0461ED46" w14:textId="77777777" w:rsidR="00156B04" w:rsidRPr="00156B04" w:rsidRDefault="00156B04" w:rsidP="00FC5393">
      <w:pPr>
        <w:pStyle w:val="JudgeJuge"/>
        <w:tabs>
          <w:tab w:val="clear" w:pos="1166"/>
          <w:tab w:val="left" w:pos="1134"/>
        </w:tabs>
      </w:pPr>
      <w:r w:rsidRPr="00156B04">
        <w:tab/>
        <w:t xml:space="preserve">Rowe J. — </w:t>
      </w:r>
    </w:p>
    <w:sdt>
      <w:sdtPr>
        <w:rPr>
          <w:rFonts w:ascii="Times New Roman" w:eastAsia="Times New Roman" w:hAnsi="Times New Roman" w:cs="Times New Roman"/>
          <w:color w:val="auto"/>
          <w:sz w:val="24"/>
          <w:szCs w:val="24"/>
          <w:lang w:val="en-CA" w:eastAsia="en-CA"/>
        </w:rPr>
        <w:id w:val="-795524483"/>
        <w:docPartObj>
          <w:docPartGallery w:val="Table of Contents"/>
          <w:docPartUnique/>
        </w:docPartObj>
      </w:sdtPr>
      <w:sdtEndPr>
        <w:rPr>
          <w:b/>
          <w:bCs/>
          <w:noProof/>
          <w:szCs w:val="20"/>
        </w:rPr>
      </w:sdtEndPr>
      <w:sdtContent>
        <w:p w14:paraId="3BD8452F" w14:textId="77777777" w:rsidR="00156B04" w:rsidRPr="00156B04" w:rsidRDefault="00156B04" w:rsidP="00156B04">
          <w:pPr>
            <w:pStyle w:val="TOCHeading"/>
            <w:rPr>
              <w:rFonts w:ascii="Times New Roman" w:hAnsi="Times New Roman" w:cs="Times New Roman"/>
              <w:color w:val="auto"/>
            </w:rPr>
          </w:pP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156B04" w:rsidRPr="00156B04" w14:paraId="75943081" w14:textId="77777777" w:rsidTr="009466AD">
            <w:trPr>
              <w:trHeight w:val="432"/>
            </w:trPr>
            <w:tc>
              <w:tcPr>
                <w:tcW w:w="9356" w:type="dxa"/>
                <w:gridSpan w:val="2"/>
              </w:tcPr>
              <w:p w14:paraId="72E30319" w14:textId="77777777" w:rsidR="00156B04" w:rsidRPr="00156B04" w:rsidRDefault="00156B04" w:rsidP="009466AD">
                <w:pPr>
                  <w:tabs>
                    <w:tab w:val="center" w:pos="4050"/>
                  </w:tabs>
                  <w:rPr>
                    <w:b/>
                    <w:szCs w:val="24"/>
                    <w:lang w:val="fr-FR"/>
                  </w:rPr>
                </w:pPr>
                <w:r w:rsidRPr="00156B04">
                  <w:rPr>
                    <w:b/>
                    <w:szCs w:val="24"/>
                  </w:rPr>
                  <w:tab/>
                </w:r>
                <w:r w:rsidRPr="00156B04">
                  <w:rPr>
                    <w:b/>
                    <w:szCs w:val="24"/>
                    <w:lang w:val="fr-FR"/>
                  </w:rPr>
                  <w:t>TABLE OF CONTENTS</w:t>
                </w:r>
              </w:p>
              <w:p w14:paraId="09FACCEC" w14:textId="77777777" w:rsidR="00156B04" w:rsidRPr="00156B04" w:rsidRDefault="00156B04" w:rsidP="009466AD">
                <w:pPr>
                  <w:tabs>
                    <w:tab w:val="center" w:pos="4050"/>
                  </w:tabs>
                  <w:rPr>
                    <w:b/>
                    <w:szCs w:val="24"/>
                  </w:rPr>
                </w:pPr>
              </w:p>
            </w:tc>
          </w:tr>
          <w:tr w:rsidR="00156B04" w:rsidRPr="00156B04" w14:paraId="49F11D9C" w14:textId="77777777" w:rsidTr="009466AD">
            <w:trPr>
              <w:trHeight w:val="432"/>
            </w:trPr>
            <w:tc>
              <w:tcPr>
                <w:tcW w:w="9356" w:type="dxa"/>
                <w:gridSpan w:val="2"/>
              </w:tcPr>
              <w:p w14:paraId="5115BC99" w14:textId="77777777" w:rsidR="00156B04" w:rsidRPr="00156B04" w:rsidRDefault="00156B04" w:rsidP="009466AD">
                <w:pPr>
                  <w:tabs>
                    <w:tab w:val="center" w:pos="4050"/>
                  </w:tabs>
                  <w:jc w:val="right"/>
                  <w:rPr>
                    <w:szCs w:val="24"/>
                  </w:rPr>
                </w:pPr>
                <w:r w:rsidRPr="00156B04">
                  <w:rPr>
                    <w:szCs w:val="24"/>
                  </w:rPr>
                  <w:t>Paragraph</w:t>
                </w:r>
              </w:p>
            </w:tc>
          </w:tr>
          <w:tr w:rsidR="00156B04" w:rsidRPr="00156B04" w14:paraId="719D9848" w14:textId="77777777" w:rsidTr="009466AD">
            <w:trPr>
              <w:trHeight w:val="432"/>
            </w:trPr>
            <w:tc>
              <w:tcPr>
                <w:tcW w:w="8505" w:type="dxa"/>
              </w:tcPr>
              <w:p w14:paraId="4209D651" w14:textId="77777777" w:rsidR="00156B04" w:rsidRPr="00156B04" w:rsidRDefault="00156B04" w:rsidP="009466AD">
                <w:pPr>
                  <w:tabs>
                    <w:tab w:val="left" w:pos="480"/>
                    <w:tab w:val="right" w:leader="dot" w:pos="8270"/>
                  </w:tabs>
                  <w:spacing w:after="100"/>
                  <w:jc w:val="both"/>
                  <w:rPr>
                    <w:noProof/>
                    <w:szCs w:val="24"/>
                    <w:u w:val="single"/>
                  </w:rPr>
                </w:pPr>
                <w:r w:rsidRPr="00156B04">
                  <w:rPr>
                    <w:noProof/>
                    <w:szCs w:val="24"/>
                    <w:lang w:bidi="en-US"/>
                  </w:rPr>
                  <w:t>I.</w:t>
                </w:r>
                <w:r w:rsidRPr="00156B04">
                  <w:rPr>
                    <w:noProof/>
                    <w:szCs w:val="24"/>
                  </w:rPr>
                  <w:tab/>
                </w:r>
                <w:r w:rsidRPr="00156B04">
                  <w:rPr>
                    <w:u w:val="single"/>
                  </w:rPr>
                  <w:t>Facts</w:t>
                </w:r>
              </w:p>
            </w:tc>
            <w:tc>
              <w:tcPr>
                <w:tcW w:w="851" w:type="dxa"/>
              </w:tcPr>
              <w:p w14:paraId="0E6FC9CE"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5</w:t>
                </w:r>
              </w:p>
            </w:tc>
          </w:tr>
          <w:tr w:rsidR="00156B04" w:rsidRPr="00156B04" w14:paraId="4E4AA2AB" w14:textId="77777777" w:rsidTr="009466AD">
            <w:trPr>
              <w:trHeight w:val="432"/>
            </w:trPr>
            <w:tc>
              <w:tcPr>
                <w:tcW w:w="8505" w:type="dxa"/>
              </w:tcPr>
              <w:p w14:paraId="45E8080E" w14:textId="77777777" w:rsidR="00156B04" w:rsidRPr="00156B04" w:rsidRDefault="00156B04" w:rsidP="009466AD">
                <w:pPr>
                  <w:tabs>
                    <w:tab w:val="left" w:pos="480"/>
                    <w:tab w:val="right" w:leader="dot" w:pos="8270"/>
                  </w:tabs>
                  <w:spacing w:after="100"/>
                  <w:jc w:val="both"/>
                  <w:rPr>
                    <w:noProof/>
                    <w:szCs w:val="24"/>
                    <w:lang w:bidi="en-US"/>
                  </w:rPr>
                </w:pPr>
                <w:r w:rsidRPr="00156B04">
                  <w:rPr>
                    <w:noProof/>
                    <w:szCs w:val="24"/>
                    <w:lang w:bidi="en-US"/>
                  </w:rPr>
                  <w:t>A.</w:t>
                </w:r>
                <w:r w:rsidRPr="00156B04">
                  <w:rPr>
                    <w:noProof/>
                    <w:szCs w:val="24"/>
                  </w:rPr>
                  <w:tab/>
                </w:r>
                <w:r w:rsidRPr="00156B04">
                  <w:rPr>
                    <w:i/>
                  </w:rPr>
                  <w:t>The Parties</w:t>
                </w:r>
              </w:p>
            </w:tc>
            <w:tc>
              <w:tcPr>
                <w:tcW w:w="851" w:type="dxa"/>
              </w:tcPr>
              <w:p w14:paraId="7189CB56"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val="en-US" w:bidi="en-US"/>
                  </w:rPr>
                  <w:t>5</w:t>
                </w:r>
              </w:p>
            </w:tc>
          </w:tr>
          <w:tr w:rsidR="00156B04" w:rsidRPr="00156B04" w14:paraId="4EF33C37" w14:textId="77777777" w:rsidTr="009466AD">
            <w:trPr>
              <w:trHeight w:val="432"/>
            </w:trPr>
            <w:tc>
              <w:tcPr>
                <w:tcW w:w="8505" w:type="dxa"/>
              </w:tcPr>
              <w:p w14:paraId="204F60DA" w14:textId="77777777" w:rsidR="00156B04" w:rsidRPr="00156B04" w:rsidRDefault="00156B04" w:rsidP="009466AD">
                <w:pPr>
                  <w:tabs>
                    <w:tab w:val="left" w:pos="480"/>
                    <w:tab w:val="right" w:leader="dot" w:pos="8270"/>
                  </w:tabs>
                  <w:spacing w:after="100"/>
                  <w:jc w:val="both"/>
                  <w:rPr>
                    <w:noProof/>
                    <w:szCs w:val="24"/>
                    <w:u w:val="single"/>
                    <w:lang w:bidi="en-US"/>
                  </w:rPr>
                </w:pPr>
                <w:r w:rsidRPr="00156B04">
                  <w:rPr>
                    <w:noProof/>
                    <w:szCs w:val="24"/>
                  </w:rPr>
                  <w:t>B.</w:t>
                </w:r>
                <w:r w:rsidRPr="00156B04">
                  <w:rPr>
                    <w:noProof/>
                    <w:szCs w:val="24"/>
                  </w:rPr>
                  <w:tab/>
                </w:r>
                <w:r w:rsidRPr="00156B04">
                  <w:rPr>
                    <w:i/>
                  </w:rPr>
                  <w:t>The Montreal Convention Under Canadian Law</w:t>
                </w:r>
              </w:p>
            </w:tc>
            <w:tc>
              <w:tcPr>
                <w:tcW w:w="851" w:type="dxa"/>
              </w:tcPr>
              <w:p w14:paraId="20433FCC"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8</w:t>
                </w:r>
              </w:p>
            </w:tc>
          </w:tr>
          <w:tr w:rsidR="00156B04" w:rsidRPr="00156B04" w14:paraId="345E4BA8" w14:textId="77777777" w:rsidTr="009466AD">
            <w:trPr>
              <w:trHeight w:val="432"/>
            </w:trPr>
            <w:tc>
              <w:tcPr>
                <w:tcW w:w="8505" w:type="dxa"/>
              </w:tcPr>
              <w:p w14:paraId="6459F247" w14:textId="77777777" w:rsidR="00156B04" w:rsidRPr="00156B04" w:rsidRDefault="00156B04" w:rsidP="009466AD">
                <w:pPr>
                  <w:tabs>
                    <w:tab w:val="left" w:pos="480"/>
                    <w:tab w:val="right" w:leader="dot" w:pos="8270"/>
                  </w:tabs>
                  <w:spacing w:after="100"/>
                  <w:jc w:val="both"/>
                  <w:rPr>
                    <w:noProof/>
                    <w:szCs w:val="24"/>
                    <w:u w:val="single"/>
                    <w:lang w:bidi="en-US"/>
                  </w:rPr>
                </w:pPr>
                <w:r w:rsidRPr="00156B04">
                  <w:rPr>
                    <w:noProof/>
                    <w:szCs w:val="24"/>
                  </w:rPr>
                  <w:t>C.</w:t>
                </w:r>
                <w:r w:rsidRPr="00156B04">
                  <w:rPr>
                    <w:noProof/>
                    <w:szCs w:val="24"/>
                  </w:rPr>
                  <w:tab/>
                </w:r>
                <w:r w:rsidRPr="00156B04">
                  <w:rPr>
                    <w:i/>
                  </w:rPr>
                  <w:t>The Development and Content of the Regulations</w:t>
                </w:r>
              </w:p>
            </w:tc>
            <w:tc>
              <w:tcPr>
                <w:tcW w:w="851" w:type="dxa"/>
              </w:tcPr>
              <w:p w14:paraId="69B08800"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10</w:t>
                </w:r>
              </w:p>
            </w:tc>
          </w:tr>
          <w:tr w:rsidR="00156B04" w:rsidRPr="00156B04" w14:paraId="07B6875E" w14:textId="77777777" w:rsidTr="009466AD">
            <w:trPr>
              <w:trHeight w:val="432"/>
            </w:trPr>
            <w:tc>
              <w:tcPr>
                <w:tcW w:w="8505" w:type="dxa"/>
              </w:tcPr>
              <w:p w14:paraId="208935D6" w14:textId="77777777" w:rsidR="00156B04" w:rsidRPr="00156B04" w:rsidRDefault="00156B04" w:rsidP="009466AD">
                <w:pPr>
                  <w:tabs>
                    <w:tab w:val="left" w:pos="480"/>
                    <w:tab w:val="right" w:leader="dot" w:pos="8270"/>
                  </w:tabs>
                  <w:spacing w:after="100"/>
                  <w:ind w:left="450" w:hanging="450"/>
                  <w:jc w:val="both"/>
                  <w:rPr>
                    <w:noProof/>
                    <w:szCs w:val="24"/>
                    <w:u w:val="single"/>
                  </w:rPr>
                </w:pPr>
                <w:r w:rsidRPr="00156B04">
                  <w:rPr>
                    <w:noProof/>
                    <w:szCs w:val="24"/>
                    <w:lang w:bidi="en-US"/>
                  </w:rPr>
                  <w:t>II.</w:t>
                </w:r>
                <w:r w:rsidRPr="00156B04">
                  <w:rPr>
                    <w:noProof/>
                    <w:szCs w:val="24"/>
                  </w:rPr>
                  <w:tab/>
                </w:r>
                <w:r w:rsidRPr="00156B04">
                  <w:rPr>
                    <w:u w:val="single"/>
                  </w:rPr>
                  <w:t xml:space="preserve">Federal Court of Appeal, 2022 </w:t>
                </w:r>
                <w:proofErr w:type="spellStart"/>
                <w:r w:rsidRPr="00156B04">
                  <w:rPr>
                    <w:u w:val="single"/>
                  </w:rPr>
                  <w:t>FCA</w:t>
                </w:r>
                <w:proofErr w:type="spellEnd"/>
                <w:r w:rsidRPr="00156B04">
                  <w:rPr>
                    <w:u w:val="single"/>
                  </w:rPr>
                  <w:t xml:space="preserve"> 211 (de </w:t>
                </w:r>
                <w:proofErr w:type="spellStart"/>
                <w:r w:rsidRPr="00156B04">
                  <w:rPr>
                    <w:u w:val="single"/>
                  </w:rPr>
                  <w:t>Montigny</w:t>
                </w:r>
                <w:proofErr w:type="spellEnd"/>
                <w:r w:rsidRPr="00156B04">
                  <w:rPr>
                    <w:u w:val="single"/>
                  </w:rPr>
                  <w:t xml:space="preserve"> J.A., Pelletier and Locke </w:t>
                </w:r>
                <w:proofErr w:type="spellStart"/>
                <w:r w:rsidRPr="00156B04">
                  <w:rPr>
                    <w:u w:val="single"/>
                  </w:rPr>
                  <w:t>JJ.A</w:t>
                </w:r>
                <w:proofErr w:type="spellEnd"/>
                <w:r w:rsidRPr="00156B04">
                  <w:rPr>
                    <w:u w:val="single"/>
                  </w:rPr>
                  <w:t>. Concurring)</w:t>
                </w:r>
              </w:p>
            </w:tc>
            <w:tc>
              <w:tcPr>
                <w:tcW w:w="851" w:type="dxa"/>
              </w:tcPr>
              <w:p w14:paraId="4AE3295C"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val="en-US" w:bidi="en-US"/>
                  </w:rPr>
                  <w:t>13</w:t>
                </w:r>
              </w:p>
            </w:tc>
          </w:tr>
          <w:tr w:rsidR="00156B04" w:rsidRPr="00156B04" w14:paraId="62D77A7A" w14:textId="77777777" w:rsidTr="009466AD">
            <w:trPr>
              <w:trHeight w:val="432"/>
            </w:trPr>
            <w:tc>
              <w:tcPr>
                <w:tcW w:w="8505" w:type="dxa"/>
              </w:tcPr>
              <w:p w14:paraId="0073C591" w14:textId="77777777" w:rsidR="00156B04" w:rsidRPr="00156B04" w:rsidRDefault="00156B04" w:rsidP="009466AD">
                <w:pPr>
                  <w:tabs>
                    <w:tab w:val="left" w:pos="480"/>
                    <w:tab w:val="right" w:leader="dot" w:pos="8270"/>
                  </w:tabs>
                  <w:spacing w:after="100"/>
                  <w:jc w:val="both"/>
                  <w:rPr>
                    <w:i/>
                    <w:noProof/>
                    <w:szCs w:val="24"/>
                  </w:rPr>
                </w:pPr>
                <w:r w:rsidRPr="00156B04">
                  <w:rPr>
                    <w:noProof/>
                    <w:szCs w:val="24"/>
                    <w:lang w:bidi="en-US"/>
                  </w:rPr>
                  <w:t>III.</w:t>
                </w:r>
                <w:r w:rsidRPr="00156B04">
                  <w:rPr>
                    <w:noProof/>
                    <w:szCs w:val="24"/>
                  </w:rPr>
                  <w:tab/>
                </w:r>
                <w:r w:rsidRPr="00156B04">
                  <w:rPr>
                    <w:u w:val="single"/>
                  </w:rPr>
                  <w:t>Issues</w:t>
                </w:r>
              </w:p>
            </w:tc>
            <w:tc>
              <w:tcPr>
                <w:tcW w:w="851" w:type="dxa"/>
              </w:tcPr>
              <w:p w14:paraId="746F09CA"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21</w:t>
                </w:r>
              </w:p>
            </w:tc>
          </w:tr>
          <w:tr w:rsidR="00156B04" w:rsidRPr="00156B04" w14:paraId="7B8E7818" w14:textId="77777777" w:rsidTr="009466AD">
            <w:trPr>
              <w:trHeight w:val="432"/>
            </w:trPr>
            <w:tc>
              <w:tcPr>
                <w:tcW w:w="8505" w:type="dxa"/>
              </w:tcPr>
              <w:p w14:paraId="7F827581" w14:textId="77777777" w:rsidR="00156B04" w:rsidRPr="00156B04" w:rsidRDefault="00156B04" w:rsidP="009466AD">
                <w:pPr>
                  <w:tabs>
                    <w:tab w:val="left" w:pos="480"/>
                    <w:tab w:val="right" w:leader="dot" w:pos="8270"/>
                  </w:tabs>
                  <w:spacing w:after="100"/>
                  <w:ind w:left="450" w:hanging="450"/>
                  <w:jc w:val="both"/>
                  <w:rPr>
                    <w:i/>
                    <w:noProof/>
                    <w:szCs w:val="24"/>
                  </w:rPr>
                </w:pPr>
                <w:r w:rsidRPr="00156B04">
                  <w:rPr>
                    <w:noProof/>
                    <w:szCs w:val="24"/>
                    <w:lang w:bidi="en-US"/>
                  </w:rPr>
                  <w:t>IV.</w:t>
                </w:r>
                <w:r w:rsidRPr="00156B04">
                  <w:rPr>
                    <w:noProof/>
                    <w:szCs w:val="24"/>
                  </w:rPr>
                  <w:tab/>
                </w:r>
                <w:r w:rsidRPr="00156B04">
                  <w:rPr>
                    <w:u w:val="single"/>
                  </w:rPr>
                  <w:t>Standard of Review</w:t>
                </w:r>
              </w:p>
            </w:tc>
            <w:tc>
              <w:tcPr>
                <w:tcW w:w="851" w:type="dxa"/>
              </w:tcPr>
              <w:p w14:paraId="4AE2D83D"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25</w:t>
                </w:r>
              </w:p>
            </w:tc>
          </w:tr>
          <w:tr w:rsidR="00156B04" w:rsidRPr="00156B04" w14:paraId="2A840F05" w14:textId="77777777" w:rsidTr="009466AD">
            <w:trPr>
              <w:trHeight w:val="432"/>
            </w:trPr>
            <w:tc>
              <w:tcPr>
                <w:tcW w:w="8505" w:type="dxa"/>
              </w:tcPr>
              <w:p w14:paraId="23A22C0E" w14:textId="77777777" w:rsidR="00156B04" w:rsidRPr="00156B04" w:rsidRDefault="00156B04" w:rsidP="009466AD">
                <w:pPr>
                  <w:tabs>
                    <w:tab w:val="left" w:pos="480"/>
                    <w:tab w:val="right" w:leader="dot" w:pos="8270"/>
                  </w:tabs>
                  <w:spacing w:after="100"/>
                  <w:ind w:left="450" w:hanging="450"/>
                  <w:jc w:val="both"/>
                  <w:rPr>
                    <w:noProof/>
                    <w:szCs w:val="24"/>
                    <w:u w:val="single"/>
                    <w:lang w:bidi="en-US"/>
                  </w:rPr>
                </w:pPr>
                <w:r w:rsidRPr="00156B04">
                  <w:rPr>
                    <w:noProof/>
                    <w:szCs w:val="24"/>
                  </w:rPr>
                  <w:t>V.</w:t>
                </w:r>
                <w:r w:rsidRPr="00156B04">
                  <w:rPr>
                    <w:noProof/>
                    <w:szCs w:val="24"/>
                  </w:rPr>
                  <w:tab/>
                </w:r>
                <w:r w:rsidRPr="00156B04">
                  <w:rPr>
                    <w:u w:val="single"/>
                  </w:rPr>
                  <w:t>Analysis</w:t>
                </w:r>
              </w:p>
            </w:tc>
            <w:tc>
              <w:tcPr>
                <w:tcW w:w="851" w:type="dxa"/>
              </w:tcPr>
              <w:p w14:paraId="1F80C7F7"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27</w:t>
                </w:r>
              </w:p>
            </w:tc>
          </w:tr>
          <w:tr w:rsidR="00156B04" w:rsidRPr="00156B04" w14:paraId="4E23414F" w14:textId="77777777" w:rsidTr="009466AD">
            <w:trPr>
              <w:trHeight w:val="432"/>
            </w:trPr>
            <w:tc>
              <w:tcPr>
                <w:tcW w:w="8505" w:type="dxa"/>
              </w:tcPr>
              <w:p w14:paraId="274106D0" w14:textId="77777777" w:rsidR="00156B04" w:rsidRPr="00156B04" w:rsidRDefault="00156B04" w:rsidP="009466AD">
                <w:pPr>
                  <w:tabs>
                    <w:tab w:val="left" w:pos="480"/>
                    <w:tab w:val="right" w:leader="dot" w:pos="8270"/>
                  </w:tabs>
                  <w:spacing w:after="100"/>
                  <w:jc w:val="both"/>
                  <w:rPr>
                    <w:i/>
                    <w:noProof/>
                    <w:szCs w:val="24"/>
                  </w:rPr>
                </w:pPr>
                <w:r w:rsidRPr="00156B04">
                  <w:rPr>
                    <w:noProof/>
                    <w:szCs w:val="24"/>
                    <w:lang w:bidi="en-US"/>
                  </w:rPr>
                  <w:t>A.</w:t>
                </w:r>
                <w:r w:rsidRPr="00156B04">
                  <w:rPr>
                    <w:noProof/>
                    <w:szCs w:val="24"/>
                  </w:rPr>
                  <w:tab/>
                </w:r>
                <w:r w:rsidRPr="00156B04">
                  <w:rPr>
                    <w:i/>
                  </w:rPr>
                  <w:t>What Is the Scope of the Montreal Convention and the Exclusivity Principle?</w:t>
                </w:r>
              </w:p>
            </w:tc>
            <w:tc>
              <w:tcPr>
                <w:tcW w:w="851" w:type="dxa"/>
              </w:tcPr>
              <w:p w14:paraId="04AF24CB"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33</w:t>
                </w:r>
              </w:p>
            </w:tc>
          </w:tr>
          <w:tr w:rsidR="00156B04" w:rsidRPr="00156B04" w14:paraId="2CE7A9D6" w14:textId="77777777" w:rsidTr="009466AD">
            <w:trPr>
              <w:trHeight w:val="432"/>
            </w:trPr>
            <w:tc>
              <w:tcPr>
                <w:tcW w:w="8505" w:type="dxa"/>
              </w:tcPr>
              <w:p w14:paraId="398D4B11" w14:textId="77777777" w:rsidR="00156B04" w:rsidRPr="00156B04" w:rsidRDefault="00156B04" w:rsidP="009466AD">
                <w:pPr>
                  <w:tabs>
                    <w:tab w:val="left" w:pos="1100"/>
                    <w:tab w:val="right" w:leader="dot" w:pos="8270"/>
                  </w:tabs>
                  <w:spacing w:after="100"/>
                  <w:ind w:left="480"/>
                  <w:jc w:val="both"/>
                  <w:rPr>
                    <w:noProof/>
                    <w:szCs w:val="24"/>
                    <w:u w:val="single"/>
                    <w:lang w:bidi="en-US"/>
                  </w:rPr>
                </w:pPr>
                <w:r w:rsidRPr="00156B04">
                  <w:rPr>
                    <w:noProof/>
                    <w:szCs w:val="24"/>
                    <w:lang w:bidi="en-US"/>
                    <w14:scene3d>
                      <w14:camera w14:prst="orthographicFront"/>
                      <w14:lightRig w14:rig="threePt" w14:dir="t">
                        <w14:rot w14:lat="0" w14:lon="0" w14:rev="0"/>
                      </w14:lightRig>
                    </w14:scene3d>
                  </w:rPr>
                  <w:t>(1)</w:t>
                </w:r>
                <w:r w:rsidRPr="00156B04">
                  <w:rPr>
                    <w:noProof/>
                    <w:szCs w:val="24"/>
                  </w:rPr>
                  <w:tab/>
                </w:r>
                <w:proofErr w:type="spellStart"/>
                <w:r w:rsidRPr="00156B04">
                  <w:rPr>
                    <w:i/>
                    <w:u w:val="single"/>
                  </w:rPr>
                  <w:t>Thibodeau</w:t>
                </w:r>
                <w:proofErr w:type="spellEnd"/>
                <w:r w:rsidRPr="00156B04">
                  <w:rPr>
                    <w:i/>
                    <w:u w:val="single"/>
                  </w:rPr>
                  <w:t xml:space="preserve"> </w:t>
                </w:r>
                <w:r w:rsidRPr="00156B04">
                  <w:rPr>
                    <w:u w:val="single"/>
                  </w:rPr>
                  <w:t>Does Not Resolve the Question</w:t>
                </w:r>
              </w:p>
            </w:tc>
            <w:tc>
              <w:tcPr>
                <w:tcW w:w="851" w:type="dxa"/>
              </w:tcPr>
              <w:p w14:paraId="7C859D12"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36</w:t>
                </w:r>
              </w:p>
            </w:tc>
          </w:tr>
          <w:tr w:rsidR="00156B04" w:rsidRPr="00156B04" w14:paraId="52BB75D9" w14:textId="77777777" w:rsidTr="009466AD">
            <w:trPr>
              <w:trHeight w:val="432"/>
            </w:trPr>
            <w:tc>
              <w:tcPr>
                <w:tcW w:w="8505" w:type="dxa"/>
              </w:tcPr>
              <w:p w14:paraId="4E6B389B" w14:textId="77777777" w:rsidR="00156B04" w:rsidRPr="00156B04" w:rsidRDefault="00156B04" w:rsidP="009466AD">
                <w:pPr>
                  <w:tabs>
                    <w:tab w:val="left" w:pos="1100"/>
                    <w:tab w:val="right" w:leader="dot" w:pos="8270"/>
                  </w:tabs>
                  <w:spacing w:after="100"/>
                  <w:ind w:left="1080" w:hanging="60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(2)</w:t>
                </w:r>
                <w:r w:rsidRPr="00156B04">
                  <w:rPr>
                    <w:noProof/>
                    <w:szCs w:val="24"/>
                  </w:rPr>
                  <w:tab/>
                </w:r>
                <w:r w:rsidRPr="00156B04">
                  <w:rPr>
                    <w:u w:val="single"/>
                  </w:rPr>
                  <w:t>The Ordinary Meaning of the Words Chosen by the State Parties When Read in Their Context</w:t>
                </w:r>
              </w:p>
            </w:tc>
            <w:tc>
              <w:tcPr>
                <w:tcW w:w="851" w:type="dxa"/>
              </w:tcPr>
              <w:p w14:paraId="02675F30"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39</w:t>
                </w:r>
              </w:p>
            </w:tc>
          </w:tr>
          <w:tr w:rsidR="00156B04" w:rsidRPr="00156B04" w14:paraId="63C7D154" w14:textId="77777777" w:rsidTr="009466AD">
            <w:trPr>
              <w:trHeight w:val="432"/>
            </w:trPr>
            <w:tc>
              <w:tcPr>
                <w:tcW w:w="8505" w:type="dxa"/>
              </w:tcPr>
              <w:p w14:paraId="7CA4F5A0" w14:textId="77777777" w:rsidR="00156B04" w:rsidRPr="00156B04" w:rsidRDefault="00156B04" w:rsidP="009466AD">
                <w:pPr>
                  <w:tabs>
                    <w:tab w:val="left" w:pos="1100"/>
                    <w:tab w:val="right" w:leader="dot" w:pos="8270"/>
                  </w:tabs>
                  <w:spacing w:after="100"/>
                  <w:ind w:left="48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(3)</w:t>
                </w:r>
                <w:r w:rsidRPr="00156B04">
                  <w:rPr>
                    <w:noProof/>
                    <w:szCs w:val="24"/>
                  </w:rPr>
                  <w:tab/>
                </w:r>
                <w:r w:rsidRPr="00156B04">
                  <w:rPr>
                    <w:u w:val="single"/>
                  </w:rPr>
                  <w:t xml:space="preserve">The Object and Purpose of the </w:t>
                </w:r>
                <w:r w:rsidRPr="00156B04">
                  <w:rPr>
                    <w:i/>
                    <w:u w:val="single"/>
                  </w:rPr>
                  <w:t>Montreal Convention</w:t>
                </w:r>
              </w:p>
            </w:tc>
            <w:tc>
              <w:tcPr>
                <w:tcW w:w="851" w:type="dxa"/>
              </w:tcPr>
              <w:p w14:paraId="5F6FEC44"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46</w:t>
                </w:r>
              </w:p>
            </w:tc>
          </w:tr>
          <w:tr w:rsidR="00156B04" w:rsidRPr="00156B04" w14:paraId="5FAED183" w14:textId="77777777" w:rsidTr="009466AD">
            <w:trPr>
              <w:trHeight w:val="432"/>
            </w:trPr>
            <w:tc>
              <w:tcPr>
                <w:tcW w:w="8505" w:type="dxa"/>
              </w:tcPr>
              <w:p w14:paraId="03B6818D" w14:textId="77777777" w:rsidR="00156B04" w:rsidRPr="00156B04" w:rsidRDefault="00156B04" w:rsidP="009466AD">
                <w:pPr>
                  <w:tabs>
                    <w:tab w:val="left" w:pos="1100"/>
                    <w:tab w:val="right" w:leader="dot" w:pos="8270"/>
                  </w:tabs>
                  <w:spacing w:after="100"/>
                  <w:ind w:left="48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(4)</w:t>
                </w:r>
                <w:r w:rsidRPr="00156B04">
                  <w:rPr>
                    <w:noProof/>
                    <w:szCs w:val="24"/>
                  </w:rPr>
                  <w:tab/>
                </w:r>
                <w:r w:rsidRPr="00156B04">
                  <w:rPr>
                    <w:u w:val="single"/>
                  </w:rPr>
                  <w:t>Foreign Jurisprudence</w:t>
                </w:r>
              </w:p>
            </w:tc>
            <w:tc>
              <w:tcPr>
                <w:tcW w:w="851" w:type="dxa"/>
              </w:tcPr>
              <w:p w14:paraId="0B949F45"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50</w:t>
                </w:r>
              </w:p>
            </w:tc>
          </w:tr>
          <w:tr w:rsidR="00156B04" w:rsidRPr="00156B04" w14:paraId="6189720F" w14:textId="77777777" w:rsidTr="009466AD">
            <w:trPr>
              <w:trHeight w:val="432"/>
            </w:trPr>
            <w:tc>
              <w:tcPr>
                <w:tcW w:w="8505" w:type="dxa"/>
              </w:tcPr>
              <w:p w14:paraId="50A87850" w14:textId="77777777" w:rsidR="00156B04" w:rsidRPr="00156B04" w:rsidRDefault="00156B04" w:rsidP="009466AD">
                <w:pPr>
                  <w:tabs>
                    <w:tab w:val="left" w:pos="1100"/>
                    <w:tab w:val="right" w:leader="dot" w:pos="8270"/>
                  </w:tabs>
                  <w:spacing w:after="100"/>
                  <w:ind w:left="480"/>
                  <w:jc w:val="both"/>
                  <w:rPr>
                    <w:noProof/>
                    <w:szCs w:val="24"/>
                    <w:u w:val="single"/>
                    <w:lang w:bidi="en-US"/>
                  </w:rPr>
                </w:pPr>
                <w:r w:rsidRPr="00156B04">
                  <w:rPr>
                    <w:noProof/>
                    <w:szCs w:val="24"/>
                    <w:lang w:bidi="en-US"/>
                    <w14:scene3d>
                      <w14:camera w14:prst="orthographicFront"/>
                      <w14:lightRig w14:rig="threePt" w14:dir="t">
                        <w14:rot w14:lat="0" w14:lon="0" w14:rev="0"/>
                      </w14:lightRig>
                    </w14:scene3d>
                  </w:rPr>
                  <w:t>(5)</w:t>
                </w:r>
                <w:r w:rsidRPr="00156B04">
                  <w:rPr>
                    <w:noProof/>
                    <w:szCs w:val="24"/>
                  </w:rPr>
                  <w:tab/>
                </w:r>
                <w:r w:rsidRPr="00156B04">
                  <w:rPr>
                    <w:u w:val="single"/>
                  </w:rPr>
                  <w:t>Consideration of State Practice</w:t>
                </w:r>
              </w:p>
            </w:tc>
            <w:tc>
              <w:tcPr>
                <w:tcW w:w="851" w:type="dxa"/>
              </w:tcPr>
              <w:p w14:paraId="6A1C7A37"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58</w:t>
                </w:r>
              </w:p>
            </w:tc>
          </w:tr>
          <w:tr w:rsidR="00156B04" w:rsidRPr="00156B04" w14:paraId="1368D315" w14:textId="77777777" w:rsidTr="009466AD">
            <w:trPr>
              <w:trHeight w:val="432"/>
            </w:trPr>
            <w:tc>
              <w:tcPr>
                <w:tcW w:w="8505" w:type="dxa"/>
              </w:tcPr>
              <w:p w14:paraId="70E9A0BB" w14:textId="77777777" w:rsidR="00156B04" w:rsidRPr="00156B04" w:rsidRDefault="00156B04" w:rsidP="009466AD">
                <w:pPr>
                  <w:tabs>
                    <w:tab w:val="left" w:pos="1100"/>
                    <w:tab w:val="right" w:leader="dot" w:pos="8270"/>
                  </w:tabs>
                  <w:spacing w:after="100"/>
                  <w:ind w:left="48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(6)</w:t>
                </w:r>
                <w:r w:rsidRPr="00156B04">
                  <w:rPr>
                    <w:noProof/>
                    <w:szCs w:val="24"/>
                  </w:rPr>
                  <w:tab/>
                </w:r>
                <w:r w:rsidRPr="00156B04">
                  <w:rPr>
                    <w:u w:val="single"/>
                  </w:rPr>
                  <w:t>The Exclusivity Principle Precludes Actions for Individualized Damages</w:t>
                </w:r>
              </w:p>
            </w:tc>
            <w:tc>
              <w:tcPr>
                <w:tcW w:w="851" w:type="dxa"/>
              </w:tcPr>
              <w:p w14:paraId="4DC82CBB"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63</w:t>
                </w:r>
              </w:p>
            </w:tc>
          </w:tr>
          <w:tr w:rsidR="00156B04" w:rsidRPr="00156B04" w14:paraId="1089DEF3" w14:textId="77777777" w:rsidTr="009466AD">
            <w:trPr>
              <w:trHeight w:val="432"/>
            </w:trPr>
            <w:tc>
              <w:tcPr>
                <w:tcW w:w="8505" w:type="dxa"/>
              </w:tcPr>
              <w:p w14:paraId="37769B9B" w14:textId="77777777" w:rsidR="00156B04" w:rsidRPr="00156B04" w:rsidRDefault="00156B04" w:rsidP="009466AD">
                <w:pPr>
                  <w:tabs>
                    <w:tab w:val="left" w:pos="480"/>
                    <w:tab w:val="right" w:leader="dot" w:pos="8270"/>
                  </w:tabs>
                  <w:spacing w:after="100"/>
                  <w:jc w:val="both"/>
                  <w:rPr>
                    <w:i/>
                    <w:noProof/>
                    <w:szCs w:val="24"/>
                  </w:rPr>
                </w:pPr>
                <w:r w:rsidRPr="00156B04">
                  <w:rPr>
                    <w:noProof/>
                    <w:szCs w:val="24"/>
                    <w:lang w:bidi="en-US"/>
                  </w:rPr>
                  <w:t>B.</w:t>
                </w:r>
                <w:r w:rsidRPr="00156B04">
                  <w:rPr>
                    <w:noProof/>
                    <w:szCs w:val="24"/>
                  </w:rPr>
                  <w:tab/>
                </w:r>
                <w:r w:rsidRPr="00156B04">
                  <w:rPr>
                    <w:i/>
                  </w:rPr>
                  <w:t>The Test for Expert Evidence on Questions of International Law</w:t>
                </w:r>
              </w:p>
            </w:tc>
            <w:tc>
              <w:tcPr>
                <w:tcW w:w="851" w:type="dxa"/>
              </w:tcPr>
              <w:p w14:paraId="5C3C4E04"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65</w:t>
                </w:r>
              </w:p>
            </w:tc>
          </w:tr>
          <w:tr w:rsidR="00156B04" w:rsidRPr="00156B04" w14:paraId="74184CA9" w14:textId="77777777" w:rsidTr="009466AD">
            <w:trPr>
              <w:trHeight w:val="432"/>
            </w:trPr>
            <w:tc>
              <w:tcPr>
                <w:tcW w:w="8505" w:type="dxa"/>
              </w:tcPr>
              <w:p w14:paraId="143ACE8C" w14:textId="77777777" w:rsidR="00156B04" w:rsidRPr="00156B04" w:rsidRDefault="00156B04" w:rsidP="009466AD">
                <w:pPr>
                  <w:tabs>
                    <w:tab w:val="left" w:pos="1100"/>
                    <w:tab w:val="right" w:leader="dot" w:pos="8270"/>
                  </w:tabs>
                  <w:spacing w:after="100"/>
                  <w:ind w:left="480"/>
                  <w:jc w:val="both"/>
                  <w:rPr>
                    <w:noProof/>
                    <w:szCs w:val="24"/>
                    <w:u w:val="single"/>
                    <w:lang w:bidi="en-US"/>
                  </w:rPr>
                </w:pPr>
                <w:r w:rsidRPr="00156B04">
                  <w:rPr>
                    <w:noProof/>
                    <w:szCs w:val="24"/>
                    <w:lang w:bidi="en-US"/>
                    <w14:scene3d>
                      <w14:camera w14:prst="orthographicFront"/>
                      <w14:lightRig w14:rig="threePt" w14:dir="t">
                        <w14:rot w14:lat="0" w14:lon="0" w14:rev="0"/>
                      </w14:lightRig>
                    </w14:scene3d>
                  </w:rPr>
                  <w:t>(1)</w:t>
                </w:r>
                <w:r w:rsidRPr="00156B04">
                  <w:rPr>
                    <w:noProof/>
                    <w:szCs w:val="24"/>
                  </w:rPr>
                  <w:tab/>
                </w:r>
                <w:r w:rsidRPr="00156B04">
                  <w:rPr>
                    <w:i/>
                    <w:u w:val="single"/>
                  </w:rPr>
                  <w:t xml:space="preserve">Mohan </w:t>
                </w:r>
                <w:r w:rsidRPr="00156B04">
                  <w:rPr>
                    <w:u w:val="single"/>
                  </w:rPr>
                  <w:t>Governs Expert Evidence on Questions of International Law</w:t>
                </w:r>
              </w:p>
            </w:tc>
            <w:tc>
              <w:tcPr>
                <w:tcW w:w="851" w:type="dxa"/>
              </w:tcPr>
              <w:p w14:paraId="2F12822A"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70</w:t>
                </w:r>
              </w:p>
            </w:tc>
          </w:tr>
          <w:tr w:rsidR="00156B04" w:rsidRPr="00156B04" w14:paraId="07388D36" w14:textId="77777777" w:rsidTr="009466AD">
            <w:trPr>
              <w:trHeight w:val="432"/>
            </w:trPr>
            <w:tc>
              <w:tcPr>
                <w:tcW w:w="8505" w:type="dxa"/>
              </w:tcPr>
              <w:p w14:paraId="6341F391" w14:textId="77777777" w:rsidR="00156B04" w:rsidRPr="00156B04" w:rsidRDefault="00156B04" w:rsidP="009466AD">
                <w:pPr>
                  <w:tabs>
                    <w:tab w:val="left" w:pos="480"/>
                    <w:tab w:val="right" w:leader="dot" w:pos="8270"/>
                  </w:tabs>
                  <w:spacing w:after="100"/>
                  <w:jc w:val="both"/>
                  <w:rPr>
                    <w:i/>
                    <w:noProof/>
                    <w:szCs w:val="24"/>
                  </w:rPr>
                </w:pPr>
                <w:r w:rsidRPr="00156B04">
                  <w:rPr>
                    <w:noProof/>
                    <w:szCs w:val="24"/>
                    <w:lang w:bidi="en-US"/>
                  </w:rPr>
                  <w:t>C.</w:t>
                </w:r>
                <w:r w:rsidRPr="00156B04">
                  <w:rPr>
                    <w:noProof/>
                    <w:szCs w:val="24"/>
                  </w:rPr>
                  <w:tab/>
                </w:r>
                <w:r w:rsidRPr="00156B04">
                  <w:rPr>
                    <w:i/>
                  </w:rPr>
                  <w:t>What Is the Scope of the Regulations?</w:t>
                </w:r>
              </w:p>
            </w:tc>
            <w:tc>
              <w:tcPr>
                <w:tcW w:w="851" w:type="dxa"/>
              </w:tcPr>
              <w:p w14:paraId="7429EB66"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80</w:t>
                </w:r>
              </w:p>
            </w:tc>
          </w:tr>
          <w:tr w:rsidR="00156B04" w:rsidRPr="00156B04" w14:paraId="3A11CF79" w14:textId="77777777" w:rsidTr="009466AD">
            <w:trPr>
              <w:trHeight w:val="432"/>
            </w:trPr>
            <w:tc>
              <w:tcPr>
                <w:tcW w:w="8505" w:type="dxa"/>
              </w:tcPr>
              <w:p w14:paraId="1F8E0C7D" w14:textId="77777777" w:rsidR="00156B04" w:rsidRPr="00156B04" w:rsidRDefault="00156B04" w:rsidP="009466AD">
                <w:pPr>
                  <w:tabs>
                    <w:tab w:val="left" w:pos="1100"/>
                    <w:tab w:val="right" w:leader="dot" w:pos="8270"/>
                  </w:tabs>
                  <w:spacing w:after="100"/>
                  <w:ind w:left="480"/>
                  <w:jc w:val="both"/>
                  <w:rPr>
                    <w:noProof/>
                    <w:szCs w:val="24"/>
                    <w:u w:val="single"/>
                    <w:lang w:bidi="en-US"/>
                  </w:rPr>
                </w:pPr>
                <w:r w:rsidRPr="00156B04">
                  <w:rPr>
                    <w:noProof/>
                    <w:szCs w:val="24"/>
                    <w:lang w:bidi="en-US"/>
                    <w14:scene3d>
                      <w14:camera w14:prst="orthographicFront"/>
                      <w14:lightRig w14:rig="threePt" w14:dir="t">
                        <w14:rot w14:lat="0" w14:lon="0" w14:rev="0"/>
                      </w14:lightRig>
                    </w14:scene3d>
                  </w:rPr>
                  <w:t>(1)</w:t>
                </w:r>
                <w:r w:rsidRPr="00156B04">
                  <w:rPr>
                    <w:noProof/>
                    <w:szCs w:val="24"/>
                  </w:rPr>
                  <w:tab/>
                </w:r>
                <w:r w:rsidRPr="00156B04">
                  <w:rPr>
                    <w:u w:val="single"/>
                  </w:rPr>
                  <w:t>Compensation</w:t>
                </w:r>
              </w:p>
            </w:tc>
            <w:tc>
              <w:tcPr>
                <w:tcW w:w="851" w:type="dxa"/>
              </w:tcPr>
              <w:p w14:paraId="2781CFE8"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81</w:t>
                </w:r>
              </w:p>
            </w:tc>
          </w:tr>
          <w:tr w:rsidR="00156B04" w:rsidRPr="00156B04" w14:paraId="6BE4A4BE" w14:textId="77777777" w:rsidTr="009466AD">
            <w:trPr>
              <w:trHeight w:val="432"/>
            </w:trPr>
            <w:tc>
              <w:tcPr>
                <w:tcW w:w="8505" w:type="dxa"/>
              </w:tcPr>
              <w:p w14:paraId="585126C7" w14:textId="77777777" w:rsidR="00156B04" w:rsidRPr="00156B04" w:rsidRDefault="00156B04" w:rsidP="009466AD">
                <w:pPr>
                  <w:tabs>
                    <w:tab w:val="left" w:pos="1100"/>
                    <w:tab w:val="right" w:leader="dot" w:pos="8270"/>
                  </w:tabs>
                  <w:spacing w:after="100"/>
                  <w:ind w:left="1080" w:hanging="60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(2)</w:t>
                </w:r>
                <w:r w:rsidRPr="00156B04">
                  <w:rPr>
                    <w:noProof/>
                    <w:szCs w:val="24"/>
                  </w:rPr>
                  <w:tab/>
                </w:r>
                <w:r w:rsidRPr="00156B04">
                  <w:rPr>
                    <w:u w:val="single"/>
                  </w:rPr>
                  <w:t>Enforcement</w:t>
                </w:r>
              </w:p>
            </w:tc>
            <w:tc>
              <w:tcPr>
                <w:tcW w:w="851" w:type="dxa"/>
              </w:tcPr>
              <w:p w14:paraId="3C49879F"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86</w:t>
                </w:r>
              </w:p>
            </w:tc>
          </w:tr>
          <w:tr w:rsidR="00156B04" w:rsidRPr="00156B04" w14:paraId="16CF00C0" w14:textId="77777777" w:rsidTr="009466AD">
            <w:trPr>
              <w:trHeight w:val="432"/>
            </w:trPr>
            <w:tc>
              <w:tcPr>
                <w:tcW w:w="8505" w:type="dxa"/>
              </w:tcPr>
              <w:p w14:paraId="3D90FFE4" w14:textId="77777777" w:rsidR="00156B04" w:rsidRPr="00156B04" w:rsidRDefault="00156B04" w:rsidP="009466AD">
                <w:pPr>
                  <w:tabs>
                    <w:tab w:val="left" w:pos="1100"/>
                    <w:tab w:val="right" w:leader="dot" w:pos="8270"/>
                  </w:tabs>
                  <w:spacing w:after="100"/>
                  <w:ind w:left="1080" w:hanging="60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(3)</w:t>
                </w:r>
                <w:r w:rsidRPr="00156B04">
                  <w:rPr>
                    <w:noProof/>
                    <w:szCs w:val="24"/>
                  </w:rPr>
                  <w:tab/>
                </w:r>
                <w:r w:rsidRPr="00156B04">
                  <w:rPr>
                    <w:u w:val="single"/>
                  </w:rPr>
                  <w:t xml:space="preserve">The </w:t>
                </w:r>
                <w:r w:rsidRPr="00156B04">
                  <w:rPr>
                    <w:i/>
                    <w:u w:val="single"/>
                  </w:rPr>
                  <w:t xml:space="preserve">Regulations </w:t>
                </w:r>
                <w:r w:rsidRPr="00156B04">
                  <w:rPr>
                    <w:u w:val="single"/>
                  </w:rPr>
                  <w:t>Operate as a Consumer Protection Scheme</w:t>
                </w:r>
              </w:p>
            </w:tc>
            <w:tc>
              <w:tcPr>
                <w:tcW w:w="851" w:type="dxa"/>
              </w:tcPr>
              <w:p w14:paraId="7EB592D5"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89</w:t>
                </w:r>
              </w:p>
            </w:tc>
          </w:tr>
          <w:tr w:rsidR="00156B04" w:rsidRPr="00156B04" w14:paraId="494E1DB9" w14:textId="77777777" w:rsidTr="009466AD">
            <w:trPr>
              <w:trHeight w:val="432"/>
            </w:trPr>
            <w:tc>
              <w:tcPr>
                <w:tcW w:w="8505" w:type="dxa"/>
              </w:tcPr>
              <w:p w14:paraId="1E5C7389" w14:textId="77777777" w:rsidR="00156B04" w:rsidRPr="00156B04" w:rsidRDefault="00156B04" w:rsidP="009466AD">
                <w:pPr>
                  <w:tabs>
                    <w:tab w:val="left" w:pos="480"/>
                    <w:tab w:val="right" w:leader="dot" w:pos="8270"/>
                  </w:tabs>
                  <w:spacing w:after="100"/>
                  <w:ind w:left="450" w:hanging="450"/>
                  <w:jc w:val="both"/>
                  <w:rPr>
                    <w:i/>
                    <w:noProof/>
                    <w:szCs w:val="24"/>
                  </w:rPr>
                </w:pPr>
                <w:r w:rsidRPr="00156B04">
                  <w:rPr>
                    <w:noProof/>
                    <w:szCs w:val="24"/>
                    <w:lang w:bidi="en-US"/>
                  </w:rPr>
                  <w:t>D.</w:t>
                </w:r>
                <w:r w:rsidRPr="00156B04">
                  <w:rPr>
                    <w:noProof/>
                    <w:szCs w:val="24"/>
                  </w:rPr>
                  <w:tab/>
                </w:r>
                <w:r w:rsidRPr="00156B04">
                  <w:rPr>
                    <w:i/>
                  </w:rPr>
                  <w:t>The Regulations Do Not Conflict With the Montreal Convention and Thus Are Not Ultra Vires the CTA</w:t>
                </w:r>
              </w:p>
            </w:tc>
            <w:tc>
              <w:tcPr>
                <w:tcW w:w="851" w:type="dxa"/>
              </w:tcPr>
              <w:p w14:paraId="5BC90192"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91</w:t>
                </w:r>
              </w:p>
            </w:tc>
          </w:tr>
          <w:tr w:rsidR="00156B04" w:rsidRPr="00156B04" w14:paraId="030EEAD1" w14:textId="77777777" w:rsidTr="009466AD">
            <w:trPr>
              <w:trHeight w:val="432"/>
            </w:trPr>
            <w:tc>
              <w:tcPr>
                <w:tcW w:w="8505" w:type="dxa"/>
              </w:tcPr>
              <w:p w14:paraId="54D71A52" w14:textId="77777777" w:rsidR="00156B04" w:rsidRPr="00156B04" w:rsidRDefault="00156B04" w:rsidP="009466AD">
                <w:pPr>
                  <w:tabs>
                    <w:tab w:val="left" w:pos="1100"/>
                    <w:tab w:val="right" w:leader="dot" w:pos="8270"/>
                  </w:tabs>
                  <w:spacing w:after="100"/>
                  <w:ind w:left="480"/>
                  <w:jc w:val="both"/>
                  <w:rPr>
                    <w:noProof/>
                    <w:szCs w:val="24"/>
                    <w:u w:val="single"/>
                    <w:lang w:bidi="en-US"/>
                  </w:rPr>
                </w:pPr>
                <w:r w:rsidRPr="00156B04">
                  <w:rPr>
                    <w:noProof/>
                    <w:szCs w:val="24"/>
                    <w:lang w:bidi="en-US"/>
                    <w14:scene3d>
                      <w14:camera w14:prst="orthographicFront"/>
                      <w14:lightRig w14:rig="threePt" w14:dir="t">
                        <w14:rot w14:lat="0" w14:lon="0" w14:rev="0"/>
                      </w14:lightRig>
                    </w14:scene3d>
                  </w:rPr>
                  <w:t>(1)</w:t>
                </w:r>
                <w:r w:rsidRPr="00156B04">
                  <w:rPr>
                    <w:noProof/>
                    <w:szCs w:val="24"/>
                  </w:rPr>
                  <w:tab/>
                </w:r>
                <w:r w:rsidRPr="00156B04">
                  <w:rPr>
                    <w:u w:val="single"/>
                  </w:rPr>
                  <w:t>What Constitutes a Conflict?</w:t>
                </w:r>
              </w:p>
            </w:tc>
            <w:tc>
              <w:tcPr>
                <w:tcW w:w="851" w:type="dxa"/>
              </w:tcPr>
              <w:p w14:paraId="5B19AD01" w14:textId="77777777" w:rsidR="00156B04" w:rsidRPr="00156B04" w:rsidRDefault="00156B04" w:rsidP="009466AD">
                <w:pPr>
                  <w:tabs>
                    <w:tab w:val="left" w:pos="480"/>
                    <w:tab w:val="right" w:leader="dot" w:pos="8270"/>
                  </w:tabs>
                  <w:spacing w:after="100"/>
                  <w:jc w:val="right"/>
                  <w:rPr>
                    <w:szCs w:val="24"/>
                    <w:lang w:val="en-US" w:bidi="en-US"/>
                  </w:rPr>
                </w:pPr>
                <w:r w:rsidRPr="00156B04">
                  <w:rPr>
                    <w:szCs w:val="24"/>
                    <w:lang w:val="en-US" w:bidi="en-US"/>
                  </w:rPr>
                  <w:t>92</w:t>
                </w:r>
              </w:p>
            </w:tc>
          </w:tr>
          <w:tr w:rsidR="00156B04" w:rsidRPr="00156B04" w14:paraId="7C11D057" w14:textId="77777777" w:rsidTr="009466AD">
            <w:trPr>
              <w:trHeight w:val="432"/>
            </w:trPr>
            <w:tc>
              <w:tcPr>
                <w:tcW w:w="8505" w:type="dxa"/>
              </w:tcPr>
              <w:p w14:paraId="6E52F32B" w14:textId="77777777" w:rsidR="00156B04" w:rsidRPr="00156B04" w:rsidRDefault="00156B04" w:rsidP="009466AD">
                <w:pPr>
                  <w:tabs>
                    <w:tab w:val="left" w:pos="1100"/>
                    <w:tab w:val="right" w:leader="dot" w:pos="8270"/>
                  </w:tabs>
                  <w:spacing w:after="100"/>
                  <w:ind w:left="1080" w:hanging="600"/>
                  <w:jc w:val="both"/>
                  <w:rPr>
                    <w:noProof/>
                    <w:szCs w:val="24"/>
                    <w:lang w:bidi="en-US"/>
                    <w14:scene3d>
                      <w14:camera w14:prst="orthographicFront"/>
                      <w14:lightRig w14:rig="threePt" w14:dir="t">
                        <w14:rot w14:lat="0" w14:lon="0" w14:rev="0"/>
                      </w14:lightRig>
                    </w14:scene3d>
                  </w:rPr>
                </w:pPr>
                <w:r w:rsidRPr="00156B04">
                  <w:rPr>
                    <w:noProof/>
                    <w:szCs w:val="24"/>
                    <w:lang w:bidi="en-US"/>
                    <w14:scene3d>
                      <w14:camera w14:prst="orthographicFront"/>
                      <w14:lightRig w14:rig="threePt" w14:dir="t">
                        <w14:rot w14:lat="0" w14:lon="0" w14:rev="0"/>
                      </w14:lightRig>
                    </w14:scene3d>
                  </w:rPr>
                  <w:t>(2)</w:t>
                </w:r>
                <w:r w:rsidRPr="00156B04">
                  <w:rPr>
                    <w:noProof/>
                    <w:szCs w:val="24"/>
                  </w:rPr>
                  <w:tab/>
                </w:r>
                <w:r w:rsidRPr="00156B04">
                  <w:rPr>
                    <w:u w:val="single"/>
                  </w:rPr>
                  <w:t xml:space="preserve">The </w:t>
                </w:r>
                <w:r w:rsidRPr="00156B04">
                  <w:rPr>
                    <w:i/>
                    <w:u w:val="single"/>
                  </w:rPr>
                  <w:t>Regulations</w:t>
                </w:r>
                <w:r w:rsidRPr="00156B04">
                  <w:rPr>
                    <w:u w:val="single"/>
                  </w:rPr>
                  <w:t xml:space="preserve"> Do Not Provide for an “Action for Damages” and, as a Consequence, There Is No Conflict</w:t>
                </w:r>
              </w:p>
            </w:tc>
            <w:tc>
              <w:tcPr>
                <w:tcW w:w="851" w:type="dxa"/>
              </w:tcPr>
              <w:p w14:paraId="7F47AF02"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94</w:t>
                </w:r>
              </w:p>
            </w:tc>
          </w:tr>
          <w:tr w:rsidR="00156B04" w:rsidRPr="00156B04" w14:paraId="32EAAAD6" w14:textId="77777777" w:rsidTr="009466AD">
            <w:trPr>
              <w:trHeight w:val="432"/>
            </w:trPr>
            <w:tc>
              <w:tcPr>
                <w:tcW w:w="8505" w:type="dxa"/>
              </w:tcPr>
              <w:p w14:paraId="52729A1B" w14:textId="77777777" w:rsidR="00156B04" w:rsidRPr="00156B04" w:rsidRDefault="00156B04" w:rsidP="009466AD">
                <w:pPr>
                  <w:tabs>
                    <w:tab w:val="left" w:pos="480"/>
                    <w:tab w:val="right" w:leader="dot" w:pos="8270"/>
                  </w:tabs>
                  <w:spacing w:after="100"/>
                  <w:ind w:left="450" w:hanging="450"/>
                  <w:jc w:val="both"/>
                  <w:rPr>
                    <w:i/>
                    <w:noProof/>
                    <w:szCs w:val="24"/>
                  </w:rPr>
                </w:pPr>
                <w:r w:rsidRPr="00156B04">
                  <w:rPr>
                    <w:noProof/>
                    <w:szCs w:val="24"/>
                    <w:lang w:bidi="en-US"/>
                  </w:rPr>
                  <w:t>E.</w:t>
                </w:r>
                <w:r w:rsidRPr="00156B04">
                  <w:rPr>
                    <w:noProof/>
                    <w:szCs w:val="24"/>
                  </w:rPr>
                  <w:tab/>
                </w:r>
                <w:r w:rsidRPr="00156B04">
                  <w:rPr>
                    <w:i/>
                  </w:rPr>
                  <w:t>It Is Unnecessary To Deal With Alternative Arguments in Favour of Validity of the Regulations</w:t>
                </w:r>
              </w:p>
            </w:tc>
            <w:tc>
              <w:tcPr>
                <w:tcW w:w="851" w:type="dxa"/>
              </w:tcPr>
              <w:p w14:paraId="118EEB6F"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100</w:t>
                </w:r>
              </w:p>
            </w:tc>
          </w:tr>
          <w:tr w:rsidR="00156B04" w:rsidRPr="00156B04" w14:paraId="1C5440A3" w14:textId="77777777" w:rsidTr="009466AD">
            <w:trPr>
              <w:trHeight w:val="432"/>
            </w:trPr>
            <w:tc>
              <w:tcPr>
                <w:tcW w:w="8505" w:type="dxa"/>
              </w:tcPr>
              <w:p w14:paraId="6FA89F58" w14:textId="77777777" w:rsidR="00156B04" w:rsidRPr="00156B04" w:rsidRDefault="00156B04" w:rsidP="009466AD">
                <w:pPr>
                  <w:tabs>
                    <w:tab w:val="left" w:pos="480"/>
                    <w:tab w:val="right" w:leader="dot" w:pos="8270"/>
                  </w:tabs>
                  <w:spacing w:after="100"/>
                  <w:jc w:val="both"/>
                  <w:rPr>
                    <w:i/>
                    <w:noProof/>
                    <w:szCs w:val="24"/>
                  </w:rPr>
                </w:pPr>
                <w:r w:rsidRPr="00156B04">
                  <w:rPr>
                    <w:noProof/>
                    <w:szCs w:val="24"/>
                    <w:lang w:bidi="en-US"/>
                  </w:rPr>
                  <w:t>VI.</w:t>
                </w:r>
                <w:r w:rsidRPr="00156B04">
                  <w:rPr>
                    <w:noProof/>
                    <w:szCs w:val="24"/>
                  </w:rPr>
                  <w:tab/>
                </w:r>
                <w:r w:rsidRPr="00156B04">
                  <w:rPr>
                    <w:u w:val="single"/>
                  </w:rPr>
                  <w:t>Conclusion and Disposition</w:t>
                </w:r>
              </w:p>
            </w:tc>
            <w:tc>
              <w:tcPr>
                <w:tcW w:w="851" w:type="dxa"/>
              </w:tcPr>
              <w:p w14:paraId="32F5D760" w14:textId="77777777" w:rsidR="00156B04" w:rsidRPr="00156B04" w:rsidRDefault="00156B04" w:rsidP="009466AD">
                <w:pPr>
                  <w:tabs>
                    <w:tab w:val="left" w:pos="480"/>
                    <w:tab w:val="right" w:leader="dot" w:pos="8270"/>
                  </w:tabs>
                  <w:spacing w:after="100"/>
                  <w:jc w:val="right"/>
                  <w:rPr>
                    <w:szCs w:val="24"/>
                    <w:lang w:bidi="en-US"/>
                  </w:rPr>
                </w:pPr>
                <w:r w:rsidRPr="00156B04">
                  <w:rPr>
                    <w:szCs w:val="24"/>
                    <w:lang w:bidi="en-US"/>
                  </w:rPr>
                  <w:t>103</w:t>
                </w:r>
              </w:p>
            </w:tc>
          </w:tr>
        </w:tbl>
        <w:p w14:paraId="674080FC" w14:textId="77777777" w:rsidR="00156B04" w:rsidRPr="00156B04" w:rsidRDefault="0021549E" w:rsidP="00156B04"/>
      </w:sdtContent>
    </w:sdt>
    <w:p w14:paraId="30A1203C" w14:textId="77777777" w:rsidR="00156B04" w:rsidRPr="00156B04" w:rsidRDefault="00156B04" w:rsidP="00156B04">
      <w:pPr>
        <w:pStyle w:val="ParaNoNdepar-AltN"/>
        <w:rPr>
          <w:rFonts w:cs="Times New Roman"/>
        </w:rPr>
      </w:pPr>
      <w:r w:rsidRPr="00156B04">
        <w:rPr>
          <w:rFonts w:cs="Times New Roman"/>
        </w:rPr>
        <w:t xml:space="preserve">This appeal addresses the </w:t>
      </w:r>
      <w:r w:rsidRPr="00156B04">
        <w:rPr>
          <w:rFonts w:cs="Times New Roman"/>
          <w:i/>
        </w:rPr>
        <w:t xml:space="preserve">vires </w:t>
      </w:r>
      <w:r w:rsidRPr="00156B04">
        <w:rPr>
          <w:rFonts w:cs="Times New Roman"/>
        </w:rPr>
        <w:t xml:space="preserve">of the </w:t>
      </w:r>
      <w:r w:rsidRPr="00156B04">
        <w:rPr>
          <w:rFonts w:cs="Times New Roman"/>
          <w:i/>
        </w:rPr>
        <w:t>Air Passenger Protection Regulations</w:t>
      </w:r>
      <w:r w:rsidRPr="00156B04">
        <w:rPr>
          <w:rFonts w:cs="Times New Roman"/>
        </w:rPr>
        <w:t xml:space="preserve">, </w:t>
      </w:r>
      <w:proofErr w:type="spellStart"/>
      <w:r w:rsidRPr="00156B04">
        <w:rPr>
          <w:rFonts w:cs="Times New Roman"/>
        </w:rPr>
        <w:t>SOR</w:t>
      </w:r>
      <w:proofErr w:type="spellEnd"/>
      <w:r w:rsidRPr="00156B04">
        <w:rPr>
          <w:rFonts w:cs="Times New Roman"/>
        </w:rPr>
        <w:t>/2019-150 (“</w:t>
      </w:r>
      <w:r w:rsidRPr="00156B04">
        <w:rPr>
          <w:rFonts w:cs="Times New Roman"/>
          <w:i/>
        </w:rPr>
        <w:t>Regulations</w:t>
      </w:r>
      <w:r w:rsidRPr="00156B04">
        <w:rPr>
          <w:rFonts w:cs="Times New Roman"/>
        </w:rPr>
        <w:t xml:space="preserve">”), and the nature and scope of the “exclusivity principle” set out in Article 29 of the 1999 </w:t>
      </w:r>
      <w:r w:rsidRPr="00156B04">
        <w:rPr>
          <w:rFonts w:cs="Times New Roman"/>
          <w:i/>
        </w:rPr>
        <w:t>Convention for the Unification of Certain Rules for International Carriage by Air</w:t>
      </w:r>
      <w:r w:rsidRPr="00156B04">
        <w:rPr>
          <w:rFonts w:cs="Times New Roman"/>
        </w:rPr>
        <w:t xml:space="preserve">, 2242 </w:t>
      </w:r>
      <w:proofErr w:type="spellStart"/>
      <w:r w:rsidRPr="00156B04">
        <w:rPr>
          <w:rFonts w:cs="Times New Roman"/>
        </w:rPr>
        <w:t>U.N.T.S</w:t>
      </w:r>
      <w:proofErr w:type="spellEnd"/>
      <w:r w:rsidRPr="00156B04">
        <w:rPr>
          <w:rFonts w:cs="Times New Roman"/>
        </w:rPr>
        <w:t>. 309 (“</w:t>
      </w:r>
      <w:r w:rsidRPr="00156B04">
        <w:rPr>
          <w:rFonts w:cs="Times New Roman"/>
          <w:i/>
        </w:rPr>
        <w:t>Montreal Convention</w:t>
      </w:r>
      <w:r w:rsidRPr="00156B04">
        <w:rPr>
          <w:rFonts w:cs="Times New Roman"/>
        </w:rPr>
        <w:t xml:space="preserve">”). </w:t>
      </w:r>
    </w:p>
    <w:p w14:paraId="305E6BB9" w14:textId="77777777" w:rsidR="00156B04" w:rsidRPr="00156B04" w:rsidRDefault="00156B04" w:rsidP="00156B04">
      <w:pPr>
        <w:pStyle w:val="ParaNoNdepar-AltN"/>
        <w:rPr>
          <w:rFonts w:cs="Times New Roman"/>
        </w:rPr>
      </w:pPr>
      <w:r w:rsidRPr="00156B04">
        <w:rPr>
          <w:rFonts w:cs="Times New Roman"/>
        </w:rPr>
        <w:t xml:space="preserve">The appellants submit that, because the </w:t>
      </w:r>
      <w:r w:rsidRPr="00156B04">
        <w:rPr>
          <w:rFonts w:cs="Times New Roman"/>
          <w:i/>
        </w:rPr>
        <w:t>Regulations</w:t>
      </w:r>
      <w:r w:rsidRPr="00156B04">
        <w:rPr>
          <w:rFonts w:cs="Times New Roman"/>
        </w:rPr>
        <w:t xml:space="preserve"> require that air carriers compensate passengers on international flights when their flights are delayed or cancelled, or when passengers are denied boarding or their baggage is lost or damaged, the </w:t>
      </w:r>
      <w:r w:rsidRPr="00156B04">
        <w:rPr>
          <w:rFonts w:cs="Times New Roman"/>
          <w:i/>
        </w:rPr>
        <w:t>Regulations</w:t>
      </w:r>
      <w:r w:rsidRPr="00156B04">
        <w:rPr>
          <w:rFonts w:cs="Times New Roman"/>
        </w:rPr>
        <w:t xml:space="preserve"> conflict with the </w:t>
      </w:r>
      <w:r w:rsidRPr="00156B04">
        <w:rPr>
          <w:rFonts w:cs="Times New Roman"/>
          <w:i/>
        </w:rPr>
        <w:t>Montreal Convention</w:t>
      </w:r>
      <w:r w:rsidRPr="00156B04">
        <w:rPr>
          <w:rFonts w:cs="Times New Roman"/>
        </w:rPr>
        <w:t xml:space="preserve">’s exclusivity principle. In light of this purported conflict, and because the </w:t>
      </w:r>
      <w:r w:rsidRPr="00156B04">
        <w:rPr>
          <w:rFonts w:cs="Times New Roman"/>
          <w:i/>
        </w:rPr>
        <w:t xml:space="preserve">Montreal Convention </w:t>
      </w:r>
      <w:r w:rsidRPr="00156B04">
        <w:rPr>
          <w:rFonts w:cs="Times New Roman"/>
        </w:rPr>
        <w:t xml:space="preserve">has been implemented by way of the </w:t>
      </w:r>
      <w:r w:rsidRPr="00156B04">
        <w:rPr>
          <w:rFonts w:cs="Times New Roman"/>
          <w:i/>
        </w:rPr>
        <w:t>Carriage by Air Act</w:t>
      </w:r>
      <w:r w:rsidRPr="00156B04">
        <w:rPr>
          <w:rFonts w:cs="Times New Roman"/>
        </w:rPr>
        <w:t xml:space="preserve">, </w:t>
      </w:r>
      <w:proofErr w:type="spellStart"/>
      <w:r w:rsidRPr="00156B04">
        <w:rPr>
          <w:rFonts w:cs="Times New Roman"/>
        </w:rPr>
        <w:t>R.S.C</w:t>
      </w:r>
      <w:proofErr w:type="spellEnd"/>
      <w:r w:rsidRPr="00156B04">
        <w:rPr>
          <w:rFonts w:cs="Times New Roman"/>
        </w:rPr>
        <w:t>. 1985, c. C-26 (“</w:t>
      </w:r>
      <w:r w:rsidRPr="00156B04">
        <w:rPr>
          <w:rFonts w:cs="Times New Roman"/>
          <w:i/>
        </w:rPr>
        <w:t>CAA</w:t>
      </w:r>
      <w:r w:rsidRPr="00156B04">
        <w:rPr>
          <w:rFonts w:cs="Times New Roman"/>
        </w:rPr>
        <w:t xml:space="preserve">”), the appellants assert that the </w:t>
      </w:r>
      <w:r w:rsidRPr="00156B04">
        <w:rPr>
          <w:rFonts w:cs="Times New Roman"/>
          <w:i/>
        </w:rPr>
        <w:t xml:space="preserve">Regulations </w:t>
      </w:r>
      <w:r w:rsidRPr="00156B04">
        <w:rPr>
          <w:rFonts w:cs="Times New Roman"/>
        </w:rPr>
        <w:t xml:space="preserve">are </w:t>
      </w:r>
      <w:r w:rsidRPr="00156B04">
        <w:rPr>
          <w:rFonts w:cs="Times New Roman"/>
          <w:i/>
        </w:rPr>
        <w:t>ultra vires</w:t>
      </w:r>
      <w:r w:rsidRPr="00156B04">
        <w:rPr>
          <w:rFonts w:cs="Times New Roman"/>
        </w:rPr>
        <w:t xml:space="preserve"> the regulation-making authority given to the Canadian Transportation Agency (“Agency”) by the </w:t>
      </w:r>
      <w:r w:rsidRPr="00156B04">
        <w:rPr>
          <w:rFonts w:cs="Times New Roman"/>
          <w:i/>
        </w:rPr>
        <w:t>Canada Transportation Act</w:t>
      </w:r>
      <w:r w:rsidRPr="00156B04">
        <w:rPr>
          <w:rFonts w:cs="Times New Roman"/>
        </w:rPr>
        <w:t>, S.C. 1996, c. 10 (“</w:t>
      </w:r>
      <w:r w:rsidRPr="00156B04">
        <w:rPr>
          <w:rFonts w:cs="Times New Roman"/>
          <w:i/>
        </w:rPr>
        <w:t>CTA</w:t>
      </w:r>
      <w:r w:rsidRPr="00156B04">
        <w:rPr>
          <w:rFonts w:cs="Times New Roman"/>
        </w:rPr>
        <w:t xml:space="preserve">”). I will hereafter refer to the issue of whether the </w:t>
      </w:r>
      <w:r w:rsidRPr="00156B04">
        <w:rPr>
          <w:rFonts w:cs="Times New Roman"/>
          <w:i/>
        </w:rPr>
        <w:t>Regulations</w:t>
      </w:r>
      <w:r w:rsidRPr="00156B04">
        <w:rPr>
          <w:rFonts w:cs="Times New Roman"/>
        </w:rPr>
        <w:t xml:space="preserve"> are within the jurisdiction of the Agency, as conferred by the </w:t>
      </w:r>
      <w:r w:rsidRPr="00156B04">
        <w:rPr>
          <w:rFonts w:cs="Times New Roman"/>
          <w:i/>
        </w:rPr>
        <w:t>CTA</w:t>
      </w:r>
      <w:r w:rsidRPr="00156B04">
        <w:rPr>
          <w:rFonts w:cs="Times New Roman"/>
        </w:rPr>
        <w:t xml:space="preserve">, as the </w:t>
      </w:r>
      <w:r w:rsidRPr="00156B04">
        <w:rPr>
          <w:rFonts w:cs="Times New Roman"/>
          <w:i/>
        </w:rPr>
        <w:t>Regulations</w:t>
      </w:r>
      <w:r w:rsidRPr="00156B04">
        <w:rPr>
          <w:rFonts w:cs="Times New Roman"/>
        </w:rPr>
        <w:t xml:space="preserve"> being “</w:t>
      </w:r>
      <w:r w:rsidRPr="00156B04">
        <w:rPr>
          <w:rFonts w:cs="Times New Roman"/>
          <w:i/>
        </w:rPr>
        <w:t>ultra vires</w:t>
      </w:r>
      <w:r w:rsidRPr="00156B04">
        <w:rPr>
          <w:rFonts w:cs="Times New Roman"/>
        </w:rPr>
        <w:t xml:space="preserve"> the </w:t>
      </w:r>
      <w:r w:rsidRPr="00156B04">
        <w:rPr>
          <w:rFonts w:cs="Times New Roman"/>
          <w:i/>
        </w:rPr>
        <w:t>CTA</w:t>
      </w:r>
      <w:r w:rsidRPr="00156B04">
        <w:rPr>
          <w:rFonts w:cs="Times New Roman"/>
        </w:rPr>
        <w:t>” or “</w:t>
      </w:r>
      <w:r w:rsidRPr="00156B04">
        <w:rPr>
          <w:rFonts w:cs="Times New Roman"/>
          <w:i/>
        </w:rPr>
        <w:t>intra vires</w:t>
      </w:r>
      <w:r w:rsidRPr="00156B04">
        <w:rPr>
          <w:rFonts w:cs="Times New Roman"/>
        </w:rPr>
        <w:t xml:space="preserve"> the </w:t>
      </w:r>
      <w:r w:rsidRPr="00156B04">
        <w:rPr>
          <w:rFonts w:cs="Times New Roman"/>
          <w:i/>
        </w:rPr>
        <w:t>CTA</w:t>
      </w:r>
      <w:r w:rsidRPr="00156B04">
        <w:rPr>
          <w:rFonts w:cs="Times New Roman"/>
        </w:rPr>
        <w:t>”.</w:t>
      </w:r>
    </w:p>
    <w:p w14:paraId="31576E73" w14:textId="77777777" w:rsidR="00156B04" w:rsidRPr="00156B04" w:rsidRDefault="00156B04" w:rsidP="00156B04">
      <w:pPr>
        <w:pStyle w:val="ParaNoNdepar-AltN"/>
        <w:rPr>
          <w:rFonts w:cs="Times New Roman"/>
        </w:rPr>
      </w:pPr>
      <w:r w:rsidRPr="00156B04">
        <w:rPr>
          <w:rFonts w:cs="Times New Roman"/>
        </w:rPr>
        <w:t xml:space="preserve">The parties also disagree concerning the admissibility of expert affidavits on questions of international law; such affidavits were introduced in the proceedings below regarding state practice. The law relating to the admissibility of expert evidence, as I explain below, has been settled since this Court’s decision in </w:t>
      </w:r>
      <w:r w:rsidRPr="00156B04">
        <w:rPr>
          <w:rFonts w:cs="Times New Roman"/>
          <w:i/>
        </w:rPr>
        <w:t>R. v. Mohan</w:t>
      </w:r>
      <w:r w:rsidRPr="00156B04">
        <w:rPr>
          <w:rFonts w:cs="Times New Roman"/>
        </w:rPr>
        <w:t xml:space="preserve">, [1994] 2 </w:t>
      </w:r>
      <w:proofErr w:type="spellStart"/>
      <w:r w:rsidRPr="00156B04">
        <w:rPr>
          <w:rFonts w:cs="Times New Roman"/>
        </w:rPr>
        <w:t>S.C.R</w:t>
      </w:r>
      <w:proofErr w:type="spellEnd"/>
      <w:r w:rsidRPr="00156B04">
        <w:rPr>
          <w:rFonts w:cs="Times New Roman"/>
        </w:rPr>
        <w:t>. 9.</w:t>
      </w:r>
    </w:p>
    <w:p w14:paraId="02350E3E" w14:textId="77777777" w:rsidR="00156B04" w:rsidRPr="00156B04" w:rsidRDefault="00156B04" w:rsidP="00156B04">
      <w:pPr>
        <w:pStyle w:val="ParaNoNdepar-AltN"/>
        <w:rPr>
          <w:rFonts w:cs="Times New Roman"/>
        </w:rPr>
      </w:pPr>
      <w:r w:rsidRPr="00156B04">
        <w:rPr>
          <w:rFonts w:cs="Times New Roman"/>
        </w:rPr>
        <w:t xml:space="preserve">This Court examined the scope of the exclusivity principle under the </w:t>
      </w:r>
      <w:r w:rsidRPr="00156B04">
        <w:rPr>
          <w:rFonts w:cs="Times New Roman"/>
          <w:i/>
        </w:rPr>
        <w:t xml:space="preserve">Montreal Convention </w:t>
      </w:r>
      <w:r w:rsidRPr="00156B04">
        <w:rPr>
          <w:rFonts w:cs="Times New Roman"/>
        </w:rPr>
        <w:t xml:space="preserve">in </w:t>
      </w:r>
      <w:proofErr w:type="spellStart"/>
      <w:r w:rsidRPr="00156B04">
        <w:rPr>
          <w:rFonts w:cs="Times New Roman"/>
          <w:i/>
        </w:rPr>
        <w:t>Thibodeau</w:t>
      </w:r>
      <w:proofErr w:type="spellEnd"/>
      <w:r w:rsidRPr="00156B04">
        <w:rPr>
          <w:rFonts w:cs="Times New Roman"/>
          <w:i/>
        </w:rPr>
        <w:t xml:space="preserve"> v. Air Canada</w:t>
      </w:r>
      <w:r w:rsidRPr="00156B04">
        <w:rPr>
          <w:rFonts w:cs="Times New Roman"/>
        </w:rPr>
        <w:t xml:space="preserve">, 2014 SCC 67, [2014] 3 </w:t>
      </w:r>
      <w:proofErr w:type="spellStart"/>
      <w:r w:rsidRPr="00156B04">
        <w:rPr>
          <w:rFonts w:cs="Times New Roman"/>
        </w:rPr>
        <w:t>S.C.R</w:t>
      </w:r>
      <w:proofErr w:type="spellEnd"/>
      <w:r w:rsidRPr="00156B04">
        <w:rPr>
          <w:rFonts w:cs="Times New Roman"/>
        </w:rPr>
        <w:t>. 340 (“</w:t>
      </w:r>
      <w:proofErr w:type="spellStart"/>
      <w:r w:rsidRPr="00156B04">
        <w:rPr>
          <w:rFonts w:cs="Times New Roman"/>
          <w:i/>
        </w:rPr>
        <w:t>Thibodeau</w:t>
      </w:r>
      <w:proofErr w:type="spellEnd"/>
      <w:r w:rsidRPr="00156B04">
        <w:rPr>
          <w:rFonts w:cs="Times New Roman"/>
        </w:rPr>
        <w:t xml:space="preserve">”), and in that case affirmed that the </w:t>
      </w:r>
      <w:r w:rsidRPr="00156B04">
        <w:rPr>
          <w:rFonts w:cs="Times New Roman"/>
          <w:i/>
        </w:rPr>
        <w:t>Montreal Convention</w:t>
      </w:r>
      <w:r w:rsidRPr="00156B04">
        <w:rPr>
          <w:rFonts w:cs="Times New Roman"/>
        </w:rPr>
        <w:t xml:space="preserve"> is exclusive within the scope of the matters that it addresses, but that the </w:t>
      </w:r>
      <w:r w:rsidRPr="00156B04">
        <w:rPr>
          <w:rFonts w:cs="Times New Roman"/>
          <w:i/>
        </w:rPr>
        <w:t xml:space="preserve">Montreal Convention </w:t>
      </w:r>
      <w:r w:rsidRPr="00156B04">
        <w:rPr>
          <w:rFonts w:cs="Times New Roman"/>
        </w:rPr>
        <w:t xml:space="preserve">does not deal comprehensively with all aspects of international carriage by air (para. 47). The same conclusion guides the result in this case. The exclusivity principle in Article 29 of the </w:t>
      </w:r>
      <w:r w:rsidRPr="00156B04">
        <w:rPr>
          <w:rFonts w:cs="Times New Roman"/>
          <w:i/>
        </w:rPr>
        <w:t xml:space="preserve">Montreal Convention </w:t>
      </w:r>
      <w:r w:rsidRPr="00156B04">
        <w:rPr>
          <w:rFonts w:cs="Times New Roman"/>
        </w:rPr>
        <w:t xml:space="preserve">applies to any “action for damages”. </w:t>
      </w:r>
      <w:bookmarkStart w:id="2" w:name="_Hlk170826858"/>
      <w:r w:rsidRPr="00156B04">
        <w:rPr>
          <w:rFonts w:cs="Times New Roman"/>
        </w:rPr>
        <w:t xml:space="preserve">However, the </w:t>
      </w:r>
      <w:r w:rsidRPr="00156B04">
        <w:rPr>
          <w:rFonts w:cs="Times New Roman"/>
          <w:i/>
        </w:rPr>
        <w:t>Regulations</w:t>
      </w:r>
      <w:r w:rsidRPr="00156B04">
        <w:rPr>
          <w:rFonts w:cs="Times New Roman"/>
        </w:rPr>
        <w:t xml:space="preserve"> do not provide for an “action for damages” because they do not provide for individualized compensation. </w:t>
      </w:r>
      <w:bookmarkStart w:id="3" w:name="_Hlk171512628"/>
      <w:r w:rsidRPr="00156B04">
        <w:rPr>
          <w:rFonts w:cs="Times New Roman"/>
        </w:rPr>
        <w:t>The entitlements provided for are not tied to harm suffered by the claimant as a result of injury caused by another</w:t>
      </w:r>
      <w:bookmarkEnd w:id="3"/>
      <w:r w:rsidRPr="00156B04">
        <w:rPr>
          <w:rFonts w:cs="Times New Roman"/>
        </w:rPr>
        <w:t xml:space="preserve">. Rather, the </w:t>
      </w:r>
      <w:r w:rsidRPr="00156B04">
        <w:rPr>
          <w:rFonts w:cs="Times New Roman"/>
          <w:i/>
        </w:rPr>
        <w:t>Regulations</w:t>
      </w:r>
      <w:r w:rsidRPr="00156B04">
        <w:rPr>
          <w:rFonts w:cs="Times New Roman"/>
        </w:rPr>
        <w:t xml:space="preserve"> create statutory entitlements as part of a consumer protection scheme that operates irrespective of the harm (if any) suffered by the claimant. </w:t>
      </w:r>
      <w:bookmarkStart w:id="4" w:name="_Hlk173335115"/>
      <w:bookmarkEnd w:id="2"/>
      <w:r w:rsidRPr="00156B04">
        <w:rPr>
          <w:rFonts w:cs="Times New Roman"/>
        </w:rPr>
        <w:t xml:space="preserve">Thus, the </w:t>
      </w:r>
      <w:r w:rsidRPr="00156B04">
        <w:rPr>
          <w:rFonts w:cs="Times New Roman"/>
          <w:i/>
        </w:rPr>
        <w:t>Regulations</w:t>
      </w:r>
      <w:r w:rsidRPr="00156B04">
        <w:rPr>
          <w:rFonts w:cs="Times New Roman"/>
        </w:rPr>
        <w:t xml:space="preserve"> do not give rise to liability that is pre-empted by Article 29 </w:t>
      </w:r>
      <w:bookmarkEnd w:id="4"/>
      <w:r w:rsidRPr="00156B04">
        <w:rPr>
          <w:rFonts w:cs="Times New Roman"/>
        </w:rPr>
        <w:t xml:space="preserve">and so do not conflict with the </w:t>
      </w:r>
      <w:r w:rsidRPr="00156B04">
        <w:rPr>
          <w:rFonts w:cs="Times New Roman"/>
          <w:i/>
        </w:rPr>
        <w:t xml:space="preserve">Montreal Convention </w:t>
      </w:r>
      <w:r w:rsidRPr="00156B04">
        <w:rPr>
          <w:rFonts w:cs="Times New Roman"/>
        </w:rPr>
        <w:t xml:space="preserve">as implemented by the </w:t>
      </w:r>
      <w:r w:rsidRPr="00156B04">
        <w:rPr>
          <w:rFonts w:cs="Times New Roman"/>
          <w:i/>
        </w:rPr>
        <w:t>CAA</w:t>
      </w:r>
      <w:r w:rsidRPr="00156B04">
        <w:rPr>
          <w:rFonts w:cs="Times New Roman"/>
        </w:rPr>
        <w:t>. Accordingly, the appeal is dismissed.</w:t>
      </w:r>
    </w:p>
    <w:p w14:paraId="4870198B" w14:textId="77777777" w:rsidR="00156B04" w:rsidRPr="00156B04" w:rsidRDefault="00156B04" w:rsidP="00156B04">
      <w:pPr>
        <w:pStyle w:val="Title1LevelTitre1Niveau-AltL"/>
        <w:rPr>
          <w:rFonts w:cs="Times New Roman"/>
        </w:rPr>
      </w:pPr>
      <w:bookmarkStart w:id="5" w:name="_Toc168491250"/>
      <w:r w:rsidRPr="00156B04">
        <w:rPr>
          <w:rFonts w:cs="Times New Roman"/>
        </w:rPr>
        <w:t>Facts</w:t>
      </w:r>
      <w:bookmarkEnd w:id="5"/>
    </w:p>
    <w:p w14:paraId="0F90CC1B" w14:textId="77777777" w:rsidR="00156B04" w:rsidRPr="00156B04" w:rsidRDefault="00156B04" w:rsidP="00156B04">
      <w:pPr>
        <w:pStyle w:val="Title2LevelTitre2Niveau"/>
        <w:rPr>
          <w:rFonts w:cs="Times New Roman"/>
        </w:rPr>
      </w:pPr>
      <w:bookmarkStart w:id="6" w:name="_Toc168491251"/>
      <w:r w:rsidRPr="00156B04">
        <w:rPr>
          <w:rFonts w:cs="Times New Roman"/>
        </w:rPr>
        <w:t>The Parties</w:t>
      </w:r>
      <w:bookmarkEnd w:id="6"/>
    </w:p>
    <w:p w14:paraId="40F2F3C9" w14:textId="77777777" w:rsidR="00156B04" w:rsidRPr="00156B04" w:rsidRDefault="00156B04" w:rsidP="00156B04">
      <w:pPr>
        <w:pStyle w:val="ParaNoNdepar-AltN"/>
        <w:rPr>
          <w:rFonts w:cs="Times New Roman"/>
        </w:rPr>
      </w:pPr>
      <w:r w:rsidRPr="00156B04">
        <w:rPr>
          <w:rFonts w:cs="Times New Roman"/>
        </w:rPr>
        <w:t xml:space="preserve">The appellant International Air Transport Association (“IATA”) is a trade association whose members include 290 airlines from 120 countries, which carry approximately 82 percent of the world’s air traffic. The appellant Air Transportation Association of America (doing business as Airlines for America) is a trade association which brings together passenger and cargo airlines based in the United States. The remaining 16 appellants are air carriers serving Canadian and international airports. </w:t>
      </w:r>
    </w:p>
    <w:p w14:paraId="437F46E7" w14:textId="77777777" w:rsidR="00156B04" w:rsidRPr="00156B04" w:rsidRDefault="00156B04" w:rsidP="00156B04">
      <w:pPr>
        <w:pStyle w:val="ParaNoNdepar-AltN"/>
        <w:rPr>
          <w:rFonts w:cs="Times New Roman"/>
        </w:rPr>
      </w:pPr>
      <w:r w:rsidRPr="00156B04">
        <w:rPr>
          <w:rFonts w:cs="Times New Roman"/>
        </w:rPr>
        <w:t xml:space="preserve">The respondent Agency is a quasi-judicial tribunal and an economic regulator with a mandate to deal with </w:t>
      </w:r>
      <w:r w:rsidRPr="00156B04">
        <w:rPr>
          <w:rFonts w:cs="Times New Roman"/>
          <w:spacing w:val="-3"/>
        </w:rPr>
        <w:t>transportation matters under Parliament’s legislative authority, including aviation</w:t>
      </w:r>
      <w:r w:rsidRPr="00156B04">
        <w:rPr>
          <w:rFonts w:cs="Times New Roman"/>
        </w:rPr>
        <w:t xml:space="preserve">. The Agency performs two functions. First, it applies rules that establish rights and responsibilities of transportation service providers and users and that level the playing field among competitors. As part of its regulatory function, the Agency makes determinations as to the issuance of licences and permits. It is empowered to enforce, through administrative monetary penalties, the </w:t>
      </w:r>
      <w:r w:rsidRPr="00156B04">
        <w:rPr>
          <w:rFonts w:cs="Times New Roman"/>
          <w:i/>
        </w:rPr>
        <w:t>CTA</w:t>
      </w:r>
      <w:r w:rsidRPr="00156B04">
        <w:rPr>
          <w:rFonts w:cs="Times New Roman"/>
        </w:rPr>
        <w:t xml:space="preserve"> and regulations made thereunder. Second, it adjudicates commercial and consumer transportation-related disputes and accessibility issues.</w:t>
      </w:r>
    </w:p>
    <w:p w14:paraId="04CFE071" w14:textId="77777777" w:rsidR="00156B04" w:rsidRPr="00156B04" w:rsidRDefault="00156B04" w:rsidP="00156B04">
      <w:pPr>
        <w:pStyle w:val="ParaNoNdepar-AltN"/>
        <w:rPr>
          <w:rFonts w:cs="Times New Roman"/>
        </w:rPr>
      </w:pPr>
      <w:r w:rsidRPr="00156B04">
        <w:rPr>
          <w:rFonts w:cs="Times New Roman"/>
        </w:rPr>
        <w:t>This Court in</w:t>
      </w:r>
      <w:r w:rsidRPr="00156B04">
        <w:rPr>
          <w:rFonts w:cs="Times New Roman"/>
          <w:i/>
        </w:rPr>
        <w:t xml:space="preserve"> Council of Canadians with Disabilities v. VIA Rail Canada Inc.</w:t>
      </w:r>
      <w:r w:rsidRPr="00156B04">
        <w:rPr>
          <w:rFonts w:cs="Times New Roman"/>
        </w:rPr>
        <w:t xml:space="preserve">, 2007 SCC 15, [2007] 1 </w:t>
      </w:r>
      <w:proofErr w:type="spellStart"/>
      <w:r w:rsidRPr="00156B04">
        <w:rPr>
          <w:rFonts w:cs="Times New Roman"/>
        </w:rPr>
        <w:t>S.C.R</w:t>
      </w:r>
      <w:proofErr w:type="spellEnd"/>
      <w:r w:rsidRPr="00156B04">
        <w:rPr>
          <w:rFonts w:cs="Times New Roman"/>
        </w:rPr>
        <w:t xml:space="preserve">. 650, described the </w:t>
      </w:r>
      <w:r w:rsidRPr="00156B04">
        <w:rPr>
          <w:rFonts w:cs="Times New Roman"/>
          <w:i/>
        </w:rPr>
        <w:t xml:space="preserve">CTA </w:t>
      </w:r>
      <w:r w:rsidRPr="00156B04">
        <w:rPr>
          <w:rFonts w:cs="Times New Roman"/>
        </w:rPr>
        <w:t xml:space="preserve">as “highly specialized regulatory legislation with a strong policy focus” (para. 98) and the Agency as “responsible for interpreting its own legislation, including what that statutory responsibility includes” (para. 100). </w:t>
      </w:r>
    </w:p>
    <w:p w14:paraId="35E1FE55" w14:textId="77777777" w:rsidR="00156B04" w:rsidRPr="00156B04" w:rsidRDefault="00156B04" w:rsidP="00156B04">
      <w:pPr>
        <w:pStyle w:val="Title2LevelTitre2Niveau"/>
        <w:rPr>
          <w:rFonts w:cs="Times New Roman"/>
        </w:rPr>
      </w:pPr>
      <w:bookmarkStart w:id="7" w:name="_Toc168491252"/>
      <w:r w:rsidRPr="00156B04">
        <w:rPr>
          <w:rFonts w:cs="Times New Roman"/>
        </w:rPr>
        <w:t>The Montreal Convention Under Canadian Law</w:t>
      </w:r>
      <w:bookmarkEnd w:id="7"/>
    </w:p>
    <w:p w14:paraId="39E6CDF5" w14:textId="77777777" w:rsidR="00156B04" w:rsidRPr="00156B04" w:rsidRDefault="00156B04" w:rsidP="00156B04">
      <w:pPr>
        <w:pStyle w:val="ParaNoNdepar-AltN"/>
        <w:rPr>
          <w:rFonts w:cs="Times New Roman"/>
        </w:rPr>
      </w:pPr>
      <w:bookmarkStart w:id="8" w:name="_Hlk177037013"/>
      <w:r w:rsidRPr="00156B04">
        <w:rPr>
          <w:rFonts w:cs="Times New Roman"/>
        </w:rPr>
        <w:t xml:space="preserve">As this Court explained in </w:t>
      </w:r>
      <w:proofErr w:type="spellStart"/>
      <w:r w:rsidRPr="00156B04">
        <w:rPr>
          <w:rFonts w:cs="Times New Roman"/>
          <w:i/>
          <w:iCs/>
        </w:rPr>
        <w:t>Thibodeau</w:t>
      </w:r>
      <w:proofErr w:type="spellEnd"/>
      <w:r w:rsidRPr="00156B04">
        <w:rPr>
          <w:rFonts w:cs="Times New Roman"/>
        </w:rPr>
        <w:t xml:space="preserve"> (at para. 47), the </w:t>
      </w:r>
      <w:r w:rsidRPr="00156B04">
        <w:rPr>
          <w:rFonts w:cs="Times New Roman"/>
          <w:i/>
          <w:iCs/>
        </w:rPr>
        <w:t>Montreal Convention</w:t>
      </w:r>
      <w:r w:rsidRPr="00156B04">
        <w:rPr>
          <w:rFonts w:cs="Times New Roman"/>
        </w:rPr>
        <w:t xml:space="preserve">, like its predecessor, the </w:t>
      </w:r>
      <w:r w:rsidRPr="00156B04">
        <w:rPr>
          <w:rFonts w:cs="Times New Roman"/>
          <w:i/>
          <w:iCs/>
        </w:rPr>
        <w:t>Convention for the Unification of Certain Rules Relating to International Carriage by Air</w:t>
      </w:r>
      <w:r w:rsidRPr="00156B04">
        <w:rPr>
          <w:rFonts w:cs="Times New Roman"/>
        </w:rPr>
        <w:t xml:space="preserve">, 137 </w:t>
      </w:r>
      <w:proofErr w:type="spellStart"/>
      <w:r w:rsidRPr="00156B04">
        <w:rPr>
          <w:rFonts w:cs="Times New Roman"/>
        </w:rPr>
        <w:t>L.N.T.S</w:t>
      </w:r>
      <w:proofErr w:type="spellEnd"/>
      <w:r w:rsidRPr="00156B04">
        <w:rPr>
          <w:rFonts w:cs="Times New Roman"/>
        </w:rPr>
        <w:t>. 11 (“</w:t>
      </w:r>
      <w:r w:rsidRPr="00156B04">
        <w:rPr>
          <w:rFonts w:cs="Times New Roman"/>
          <w:i/>
          <w:iCs/>
        </w:rPr>
        <w:t>Warsaw Convention</w:t>
      </w:r>
      <w:r w:rsidRPr="00156B04">
        <w:rPr>
          <w:rFonts w:cs="Times New Roman"/>
        </w:rPr>
        <w:t>”), was designed to achieve a number of objectives, including but not limited to the following:</w:t>
      </w:r>
    </w:p>
    <w:bookmarkEnd w:id="8"/>
    <w:p w14:paraId="667809FE" w14:textId="77777777" w:rsidR="00156B04" w:rsidRPr="00156B04" w:rsidRDefault="00156B04" w:rsidP="00156B04">
      <w:pPr>
        <w:pStyle w:val="Citation-AltC"/>
      </w:pPr>
      <w:r w:rsidRPr="00156B04">
        <w:t>. . . </w:t>
      </w:r>
      <w:proofErr w:type="gramStart"/>
      <w:r w:rsidRPr="00156B04">
        <w:t>achieve</w:t>
      </w:r>
      <w:proofErr w:type="gramEnd"/>
      <w:r w:rsidRPr="00156B04">
        <w:t xml:space="preserve"> a uniform set of rules governing damages liability of international air carriers and to provide limitation of carrier liability. These purposes can only be achieved by the </w:t>
      </w:r>
      <w:r w:rsidRPr="00156B04">
        <w:rPr>
          <w:i/>
        </w:rPr>
        <w:t>Montreal Convention</w:t>
      </w:r>
      <w:r w:rsidRPr="00156B04">
        <w:t xml:space="preserve"> if it provides the exclusive set of rules in relation to the matters that it covers. The </w:t>
      </w:r>
      <w:r w:rsidRPr="00156B04">
        <w:rPr>
          <w:i/>
        </w:rPr>
        <w:t>Montreal Convention</w:t>
      </w:r>
      <w:r w:rsidRPr="00156B04">
        <w:t xml:space="preserve"> of course does not deal with all aspects of international carriage by air: it is not comprehensive. But within the scope of the matters which it does address, it is exclusive in that it bars resort to other bases for liability in those areas: M. Clarke, </w:t>
      </w:r>
      <w:r w:rsidRPr="00156B04">
        <w:rPr>
          <w:i/>
        </w:rPr>
        <w:t>Contracts of Carriage by Air</w:t>
      </w:r>
      <w:r w:rsidRPr="00156B04">
        <w:t xml:space="preserve"> (2nd ed. 2010), at pp. 8 and 160-62; G. N. Tompkins, Jr., “The Continuing Development of Montreal Convention 1999 Jurisprudence” (2010), 35 </w:t>
      </w:r>
      <w:r w:rsidRPr="00156B04">
        <w:rPr>
          <w:i/>
        </w:rPr>
        <w:t>Air &amp; Space L.</w:t>
      </w:r>
      <w:r w:rsidRPr="00156B04">
        <w:t xml:space="preserve"> 433, at pp. 433-36.</w:t>
      </w:r>
    </w:p>
    <w:p w14:paraId="262434E2" w14:textId="77777777" w:rsidR="00156B04" w:rsidRPr="00156B04" w:rsidRDefault="00156B04" w:rsidP="00156B04">
      <w:pPr>
        <w:pStyle w:val="ContinueParaSuitedupar-AltP"/>
        <w:rPr>
          <w:rFonts w:cs="Times New Roman"/>
        </w:rPr>
      </w:pPr>
      <w:r w:rsidRPr="00156B04">
        <w:rPr>
          <w:rFonts w:cs="Times New Roman"/>
        </w:rPr>
        <w:t xml:space="preserve">I return to the purpose of the </w:t>
      </w:r>
      <w:r w:rsidRPr="00156B04">
        <w:rPr>
          <w:rFonts w:cs="Times New Roman"/>
          <w:i/>
        </w:rPr>
        <w:t>Montreal Convention</w:t>
      </w:r>
      <w:r w:rsidRPr="00156B04">
        <w:rPr>
          <w:rFonts w:cs="Times New Roman"/>
        </w:rPr>
        <w:t xml:space="preserve"> and the role of the exclusivity principle referenced in </w:t>
      </w:r>
      <w:proofErr w:type="spellStart"/>
      <w:r w:rsidRPr="00156B04">
        <w:rPr>
          <w:rFonts w:cs="Times New Roman"/>
          <w:i/>
        </w:rPr>
        <w:t>Thibodeau</w:t>
      </w:r>
      <w:proofErr w:type="spellEnd"/>
      <w:r w:rsidRPr="00156B04">
        <w:rPr>
          <w:rFonts w:cs="Times New Roman"/>
          <w:i/>
        </w:rPr>
        <w:t xml:space="preserve"> </w:t>
      </w:r>
      <w:r w:rsidRPr="00156B04">
        <w:rPr>
          <w:rFonts w:cs="Times New Roman"/>
        </w:rPr>
        <w:t xml:space="preserve">later in these reasons. </w:t>
      </w:r>
      <w:bookmarkStart w:id="9" w:name="_Hlk176979936"/>
      <w:r w:rsidRPr="00156B04">
        <w:rPr>
          <w:rFonts w:cs="Times New Roman"/>
        </w:rPr>
        <w:t xml:space="preserve">For now, it suffices to note that this Court has recognized three central objectives of the </w:t>
      </w:r>
      <w:r w:rsidRPr="00156B04">
        <w:rPr>
          <w:rFonts w:cs="Times New Roman"/>
          <w:i/>
        </w:rPr>
        <w:t>Montreal Convention</w:t>
      </w:r>
      <w:bookmarkEnd w:id="9"/>
      <w:r w:rsidRPr="00156B04">
        <w:rPr>
          <w:rFonts w:cs="Times New Roman"/>
        </w:rPr>
        <w:t>: first, it limits carrier liability related to claims for damages for death or bodily injury, damage to or loss of baggage and cargo, and for delay; second, it protects the interests of passengers and shippers by creating presumptive liability for carriers with respect to those claims; and third, it seeks “to create uniform rules governing claims arising from international air transportation” (paras. 41-42 and 44-46).</w:t>
      </w:r>
    </w:p>
    <w:p w14:paraId="560D933F" w14:textId="77777777" w:rsidR="00156B04" w:rsidRPr="00156B04" w:rsidRDefault="00156B04" w:rsidP="00156B04">
      <w:pPr>
        <w:pStyle w:val="ParaNoNdepar-AltN"/>
        <w:rPr>
          <w:rFonts w:cs="Times New Roman"/>
        </w:rPr>
      </w:pPr>
      <w:r w:rsidRPr="00156B04">
        <w:rPr>
          <w:rFonts w:cs="Times New Roman"/>
        </w:rPr>
        <w:t xml:space="preserve">Canada signed the </w:t>
      </w:r>
      <w:r w:rsidRPr="00156B04">
        <w:rPr>
          <w:rFonts w:cs="Times New Roman"/>
          <w:i/>
        </w:rPr>
        <w:t xml:space="preserve">Montreal Convention </w:t>
      </w:r>
      <w:r w:rsidRPr="00156B04">
        <w:rPr>
          <w:rFonts w:cs="Times New Roman"/>
        </w:rPr>
        <w:t xml:space="preserve">on October 1, 2001, and deposited its instrument of ratification on November 19, 2002. The </w:t>
      </w:r>
      <w:r w:rsidRPr="00156B04">
        <w:rPr>
          <w:rFonts w:cs="Times New Roman"/>
          <w:i/>
        </w:rPr>
        <w:t>Montreal Convention</w:t>
      </w:r>
      <w:r w:rsidRPr="00156B04">
        <w:rPr>
          <w:rFonts w:cs="Times New Roman"/>
        </w:rPr>
        <w:t xml:space="preserve"> was implemented into Canadian law by amendments to the </w:t>
      </w:r>
      <w:r w:rsidRPr="00156B04">
        <w:rPr>
          <w:rFonts w:cs="Times New Roman"/>
          <w:i/>
        </w:rPr>
        <w:t xml:space="preserve">CAA </w:t>
      </w:r>
      <w:r w:rsidRPr="00156B04">
        <w:rPr>
          <w:rFonts w:cs="Times New Roman"/>
        </w:rPr>
        <w:t>(</w:t>
      </w:r>
      <w:r w:rsidRPr="00156B04">
        <w:rPr>
          <w:rFonts w:cs="Times New Roman"/>
          <w:i/>
        </w:rPr>
        <w:t>An Act to amend the Carriage by Air Act</w:t>
      </w:r>
      <w:r w:rsidRPr="00156B04">
        <w:rPr>
          <w:rFonts w:cs="Times New Roman"/>
        </w:rPr>
        <w:t xml:space="preserve">, S.C. 2001, </w:t>
      </w:r>
      <w:proofErr w:type="gramStart"/>
      <w:r w:rsidRPr="00156B04">
        <w:rPr>
          <w:rFonts w:cs="Times New Roman"/>
        </w:rPr>
        <w:t>c</w:t>
      </w:r>
      <w:proofErr w:type="gramEnd"/>
      <w:r w:rsidRPr="00156B04">
        <w:rPr>
          <w:rFonts w:cs="Times New Roman"/>
        </w:rPr>
        <w:t xml:space="preserve">. 31); these incorporated the </w:t>
      </w:r>
      <w:r w:rsidRPr="00156B04">
        <w:rPr>
          <w:rFonts w:cs="Times New Roman"/>
          <w:i/>
        </w:rPr>
        <w:t xml:space="preserve">Montreal Convention </w:t>
      </w:r>
      <w:r w:rsidRPr="00156B04">
        <w:rPr>
          <w:rFonts w:cs="Times New Roman"/>
        </w:rPr>
        <w:t>in its entirety by reference (</w:t>
      </w:r>
      <w:r w:rsidRPr="00156B04">
        <w:rPr>
          <w:rFonts w:cs="Times New Roman"/>
          <w:i/>
        </w:rPr>
        <w:t>CAA</w:t>
      </w:r>
      <w:r w:rsidRPr="00156B04">
        <w:rPr>
          <w:rFonts w:cs="Times New Roman"/>
        </w:rPr>
        <w:t>, Sch. VI; Library</w:t>
      </w:r>
      <w:r w:rsidRPr="00156B04">
        <w:rPr>
          <w:rFonts w:cs="Times New Roman"/>
          <w:szCs w:val="24"/>
        </w:rPr>
        <w:t xml:space="preserve"> of Parliament, </w:t>
      </w:r>
      <w:r w:rsidRPr="00156B04">
        <w:rPr>
          <w:rFonts w:cs="Times New Roman"/>
          <w:i/>
          <w:szCs w:val="24"/>
        </w:rPr>
        <w:t>Canada’s Approach to the Treaty-Making Process</w:t>
      </w:r>
      <w:r w:rsidRPr="00156B04">
        <w:rPr>
          <w:rFonts w:cs="Times New Roman"/>
          <w:szCs w:val="24"/>
        </w:rPr>
        <w:t>, Hill Studies 2008-45-E, April 1, 2021, at pp. 2-5).</w:t>
      </w:r>
    </w:p>
    <w:p w14:paraId="61D6CD39" w14:textId="77777777" w:rsidR="00156B04" w:rsidRPr="00156B04" w:rsidRDefault="00156B04" w:rsidP="00156B04">
      <w:pPr>
        <w:pStyle w:val="Title2LevelTitre2Niveau"/>
        <w:rPr>
          <w:rFonts w:cs="Times New Roman"/>
        </w:rPr>
      </w:pPr>
      <w:bookmarkStart w:id="10" w:name="_Toc168491253"/>
      <w:r w:rsidRPr="00156B04">
        <w:rPr>
          <w:rFonts w:cs="Times New Roman"/>
        </w:rPr>
        <w:t>The Development and Content of the Regulations</w:t>
      </w:r>
      <w:bookmarkEnd w:id="10"/>
    </w:p>
    <w:p w14:paraId="088BEEC9" w14:textId="77777777" w:rsidR="00156B04" w:rsidRPr="00156B04" w:rsidRDefault="00156B04" w:rsidP="00156B04">
      <w:pPr>
        <w:pStyle w:val="ParaNoNdepar-AltN"/>
        <w:rPr>
          <w:rFonts w:eastAsia="Times New Roman" w:cs="Times New Roman"/>
          <w:b/>
        </w:rPr>
      </w:pPr>
      <w:r w:rsidRPr="00156B04">
        <w:rPr>
          <w:rFonts w:cs="Times New Roman"/>
        </w:rPr>
        <w:t xml:space="preserve">In 2014, the Minister of Transport (“Minister”) launched a review of the </w:t>
      </w:r>
      <w:r w:rsidRPr="00156B04">
        <w:rPr>
          <w:rFonts w:cs="Times New Roman"/>
          <w:i/>
        </w:rPr>
        <w:t>CTA</w:t>
      </w:r>
      <w:r w:rsidRPr="00156B04">
        <w:rPr>
          <w:rFonts w:cs="Times New Roman"/>
        </w:rPr>
        <w:t>.</w:t>
      </w:r>
      <w:r w:rsidRPr="00156B04">
        <w:rPr>
          <w:rFonts w:eastAsia="Times New Roman" w:cs="Times New Roman"/>
        </w:rPr>
        <w:t xml:space="preserve"> Following this review, Parliament enacted the </w:t>
      </w:r>
      <w:r w:rsidRPr="00156B04">
        <w:rPr>
          <w:rFonts w:eastAsia="Times New Roman" w:cs="Times New Roman"/>
          <w:i/>
        </w:rPr>
        <w:t>Transportation Modernization Act</w:t>
      </w:r>
      <w:r w:rsidRPr="00156B04">
        <w:rPr>
          <w:rFonts w:eastAsia="Times New Roman" w:cs="Times New Roman"/>
        </w:rPr>
        <w:t>, S.C. 2018, c. 10,</w:t>
      </w:r>
      <w:r w:rsidRPr="00156B04">
        <w:rPr>
          <w:rFonts w:eastAsia="Times New Roman" w:cs="Times New Roman"/>
          <w:i/>
        </w:rPr>
        <w:t xml:space="preserve"> </w:t>
      </w:r>
      <w:r w:rsidRPr="00156B04">
        <w:rPr>
          <w:rFonts w:eastAsia="Times New Roman" w:cs="Times New Roman"/>
        </w:rPr>
        <w:t xml:space="preserve">in 2018; this amended the </w:t>
      </w:r>
      <w:r w:rsidRPr="00156B04">
        <w:rPr>
          <w:rFonts w:eastAsia="Times New Roman" w:cs="Times New Roman"/>
          <w:i/>
        </w:rPr>
        <w:t xml:space="preserve">CTA </w:t>
      </w:r>
      <w:r w:rsidRPr="00156B04">
        <w:rPr>
          <w:rFonts w:eastAsia="Times New Roman" w:cs="Times New Roman"/>
        </w:rPr>
        <w:t>to add s. 86.11, which stated that “</w:t>
      </w:r>
      <w:r w:rsidRPr="00156B04">
        <w:rPr>
          <w:rFonts w:cs="Times New Roman"/>
        </w:rPr>
        <w:t>[t]he Agency shall, after consulting with the Minister, make regulations in relation to flights to, from and within Canada, including connecting flights” with respect to a number of areas, notably including carriers’ obligations in case of flight delay, flight cancellation or denial of boarding, and lost and damaged baggage</w:t>
      </w:r>
      <w:r w:rsidRPr="00156B04">
        <w:rPr>
          <w:rFonts w:eastAsia="Times New Roman" w:cs="Times New Roman"/>
        </w:rPr>
        <w:t xml:space="preserve">. The Agency published draft regulations thereafter; these came into force in 2019. </w:t>
      </w:r>
    </w:p>
    <w:p w14:paraId="7B5437C8"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As mandated by the addition of s. 86.11 to the </w:t>
      </w:r>
      <w:r w:rsidRPr="00156B04">
        <w:rPr>
          <w:rFonts w:eastAsia="Times New Roman" w:cs="Times New Roman"/>
          <w:i/>
        </w:rPr>
        <w:t>CTA</w:t>
      </w:r>
      <w:r w:rsidRPr="00156B04">
        <w:rPr>
          <w:rFonts w:eastAsia="Times New Roman" w:cs="Times New Roman"/>
        </w:rPr>
        <w:t>, the</w:t>
      </w:r>
      <w:r w:rsidRPr="00156B04">
        <w:rPr>
          <w:rFonts w:cs="Times New Roman"/>
        </w:rPr>
        <w:t xml:space="preserve"> </w:t>
      </w:r>
      <w:r w:rsidRPr="00156B04">
        <w:rPr>
          <w:rFonts w:eastAsia="Times New Roman" w:cs="Times New Roman"/>
          <w:i/>
        </w:rPr>
        <w:t xml:space="preserve">Regulations </w:t>
      </w:r>
      <w:r w:rsidRPr="00156B04">
        <w:rPr>
          <w:rFonts w:eastAsia="Times New Roman" w:cs="Times New Roman"/>
        </w:rPr>
        <w:t>establish minimum air carrier obligations towards passengers</w:t>
      </w:r>
      <w:r w:rsidRPr="00156B04">
        <w:rPr>
          <w:rFonts w:eastAsia="Times New Roman" w:cs="Times New Roman"/>
          <w:b/>
        </w:rPr>
        <w:t xml:space="preserve"> </w:t>
      </w:r>
      <w:r w:rsidRPr="00156B04">
        <w:rPr>
          <w:rFonts w:eastAsia="Times New Roman" w:cs="Times New Roman"/>
        </w:rPr>
        <w:t xml:space="preserve">when flights are delayed, cancelled, when a passenger is denied boarding, or </w:t>
      </w:r>
      <w:r w:rsidRPr="00156B04">
        <w:rPr>
          <w:rFonts w:cs="Times New Roman"/>
        </w:rPr>
        <w:t>when baggage is lost or damaged.</w:t>
      </w:r>
      <w:r w:rsidRPr="00156B04">
        <w:rPr>
          <w:rFonts w:eastAsia="Times New Roman" w:cs="Times New Roman"/>
        </w:rPr>
        <w:t xml:space="preserve"> This appeal concerns the provisions of the </w:t>
      </w:r>
      <w:r w:rsidRPr="00156B04">
        <w:rPr>
          <w:rFonts w:eastAsia="Times New Roman" w:cs="Times New Roman"/>
          <w:i/>
        </w:rPr>
        <w:t xml:space="preserve">Regulations </w:t>
      </w:r>
      <w:r w:rsidRPr="00156B04">
        <w:rPr>
          <w:rFonts w:eastAsia="Times New Roman" w:cs="Times New Roman"/>
        </w:rPr>
        <w:t>dealing with:</w:t>
      </w:r>
    </w:p>
    <w:p w14:paraId="68ECFEA5" w14:textId="77777777" w:rsidR="00156B04" w:rsidRPr="00156B04" w:rsidRDefault="00156B04" w:rsidP="00156B04">
      <w:pPr>
        <w:pStyle w:val="ParaNoNdepar-AltN"/>
        <w:numPr>
          <w:ilvl w:val="1"/>
          <w:numId w:val="21"/>
        </w:numPr>
        <w:ind w:left="1526"/>
        <w:rPr>
          <w:rFonts w:eastAsia="Times New Roman" w:cs="Times New Roman"/>
          <w:b/>
        </w:rPr>
      </w:pPr>
      <w:r w:rsidRPr="00156B04">
        <w:rPr>
          <w:rFonts w:eastAsia="Times New Roman" w:cs="Times New Roman"/>
        </w:rPr>
        <w:t xml:space="preserve">standardized amounts of compensation for international flight delays, cancellations and denial of boarding when the disruption occurs for reasons within a carrier’s control and is not required for safety purposes (ss. 12(2)(d), (3)(d) and (4)(d), 19 and 20); and </w:t>
      </w:r>
    </w:p>
    <w:p w14:paraId="66F1FE0B" w14:textId="77777777" w:rsidR="00156B04" w:rsidRPr="00156B04" w:rsidRDefault="00156B04" w:rsidP="00156B04">
      <w:pPr>
        <w:pStyle w:val="ParaNoNdepar-AltN"/>
        <w:numPr>
          <w:ilvl w:val="1"/>
          <w:numId w:val="21"/>
        </w:numPr>
        <w:ind w:left="1526"/>
        <w:rPr>
          <w:rFonts w:eastAsia="Times New Roman" w:cs="Times New Roman"/>
          <w:b/>
        </w:rPr>
      </w:pPr>
      <w:proofErr w:type="gramStart"/>
      <w:r w:rsidRPr="00156B04">
        <w:rPr>
          <w:rFonts w:eastAsia="Times New Roman" w:cs="Times New Roman"/>
        </w:rPr>
        <w:t>refunds</w:t>
      </w:r>
      <w:proofErr w:type="gramEnd"/>
      <w:r w:rsidRPr="00156B04">
        <w:rPr>
          <w:rFonts w:eastAsia="Times New Roman" w:cs="Times New Roman"/>
        </w:rPr>
        <w:t xml:space="preserve"> of baggage fees paid by passengers when the carrier has lost or damaged their baggage on international flights (s. 23).</w:t>
      </w:r>
    </w:p>
    <w:p w14:paraId="6CABE0BB"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w:t>
      </w:r>
      <w:r w:rsidRPr="00156B04">
        <w:rPr>
          <w:rFonts w:eastAsia="Times New Roman" w:cs="Times New Roman"/>
          <w:i/>
        </w:rPr>
        <w:t xml:space="preserve">Regulations </w:t>
      </w:r>
      <w:r w:rsidRPr="00156B04">
        <w:rPr>
          <w:rFonts w:eastAsia="Times New Roman" w:cs="Times New Roman"/>
        </w:rPr>
        <w:t>also establish air carrier obligations to passengers with respect to other topics not at issue in this appeal including: tarmac delays, seating assignment of children, and the transportation of musical instruments.</w:t>
      </w:r>
    </w:p>
    <w:p w14:paraId="18D965FD" w14:textId="77777777" w:rsidR="00156B04" w:rsidRPr="00156B04" w:rsidRDefault="00156B04" w:rsidP="00156B04">
      <w:pPr>
        <w:pStyle w:val="Title1LevelTitre1Niveau-AltL"/>
        <w:rPr>
          <w:rFonts w:cs="Times New Roman"/>
        </w:rPr>
      </w:pPr>
      <w:bookmarkStart w:id="11" w:name="_Toc168491254"/>
      <w:r w:rsidRPr="00156B04">
        <w:rPr>
          <w:rFonts w:cs="Times New Roman"/>
        </w:rPr>
        <w:t xml:space="preserve">Federal Court of Appeal, 2022 </w:t>
      </w:r>
      <w:proofErr w:type="spellStart"/>
      <w:r w:rsidRPr="00156B04">
        <w:rPr>
          <w:rFonts w:cs="Times New Roman"/>
        </w:rPr>
        <w:t>FCA</w:t>
      </w:r>
      <w:proofErr w:type="spellEnd"/>
      <w:r w:rsidRPr="00156B04">
        <w:rPr>
          <w:rFonts w:cs="Times New Roman"/>
        </w:rPr>
        <w:t xml:space="preserve"> 211 (de </w:t>
      </w:r>
      <w:proofErr w:type="spellStart"/>
      <w:r w:rsidRPr="00156B04">
        <w:rPr>
          <w:rFonts w:cs="Times New Roman"/>
        </w:rPr>
        <w:t>Montigny</w:t>
      </w:r>
      <w:proofErr w:type="spellEnd"/>
      <w:r w:rsidRPr="00156B04">
        <w:rPr>
          <w:rFonts w:cs="Times New Roman"/>
        </w:rPr>
        <w:t xml:space="preserve"> J.A., Pelletier and Locke </w:t>
      </w:r>
      <w:proofErr w:type="spellStart"/>
      <w:r w:rsidRPr="00156B04">
        <w:rPr>
          <w:rFonts w:cs="Times New Roman"/>
        </w:rPr>
        <w:t>JJ.A</w:t>
      </w:r>
      <w:proofErr w:type="spellEnd"/>
      <w:r w:rsidRPr="00156B04">
        <w:rPr>
          <w:rFonts w:cs="Times New Roman"/>
        </w:rPr>
        <w:t>. Concurring)</w:t>
      </w:r>
      <w:bookmarkEnd w:id="11"/>
    </w:p>
    <w:p w14:paraId="672A5EB8"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appellants brought their challenge </w:t>
      </w:r>
      <w:r w:rsidRPr="00156B04">
        <w:rPr>
          <w:rFonts w:cs="Times New Roman"/>
        </w:rPr>
        <w:t xml:space="preserve">to the </w:t>
      </w:r>
      <w:r w:rsidRPr="00156B04">
        <w:rPr>
          <w:rFonts w:cs="Times New Roman"/>
          <w:i/>
        </w:rPr>
        <w:t>Regulations</w:t>
      </w:r>
      <w:r w:rsidRPr="00156B04">
        <w:rPr>
          <w:rFonts w:eastAsia="Times New Roman" w:cs="Times New Roman"/>
        </w:rPr>
        <w:t xml:space="preserve"> in a statutory appeal to the Federal Court of Appeal, which hears appeals from decisions of the Canadian Transportation Agency on questions of law or jurisdiction, per s. 41 of the </w:t>
      </w:r>
      <w:r w:rsidRPr="00156B04">
        <w:rPr>
          <w:rFonts w:eastAsia="Times New Roman" w:cs="Times New Roman"/>
          <w:i/>
        </w:rPr>
        <w:t>CTA</w:t>
      </w:r>
      <w:r w:rsidRPr="00156B04">
        <w:rPr>
          <w:rFonts w:eastAsia="Times New Roman" w:cs="Times New Roman"/>
        </w:rPr>
        <w:t>.</w:t>
      </w:r>
    </w:p>
    <w:p w14:paraId="5F80A171"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Preliminary motions addressed the admissibility of expert evidence. First, the Attorney General of Canada sought leave to present expert evidence on the state practice with respect to air passenger rights under the </w:t>
      </w:r>
      <w:r w:rsidRPr="00156B04">
        <w:rPr>
          <w:rFonts w:eastAsia="Times New Roman" w:cs="Times New Roman"/>
          <w:i/>
        </w:rPr>
        <w:t>Montreal Convention</w:t>
      </w:r>
      <w:r w:rsidRPr="00156B04">
        <w:rPr>
          <w:rFonts w:eastAsia="Times New Roman" w:cs="Times New Roman"/>
        </w:rPr>
        <w:t xml:space="preserve">. Justice Rennie granted the motion and both </w:t>
      </w:r>
      <w:proofErr w:type="gramStart"/>
      <w:r w:rsidRPr="00156B04">
        <w:rPr>
          <w:rFonts w:eastAsia="Times New Roman" w:cs="Times New Roman"/>
        </w:rPr>
        <w:t>parties</w:t>
      </w:r>
      <w:proofErr w:type="gramEnd"/>
      <w:r w:rsidRPr="00156B04">
        <w:rPr>
          <w:rFonts w:eastAsia="Times New Roman" w:cs="Times New Roman"/>
        </w:rPr>
        <w:t xml:space="preserve"> submitted affidavits by experts (No. A-311-19, January 27, 2020, reproduced in </w:t>
      </w:r>
      <w:proofErr w:type="spellStart"/>
      <w:r w:rsidRPr="00156B04">
        <w:rPr>
          <w:rFonts w:eastAsia="Times New Roman" w:cs="Times New Roman"/>
        </w:rPr>
        <w:t>A.R</w:t>
      </w:r>
      <w:proofErr w:type="spellEnd"/>
      <w:r w:rsidRPr="00156B04">
        <w:rPr>
          <w:rFonts w:eastAsia="Times New Roman" w:cs="Times New Roman"/>
        </w:rPr>
        <w:t xml:space="preserve">., vol. I, at p. 139). </w:t>
      </w:r>
    </w:p>
    <w:p w14:paraId="64BE5BC4" w14:textId="77777777" w:rsidR="00156B04" w:rsidRPr="00156B04" w:rsidRDefault="00156B04" w:rsidP="00156B04">
      <w:pPr>
        <w:pStyle w:val="ParaNoNdepar-AltN"/>
        <w:rPr>
          <w:rFonts w:cs="Times New Roman"/>
        </w:rPr>
      </w:pPr>
      <w:r w:rsidRPr="00156B04">
        <w:rPr>
          <w:rFonts w:cs="Times New Roman"/>
        </w:rPr>
        <w:t xml:space="preserve">Second, the Attorney General moved to strike the appellants’ expert affidavits, to the extent that they “purported to opine on the interpretation of the </w:t>
      </w:r>
      <w:r w:rsidRPr="00156B04">
        <w:rPr>
          <w:rFonts w:cs="Times New Roman"/>
          <w:i/>
        </w:rPr>
        <w:t xml:space="preserve">Montreal Convention </w:t>
      </w:r>
      <w:r w:rsidRPr="00156B04">
        <w:rPr>
          <w:rFonts w:cs="Times New Roman"/>
        </w:rPr>
        <w:t xml:space="preserve">and the compatibility of foreign regimes with the </w:t>
      </w:r>
      <w:r w:rsidRPr="00156B04">
        <w:rPr>
          <w:rFonts w:cs="Times New Roman"/>
          <w:i/>
        </w:rPr>
        <w:t>Convention</w:t>
      </w:r>
      <w:r w:rsidRPr="00156B04">
        <w:rPr>
          <w:rFonts w:cs="Times New Roman"/>
        </w:rPr>
        <w:t>” (</w:t>
      </w:r>
      <w:proofErr w:type="spellStart"/>
      <w:r w:rsidRPr="00156B04">
        <w:rPr>
          <w:rFonts w:cs="Times New Roman"/>
        </w:rPr>
        <w:t>R.F</w:t>
      </w:r>
      <w:proofErr w:type="spellEnd"/>
      <w:r w:rsidRPr="00156B04">
        <w:rPr>
          <w:rFonts w:cs="Times New Roman"/>
        </w:rPr>
        <w:t xml:space="preserve">., at para. 18). In an interim order by Justice </w:t>
      </w:r>
      <w:proofErr w:type="spellStart"/>
      <w:r w:rsidRPr="00156B04">
        <w:rPr>
          <w:rFonts w:cs="Times New Roman"/>
        </w:rPr>
        <w:t>Mactavish</w:t>
      </w:r>
      <w:proofErr w:type="spellEnd"/>
      <w:r w:rsidRPr="00156B04">
        <w:rPr>
          <w:rFonts w:cs="Times New Roman"/>
        </w:rPr>
        <w:t xml:space="preserve">, the motion was dismissed to allow the panel hearing the appeal on the merits to determine the admissibility of the evidence (2020 </w:t>
      </w:r>
      <w:proofErr w:type="spellStart"/>
      <w:r w:rsidRPr="00156B04">
        <w:rPr>
          <w:rFonts w:cs="Times New Roman"/>
        </w:rPr>
        <w:t>FCA</w:t>
      </w:r>
      <w:proofErr w:type="spellEnd"/>
      <w:r w:rsidRPr="00156B04">
        <w:rPr>
          <w:rFonts w:cs="Times New Roman"/>
        </w:rPr>
        <w:t xml:space="preserve"> 172).</w:t>
      </w:r>
    </w:p>
    <w:p w14:paraId="75D367BC" w14:textId="77777777" w:rsidR="00156B04" w:rsidRPr="00156B04" w:rsidRDefault="00156B04" w:rsidP="00156B04">
      <w:pPr>
        <w:pStyle w:val="ParaNoNdepar-AltN"/>
        <w:rPr>
          <w:rFonts w:cs="Times New Roman"/>
        </w:rPr>
      </w:pPr>
      <w:r w:rsidRPr="00156B04">
        <w:rPr>
          <w:rFonts w:cs="Times New Roman"/>
        </w:rPr>
        <w:t xml:space="preserve">In the merits hearing, Justice de </w:t>
      </w:r>
      <w:proofErr w:type="spellStart"/>
      <w:r w:rsidRPr="00156B04">
        <w:rPr>
          <w:rFonts w:cs="Times New Roman"/>
        </w:rPr>
        <w:t>Montigny</w:t>
      </w:r>
      <w:proofErr w:type="spellEnd"/>
      <w:r w:rsidRPr="00156B04">
        <w:rPr>
          <w:rFonts w:cs="Times New Roman"/>
        </w:rPr>
        <w:t xml:space="preserve"> (as he then was), for a unanimous court, dismissed the challenge brought by the airlines, with the exception of the provisions relating to the “temporary loss” of baggage. In arriving at this conclusion, he identified three principal issues: </w:t>
      </w:r>
    </w:p>
    <w:p w14:paraId="4A3F88F6" w14:textId="77777777" w:rsidR="00156B04" w:rsidRPr="00156B04" w:rsidRDefault="00156B04" w:rsidP="00156B04">
      <w:pPr>
        <w:pStyle w:val="ParaNoNdepar-AltN"/>
        <w:numPr>
          <w:ilvl w:val="1"/>
          <w:numId w:val="22"/>
        </w:numPr>
        <w:ind w:left="1526"/>
        <w:rPr>
          <w:rFonts w:cs="Times New Roman"/>
        </w:rPr>
      </w:pPr>
      <w:r w:rsidRPr="00156B04">
        <w:rPr>
          <w:rFonts w:cs="Times New Roman"/>
        </w:rPr>
        <w:t xml:space="preserve">Is the </w:t>
      </w:r>
      <w:bookmarkStart w:id="12" w:name="_Hlk167972189"/>
      <w:r w:rsidRPr="00156B04">
        <w:rPr>
          <w:rFonts w:cs="Times New Roman"/>
        </w:rPr>
        <w:t xml:space="preserve">minimum compensation to passengers required by the </w:t>
      </w:r>
      <w:r w:rsidRPr="00156B04">
        <w:rPr>
          <w:rFonts w:cs="Times New Roman"/>
          <w:i/>
        </w:rPr>
        <w:t>Regulations</w:t>
      </w:r>
      <w:r w:rsidRPr="00156B04">
        <w:rPr>
          <w:rFonts w:cs="Times New Roman"/>
        </w:rPr>
        <w:t xml:space="preserve"> in the case of delay, cancellation, denial of boarding and lost or damaged baggage</w:t>
      </w:r>
      <w:bookmarkEnd w:id="12"/>
      <w:r w:rsidRPr="00156B04">
        <w:rPr>
          <w:rFonts w:cs="Times New Roman"/>
        </w:rPr>
        <w:t xml:space="preserve">, when applied to international carriage by air, authorized by s. 86.11(1)(b)(i) of the </w:t>
      </w:r>
      <w:r w:rsidRPr="00156B04">
        <w:rPr>
          <w:rFonts w:cs="Times New Roman"/>
          <w:i/>
        </w:rPr>
        <w:t>CTA</w:t>
      </w:r>
      <w:r w:rsidRPr="00156B04">
        <w:rPr>
          <w:rFonts w:cs="Times New Roman"/>
        </w:rPr>
        <w:t xml:space="preserve"> and compatible with the </w:t>
      </w:r>
      <w:r w:rsidRPr="00156B04">
        <w:rPr>
          <w:rFonts w:cs="Times New Roman"/>
          <w:i/>
        </w:rPr>
        <w:t>Montreal Convention</w:t>
      </w:r>
      <w:r w:rsidRPr="00156B04">
        <w:rPr>
          <w:rFonts w:cs="Times New Roman"/>
        </w:rPr>
        <w:t>?</w:t>
      </w:r>
    </w:p>
    <w:p w14:paraId="02763457" w14:textId="77777777" w:rsidR="00156B04" w:rsidRPr="00156B04" w:rsidRDefault="00156B04" w:rsidP="00156B04">
      <w:pPr>
        <w:pStyle w:val="ParaNoNdepar-AltN"/>
        <w:numPr>
          <w:ilvl w:val="1"/>
          <w:numId w:val="22"/>
        </w:numPr>
        <w:ind w:left="1526"/>
        <w:rPr>
          <w:rFonts w:cs="Times New Roman"/>
        </w:rPr>
      </w:pPr>
      <w:r w:rsidRPr="00156B04">
        <w:rPr>
          <w:rFonts w:cs="Times New Roman"/>
        </w:rPr>
        <w:t xml:space="preserve">Are any of ss. 5 to 8, 10(3), 11(3) to (5), 12(2) to (4), 13 to 18, 23 or 24 of the </w:t>
      </w:r>
      <w:r w:rsidRPr="00156B04">
        <w:rPr>
          <w:rFonts w:cs="Times New Roman"/>
          <w:i/>
        </w:rPr>
        <w:t>Regulations</w:t>
      </w:r>
      <w:r w:rsidRPr="00156B04">
        <w:rPr>
          <w:rFonts w:cs="Times New Roman"/>
        </w:rPr>
        <w:t xml:space="preserve"> </w:t>
      </w:r>
      <w:r w:rsidRPr="00156B04">
        <w:rPr>
          <w:rFonts w:cs="Times New Roman"/>
          <w:i/>
        </w:rPr>
        <w:t>ultra vires</w:t>
      </w:r>
      <w:r w:rsidRPr="00156B04">
        <w:rPr>
          <w:rFonts w:cs="Times New Roman"/>
        </w:rPr>
        <w:t xml:space="preserve"> the </w:t>
      </w:r>
      <w:r w:rsidRPr="00156B04">
        <w:rPr>
          <w:rFonts w:cs="Times New Roman"/>
          <w:i/>
        </w:rPr>
        <w:t>CTA</w:t>
      </w:r>
      <w:r w:rsidRPr="00156B04">
        <w:rPr>
          <w:rFonts w:cs="Times New Roman"/>
        </w:rPr>
        <w:t xml:space="preserve"> insofar as they apply to international service because of an impermissible extraterritorial application?</w:t>
      </w:r>
    </w:p>
    <w:p w14:paraId="0BC2A176" w14:textId="77777777" w:rsidR="00156B04" w:rsidRPr="00156B04" w:rsidRDefault="00156B04" w:rsidP="00156B04">
      <w:pPr>
        <w:pStyle w:val="ParaNoNdepar-AltN"/>
        <w:numPr>
          <w:ilvl w:val="1"/>
          <w:numId w:val="22"/>
        </w:numPr>
        <w:ind w:left="1526"/>
        <w:rPr>
          <w:rFonts w:cs="Times New Roman"/>
        </w:rPr>
      </w:pPr>
      <w:r w:rsidRPr="00156B04">
        <w:rPr>
          <w:rFonts w:cs="Times New Roman"/>
        </w:rPr>
        <w:t xml:space="preserve">Is the </w:t>
      </w:r>
      <w:r w:rsidRPr="00156B04">
        <w:rPr>
          <w:rFonts w:cs="Times New Roman"/>
          <w:i/>
        </w:rPr>
        <w:t>Direction Respecting Tarmac Delays of Three Hours or Less</w:t>
      </w:r>
      <w:r w:rsidRPr="00156B04">
        <w:rPr>
          <w:rFonts w:cs="Times New Roman"/>
        </w:rPr>
        <w:t xml:space="preserve">, </w:t>
      </w:r>
      <w:proofErr w:type="spellStart"/>
      <w:r w:rsidRPr="00156B04">
        <w:rPr>
          <w:rFonts w:cs="Times New Roman"/>
        </w:rPr>
        <w:t>SOR</w:t>
      </w:r>
      <w:proofErr w:type="spellEnd"/>
      <w:r w:rsidRPr="00156B04">
        <w:rPr>
          <w:rFonts w:cs="Times New Roman"/>
        </w:rPr>
        <w:t xml:space="preserve">/2019-110, issued by the Minister in April 2019 </w:t>
      </w:r>
      <w:r w:rsidRPr="00156B04">
        <w:rPr>
          <w:rFonts w:cs="Times New Roman"/>
          <w:i/>
        </w:rPr>
        <w:t>intra vires</w:t>
      </w:r>
      <w:r w:rsidRPr="00156B04">
        <w:rPr>
          <w:rFonts w:cs="Times New Roman"/>
        </w:rPr>
        <w:t xml:space="preserve"> of the authority of the Minister under s. 86.11(2) of the </w:t>
      </w:r>
      <w:r w:rsidRPr="00156B04">
        <w:rPr>
          <w:rFonts w:cs="Times New Roman"/>
          <w:i/>
        </w:rPr>
        <w:t>CTA</w:t>
      </w:r>
      <w:r w:rsidRPr="00156B04">
        <w:rPr>
          <w:rFonts w:cs="Times New Roman"/>
        </w:rPr>
        <w:t>?</w:t>
      </w:r>
    </w:p>
    <w:p w14:paraId="44B8D3A8" w14:textId="77777777" w:rsidR="00156B04" w:rsidRPr="00156B04" w:rsidRDefault="00156B04" w:rsidP="00156B04">
      <w:pPr>
        <w:pStyle w:val="ParaNoNdepar-AltN"/>
        <w:rPr>
          <w:rFonts w:eastAsia="Times New Roman" w:cs="Times New Roman"/>
        </w:rPr>
      </w:pPr>
      <w:r w:rsidRPr="00156B04">
        <w:rPr>
          <w:rFonts w:cs="Times New Roman"/>
        </w:rPr>
        <w:t xml:space="preserve">In reaching that decision, Justice de </w:t>
      </w:r>
      <w:proofErr w:type="spellStart"/>
      <w:r w:rsidRPr="00156B04">
        <w:rPr>
          <w:rFonts w:cs="Times New Roman"/>
        </w:rPr>
        <w:t>Montigny</w:t>
      </w:r>
      <w:proofErr w:type="spellEnd"/>
      <w:r w:rsidRPr="00156B04">
        <w:rPr>
          <w:rFonts w:cs="Times New Roman"/>
        </w:rPr>
        <w:t xml:space="preserve"> agreed that portions of the expert affidavits adduced by the appellants should be struck.  </w:t>
      </w:r>
    </w:p>
    <w:p w14:paraId="019CAFD0" w14:textId="77777777" w:rsidR="00156B04" w:rsidRPr="00156B04" w:rsidRDefault="00156B04" w:rsidP="00156B04">
      <w:pPr>
        <w:pStyle w:val="ParaNoNdepar-AltN"/>
        <w:rPr>
          <w:rFonts w:eastAsia="Times New Roman" w:cs="Times New Roman"/>
        </w:rPr>
      </w:pPr>
      <w:r w:rsidRPr="00156B04">
        <w:rPr>
          <w:rFonts w:cs="Times New Roman"/>
        </w:rPr>
        <w:t xml:space="preserve">Turning to the substance of the arguments advanced by the appellants, the court considered the compatibility of the </w:t>
      </w:r>
      <w:r w:rsidRPr="00156B04">
        <w:rPr>
          <w:rFonts w:cs="Times New Roman"/>
          <w:i/>
        </w:rPr>
        <w:t xml:space="preserve">Regulations </w:t>
      </w:r>
      <w:r w:rsidRPr="00156B04">
        <w:rPr>
          <w:rFonts w:cs="Times New Roman"/>
        </w:rPr>
        <w:t xml:space="preserve">with the </w:t>
      </w:r>
      <w:r w:rsidRPr="00156B04">
        <w:rPr>
          <w:rFonts w:cs="Times New Roman"/>
          <w:i/>
        </w:rPr>
        <w:t>Montreal Convention</w:t>
      </w:r>
      <w:r w:rsidRPr="00156B04">
        <w:rPr>
          <w:rFonts w:cs="Times New Roman"/>
        </w:rPr>
        <w:t xml:space="preserve">, and held that the compensation provided for under the </w:t>
      </w:r>
      <w:r w:rsidRPr="00156B04">
        <w:rPr>
          <w:rFonts w:cs="Times New Roman"/>
          <w:i/>
        </w:rPr>
        <w:t xml:space="preserve">Regulations </w:t>
      </w:r>
      <w:r w:rsidRPr="00156B04">
        <w:rPr>
          <w:rFonts w:cs="Times New Roman"/>
        </w:rPr>
        <w:t xml:space="preserve">is not an action for damages, and that cancellation, denial of boarding, and delay are factual and legal concepts that do not fall within the scope of the exclusivity principle. </w:t>
      </w:r>
    </w:p>
    <w:p w14:paraId="7311764E"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Although the Court of Appeal held that the baggage fee provisions of the </w:t>
      </w:r>
      <w:r w:rsidRPr="00156B04">
        <w:rPr>
          <w:rFonts w:cs="Times New Roman"/>
          <w:i/>
        </w:rPr>
        <w:t>Regulations</w:t>
      </w:r>
      <w:r w:rsidRPr="00156B04">
        <w:rPr>
          <w:rFonts w:eastAsia="Times New Roman" w:cs="Times New Roman"/>
        </w:rPr>
        <w:t xml:space="preserve"> did not contravene the </w:t>
      </w:r>
      <w:r w:rsidRPr="00156B04">
        <w:rPr>
          <w:rFonts w:cs="Times New Roman"/>
          <w:i/>
        </w:rPr>
        <w:t>Montreal Convention</w:t>
      </w:r>
      <w:r w:rsidRPr="00156B04">
        <w:rPr>
          <w:rFonts w:eastAsia="Times New Roman" w:cs="Times New Roman"/>
        </w:rPr>
        <w:t xml:space="preserve">, it concluded that s. 23(2) of the </w:t>
      </w:r>
      <w:r w:rsidRPr="00156B04">
        <w:rPr>
          <w:rFonts w:eastAsia="Times New Roman" w:cs="Times New Roman"/>
          <w:i/>
        </w:rPr>
        <w:t xml:space="preserve">Regulations </w:t>
      </w:r>
      <w:r w:rsidRPr="00156B04">
        <w:rPr>
          <w:rFonts w:eastAsia="Times New Roman" w:cs="Times New Roman"/>
        </w:rPr>
        <w:t xml:space="preserve">was </w:t>
      </w:r>
      <w:r w:rsidRPr="00156B04">
        <w:rPr>
          <w:rFonts w:eastAsia="Times New Roman" w:cs="Times New Roman"/>
          <w:i/>
        </w:rPr>
        <w:t>ultra vires</w:t>
      </w:r>
      <w:r w:rsidRPr="00156B04">
        <w:rPr>
          <w:rFonts w:eastAsia="Times New Roman" w:cs="Times New Roman"/>
        </w:rPr>
        <w:t xml:space="preserve"> the </w:t>
      </w:r>
      <w:r w:rsidRPr="00156B04">
        <w:rPr>
          <w:rFonts w:eastAsia="Times New Roman" w:cs="Times New Roman"/>
          <w:i/>
        </w:rPr>
        <w:t xml:space="preserve">CTA </w:t>
      </w:r>
      <w:r w:rsidRPr="00156B04">
        <w:rPr>
          <w:rFonts w:eastAsia="Times New Roman" w:cs="Times New Roman"/>
        </w:rPr>
        <w:t xml:space="preserve">under s. 86.11. It held that s. 86.11 did not provide authority to the Agency to make regulations with respect to the “temporary loss” of baggage. The Agency and Attorney General have not appealed this aspect of the ruling. </w:t>
      </w:r>
    </w:p>
    <w:p w14:paraId="7FF493EE" w14:textId="77777777" w:rsidR="00156B04" w:rsidRPr="00156B04" w:rsidRDefault="00156B04" w:rsidP="00156B04">
      <w:pPr>
        <w:pStyle w:val="ParaNoNdepar-AltN"/>
        <w:rPr>
          <w:rFonts w:eastAsia="Times New Roman" w:cs="Times New Roman"/>
        </w:rPr>
      </w:pPr>
      <w:r w:rsidRPr="00156B04">
        <w:rPr>
          <w:rFonts w:cs="Times New Roman"/>
        </w:rPr>
        <w:t xml:space="preserve">The Court of Appeal also rejected the appellants’ submission that the </w:t>
      </w:r>
      <w:r w:rsidRPr="00156B04">
        <w:rPr>
          <w:rFonts w:cs="Times New Roman"/>
          <w:i/>
        </w:rPr>
        <w:t>Regulations</w:t>
      </w:r>
      <w:r w:rsidRPr="00156B04">
        <w:rPr>
          <w:rFonts w:cs="Times New Roman"/>
        </w:rPr>
        <w:t xml:space="preserve"> were </w:t>
      </w:r>
      <w:r w:rsidRPr="00156B04">
        <w:rPr>
          <w:rFonts w:cs="Times New Roman"/>
          <w:i/>
        </w:rPr>
        <w:t xml:space="preserve">ultra vires </w:t>
      </w:r>
      <w:r w:rsidRPr="00156B04">
        <w:rPr>
          <w:rFonts w:cs="Times New Roman"/>
        </w:rPr>
        <w:t xml:space="preserve">the </w:t>
      </w:r>
      <w:r w:rsidRPr="00156B04">
        <w:rPr>
          <w:rFonts w:cs="Times New Roman"/>
          <w:i/>
        </w:rPr>
        <w:t>CTA</w:t>
      </w:r>
      <w:r w:rsidRPr="00156B04">
        <w:rPr>
          <w:rFonts w:cs="Times New Roman"/>
        </w:rPr>
        <w:t xml:space="preserve"> because they had impermissible extraterritorial application insofar as they apply to flights operating outside of Canada and connecting two foreign states. The appellants have not appealed this aspect of the ruling. </w:t>
      </w:r>
    </w:p>
    <w:p w14:paraId="64DC181B" w14:textId="77777777" w:rsidR="00156B04" w:rsidRPr="00156B04" w:rsidRDefault="00156B04" w:rsidP="00156B04">
      <w:pPr>
        <w:pStyle w:val="Title1LevelTitre1Niveau-AltL"/>
        <w:rPr>
          <w:rFonts w:cs="Times New Roman"/>
        </w:rPr>
      </w:pPr>
      <w:bookmarkStart w:id="13" w:name="_Toc168491255"/>
      <w:r w:rsidRPr="00156B04">
        <w:rPr>
          <w:rFonts w:cs="Times New Roman"/>
        </w:rPr>
        <w:t>Issues</w:t>
      </w:r>
      <w:bookmarkEnd w:id="13"/>
    </w:p>
    <w:p w14:paraId="6A95AD61"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principal issue on appeal is whether the provisions of the </w:t>
      </w:r>
      <w:r w:rsidRPr="00156B04">
        <w:rPr>
          <w:rFonts w:eastAsia="Times New Roman" w:cs="Times New Roman"/>
          <w:i/>
        </w:rPr>
        <w:t xml:space="preserve">Regulations </w:t>
      </w:r>
      <w:r w:rsidRPr="00156B04">
        <w:rPr>
          <w:rFonts w:eastAsia="Times New Roman" w:cs="Times New Roman"/>
        </w:rPr>
        <w:t xml:space="preserve">that mandate minimum compensation to passengers on international flights in the case of delay, cancellation, denial of boarding and lost or damaged baggage are </w:t>
      </w:r>
      <w:r w:rsidRPr="00156B04">
        <w:rPr>
          <w:rFonts w:eastAsia="Times New Roman" w:cs="Times New Roman"/>
          <w:i/>
        </w:rPr>
        <w:t xml:space="preserve">ultra vires </w:t>
      </w:r>
      <w:r w:rsidRPr="00156B04">
        <w:rPr>
          <w:rFonts w:eastAsia="Times New Roman" w:cs="Times New Roman"/>
        </w:rPr>
        <w:t xml:space="preserve">the </w:t>
      </w:r>
      <w:r w:rsidRPr="00156B04">
        <w:rPr>
          <w:rFonts w:eastAsia="Times New Roman" w:cs="Times New Roman"/>
          <w:i/>
        </w:rPr>
        <w:t>CTA</w:t>
      </w:r>
      <w:r w:rsidRPr="00156B04">
        <w:rPr>
          <w:rFonts w:eastAsia="Times New Roman" w:cs="Times New Roman"/>
        </w:rPr>
        <w:t xml:space="preserve">. </w:t>
      </w:r>
    </w:p>
    <w:p w14:paraId="0B295FD2"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appellants submit that the </w:t>
      </w:r>
      <w:r w:rsidRPr="00156B04">
        <w:rPr>
          <w:rFonts w:eastAsia="Times New Roman" w:cs="Times New Roman"/>
          <w:i/>
        </w:rPr>
        <w:t>Regulations</w:t>
      </w:r>
      <w:r w:rsidRPr="00156B04">
        <w:rPr>
          <w:rFonts w:eastAsia="Times New Roman" w:cs="Times New Roman"/>
        </w:rPr>
        <w:t xml:space="preserve"> are </w:t>
      </w:r>
      <w:r w:rsidRPr="00156B04">
        <w:rPr>
          <w:rFonts w:eastAsia="Times New Roman" w:cs="Times New Roman"/>
          <w:i/>
        </w:rPr>
        <w:t xml:space="preserve">ultra vires </w:t>
      </w:r>
      <w:r w:rsidRPr="00156B04">
        <w:rPr>
          <w:rFonts w:eastAsia="Times New Roman" w:cs="Times New Roman"/>
        </w:rPr>
        <w:t xml:space="preserve">because the impugned provisions run afoul of the exclusivity principle codified in Article 29 of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and incorporated in the </w:t>
      </w:r>
      <w:r w:rsidRPr="00156B04">
        <w:rPr>
          <w:rFonts w:eastAsia="Times New Roman" w:cs="Times New Roman"/>
          <w:i/>
        </w:rPr>
        <w:t>CAA</w:t>
      </w:r>
      <w:r w:rsidRPr="00156B04">
        <w:rPr>
          <w:rFonts w:eastAsia="Times New Roman" w:cs="Times New Roman"/>
        </w:rPr>
        <w:t xml:space="preserve">. They submit that the Federal Court of Appeal erred by circumventing the exclusivity principle in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and rely on this Court’s decision in </w:t>
      </w:r>
      <w:proofErr w:type="spellStart"/>
      <w:r w:rsidRPr="00156B04">
        <w:rPr>
          <w:rFonts w:eastAsia="Times New Roman" w:cs="Times New Roman"/>
          <w:i/>
        </w:rPr>
        <w:t>Thibodeau</w:t>
      </w:r>
      <w:proofErr w:type="spellEnd"/>
      <w:r w:rsidRPr="00156B04">
        <w:rPr>
          <w:rFonts w:eastAsia="Times New Roman" w:cs="Times New Roman"/>
          <w:i/>
        </w:rPr>
        <w:t xml:space="preserve"> </w:t>
      </w:r>
      <w:r w:rsidRPr="00156B04">
        <w:rPr>
          <w:rFonts w:eastAsia="Times New Roman" w:cs="Times New Roman"/>
        </w:rPr>
        <w:t xml:space="preserve">for the proposition that </w:t>
      </w:r>
      <w:r w:rsidRPr="00156B04">
        <w:rPr>
          <w:rFonts w:cs="Times New Roman"/>
        </w:rPr>
        <w:t xml:space="preserve">Articles 17 to 19 of the </w:t>
      </w:r>
      <w:r w:rsidRPr="00156B04">
        <w:rPr>
          <w:rFonts w:cs="Times New Roman"/>
          <w:i/>
        </w:rPr>
        <w:t xml:space="preserve">Montreal Convention </w:t>
      </w:r>
      <w:r w:rsidRPr="00156B04">
        <w:rPr>
          <w:rFonts w:cs="Times New Roman"/>
        </w:rPr>
        <w:t xml:space="preserve">exhaustively set out the types of air carrier liability that are available in international carriage. </w:t>
      </w:r>
      <w:r w:rsidRPr="00156B04">
        <w:rPr>
          <w:rFonts w:eastAsia="Times New Roman" w:cs="Times New Roman"/>
        </w:rPr>
        <w:t>The appellants also seek to overturn the decision of the Federal Court of Appeal with respect to the admissibility of portions of the expert affidavits that they rely on to support their arguments with respect to state practice.</w:t>
      </w:r>
    </w:p>
    <w:p w14:paraId="4D4DBF40"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Attorney General and the Agency respond that the </w:t>
      </w:r>
      <w:r w:rsidRPr="00156B04">
        <w:rPr>
          <w:rFonts w:eastAsia="Times New Roman" w:cs="Times New Roman"/>
          <w:i/>
        </w:rPr>
        <w:t xml:space="preserve">Regulations </w:t>
      </w:r>
      <w:r w:rsidRPr="00156B04">
        <w:rPr>
          <w:rFonts w:eastAsia="Times New Roman" w:cs="Times New Roman"/>
        </w:rPr>
        <w:t xml:space="preserve">are not </w:t>
      </w:r>
      <w:r w:rsidRPr="00156B04">
        <w:rPr>
          <w:rFonts w:eastAsia="Times New Roman" w:cs="Times New Roman"/>
          <w:i/>
        </w:rPr>
        <w:t xml:space="preserve">ultra vires </w:t>
      </w:r>
      <w:r w:rsidRPr="00156B04">
        <w:rPr>
          <w:rFonts w:eastAsia="Times New Roman" w:cs="Times New Roman"/>
        </w:rPr>
        <w:t xml:space="preserve">the </w:t>
      </w:r>
      <w:r w:rsidRPr="00156B04">
        <w:rPr>
          <w:rFonts w:eastAsia="Times New Roman" w:cs="Times New Roman"/>
          <w:i/>
        </w:rPr>
        <w:t>CTA</w:t>
      </w:r>
      <w:r w:rsidRPr="00156B04">
        <w:rPr>
          <w:rFonts w:eastAsia="Times New Roman" w:cs="Times New Roman"/>
        </w:rPr>
        <w:t xml:space="preserve">, because the </w:t>
      </w:r>
      <w:r w:rsidRPr="00156B04">
        <w:rPr>
          <w:rFonts w:eastAsia="Times New Roman" w:cs="Times New Roman"/>
          <w:i/>
        </w:rPr>
        <w:t>Regulations</w:t>
      </w:r>
      <w:r w:rsidRPr="00156B04">
        <w:rPr>
          <w:rFonts w:eastAsia="Times New Roman" w:cs="Times New Roman"/>
        </w:rPr>
        <w:t xml:space="preserve"> do not provide for actions for damages; rather, they address matters outside the scope of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including circumstances relating to non-performance of the contract of carriage. They point to foreign jurisprudence, notably from the European Union and the United </w:t>
      </w:r>
      <w:proofErr w:type="gramStart"/>
      <w:r w:rsidRPr="00156B04">
        <w:rPr>
          <w:rFonts w:eastAsia="Times New Roman" w:cs="Times New Roman"/>
        </w:rPr>
        <w:t>States, that</w:t>
      </w:r>
      <w:proofErr w:type="gramEnd"/>
      <w:r w:rsidRPr="00156B04">
        <w:rPr>
          <w:rFonts w:eastAsia="Times New Roman" w:cs="Times New Roman"/>
        </w:rPr>
        <w:t xml:space="preserve"> has interpreted the exclusivity principle in a manner that does not prohibit standardized compensation under passenger protection schemes. They further submit that state practice confirms that the </w:t>
      </w:r>
      <w:r w:rsidRPr="00156B04">
        <w:rPr>
          <w:rFonts w:cs="Times New Roman"/>
          <w:i/>
        </w:rPr>
        <w:t>Regulations</w:t>
      </w:r>
      <w:r w:rsidRPr="00156B04">
        <w:rPr>
          <w:rFonts w:cs="Times New Roman"/>
        </w:rPr>
        <w:t xml:space="preserve"> are compatible with the </w:t>
      </w:r>
      <w:r w:rsidRPr="00156B04">
        <w:rPr>
          <w:rFonts w:cs="Times New Roman"/>
          <w:i/>
        </w:rPr>
        <w:t xml:space="preserve">Montreal Convention </w:t>
      </w:r>
      <w:r w:rsidRPr="00156B04">
        <w:rPr>
          <w:rFonts w:cs="Times New Roman"/>
        </w:rPr>
        <w:t xml:space="preserve">as a majority of the state parties to the </w:t>
      </w:r>
      <w:r w:rsidRPr="00156B04">
        <w:rPr>
          <w:rFonts w:cs="Times New Roman"/>
          <w:i/>
        </w:rPr>
        <w:t xml:space="preserve">Montreal Convention </w:t>
      </w:r>
      <w:r w:rsidRPr="00156B04">
        <w:rPr>
          <w:rFonts w:cs="Times New Roman"/>
        </w:rPr>
        <w:t xml:space="preserve">have established passenger compensation schemes comparable to Canada’s. </w:t>
      </w:r>
    </w:p>
    <w:p w14:paraId="3AAECA6D" w14:textId="77777777" w:rsidR="00156B04" w:rsidRPr="00156B04" w:rsidRDefault="00156B04" w:rsidP="00156B04">
      <w:pPr>
        <w:pStyle w:val="ParaNoNdepar-AltN"/>
        <w:rPr>
          <w:rFonts w:cs="Times New Roman"/>
        </w:rPr>
      </w:pPr>
      <w:r w:rsidRPr="00156B04">
        <w:rPr>
          <w:rFonts w:eastAsia="Times New Roman" w:cs="Times New Roman"/>
        </w:rPr>
        <w:t xml:space="preserve">The Attorney General argues in the alternative that, even if the </w:t>
      </w:r>
      <w:r w:rsidRPr="00156B04">
        <w:rPr>
          <w:rFonts w:eastAsia="Times New Roman" w:cs="Times New Roman"/>
          <w:i/>
        </w:rPr>
        <w:t xml:space="preserve">Regulations </w:t>
      </w:r>
      <w:r w:rsidRPr="00156B04">
        <w:rPr>
          <w:rFonts w:eastAsia="Times New Roman" w:cs="Times New Roman"/>
        </w:rPr>
        <w:t xml:space="preserve">are inconsistent with the </w:t>
      </w:r>
      <w:r w:rsidRPr="00156B04">
        <w:rPr>
          <w:rFonts w:cs="Times New Roman"/>
          <w:i/>
        </w:rPr>
        <w:t>Montreal Convention</w:t>
      </w:r>
      <w:r w:rsidRPr="00156B04">
        <w:rPr>
          <w:rFonts w:cs="Times New Roman"/>
        </w:rPr>
        <w:t xml:space="preserve">, they are not </w:t>
      </w:r>
      <w:r w:rsidRPr="00156B04">
        <w:rPr>
          <w:rFonts w:cs="Times New Roman"/>
          <w:i/>
        </w:rPr>
        <w:t xml:space="preserve">ultra vires </w:t>
      </w:r>
      <w:r w:rsidRPr="00156B04">
        <w:rPr>
          <w:rFonts w:cs="Times New Roman"/>
        </w:rPr>
        <w:t xml:space="preserve">the </w:t>
      </w:r>
      <w:r w:rsidRPr="00156B04">
        <w:rPr>
          <w:rFonts w:cs="Times New Roman"/>
          <w:i/>
        </w:rPr>
        <w:t xml:space="preserve">CTA </w:t>
      </w:r>
      <w:r w:rsidRPr="00156B04">
        <w:rPr>
          <w:rFonts w:cs="Times New Roman"/>
        </w:rPr>
        <w:t xml:space="preserve">as s. 86.11 of the </w:t>
      </w:r>
      <w:r w:rsidRPr="00156B04">
        <w:rPr>
          <w:rFonts w:cs="Times New Roman"/>
          <w:i/>
        </w:rPr>
        <w:t xml:space="preserve">CTA </w:t>
      </w:r>
      <w:r w:rsidRPr="00156B04">
        <w:rPr>
          <w:rFonts w:cs="Times New Roman"/>
        </w:rPr>
        <w:t xml:space="preserve">overrides any conflicting provisions of the </w:t>
      </w:r>
      <w:r w:rsidRPr="00156B04">
        <w:rPr>
          <w:rFonts w:cs="Times New Roman"/>
          <w:i/>
        </w:rPr>
        <w:t>Montreal Convention</w:t>
      </w:r>
      <w:r w:rsidRPr="00156B04">
        <w:rPr>
          <w:rFonts w:cs="Times New Roman"/>
        </w:rPr>
        <w:t xml:space="preserve">. </w:t>
      </w:r>
    </w:p>
    <w:p w14:paraId="5E9878B5" w14:textId="77777777" w:rsidR="00156B04" w:rsidRPr="00156B04" w:rsidRDefault="00156B04" w:rsidP="00156B04">
      <w:pPr>
        <w:pStyle w:val="Title1LevelTitre1Niveau-AltL"/>
        <w:rPr>
          <w:rFonts w:cs="Times New Roman"/>
        </w:rPr>
      </w:pPr>
      <w:bookmarkStart w:id="14" w:name="_Toc168491256"/>
      <w:r w:rsidRPr="00156B04">
        <w:rPr>
          <w:rFonts w:cs="Times New Roman"/>
        </w:rPr>
        <w:t>Standard of Review</w:t>
      </w:r>
      <w:bookmarkEnd w:id="14"/>
    </w:p>
    <w:p w14:paraId="1A5BB20A" w14:textId="77777777" w:rsidR="00156B04" w:rsidRPr="00156B04" w:rsidRDefault="00156B04" w:rsidP="00156B04">
      <w:pPr>
        <w:pStyle w:val="ParaNoNdepar-AltN"/>
        <w:rPr>
          <w:rFonts w:cs="Times New Roman"/>
        </w:rPr>
      </w:pPr>
      <w:r w:rsidRPr="00156B04">
        <w:rPr>
          <w:rFonts w:cs="Times New Roman"/>
        </w:rPr>
        <w:t xml:space="preserve">Section 41(1) of the </w:t>
      </w:r>
      <w:r w:rsidRPr="00156B04">
        <w:rPr>
          <w:rFonts w:cs="Times New Roman"/>
          <w:i/>
        </w:rPr>
        <w:t xml:space="preserve">CTA </w:t>
      </w:r>
      <w:r w:rsidRPr="00156B04">
        <w:rPr>
          <w:rFonts w:cs="Times New Roman"/>
        </w:rPr>
        <w:t xml:space="preserve">provides for a statutory appeal from the Agency to the Federal Court of Appeal, with leave of that court, on questions of law or a question of jurisdiction </w:t>
      </w:r>
      <w:r w:rsidRPr="00156B04">
        <w:rPr>
          <w:rFonts w:eastAsia="Times New Roman" w:cs="Times New Roman"/>
        </w:rPr>
        <w:t>(</w:t>
      </w:r>
      <w:r w:rsidRPr="00156B04">
        <w:rPr>
          <w:rFonts w:eastAsia="Times New Roman" w:cs="Times New Roman"/>
          <w:i/>
        </w:rPr>
        <w:t>Canadian National Railway Company v. Emerson Milling Inc.</w:t>
      </w:r>
      <w:r w:rsidRPr="00156B04">
        <w:rPr>
          <w:rFonts w:eastAsia="Times New Roman" w:cs="Times New Roman"/>
        </w:rPr>
        <w:t>,</w:t>
      </w:r>
      <w:r w:rsidRPr="00156B04">
        <w:rPr>
          <w:rFonts w:eastAsia="Times New Roman" w:cs="Times New Roman"/>
          <w:i/>
        </w:rPr>
        <w:t xml:space="preserve"> </w:t>
      </w:r>
      <w:r w:rsidRPr="00156B04">
        <w:rPr>
          <w:rFonts w:eastAsia="Times New Roman" w:cs="Times New Roman"/>
        </w:rPr>
        <w:t xml:space="preserve">2017 </w:t>
      </w:r>
      <w:proofErr w:type="spellStart"/>
      <w:r w:rsidRPr="00156B04">
        <w:rPr>
          <w:rFonts w:eastAsia="Times New Roman" w:cs="Times New Roman"/>
        </w:rPr>
        <w:t>FCA</w:t>
      </w:r>
      <w:proofErr w:type="spellEnd"/>
      <w:r w:rsidRPr="00156B04">
        <w:rPr>
          <w:rFonts w:eastAsia="Times New Roman" w:cs="Times New Roman"/>
        </w:rPr>
        <w:t xml:space="preserve"> 79, [2018] 2 </w:t>
      </w:r>
      <w:proofErr w:type="spellStart"/>
      <w:r w:rsidRPr="00156B04">
        <w:rPr>
          <w:rFonts w:eastAsia="Times New Roman" w:cs="Times New Roman"/>
        </w:rPr>
        <w:t>F.C.R</w:t>
      </w:r>
      <w:proofErr w:type="spellEnd"/>
      <w:r w:rsidRPr="00156B04">
        <w:rPr>
          <w:rFonts w:eastAsia="Times New Roman" w:cs="Times New Roman"/>
        </w:rPr>
        <w:t>. 573, at paras. 7 and 11)</w:t>
      </w:r>
      <w:r w:rsidRPr="00156B04">
        <w:rPr>
          <w:rFonts w:cs="Times New Roman"/>
        </w:rPr>
        <w:t xml:space="preserve">. A statutory right of appeal indicates Parliament’s intention for appellate standards of review to apply. As the challenge to the </w:t>
      </w:r>
      <w:r w:rsidRPr="00156B04">
        <w:rPr>
          <w:rFonts w:cs="Times New Roman"/>
          <w:i/>
        </w:rPr>
        <w:t>Regulations</w:t>
      </w:r>
      <w:r w:rsidRPr="00156B04">
        <w:rPr>
          <w:rFonts w:cs="Times New Roman"/>
        </w:rPr>
        <w:t xml:space="preserve"> is on a question of law, the correctness standard applies (</w:t>
      </w:r>
      <w:proofErr w:type="spellStart"/>
      <w:r w:rsidRPr="00156B04">
        <w:rPr>
          <w:rFonts w:cs="Times New Roman"/>
          <w:i/>
        </w:rPr>
        <w:t>Housen</w:t>
      </w:r>
      <w:proofErr w:type="spellEnd"/>
      <w:r w:rsidRPr="00156B04">
        <w:rPr>
          <w:rFonts w:cs="Times New Roman"/>
          <w:i/>
        </w:rPr>
        <w:t xml:space="preserve"> v. </w:t>
      </w:r>
      <w:proofErr w:type="spellStart"/>
      <w:r w:rsidRPr="00156B04">
        <w:rPr>
          <w:rFonts w:cs="Times New Roman"/>
          <w:i/>
        </w:rPr>
        <w:t>Nikolaisen</w:t>
      </w:r>
      <w:proofErr w:type="spellEnd"/>
      <w:r w:rsidRPr="00156B04">
        <w:rPr>
          <w:rFonts w:cs="Times New Roman"/>
        </w:rPr>
        <w:t xml:space="preserve">, 2002 SCC 33, [2002] 2 </w:t>
      </w:r>
      <w:proofErr w:type="spellStart"/>
      <w:r w:rsidRPr="00156B04">
        <w:rPr>
          <w:rFonts w:cs="Times New Roman"/>
        </w:rPr>
        <w:t>S.C.R</w:t>
      </w:r>
      <w:proofErr w:type="spellEnd"/>
      <w:r w:rsidRPr="00156B04">
        <w:rPr>
          <w:rFonts w:cs="Times New Roman"/>
        </w:rPr>
        <w:t>. 235, at para. 8).</w:t>
      </w:r>
    </w:p>
    <w:p w14:paraId="4AC9EDE4" w14:textId="77777777" w:rsidR="00156B04" w:rsidRPr="00156B04" w:rsidRDefault="00156B04" w:rsidP="00156B04">
      <w:pPr>
        <w:pStyle w:val="ParaNoNdepar-AltN"/>
        <w:rPr>
          <w:rFonts w:cs="Times New Roman"/>
        </w:rPr>
      </w:pPr>
      <w:r w:rsidRPr="00156B04">
        <w:rPr>
          <w:rFonts w:cs="Times New Roman"/>
        </w:rPr>
        <w:t>That said, findings of fact by the Court of Appeal, including those related to questions of foreign law, are reviewable on the standard of palpable and overriding error (</w:t>
      </w:r>
      <w:proofErr w:type="spellStart"/>
      <w:r w:rsidRPr="00156B04">
        <w:rPr>
          <w:rFonts w:cs="Times New Roman"/>
          <w:i/>
        </w:rPr>
        <w:t>Housen</w:t>
      </w:r>
      <w:proofErr w:type="spellEnd"/>
      <w:r w:rsidRPr="00156B04">
        <w:rPr>
          <w:rFonts w:cs="Times New Roman"/>
        </w:rPr>
        <w:t xml:space="preserve">, at paras. 10, 19 and 26-37). </w:t>
      </w:r>
    </w:p>
    <w:p w14:paraId="3FB82FE0" w14:textId="77777777" w:rsidR="00156B04" w:rsidRPr="00156B04" w:rsidRDefault="00156B04" w:rsidP="00156B04">
      <w:pPr>
        <w:pStyle w:val="Title1LevelTitre1Niveau-AltL"/>
        <w:rPr>
          <w:rFonts w:cs="Times New Roman"/>
        </w:rPr>
      </w:pPr>
      <w:bookmarkStart w:id="15" w:name="_Toc168491257"/>
      <w:r w:rsidRPr="00156B04">
        <w:rPr>
          <w:rFonts w:cs="Times New Roman"/>
        </w:rPr>
        <w:t>Analysis</w:t>
      </w:r>
      <w:bookmarkEnd w:id="15"/>
    </w:p>
    <w:p w14:paraId="18117B5F"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As I will explain, the disposition of this appeal turns on the </w:t>
      </w:r>
      <w:r w:rsidRPr="00156B04">
        <w:rPr>
          <w:rFonts w:eastAsia="Times New Roman" w:cs="Times New Roman"/>
          <w:i/>
        </w:rPr>
        <w:t>vires</w:t>
      </w:r>
      <w:r w:rsidRPr="00156B04">
        <w:rPr>
          <w:rFonts w:eastAsia="Times New Roman" w:cs="Times New Roman"/>
        </w:rPr>
        <w:t xml:space="preserve"> question, which I answer in the negative. Because the </w:t>
      </w:r>
      <w:r w:rsidRPr="00156B04">
        <w:rPr>
          <w:rFonts w:eastAsia="Times New Roman" w:cs="Times New Roman"/>
          <w:i/>
        </w:rPr>
        <w:t xml:space="preserve">Regulations </w:t>
      </w:r>
      <w:r w:rsidRPr="00156B04">
        <w:rPr>
          <w:rFonts w:eastAsia="Times New Roman" w:cs="Times New Roman"/>
        </w:rPr>
        <w:t xml:space="preserve">do not provide for an “action for damages”, they do not fall within the scope of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’s exclusivity principle. Instead, the </w:t>
      </w:r>
      <w:r w:rsidRPr="00156B04">
        <w:rPr>
          <w:rFonts w:eastAsia="Times New Roman" w:cs="Times New Roman"/>
          <w:i/>
        </w:rPr>
        <w:t xml:space="preserve">Regulations </w:t>
      </w:r>
      <w:r w:rsidRPr="00156B04">
        <w:rPr>
          <w:rFonts w:eastAsia="Times New Roman" w:cs="Times New Roman"/>
        </w:rPr>
        <w:t xml:space="preserve">are better understood as creating a consumer protection scheme that operates in parallel with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without trenching on its liability limitation provisions. Because the </w:t>
      </w:r>
      <w:r w:rsidRPr="00156B04">
        <w:rPr>
          <w:rFonts w:eastAsia="Times New Roman" w:cs="Times New Roman"/>
          <w:i/>
        </w:rPr>
        <w:t xml:space="preserve">Regulations </w:t>
      </w:r>
      <w:r w:rsidRPr="00156B04">
        <w:rPr>
          <w:rFonts w:eastAsia="Times New Roman" w:cs="Times New Roman"/>
        </w:rPr>
        <w:t xml:space="preserve">do not conflict with the </w:t>
      </w:r>
      <w:r w:rsidRPr="00156B04">
        <w:rPr>
          <w:rFonts w:cs="Times New Roman"/>
          <w:i/>
        </w:rPr>
        <w:t xml:space="preserve">Montreal </w:t>
      </w:r>
      <w:r w:rsidRPr="00156B04">
        <w:rPr>
          <w:rFonts w:eastAsia="Times New Roman" w:cs="Times New Roman"/>
          <w:i/>
        </w:rPr>
        <w:t xml:space="preserve">Convention </w:t>
      </w:r>
      <w:r w:rsidRPr="00156B04">
        <w:rPr>
          <w:rFonts w:eastAsia="Times New Roman" w:cs="Times New Roman"/>
        </w:rPr>
        <w:t xml:space="preserve">as implemented by the </w:t>
      </w:r>
      <w:r w:rsidRPr="00156B04">
        <w:rPr>
          <w:rFonts w:eastAsia="Times New Roman" w:cs="Times New Roman"/>
          <w:i/>
        </w:rPr>
        <w:t>CAA</w:t>
      </w:r>
      <w:r w:rsidRPr="00156B04">
        <w:rPr>
          <w:rFonts w:eastAsia="Times New Roman" w:cs="Times New Roman"/>
        </w:rPr>
        <w:t xml:space="preserve">, there is no basis to conclude that they are </w:t>
      </w:r>
      <w:r w:rsidRPr="00156B04">
        <w:rPr>
          <w:rFonts w:eastAsia="Times New Roman" w:cs="Times New Roman"/>
          <w:i/>
        </w:rPr>
        <w:t xml:space="preserve">ultra vires </w:t>
      </w:r>
      <w:r w:rsidRPr="00156B04">
        <w:rPr>
          <w:rFonts w:eastAsia="Times New Roman" w:cs="Times New Roman"/>
        </w:rPr>
        <w:t xml:space="preserve">the </w:t>
      </w:r>
      <w:r w:rsidRPr="00156B04">
        <w:rPr>
          <w:rFonts w:eastAsia="Times New Roman" w:cs="Times New Roman"/>
          <w:i/>
        </w:rPr>
        <w:t>CTA</w:t>
      </w:r>
      <w:r w:rsidRPr="00156B04">
        <w:rPr>
          <w:rFonts w:eastAsia="Times New Roman" w:cs="Times New Roman"/>
        </w:rPr>
        <w:t xml:space="preserve">. For that reason, it is not necessary to consider the alternative arguments by the Attorney General and the Agency regarding: first, whether denial of boarding and cancellation qualify as “delays” for the purposes of Article 19; and, second, whether Parliament has directed the Agency to regulate in a manner that is inconsistent with Canada’s obligations under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w:t>
      </w:r>
    </w:p>
    <w:p w14:paraId="71B69A90"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My analysis proceeds in three parts. </w:t>
      </w:r>
    </w:p>
    <w:p w14:paraId="05548937"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First, I consider the scope of the </w:t>
      </w:r>
      <w:r w:rsidRPr="00156B04">
        <w:rPr>
          <w:rFonts w:cs="Times New Roman"/>
          <w:i/>
        </w:rPr>
        <w:t xml:space="preserve">Montreal </w:t>
      </w:r>
      <w:r w:rsidRPr="00156B04">
        <w:rPr>
          <w:rFonts w:eastAsia="Times New Roman" w:cs="Times New Roman"/>
          <w:i/>
        </w:rPr>
        <w:t xml:space="preserve">Convention </w:t>
      </w:r>
      <w:r w:rsidRPr="00156B04">
        <w:rPr>
          <w:rFonts w:eastAsia="Times New Roman" w:cs="Times New Roman"/>
        </w:rPr>
        <w:t>and the exclusivity principle. In this, I am guided by this Court’s consideration of the</w:t>
      </w:r>
      <w:r w:rsidRPr="00156B04">
        <w:rPr>
          <w:rFonts w:eastAsia="Times New Roman" w:cs="Times New Roman"/>
          <w:i/>
        </w:rPr>
        <w:t xml:space="preserv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in </w:t>
      </w:r>
      <w:proofErr w:type="spellStart"/>
      <w:r w:rsidRPr="00156B04">
        <w:rPr>
          <w:rFonts w:eastAsia="Times New Roman" w:cs="Times New Roman"/>
          <w:i/>
        </w:rPr>
        <w:t>Thibodeau</w:t>
      </w:r>
      <w:proofErr w:type="spellEnd"/>
      <w:r w:rsidRPr="00156B04">
        <w:rPr>
          <w:rFonts w:eastAsia="Times New Roman" w:cs="Times New Roman"/>
        </w:rPr>
        <w:t xml:space="preserve">. </w:t>
      </w:r>
    </w:p>
    <w:p w14:paraId="1720C30C"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As I explain below, while state practice is not dispositive in giving meaning to the </w:t>
      </w:r>
      <w:r w:rsidRPr="00156B04">
        <w:rPr>
          <w:rFonts w:cs="Times New Roman"/>
          <w:i/>
        </w:rPr>
        <w:t xml:space="preserve">Montreal </w:t>
      </w:r>
      <w:r w:rsidRPr="00156B04">
        <w:rPr>
          <w:rFonts w:eastAsia="Times New Roman" w:cs="Times New Roman"/>
          <w:i/>
        </w:rPr>
        <w:t xml:space="preserve">Convention </w:t>
      </w:r>
      <w:r w:rsidRPr="00156B04">
        <w:rPr>
          <w:rFonts w:eastAsia="Times New Roman" w:cs="Times New Roman"/>
        </w:rPr>
        <w:t xml:space="preserve">and resolving this appeal, it still plays a role under the approach to treaty interpretation set out in the </w:t>
      </w:r>
      <w:r w:rsidRPr="00156B04">
        <w:rPr>
          <w:rFonts w:eastAsia="Times New Roman" w:cs="Times New Roman"/>
          <w:i/>
        </w:rPr>
        <w:t>Vienna Convention on the Law of Treaties</w:t>
      </w:r>
      <w:r w:rsidRPr="00156B04">
        <w:rPr>
          <w:rFonts w:eastAsia="Times New Roman" w:cs="Times New Roman"/>
        </w:rPr>
        <w:t xml:space="preserve">, Can. </w:t>
      </w:r>
      <w:proofErr w:type="spellStart"/>
      <w:r w:rsidRPr="00156B04">
        <w:rPr>
          <w:rFonts w:eastAsia="Times New Roman" w:cs="Times New Roman"/>
        </w:rPr>
        <w:t>T.S</w:t>
      </w:r>
      <w:proofErr w:type="spellEnd"/>
      <w:r w:rsidRPr="00156B04">
        <w:rPr>
          <w:rFonts w:eastAsia="Times New Roman" w:cs="Times New Roman"/>
        </w:rPr>
        <w:t>. 1980 No. 37</w:t>
      </w:r>
      <w:r w:rsidRPr="00156B04">
        <w:rPr>
          <w:rFonts w:eastAsia="Times New Roman" w:cs="Times New Roman"/>
          <w:i/>
        </w:rPr>
        <w:t xml:space="preserve"> </w:t>
      </w:r>
      <w:r w:rsidRPr="00156B04">
        <w:rPr>
          <w:rFonts w:eastAsia="Times New Roman" w:cs="Times New Roman"/>
        </w:rPr>
        <w:t>(“</w:t>
      </w:r>
      <w:r w:rsidRPr="00156B04">
        <w:rPr>
          <w:rFonts w:eastAsia="Times New Roman" w:cs="Times New Roman"/>
          <w:i/>
        </w:rPr>
        <w:t>Vienna Convention</w:t>
      </w:r>
      <w:r w:rsidRPr="00156B04">
        <w:rPr>
          <w:rFonts w:eastAsia="Times New Roman" w:cs="Times New Roman"/>
        </w:rPr>
        <w:t xml:space="preserve">”). Thus, I also address the evidentiary issue raised by the appellants, and deal with the circumstances in which expert evidence concerning state practice, and international law more broadly, is and is not admissible. </w:t>
      </w:r>
    </w:p>
    <w:p w14:paraId="5EE76273"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Second, I consider the scope of the </w:t>
      </w:r>
      <w:r w:rsidRPr="00156B04">
        <w:rPr>
          <w:rFonts w:eastAsia="Times New Roman" w:cs="Times New Roman"/>
          <w:i/>
        </w:rPr>
        <w:t>Regulations</w:t>
      </w:r>
      <w:r w:rsidRPr="00156B04">
        <w:rPr>
          <w:rFonts w:eastAsia="Times New Roman" w:cs="Times New Roman"/>
        </w:rPr>
        <w:t xml:space="preserve">, and explain how they function as a consumer protection scheme that provides for statutory entitlements that are not contingent on showing harm to the claimants suffered as a result of an injury caused by another. </w:t>
      </w:r>
    </w:p>
    <w:p w14:paraId="6DB8AD5E"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Third, I examine what constitutes a legislative conflict and conclude that, because the </w:t>
      </w:r>
      <w:r w:rsidRPr="00156B04">
        <w:rPr>
          <w:rFonts w:eastAsia="Times New Roman" w:cs="Times New Roman"/>
          <w:i/>
        </w:rPr>
        <w:t xml:space="preserve">Regulations </w:t>
      </w:r>
      <w:r w:rsidRPr="00156B04">
        <w:rPr>
          <w:rFonts w:eastAsia="Times New Roman" w:cs="Times New Roman"/>
        </w:rPr>
        <w:t xml:space="preserve">fall outside the scope of Article 29, no conflict exists between the </w:t>
      </w:r>
      <w:r w:rsidRPr="00156B04">
        <w:rPr>
          <w:rFonts w:eastAsia="Times New Roman" w:cs="Times New Roman"/>
          <w:i/>
        </w:rPr>
        <w:t>Regulations</w:t>
      </w:r>
      <w:r w:rsidRPr="00156B04">
        <w:rPr>
          <w:rFonts w:eastAsia="Times New Roman" w:cs="Times New Roman"/>
        </w:rPr>
        <w:t xml:space="preserve"> and the </w:t>
      </w:r>
      <w:r w:rsidRPr="00156B04">
        <w:rPr>
          <w:rFonts w:eastAsia="Times New Roman" w:cs="Times New Roman"/>
          <w:i/>
        </w:rPr>
        <w:t xml:space="preserve">Montreal Convention </w:t>
      </w:r>
      <w:r w:rsidRPr="00156B04">
        <w:rPr>
          <w:rFonts w:eastAsia="Times New Roman" w:cs="Times New Roman"/>
        </w:rPr>
        <w:t xml:space="preserve">(as implemented by the </w:t>
      </w:r>
      <w:r w:rsidRPr="00156B04">
        <w:rPr>
          <w:rFonts w:eastAsia="Times New Roman" w:cs="Times New Roman"/>
          <w:i/>
        </w:rPr>
        <w:t>CAA</w:t>
      </w:r>
      <w:r w:rsidRPr="00156B04">
        <w:rPr>
          <w:rFonts w:eastAsia="Times New Roman" w:cs="Times New Roman"/>
        </w:rPr>
        <w:t xml:space="preserve">). As a result, I conclude that the </w:t>
      </w:r>
      <w:r w:rsidRPr="00156B04">
        <w:rPr>
          <w:rFonts w:eastAsia="Times New Roman" w:cs="Times New Roman"/>
          <w:i/>
        </w:rPr>
        <w:t xml:space="preserve">Regulations </w:t>
      </w:r>
      <w:r w:rsidRPr="00156B04">
        <w:rPr>
          <w:rFonts w:eastAsia="Times New Roman" w:cs="Times New Roman"/>
        </w:rPr>
        <w:t xml:space="preserve">are not </w:t>
      </w:r>
      <w:r w:rsidRPr="00156B04">
        <w:rPr>
          <w:rFonts w:eastAsia="Times New Roman" w:cs="Times New Roman"/>
          <w:i/>
        </w:rPr>
        <w:t xml:space="preserve">ultra vires </w:t>
      </w:r>
      <w:r w:rsidRPr="00156B04">
        <w:rPr>
          <w:rFonts w:eastAsia="Times New Roman" w:cs="Times New Roman"/>
        </w:rPr>
        <w:t xml:space="preserve">the </w:t>
      </w:r>
      <w:r w:rsidRPr="00156B04">
        <w:rPr>
          <w:rFonts w:eastAsia="Times New Roman" w:cs="Times New Roman"/>
          <w:i/>
        </w:rPr>
        <w:t>CTA</w:t>
      </w:r>
      <w:r w:rsidRPr="00156B04">
        <w:rPr>
          <w:rFonts w:eastAsia="Times New Roman" w:cs="Times New Roman"/>
        </w:rPr>
        <w:t>.</w:t>
      </w:r>
    </w:p>
    <w:p w14:paraId="60DFD5F3" w14:textId="77777777" w:rsidR="00156B04" w:rsidRPr="00156B04" w:rsidRDefault="00156B04" w:rsidP="00156B04">
      <w:pPr>
        <w:pStyle w:val="Title2LevelTitre2Niveau"/>
        <w:rPr>
          <w:rFonts w:cs="Times New Roman"/>
        </w:rPr>
      </w:pPr>
      <w:bookmarkStart w:id="16" w:name="_Toc168491258"/>
      <w:r w:rsidRPr="00156B04">
        <w:rPr>
          <w:rFonts w:cs="Times New Roman"/>
        </w:rPr>
        <w:t>What Is the Scope of the Montreal Convention and the Exclusivity Principle?</w:t>
      </w:r>
      <w:bookmarkEnd w:id="16"/>
      <w:r w:rsidRPr="00156B04">
        <w:rPr>
          <w:rFonts w:cs="Times New Roman"/>
        </w:rPr>
        <w:t xml:space="preserve"> </w:t>
      </w:r>
    </w:p>
    <w:p w14:paraId="061FAD36" w14:textId="77777777" w:rsidR="00156B04" w:rsidRPr="00156B04" w:rsidRDefault="00156B04" w:rsidP="00156B04">
      <w:pPr>
        <w:pStyle w:val="ParaNoNdepar-AltN"/>
        <w:rPr>
          <w:rFonts w:cs="Times New Roman"/>
        </w:rPr>
      </w:pPr>
      <w:r w:rsidRPr="00156B04">
        <w:rPr>
          <w:rFonts w:cs="Times New Roman"/>
        </w:rPr>
        <w:t xml:space="preserve">The </w:t>
      </w:r>
      <w:r w:rsidRPr="00156B04">
        <w:rPr>
          <w:rFonts w:eastAsia="Times New Roman" w:cs="Times New Roman"/>
          <w:i/>
        </w:rPr>
        <w:t xml:space="preserve">Montreal </w:t>
      </w:r>
      <w:r w:rsidRPr="00156B04">
        <w:rPr>
          <w:rFonts w:cs="Times New Roman"/>
          <w:i/>
        </w:rPr>
        <w:t xml:space="preserve">Convention </w:t>
      </w:r>
      <w:r w:rsidRPr="00156B04">
        <w:rPr>
          <w:rFonts w:cs="Times New Roman"/>
        </w:rPr>
        <w:t xml:space="preserve">“applies to all international carriage of persons, baggage or cargo performed by aircraft for reward” (Article 1). </w:t>
      </w:r>
      <w:bookmarkStart w:id="17" w:name="_Hlk168058736"/>
      <w:r w:rsidRPr="00156B04">
        <w:rPr>
          <w:rFonts w:cs="Times New Roman"/>
        </w:rPr>
        <w:t xml:space="preserve">Article 17 deals with death and bodily injury that occurs between embarkation and disembarkation and destruction, loss, and damage to baggage while the baggage was on board the aircraft or in the charge of the carrier. </w:t>
      </w:r>
      <w:bookmarkStart w:id="18" w:name="_Hlk172793485"/>
      <w:r w:rsidRPr="00156B04">
        <w:rPr>
          <w:rFonts w:cs="Times New Roman"/>
        </w:rPr>
        <w:t>Carriers are presumptively liable for “damage sustained” in relation to these sorts of incidents.</w:t>
      </w:r>
      <w:bookmarkEnd w:id="18"/>
      <w:r w:rsidRPr="00156B04">
        <w:rPr>
          <w:rFonts w:cs="Times New Roman"/>
        </w:rPr>
        <w:t xml:space="preserve"> Similarly, Article 18 provides that a carrier is presumptively liable for “damage sustained in the event of the destruction or loss of, or damage to, cargo upon condition only that the event which caused the damage so sustained took place during the carriage by air”. Article 19 states that a carrier is liable for “damage occasioned by delay in the carriage by air of passengers, baggage or cargo”. A carrier can exonerate itself from presumptive liability under Article 19 “if it proves that it and its servants and agents took all measures that could reasonably be required to avoid the damage or that it was impossible for it or them to take such measures”. Article 20 additionally enables carriers to obtain whole or partial exoneration from liability if the carrier is able to prove that the damage was caused or contributed to by the negligence or other wrongful act or omission of the person claiming compensation. </w:t>
      </w:r>
    </w:p>
    <w:p w14:paraId="0844B39B" w14:textId="77777777" w:rsidR="00156B04" w:rsidRPr="00156B04" w:rsidRDefault="00156B04" w:rsidP="00156B04">
      <w:pPr>
        <w:pStyle w:val="ParaNoNdepar-AltN"/>
        <w:rPr>
          <w:rFonts w:cs="Times New Roman"/>
        </w:rPr>
      </w:pPr>
      <w:r w:rsidRPr="00156B04">
        <w:rPr>
          <w:rFonts w:cs="Times New Roman"/>
        </w:rPr>
        <w:t xml:space="preserve">The </w:t>
      </w:r>
      <w:r w:rsidRPr="00156B04">
        <w:rPr>
          <w:rFonts w:eastAsia="Times New Roman" w:cs="Times New Roman"/>
          <w:i/>
        </w:rPr>
        <w:t xml:space="preserve">Montreal </w:t>
      </w:r>
      <w:r w:rsidRPr="00156B04">
        <w:rPr>
          <w:rFonts w:cs="Times New Roman"/>
          <w:i/>
        </w:rPr>
        <w:t xml:space="preserve">Convention </w:t>
      </w:r>
      <w:r w:rsidRPr="00156B04">
        <w:rPr>
          <w:rFonts w:cs="Times New Roman"/>
        </w:rPr>
        <w:t xml:space="preserve">also regulates the amount of compensation owed in relation to claims for death or bodily injury, damage or loss of baggage and cargo, and for delay (Articles 21 and 22). Article 26 prevents a carrier from entering into a contract which relieves it of liability or fixes a lower limit for compensation than that set out in the </w:t>
      </w:r>
      <w:r w:rsidRPr="00156B04">
        <w:rPr>
          <w:rFonts w:eastAsia="Times New Roman" w:cs="Times New Roman"/>
          <w:i/>
        </w:rPr>
        <w:t xml:space="preserve">Montreal </w:t>
      </w:r>
      <w:r w:rsidRPr="00156B04">
        <w:rPr>
          <w:rFonts w:cs="Times New Roman"/>
          <w:i/>
        </w:rPr>
        <w:t>Convention</w:t>
      </w:r>
      <w:r w:rsidRPr="00156B04">
        <w:rPr>
          <w:rFonts w:cs="Times New Roman"/>
        </w:rPr>
        <w:t xml:space="preserve">. Article 27 expressly permits carriers to contractually waive defences available under the </w:t>
      </w:r>
      <w:r w:rsidRPr="00156B04">
        <w:rPr>
          <w:rFonts w:eastAsia="Times New Roman" w:cs="Times New Roman"/>
          <w:i/>
        </w:rPr>
        <w:t xml:space="preserve">Montreal </w:t>
      </w:r>
      <w:r w:rsidRPr="00156B04">
        <w:rPr>
          <w:rFonts w:cs="Times New Roman"/>
          <w:i/>
        </w:rPr>
        <w:t>Convention</w:t>
      </w:r>
      <w:r w:rsidRPr="00156B04">
        <w:rPr>
          <w:rFonts w:cs="Times New Roman"/>
        </w:rPr>
        <w:t xml:space="preserve">. </w:t>
      </w:r>
      <w:bookmarkEnd w:id="17"/>
      <w:r w:rsidRPr="00156B04">
        <w:rPr>
          <w:rFonts w:cs="Times New Roman"/>
        </w:rPr>
        <w:t xml:space="preserve">Finally, Article 29 codifies the “exclusivity principle” which reads: </w:t>
      </w:r>
    </w:p>
    <w:p w14:paraId="4EAB039F" w14:textId="77777777" w:rsidR="00156B04" w:rsidRPr="00156B04" w:rsidRDefault="00156B04" w:rsidP="00156B04">
      <w:pPr>
        <w:pStyle w:val="Citation-AltC"/>
        <w:ind w:firstLine="274"/>
      </w:pPr>
      <w:r w:rsidRPr="00156B04">
        <w:t>In the carriage of passengers, baggage and cargo, any action for damages, however founded, whether under this Convention or in contract or in tort or otherwise, can only be brought subject to the conditions and such limits of liability as are set out in this Convention without prejudice to the question as to who are the persons who have the right to bring suit and what are their respective rights. In any such action, punitive, exemplary or any other non-compensatory damages shall not be recoverable.</w:t>
      </w:r>
    </w:p>
    <w:p w14:paraId="11B6BB17" w14:textId="77777777" w:rsidR="00156B04" w:rsidRPr="00156B04" w:rsidRDefault="00156B04" w:rsidP="00156B04">
      <w:pPr>
        <w:pStyle w:val="ParaNoNdepar-AltN"/>
        <w:rPr>
          <w:rFonts w:eastAsia="Times New Roman" w:cs="Times New Roman"/>
        </w:rPr>
      </w:pPr>
      <w:r w:rsidRPr="00156B04">
        <w:rPr>
          <w:rFonts w:cs="Times New Roman"/>
        </w:rPr>
        <w:t xml:space="preserve">This appeal requires the Court to resolve what falls within the scope of an “action for damages”. In so doing, I am guided by </w:t>
      </w:r>
      <w:proofErr w:type="spellStart"/>
      <w:r w:rsidRPr="00156B04">
        <w:rPr>
          <w:rFonts w:cs="Times New Roman"/>
          <w:i/>
        </w:rPr>
        <w:t>Thibodeau</w:t>
      </w:r>
      <w:r w:rsidRPr="00156B04">
        <w:rPr>
          <w:rFonts w:cs="Times New Roman"/>
        </w:rPr>
        <w:t>’s</w:t>
      </w:r>
      <w:proofErr w:type="spellEnd"/>
      <w:r w:rsidRPr="00156B04">
        <w:rPr>
          <w:rFonts w:cs="Times New Roman"/>
        </w:rPr>
        <w:t xml:space="preserve"> instruction that “the terms ‘action’ and ‘damages’ must be understood in a broad sense” (para. 60) and “cannot be modeled on national definitions of damages” (para. 77). </w:t>
      </w:r>
    </w:p>
    <w:p w14:paraId="2A340A0B" w14:textId="77777777" w:rsidR="00156B04" w:rsidRPr="00156B04" w:rsidRDefault="00156B04" w:rsidP="00156B04">
      <w:pPr>
        <w:pStyle w:val="Title3LevelTitre3Niveau"/>
        <w:rPr>
          <w:rFonts w:cs="Times New Roman"/>
        </w:rPr>
      </w:pPr>
      <w:bookmarkStart w:id="19" w:name="_Toc168491259"/>
      <w:proofErr w:type="spellStart"/>
      <w:r w:rsidRPr="00156B04">
        <w:rPr>
          <w:rFonts w:cs="Times New Roman"/>
          <w:i/>
        </w:rPr>
        <w:t>Thibodeau</w:t>
      </w:r>
      <w:proofErr w:type="spellEnd"/>
      <w:r w:rsidRPr="00156B04">
        <w:rPr>
          <w:rFonts w:cs="Times New Roman"/>
          <w:i/>
        </w:rPr>
        <w:t xml:space="preserve"> </w:t>
      </w:r>
      <w:r w:rsidRPr="00156B04">
        <w:rPr>
          <w:rFonts w:cs="Times New Roman"/>
        </w:rPr>
        <w:t>Does Not Resolve the Question</w:t>
      </w:r>
      <w:bookmarkEnd w:id="19"/>
      <w:r w:rsidRPr="00156B04">
        <w:rPr>
          <w:rFonts w:cs="Times New Roman"/>
        </w:rPr>
        <w:t xml:space="preserve"> </w:t>
      </w:r>
    </w:p>
    <w:p w14:paraId="297213AD" w14:textId="77777777" w:rsidR="00156B04" w:rsidRPr="00156B04" w:rsidRDefault="00156B04" w:rsidP="00156B04">
      <w:pPr>
        <w:pStyle w:val="ParaNoNdepar-AltN"/>
        <w:rPr>
          <w:rFonts w:cs="Times New Roman"/>
        </w:rPr>
      </w:pPr>
      <w:r w:rsidRPr="00156B04">
        <w:rPr>
          <w:rFonts w:cs="Times New Roman"/>
        </w:rPr>
        <w:t xml:space="preserve">The scope of the exclusivity principle codified at Article 29 was left open in </w:t>
      </w:r>
      <w:proofErr w:type="spellStart"/>
      <w:r w:rsidRPr="00156B04">
        <w:rPr>
          <w:rFonts w:cs="Times New Roman"/>
          <w:i/>
        </w:rPr>
        <w:t>Thibodeau</w:t>
      </w:r>
      <w:proofErr w:type="spellEnd"/>
      <w:r w:rsidRPr="00156B04">
        <w:rPr>
          <w:rFonts w:cs="Times New Roman"/>
        </w:rPr>
        <w:t xml:space="preserve">. In that case, passengers on an international flight operated by Air Canada brought claims for damages pursuant to the </w:t>
      </w:r>
      <w:r w:rsidRPr="00156B04">
        <w:rPr>
          <w:rFonts w:cs="Times New Roman"/>
          <w:i/>
        </w:rPr>
        <w:t>Official Languages Act</w:t>
      </w:r>
      <w:r w:rsidRPr="00156B04">
        <w:rPr>
          <w:rFonts w:cs="Times New Roman"/>
        </w:rPr>
        <w:t xml:space="preserve">, </w:t>
      </w:r>
      <w:proofErr w:type="spellStart"/>
      <w:r w:rsidRPr="00156B04">
        <w:rPr>
          <w:rFonts w:cs="Times New Roman"/>
        </w:rPr>
        <w:t>R.S.C</w:t>
      </w:r>
      <w:proofErr w:type="spellEnd"/>
      <w:r w:rsidRPr="00156B04">
        <w:rPr>
          <w:rFonts w:cs="Times New Roman"/>
        </w:rPr>
        <w:t xml:space="preserve">. 1985, c. 31 (4th Supp.), on the basis that Air Canada failed to provide services in both official languages as required by the </w:t>
      </w:r>
      <w:r w:rsidRPr="00156B04">
        <w:rPr>
          <w:rFonts w:cs="Times New Roman"/>
          <w:i/>
        </w:rPr>
        <w:t>Official Languages Act</w:t>
      </w:r>
      <w:r w:rsidRPr="00156B04">
        <w:rPr>
          <w:rFonts w:cs="Times New Roman"/>
        </w:rPr>
        <w:t xml:space="preserve">. The Federal Court awarded damages to compensate the </w:t>
      </w:r>
      <w:proofErr w:type="spellStart"/>
      <w:r w:rsidRPr="00156B04">
        <w:rPr>
          <w:rFonts w:cs="Times New Roman"/>
        </w:rPr>
        <w:t>Thibodeaus</w:t>
      </w:r>
      <w:proofErr w:type="spellEnd"/>
      <w:r w:rsidRPr="00156B04">
        <w:rPr>
          <w:rFonts w:cs="Times New Roman"/>
        </w:rPr>
        <w:t xml:space="preserve"> for breach of their language rights, which “caused them a moral prejudice, pain and suffering and loss of enjoyment of their vacation” (</w:t>
      </w:r>
      <w:proofErr w:type="spellStart"/>
      <w:r w:rsidRPr="00156B04">
        <w:rPr>
          <w:rFonts w:cs="Times New Roman"/>
          <w:i/>
        </w:rPr>
        <w:t>Thibodeau</w:t>
      </w:r>
      <w:proofErr w:type="spellEnd"/>
      <w:r w:rsidRPr="00156B04">
        <w:rPr>
          <w:rFonts w:cs="Times New Roman"/>
          <w:i/>
        </w:rPr>
        <w:t xml:space="preserve"> v. Air Canada</w:t>
      </w:r>
      <w:r w:rsidRPr="00156B04">
        <w:rPr>
          <w:rFonts w:cs="Times New Roman"/>
        </w:rPr>
        <w:t xml:space="preserve">, 2011 FC 876, [2013] 2 </w:t>
      </w:r>
      <w:proofErr w:type="spellStart"/>
      <w:r w:rsidRPr="00156B04">
        <w:rPr>
          <w:rFonts w:cs="Times New Roman"/>
        </w:rPr>
        <w:t>F.C.R</w:t>
      </w:r>
      <w:proofErr w:type="spellEnd"/>
      <w:r w:rsidRPr="00156B04">
        <w:rPr>
          <w:rFonts w:cs="Times New Roman"/>
        </w:rPr>
        <w:t xml:space="preserve">. 83, at para. 88). </w:t>
      </w:r>
    </w:p>
    <w:p w14:paraId="186998DC" w14:textId="77777777" w:rsidR="00156B04" w:rsidRPr="00156B04" w:rsidRDefault="00156B04" w:rsidP="00156B04">
      <w:pPr>
        <w:pStyle w:val="ParaNoNdepar-AltN"/>
        <w:rPr>
          <w:rFonts w:cs="Times New Roman"/>
        </w:rPr>
      </w:pPr>
      <w:r w:rsidRPr="00156B04">
        <w:rPr>
          <w:rFonts w:cs="Times New Roman"/>
        </w:rPr>
        <w:t xml:space="preserve">This Court’s reasons in </w:t>
      </w:r>
      <w:proofErr w:type="spellStart"/>
      <w:r w:rsidRPr="00156B04">
        <w:rPr>
          <w:rFonts w:cs="Times New Roman"/>
          <w:i/>
        </w:rPr>
        <w:t>Thibodeau</w:t>
      </w:r>
      <w:proofErr w:type="spellEnd"/>
      <w:r w:rsidRPr="00156B04">
        <w:rPr>
          <w:rFonts w:cs="Times New Roman"/>
          <w:i/>
        </w:rPr>
        <w:t xml:space="preserve"> </w:t>
      </w:r>
      <w:r w:rsidRPr="00156B04">
        <w:rPr>
          <w:rFonts w:cs="Times New Roman"/>
        </w:rPr>
        <w:t xml:space="preserve">focused on whether the </w:t>
      </w:r>
      <w:r w:rsidRPr="00156B04">
        <w:rPr>
          <w:rFonts w:cs="Times New Roman"/>
          <w:i/>
        </w:rPr>
        <w:t xml:space="preserve">Official Languages Act </w:t>
      </w:r>
      <w:r w:rsidRPr="00156B04">
        <w:rPr>
          <w:rFonts w:cs="Times New Roman"/>
        </w:rPr>
        <w:t xml:space="preserve">claims “fall outside the type of actions covered by the </w:t>
      </w:r>
      <w:r w:rsidRPr="00156B04">
        <w:rPr>
          <w:rFonts w:cs="Times New Roman"/>
          <w:i/>
        </w:rPr>
        <w:t>Montreal Convention</w:t>
      </w:r>
      <w:r w:rsidRPr="00156B04">
        <w:rPr>
          <w:rFonts w:cs="Times New Roman"/>
        </w:rPr>
        <w:t xml:space="preserve">” in light of “the underlying source of the claim” (paras. 73 and 75). The Court concluded that the claim was for individualized damages and came within the scope of the </w:t>
      </w:r>
      <w:r w:rsidRPr="00156B04">
        <w:rPr>
          <w:rFonts w:cs="Times New Roman"/>
          <w:i/>
        </w:rPr>
        <w:t>Montreal Convention</w:t>
      </w:r>
      <w:r w:rsidRPr="00156B04">
        <w:rPr>
          <w:rFonts w:cs="Times New Roman"/>
        </w:rPr>
        <w:t xml:space="preserve">’s exclusivity principle. However, </w:t>
      </w:r>
      <w:bookmarkStart w:id="20" w:name="_Hlk171515617"/>
      <w:r w:rsidRPr="00156B04">
        <w:rPr>
          <w:rFonts w:cs="Times New Roman"/>
        </w:rPr>
        <w:t>the Court expressly declined to consider the significance of the distinction between individualized damages and standardized damages when it comes to applying the exclusivity principle</w:t>
      </w:r>
      <w:bookmarkEnd w:id="20"/>
      <w:r w:rsidRPr="00156B04">
        <w:rPr>
          <w:rFonts w:cs="Times New Roman"/>
        </w:rPr>
        <w:t xml:space="preserve"> (para. 81). </w:t>
      </w:r>
    </w:p>
    <w:p w14:paraId="2619EE90" w14:textId="77777777" w:rsidR="00156B04" w:rsidRPr="00156B04" w:rsidRDefault="00156B04" w:rsidP="00156B04">
      <w:pPr>
        <w:pStyle w:val="ParaNoNdepar-AltN"/>
        <w:rPr>
          <w:rFonts w:cs="Times New Roman"/>
        </w:rPr>
      </w:pPr>
      <w:r w:rsidRPr="00156B04">
        <w:rPr>
          <w:rFonts w:cs="Times New Roman"/>
        </w:rPr>
        <w:t xml:space="preserve">This appeal, by contrast, requires the Court to address that which was left open by </w:t>
      </w:r>
      <w:proofErr w:type="spellStart"/>
      <w:r w:rsidRPr="00156B04">
        <w:rPr>
          <w:rFonts w:cs="Times New Roman"/>
          <w:i/>
        </w:rPr>
        <w:t>Thibodeau</w:t>
      </w:r>
      <w:proofErr w:type="spellEnd"/>
      <w:r w:rsidRPr="00156B04">
        <w:rPr>
          <w:rFonts w:cs="Times New Roman"/>
        </w:rPr>
        <w:t xml:space="preserve">, namely whether the </w:t>
      </w:r>
      <w:r w:rsidRPr="00156B04">
        <w:rPr>
          <w:rFonts w:cs="Times New Roman"/>
          <w:i/>
        </w:rPr>
        <w:t xml:space="preserve">Montreal Convention </w:t>
      </w:r>
      <w:r w:rsidRPr="00156B04">
        <w:rPr>
          <w:rFonts w:cs="Times New Roman"/>
        </w:rPr>
        <w:t xml:space="preserve">precludes standardized compensation of the kind provided for by the </w:t>
      </w:r>
      <w:r w:rsidRPr="00156B04">
        <w:rPr>
          <w:rFonts w:cs="Times New Roman"/>
          <w:i/>
        </w:rPr>
        <w:t>Regulations</w:t>
      </w:r>
      <w:r w:rsidRPr="00156B04">
        <w:rPr>
          <w:rFonts w:cs="Times New Roman"/>
        </w:rPr>
        <w:t xml:space="preserve">. </w:t>
      </w:r>
    </w:p>
    <w:p w14:paraId="4BE1DE75" w14:textId="77777777" w:rsidR="00156B04" w:rsidRPr="00156B04" w:rsidRDefault="00156B04" w:rsidP="00156B04">
      <w:pPr>
        <w:pStyle w:val="Title3LevelTitre3Niveau"/>
        <w:rPr>
          <w:rFonts w:cs="Times New Roman"/>
        </w:rPr>
      </w:pPr>
      <w:bookmarkStart w:id="21" w:name="_Toc168491260"/>
      <w:r w:rsidRPr="00156B04">
        <w:rPr>
          <w:rFonts w:cs="Times New Roman"/>
        </w:rPr>
        <w:t>The Ordinary Meaning of the Words Chosen by the State Parties When Read in Their Context</w:t>
      </w:r>
      <w:bookmarkEnd w:id="21"/>
      <w:r w:rsidRPr="00156B04">
        <w:rPr>
          <w:rFonts w:cs="Times New Roman"/>
        </w:rPr>
        <w:t xml:space="preserve"> </w:t>
      </w:r>
    </w:p>
    <w:p w14:paraId="332007AB" w14:textId="77777777" w:rsidR="00156B04" w:rsidRPr="00156B04" w:rsidRDefault="00156B04" w:rsidP="00156B04">
      <w:pPr>
        <w:pStyle w:val="ParaNoNdepar-AltN"/>
        <w:rPr>
          <w:rFonts w:eastAsia="Times New Roman" w:cs="Times New Roman"/>
        </w:rPr>
      </w:pPr>
      <w:r w:rsidRPr="00156B04">
        <w:rPr>
          <w:rFonts w:cs="Times New Roman"/>
        </w:rPr>
        <w:t xml:space="preserve">The </w:t>
      </w:r>
      <w:r w:rsidRPr="00156B04">
        <w:rPr>
          <w:rFonts w:eastAsia="Times New Roman" w:cs="Times New Roman"/>
          <w:i/>
        </w:rPr>
        <w:t>Vienna Convention</w:t>
      </w:r>
      <w:r w:rsidRPr="00156B04">
        <w:rPr>
          <w:rFonts w:cs="Times New Roman"/>
        </w:rPr>
        <w:t xml:space="preserve"> is the starting point for determining the scope of the </w:t>
      </w:r>
      <w:r w:rsidRPr="00156B04">
        <w:rPr>
          <w:rFonts w:cs="Times New Roman"/>
          <w:i/>
        </w:rPr>
        <w:t>Montreal Convention</w:t>
      </w:r>
      <w:r w:rsidRPr="00156B04">
        <w:rPr>
          <w:rFonts w:cs="Times New Roman"/>
        </w:rPr>
        <w:t xml:space="preserve"> (see </w:t>
      </w:r>
      <w:proofErr w:type="spellStart"/>
      <w:r w:rsidRPr="00156B04">
        <w:rPr>
          <w:rFonts w:cs="Times New Roman"/>
          <w:i/>
          <w:iCs/>
          <w:szCs w:val="24"/>
        </w:rPr>
        <w:t>Pushpanathan</w:t>
      </w:r>
      <w:proofErr w:type="spellEnd"/>
      <w:r w:rsidRPr="00156B04">
        <w:rPr>
          <w:rFonts w:cs="Times New Roman"/>
          <w:i/>
          <w:iCs/>
          <w:szCs w:val="24"/>
        </w:rPr>
        <w:t xml:space="preserve"> v. Canada (Minister of Citizenship and Immigration)</w:t>
      </w:r>
      <w:r w:rsidRPr="00156B04">
        <w:rPr>
          <w:rFonts w:cs="Times New Roman"/>
          <w:iCs/>
        </w:rPr>
        <w:t xml:space="preserve">, </w:t>
      </w:r>
      <w:r w:rsidRPr="00156B04">
        <w:rPr>
          <w:rFonts w:cs="Times New Roman"/>
          <w:iCs/>
          <w:szCs w:val="24"/>
        </w:rPr>
        <w:t xml:space="preserve">[1998] 1 </w:t>
      </w:r>
      <w:proofErr w:type="spellStart"/>
      <w:r w:rsidRPr="00156B04">
        <w:rPr>
          <w:rFonts w:cs="Times New Roman"/>
          <w:iCs/>
          <w:szCs w:val="24"/>
        </w:rPr>
        <w:t>S.C.R</w:t>
      </w:r>
      <w:proofErr w:type="spellEnd"/>
      <w:r w:rsidRPr="00156B04">
        <w:rPr>
          <w:rFonts w:cs="Times New Roman"/>
          <w:iCs/>
          <w:szCs w:val="24"/>
        </w:rPr>
        <w:t>. 982</w:t>
      </w:r>
      <w:r w:rsidRPr="00156B04">
        <w:rPr>
          <w:rFonts w:cs="Times New Roman"/>
          <w:szCs w:val="24"/>
        </w:rPr>
        <w:t xml:space="preserve">, at paras. 51-52; </w:t>
      </w:r>
      <w:r w:rsidRPr="00156B04">
        <w:rPr>
          <w:rFonts w:cs="Times New Roman"/>
          <w:i/>
          <w:szCs w:val="24"/>
        </w:rPr>
        <w:t>Thomson v. Thomson</w:t>
      </w:r>
      <w:r w:rsidRPr="00156B04">
        <w:rPr>
          <w:rFonts w:cs="Times New Roman"/>
          <w:szCs w:val="24"/>
        </w:rPr>
        <w:t xml:space="preserve">, [1994] 3 </w:t>
      </w:r>
      <w:proofErr w:type="spellStart"/>
      <w:r w:rsidRPr="00156B04">
        <w:rPr>
          <w:rFonts w:cs="Times New Roman"/>
          <w:szCs w:val="24"/>
        </w:rPr>
        <w:t>S.C.R</w:t>
      </w:r>
      <w:proofErr w:type="spellEnd"/>
      <w:r w:rsidRPr="00156B04">
        <w:rPr>
          <w:rFonts w:cs="Times New Roman"/>
          <w:szCs w:val="24"/>
        </w:rPr>
        <w:t>. 551</w:t>
      </w:r>
      <w:r w:rsidRPr="00156B04">
        <w:rPr>
          <w:rFonts w:cs="Times New Roman"/>
        </w:rPr>
        <w:t>,</w:t>
      </w:r>
      <w:r w:rsidRPr="00156B04">
        <w:rPr>
          <w:rFonts w:cs="Times New Roman"/>
          <w:szCs w:val="24"/>
        </w:rPr>
        <w:t xml:space="preserve"> at pp. 577-78).</w:t>
      </w:r>
      <w:r w:rsidRPr="00156B04">
        <w:rPr>
          <w:rFonts w:eastAsia="Times New Roman" w:cs="Times New Roman"/>
        </w:rPr>
        <w:t xml:space="preserve"> </w:t>
      </w:r>
      <w:r w:rsidRPr="00156B04">
        <w:rPr>
          <w:rFonts w:cs="Times New Roman"/>
        </w:rPr>
        <w:t xml:space="preserve">Article 31 of the </w:t>
      </w:r>
      <w:r w:rsidRPr="00156B04">
        <w:rPr>
          <w:rFonts w:eastAsia="Times New Roman" w:cs="Times New Roman"/>
          <w:i/>
        </w:rPr>
        <w:t>Vienna Convention</w:t>
      </w:r>
      <w:r w:rsidRPr="00156B04">
        <w:rPr>
          <w:rFonts w:cs="Times New Roman"/>
        </w:rPr>
        <w:t xml:space="preserve"> directs that the </w:t>
      </w:r>
      <w:r w:rsidRPr="00156B04">
        <w:rPr>
          <w:rFonts w:cs="Times New Roman"/>
          <w:i/>
        </w:rPr>
        <w:t>Montreal Convention</w:t>
      </w:r>
      <w:r w:rsidRPr="00156B04">
        <w:rPr>
          <w:rFonts w:cs="Times New Roman"/>
        </w:rPr>
        <w:t>, like all treaties, should be interpreted “in good faith in accordance with the ordinary meaning to be given to the terms of the treaty in their context and in the light of its object and purpose”. Or, as this Court has put it, “[t]he point of departure for interpreting a provision of a treaty is the plain meaning of the text” (</w:t>
      </w:r>
      <w:proofErr w:type="spellStart"/>
      <w:r w:rsidRPr="00156B04">
        <w:rPr>
          <w:rFonts w:cs="Times New Roman"/>
          <w:i/>
        </w:rPr>
        <w:t>Febles</w:t>
      </w:r>
      <w:proofErr w:type="spellEnd"/>
      <w:r w:rsidRPr="00156B04">
        <w:rPr>
          <w:rFonts w:cs="Times New Roman"/>
          <w:i/>
        </w:rPr>
        <w:t xml:space="preserve"> v. Canada</w:t>
      </w:r>
      <w:r w:rsidRPr="00156B04">
        <w:rPr>
          <w:rFonts w:cs="Times New Roman"/>
        </w:rPr>
        <w:t xml:space="preserve"> </w:t>
      </w:r>
      <w:r w:rsidRPr="00156B04">
        <w:rPr>
          <w:rFonts w:cs="Times New Roman"/>
          <w:i/>
        </w:rPr>
        <w:t>(Citizenship and Immigration)</w:t>
      </w:r>
      <w:r w:rsidRPr="00156B04">
        <w:rPr>
          <w:rFonts w:cs="Times New Roman"/>
        </w:rPr>
        <w:t xml:space="preserve">, 2014 SCC 68, [2014] 3 </w:t>
      </w:r>
      <w:proofErr w:type="spellStart"/>
      <w:r w:rsidRPr="00156B04">
        <w:rPr>
          <w:rFonts w:cs="Times New Roman"/>
        </w:rPr>
        <w:t>S.C.R</w:t>
      </w:r>
      <w:proofErr w:type="spellEnd"/>
      <w:r w:rsidRPr="00156B04">
        <w:rPr>
          <w:rFonts w:cs="Times New Roman"/>
        </w:rPr>
        <w:t xml:space="preserve">. 431, at para. 16). The English text of Article 31 of the </w:t>
      </w:r>
      <w:r w:rsidRPr="00156B04">
        <w:rPr>
          <w:rFonts w:eastAsia="Times New Roman" w:cs="Times New Roman"/>
          <w:i/>
        </w:rPr>
        <w:t>Vienna Convention</w:t>
      </w:r>
      <w:r w:rsidRPr="00156B04">
        <w:rPr>
          <w:rFonts w:cs="Times New Roman"/>
        </w:rPr>
        <w:t xml:space="preserve"> refers to “ordinary meaning” and this Court in </w:t>
      </w:r>
      <w:proofErr w:type="spellStart"/>
      <w:r w:rsidRPr="00156B04">
        <w:rPr>
          <w:rFonts w:cs="Times New Roman"/>
          <w:i/>
        </w:rPr>
        <w:t>Febles</w:t>
      </w:r>
      <w:proofErr w:type="spellEnd"/>
      <w:r w:rsidRPr="00156B04">
        <w:rPr>
          <w:rFonts w:cs="Times New Roman"/>
          <w:i/>
        </w:rPr>
        <w:t xml:space="preserve"> </w:t>
      </w:r>
      <w:r w:rsidRPr="00156B04">
        <w:rPr>
          <w:rFonts w:cs="Times New Roman"/>
        </w:rPr>
        <w:t xml:space="preserve">referred to “plain meaning”, in the English version of its reasons. In French, both the text of the </w:t>
      </w:r>
      <w:r w:rsidRPr="00156B04">
        <w:rPr>
          <w:rFonts w:cs="Times New Roman"/>
          <w:i/>
        </w:rPr>
        <w:t>Vienna Convention</w:t>
      </w:r>
      <w:r w:rsidRPr="00156B04">
        <w:rPr>
          <w:rFonts w:cs="Times New Roman"/>
        </w:rPr>
        <w:t xml:space="preserve"> and the Court’s reasons in </w:t>
      </w:r>
      <w:proofErr w:type="spellStart"/>
      <w:r w:rsidRPr="00156B04">
        <w:rPr>
          <w:rFonts w:cs="Times New Roman"/>
          <w:i/>
        </w:rPr>
        <w:t>Febles</w:t>
      </w:r>
      <w:proofErr w:type="spellEnd"/>
      <w:r w:rsidRPr="00156B04">
        <w:rPr>
          <w:rFonts w:cs="Times New Roman"/>
        </w:rPr>
        <w:t xml:space="preserve"> use the expression “</w:t>
      </w:r>
      <w:proofErr w:type="spellStart"/>
      <w:r w:rsidRPr="00156B04">
        <w:rPr>
          <w:rFonts w:cs="Times New Roman"/>
          <w:i/>
        </w:rPr>
        <w:t>sens</w:t>
      </w:r>
      <w:proofErr w:type="spellEnd"/>
      <w:r w:rsidRPr="00156B04">
        <w:rPr>
          <w:rFonts w:cs="Times New Roman"/>
          <w:i/>
        </w:rPr>
        <w:t xml:space="preserve"> </w:t>
      </w:r>
      <w:proofErr w:type="spellStart"/>
      <w:r w:rsidRPr="00156B04">
        <w:rPr>
          <w:rFonts w:cs="Times New Roman"/>
          <w:i/>
        </w:rPr>
        <w:t>ordinaire</w:t>
      </w:r>
      <w:proofErr w:type="spellEnd"/>
      <w:r w:rsidRPr="00156B04">
        <w:rPr>
          <w:rFonts w:cs="Times New Roman"/>
        </w:rPr>
        <w:t xml:space="preserve">”. I take these expressions to mean the same thing, that being that the analysis begins with the words chosen by the state parties to the </w:t>
      </w:r>
      <w:r w:rsidRPr="00156B04">
        <w:rPr>
          <w:rFonts w:cs="Times New Roman"/>
          <w:i/>
        </w:rPr>
        <w:t>Montreal Convention</w:t>
      </w:r>
      <w:r w:rsidRPr="00156B04">
        <w:rPr>
          <w:rFonts w:cs="Times New Roman"/>
        </w:rPr>
        <w:t xml:space="preserve">. </w:t>
      </w:r>
    </w:p>
    <w:p w14:paraId="6ED30ACD" w14:textId="77777777" w:rsidR="00156B04" w:rsidRPr="00156B04" w:rsidRDefault="00156B04" w:rsidP="00156B04">
      <w:pPr>
        <w:pStyle w:val="ParaNoNdepar-AltN"/>
        <w:rPr>
          <w:rFonts w:cs="Times New Roman"/>
        </w:rPr>
      </w:pPr>
      <w:r w:rsidRPr="00156B04">
        <w:rPr>
          <w:rFonts w:cs="Times New Roman"/>
        </w:rPr>
        <w:t xml:space="preserve">Article 29, in explaining the exclusivity principle, states that the </w:t>
      </w:r>
      <w:r w:rsidRPr="00156B04">
        <w:rPr>
          <w:rFonts w:cs="Times New Roman"/>
          <w:i/>
        </w:rPr>
        <w:t>Montreal Convention</w:t>
      </w:r>
      <w:r w:rsidRPr="00156B04">
        <w:rPr>
          <w:rFonts w:cs="Times New Roman"/>
        </w:rPr>
        <w:t xml:space="preserve"> applies to “</w:t>
      </w:r>
      <w:r w:rsidRPr="00156B04">
        <w:rPr>
          <w:rFonts w:cs="Times New Roman"/>
          <w:u w:val="single"/>
        </w:rPr>
        <w:t>any</w:t>
      </w:r>
      <w:r w:rsidRPr="00156B04">
        <w:rPr>
          <w:rFonts w:cs="Times New Roman"/>
        </w:rPr>
        <w:t xml:space="preserve"> action for damages, </w:t>
      </w:r>
      <w:r w:rsidRPr="00156B04">
        <w:rPr>
          <w:rFonts w:cs="Times New Roman"/>
          <w:u w:val="single"/>
        </w:rPr>
        <w:t>however founded</w:t>
      </w:r>
      <w:r w:rsidRPr="00156B04">
        <w:rPr>
          <w:rFonts w:cs="Times New Roman"/>
        </w:rPr>
        <w:t>” (</w:t>
      </w:r>
      <w:proofErr w:type="spellStart"/>
      <w:r w:rsidRPr="00156B04">
        <w:rPr>
          <w:rFonts w:cs="Times New Roman"/>
          <w:i/>
        </w:rPr>
        <w:t>Thibodeau</w:t>
      </w:r>
      <w:proofErr w:type="spellEnd"/>
      <w:r w:rsidRPr="00156B04">
        <w:rPr>
          <w:rFonts w:cs="Times New Roman"/>
        </w:rPr>
        <w:t xml:space="preserve">, at para. 37 (emphasis in original)). The text of Article 29 thus discloses two criteria that guide the application of the exclusivity principle: there must be an “action” that leads to “damages”. The term “action” has a meaning well known to the law: </w:t>
      </w:r>
      <w:r w:rsidRPr="00156B04">
        <w:rPr>
          <w:rFonts w:cs="Times New Roman"/>
          <w:i/>
        </w:rPr>
        <w:t>Black’s Law Dictionary</w:t>
      </w:r>
      <w:r w:rsidRPr="00156B04">
        <w:rPr>
          <w:rFonts w:cs="Times New Roman"/>
        </w:rPr>
        <w:t xml:space="preserve"> defines an “action” as “any judicial proceeding, which, if conducted to a determination, will result in a judgment or decree” ((11th ed. 2019), at p. 37). Similarly, Barron’s </w:t>
      </w:r>
      <w:r w:rsidRPr="00156B04">
        <w:rPr>
          <w:rFonts w:cs="Times New Roman"/>
          <w:i/>
        </w:rPr>
        <w:t>Canadian Law Dictionary</w:t>
      </w:r>
      <w:r w:rsidRPr="00156B04">
        <w:rPr>
          <w:rFonts w:cs="Times New Roman"/>
        </w:rPr>
        <w:t xml:space="preserve"> defines an “action at law” as “[a] judicial proceeding whereby one party . . . prosecutes another for a wrong or injury done [or] for damage caused” or “[a] proceeding by which one party seeks in a court of justice to enforce some right” ((7th ed. 2013), at p. 9). Recalling that the term “action” must be understood in “a broad sense”, I would add that it should be read in light of the growing prominence of non-judicial tribunals and quasi-judicial adjudicators in Canada and elsewhere (see </w:t>
      </w:r>
      <w:proofErr w:type="spellStart"/>
      <w:r w:rsidRPr="00156B04">
        <w:rPr>
          <w:rFonts w:cs="Times New Roman"/>
          <w:i/>
        </w:rPr>
        <w:t>Thibodeau</w:t>
      </w:r>
      <w:proofErr w:type="spellEnd"/>
      <w:r w:rsidRPr="00156B04">
        <w:rPr>
          <w:rFonts w:cs="Times New Roman"/>
        </w:rPr>
        <w:t xml:space="preserve">, at para. 60). Thus, I do not foreclose the possibility that a proceeding that occurs outside a court of law may, if it shares the characteristics of a judicial proceeding, also fall within the ambit of an “action” for the purposes of Article 29. </w:t>
      </w:r>
    </w:p>
    <w:p w14:paraId="315258F4" w14:textId="77777777" w:rsidR="00156B04" w:rsidRPr="00156B04" w:rsidRDefault="00156B04" w:rsidP="00156B04">
      <w:pPr>
        <w:pStyle w:val="ParaNoNdepar-AltN"/>
        <w:rPr>
          <w:rFonts w:cs="Times New Roman"/>
        </w:rPr>
      </w:pPr>
      <w:bookmarkStart w:id="22" w:name="_Hlk171515672"/>
      <w:r w:rsidRPr="00156B04">
        <w:rPr>
          <w:rFonts w:cs="Times New Roman"/>
          <w:i/>
        </w:rPr>
        <w:t>Black’s Law Dictionary</w:t>
      </w:r>
      <w:r w:rsidRPr="00156B04">
        <w:rPr>
          <w:rFonts w:cs="Times New Roman"/>
        </w:rPr>
        <w:t xml:space="preserve"> defines “damages” as “[m]</w:t>
      </w:r>
      <w:proofErr w:type="spellStart"/>
      <w:r w:rsidRPr="00156B04">
        <w:rPr>
          <w:rFonts w:cs="Times New Roman"/>
        </w:rPr>
        <w:t>oney</w:t>
      </w:r>
      <w:proofErr w:type="spellEnd"/>
      <w:r w:rsidRPr="00156B04">
        <w:rPr>
          <w:rFonts w:cs="Times New Roman"/>
        </w:rPr>
        <w:t xml:space="preserve"> claimed by, or ordered to be paid to, a person as compensation for loss or injury” or as “the sum of money which a person wronged is entitled to receive from the wrongdoer as compensation for the wrong” (p. 488, citing F. Gahan, </w:t>
      </w:r>
      <w:r w:rsidRPr="00156B04">
        <w:rPr>
          <w:rFonts w:cs="Times New Roman"/>
          <w:i/>
        </w:rPr>
        <w:t>The Law of Damages</w:t>
      </w:r>
      <w:r w:rsidRPr="00156B04">
        <w:rPr>
          <w:rFonts w:cs="Times New Roman"/>
        </w:rPr>
        <w:t xml:space="preserve"> (1936), at p. 1). Barron’s defines “damages” as “[m]</w:t>
      </w:r>
      <w:proofErr w:type="spellStart"/>
      <w:r w:rsidRPr="00156B04">
        <w:rPr>
          <w:rFonts w:cs="Times New Roman"/>
        </w:rPr>
        <w:t>onetary</w:t>
      </w:r>
      <w:proofErr w:type="spellEnd"/>
      <w:r w:rsidRPr="00156B04">
        <w:rPr>
          <w:rFonts w:cs="Times New Roman"/>
        </w:rPr>
        <w:t xml:space="preserve"> compensation the law awards to one who has suffered damage, loss, or injury by the wrong of another</w:t>
      </w:r>
      <w:bookmarkStart w:id="23" w:name="_Hlk170823351"/>
      <w:r w:rsidRPr="00156B04">
        <w:rPr>
          <w:rFonts w:cs="Times New Roman"/>
        </w:rPr>
        <w:t>” (p. 89). In the aviation context, tort actions provide for damages so as to “compensate the plaintiff for his injury” by giving “the plaintiff ‘the equivalent in money for the actual loss caused by the wrong of another’” and in so doing attempt to “make the plaintiff whole</w:t>
      </w:r>
      <w:bookmarkEnd w:id="23"/>
      <w:r w:rsidRPr="00156B04">
        <w:rPr>
          <w:rFonts w:cs="Times New Roman"/>
        </w:rPr>
        <w:t xml:space="preserve">” (P. S. Dempsey, </w:t>
      </w:r>
      <w:r w:rsidRPr="00156B04">
        <w:rPr>
          <w:rFonts w:cs="Times New Roman"/>
          <w:i/>
        </w:rPr>
        <w:t>Aviation Liability Law</w:t>
      </w:r>
      <w:r w:rsidRPr="00156B04">
        <w:rPr>
          <w:rFonts w:cs="Times New Roman"/>
        </w:rPr>
        <w:t xml:space="preserve"> (2nd ed. 2013), at p. 705, quoting </w:t>
      </w:r>
      <w:r w:rsidRPr="00156B04">
        <w:rPr>
          <w:rFonts w:cs="Times New Roman"/>
          <w:i/>
        </w:rPr>
        <w:t>Sullivan v. Old Colony St. Ry. Co.</w:t>
      </w:r>
      <w:r w:rsidRPr="00156B04">
        <w:rPr>
          <w:rFonts w:cs="Times New Roman"/>
        </w:rPr>
        <w:t xml:space="preserve">, 83 N.E. 1091 (Mass. 1908), at p. 1092).  </w:t>
      </w:r>
    </w:p>
    <w:p w14:paraId="3F2B537F" w14:textId="77777777" w:rsidR="00156B04" w:rsidRPr="00156B04" w:rsidRDefault="00156B04" w:rsidP="00156B04">
      <w:pPr>
        <w:pStyle w:val="ParaNoNdepar-AltN"/>
        <w:rPr>
          <w:rFonts w:cs="Times New Roman"/>
        </w:rPr>
      </w:pPr>
      <w:bookmarkStart w:id="24" w:name="_Hlk171512454"/>
      <w:bookmarkEnd w:id="22"/>
      <w:r w:rsidRPr="00156B04">
        <w:rPr>
          <w:rFonts w:cs="Times New Roman"/>
        </w:rPr>
        <w:t xml:space="preserve">The “ordinary meaning” of an “action for damages” thus points towards an action that shares the characteristics of a judicial proceeding and that seeks </w:t>
      </w:r>
      <w:bookmarkStart w:id="25" w:name="_Hlk170826609"/>
      <w:r w:rsidRPr="00156B04">
        <w:rPr>
          <w:rFonts w:cs="Times New Roman"/>
        </w:rPr>
        <w:t>individualized compensation that is tied to an injury caused by another</w:t>
      </w:r>
      <w:bookmarkEnd w:id="25"/>
      <w:r w:rsidRPr="00156B04">
        <w:rPr>
          <w:rFonts w:cs="Times New Roman"/>
        </w:rPr>
        <w:t xml:space="preserve">. Damages awards are “individualized” in that they seek to compensate the plaintiff for the loss suffered as a result of an injury caused by another. </w:t>
      </w:r>
      <w:bookmarkStart w:id="26" w:name="_Hlk171585783"/>
      <w:r w:rsidRPr="00156B04">
        <w:rPr>
          <w:rFonts w:cs="Times New Roman"/>
        </w:rPr>
        <w:t xml:space="preserve">An action for damages is distinct from standardized compensation which, as I explain below, may be owed identically to all claimants irrespective of the harm (if any) they have suffered. </w:t>
      </w:r>
      <w:bookmarkEnd w:id="26"/>
      <w:r w:rsidRPr="00156B04">
        <w:rPr>
          <w:rFonts w:cs="Times New Roman"/>
        </w:rPr>
        <w:t xml:space="preserve">However, Article 29 cannot be understood in isolation from the broader context of the </w:t>
      </w:r>
      <w:r w:rsidRPr="00156B04">
        <w:rPr>
          <w:rFonts w:cs="Times New Roman"/>
          <w:i/>
        </w:rPr>
        <w:t>Montreal Convention</w:t>
      </w:r>
      <w:r w:rsidRPr="00156B04">
        <w:rPr>
          <w:rFonts w:cs="Times New Roman"/>
        </w:rPr>
        <w:t xml:space="preserve">. </w:t>
      </w:r>
    </w:p>
    <w:bookmarkEnd w:id="24"/>
    <w:p w14:paraId="7C2EF438" w14:textId="77777777" w:rsidR="00156B04" w:rsidRPr="00156B04" w:rsidRDefault="00156B04" w:rsidP="00156B04">
      <w:pPr>
        <w:pStyle w:val="ParaNoNdepar-AltN"/>
        <w:rPr>
          <w:rFonts w:cs="Times New Roman"/>
        </w:rPr>
      </w:pPr>
      <w:r w:rsidRPr="00156B04">
        <w:rPr>
          <w:rFonts w:cs="Times New Roman"/>
        </w:rPr>
        <w:t>A</w:t>
      </w:r>
      <w:bookmarkStart w:id="27" w:name="_Hlk172793919"/>
      <w:r w:rsidRPr="00156B04">
        <w:rPr>
          <w:rFonts w:cs="Times New Roman"/>
        </w:rPr>
        <w:t xml:space="preserve">rticle 19 focuses on liability for “damage occasioned by delay”, indicating a causal relationship between the carrier’s actions and the resulting loss or injury to a passenger for which compensation is sought. </w:t>
      </w:r>
      <w:bookmarkEnd w:id="27"/>
      <w:r w:rsidRPr="00156B04">
        <w:rPr>
          <w:rFonts w:cs="Times New Roman"/>
        </w:rPr>
        <w:t xml:space="preserve">It also enables carriers to avoid liability by showing that they “took all measures that could reasonably be required to avoid the damage”, suggesting that the </w:t>
      </w:r>
      <w:r w:rsidRPr="00156B04">
        <w:rPr>
          <w:rFonts w:cs="Times New Roman"/>
          <w:i/>
        </w:rPr>
        <w:t>Montreal Convention</w:t>
      </w:r>
      <w:r w:rsidRPr="00156B04">
        <w:rPr>
          <w:rFonts w:cs="Times New Roman"/>
        </w:rPr>
        <w:t xml:space="preserve"> envisages defences related to due diligence akin to those that can be invoked in a court of law. Article 20 similarly enables a carrier to avoid liability by showing contributory negligence by the person claiming compensation. </w:t>
      </w:r>
    </w:p>
    <w:p w14:paraId="305BF451" w14:textId="77777777" w:rsidR="00156B04" w:rsidRPr="00156B04" w:rsidRDefault="00156B04" w:rsidP="00156B04">
      <w:pPr>
        <w:pStyle w:val="ParaNoNdepar-AltN"/>
        <w:rPr>
          <w:rFonts w:cs="Times New Roman"/>
        </w:rPr>
      </w:pPr>
      <w:r w:rsidRPr="00156B04">
        <w:rPr>
          <w:rFonts w:cs="Times New Roman"/>
        </w:rPr>
        <w:t xml:space="preserve">Article 22(6) addresses the compensation limits prescribed in Article 21 in a manner that assumes the existence of an action with the characteristics of a judicial proceeding, noting that the limit “shall not prevent </w:t>
      </w:r>
      <w:r w:rsidRPr="00156B04">
        <w:rPr>
          <w:rFonts w:cs="Times New Roman"/>
          <w:u w:val="single"/>
        </w:rPr>
        <w:t>the court</w:t>
      </w:r>
      <w:r w:rsidRPr="00156B04">
        <w:rPr>
          <w:rFonts w:cs="Times New Roman"/>
        </w:rPr>
        <w:t xml:space="preserve"> from </w:t>
      </w:r>
      <w:proofErr w:type="gramStart"/>
      <w:r w:rsidRPr="00156B04">
        <w:rPr>
          <w:rFonts w:cs="Times New Roman"/>
        </w:rPr>
        <w:t>awarding .</w:t>
      </w:r>
      <w:proofErr w:type="gramEnd"/>
      <w:r w:rsidRPr="00156B04">
        <w:rPr>
          <w:rFonts w:cs="Times New Roman"/>
        </w:rPr>
        <w:t xml:space="preserve"> . . the whole or part of the court costs and of the other expenses of the litigation incurred by the plaintiff”. Article 29 refers to individuals “who have the right to bring suit”. In framing the exclusivity principle, Article 29 also refers to claims in tort and contract, and the concept of punitive damages, underscoring the link between the limitation of liability and causes of action that can be pursued in courts of law. Article 33(1) states that “[a]n action for damages must be </w:t>
      </w:r>
      <w:proofErr w:type="gramStart"/>
      <w:r w:rsidRPr="00156B04">
        <w:rPr>
          <w:rFonts w:cs="Times New Roman"/>
        </w:rPr>
        <w:t>brought .</w:t>
      </w:r>
      <w:proofErr w:type="gramEnd"/>
      <w:r w:rsidRPr="00156B04">
        <w:rPr>
          <w:rFonts w:cs="Times New Roman"/>
        </w:rPr>
        <w:t xml:space="preserve"> . . </w:t>
      </w:r>
      <w:r w:rsidRPr="00156B04">
        <w:rPr>
          <w:rFonts w:cs="Times New Roman"/>
          <w:u w:val="single"/>
        </w:rPr>
        <w:t>before the court</w:t>
      </w:r>
      <w:r w:rsidRPr="00156B04">
        <w:rPr>
          <w:rFonts w:cs="Times New Roman"/>
          <w:i/>
        </w:rPr>
        <w:t xml:space="preserve"> </w:t>
      </w:r>
      <w:r w:rsidRPr="00156B04">
        <w:rPr>
          <w:rFonts w:cs="Times New Roman"/>
        </w:rPr>
        <w:t xml:space="preserve">of the domicile of the carrier . . . or </w:t>
      </w:r>
      <w:r w:rsidRPr="00156B04">
        <w:rPr>
          <w:rFonts w:cs="Times New Roman"/>
          <w:u w:val="single"/>
        </w:rPr>
        <w:t>before the court</w:t>
      </w:r>
      <w:r w:rsidRPr="00156B04">
        <w:rPr>
          <w:rFonts w:cs="Times New Roman"/>
          <w:i/>
        </w:rPr>
        <w:t xml:space="preserve"> </w:t>
      </w:r>
      <w:r w:rsidRPr="00156B04">
        <w:rPr>
          <w:rFonts w:cs="Times New Roman"/>
        </w:rPr>
        <w:t>at the place of destination”. Article 35(2), which addresses limitation periods, refers to the “</w:t>
      </w:r>
      <w:r w:rsidRPr="00156B04">
        <w:rPr>
          <w:rFonts w:cs="Times New Roman"/>
          <w:u w:val="single"/>
        </w:rPr>
        <w:t>law of the court</w:t>
      </w:r>
      <w:r w:rsidRPr="00156B04">
        <w:rPr>
          <w:rFonts w:cs="Times New Roman"/>
        </w:rPr>
        <w:t xml:space="preserve"> </w:t>
      </w:r>
      <w:proofErr w:type="spellStart"/>
      <w:r w:rsidRPr="00156B04">
        <w:rPr>
          <w:rFonts w:cs="Times New Roman"/>
        </w:rPr>
        <w:t>seised</w:t>
      </w:r>
      <w:proofErr w:type="spellEnd"/>
      <w:r w:rsidRPr="00156B04">
        <w:rPr>
          <w:rFonts w:cs="Times New Roman"/>
        </w:rPr>
        <w:t xml:space="preserve"> of the case”. </w:t>
      </w:r>
    </w:p>
    <w:p w14:paraId="52B89786" w14:textId="77777777" w:rsidR="00156B04" w:rsidRPr="00156B04" w:rsidRDefault="00156B04" w:rsidP="00156B04">
      <w:pPr>
        <w:pStyle w:val="ParaNoNdepar-AltN"/>
        <w:rPr>
          <w:rFonts w:cs="Times New Roman"/>
        </w:rPr>
      </w:pPr>
      <w:r w:rsidRPr="00156B04">
        <w:rPr>
          <w:rFonts w:cs="Times New Roman"/>
        </w:rPr>
        <w:t xml:space="preserve">The context in which Article 29 must be read thus supports an understanding of the words “action” and “damages” consonant with their “ordinary meaning” under Canadian law. </w:t>
      </w:r>
      <w:bookmarkStart w:id="28" w:name="_Hlk172794905"/>
      <w:r w:rsidRPr="00156B04">
        <w:rPr>
          <w:rFonts w:cs="Times New Roman"/>
        </w:rPr>
        <w:t xml:space="preserve">The relevant articles are framed in a way that plainly envisages actions which share the characteristics of judicial proceedings in a court of law. These elements of the </w:t>
      </w:r>
      <w:r w:rsidRPr="00156B04">
        <w:rPr>
          <w:rFonts w:cs="Times New Roman"/>
          <w:i/>
        </w:rPr>
        <w:t xml:space="preserve">Montreal Convention </w:t>
      </w:r>
      <w:r w:rsidRPr="00156B04">
        <w:rPr>
          <w:rFonts w:cs="Times New Roman"/>
        </w:rPr>
        <w:t xml:space="preserve">take aim at individualized damages that a passenger must show were “sustained” or “occasioned” as a result of the conduct of a carrier, and the defences a carrier can invoke to exonerate itself. </w:t>
      </w:r>
      <w:bookmarkEnd w:id="28"/>
    </w:p>
    <w:p w14:paraId="0E99D031" w14:textId="77777777" w:rsidR="00156B04" w:rsidRPr="00156B04" w:rsidRDefault="00156B04" w:rsidP="00156B04">
      <w:pPr>
        <w:pStyle w:val="Title3LevelTitre3Niveau"/>
        <w:rPr>
          <w:rFonts w:cs="Times New Roman"/>
        </w:rPr>
      </w:pPr>
      <w:bookmarkStart w:id="29" w:name="_Toc168491261"/>
      <w:r w:rsidRPr="00156B04">
        <w:rPr>
          <w:rFonts w:cs="Times New Roman"/>
        </w:rPr>
        <w:t xml:space="preserve">The Object and Purpose of the </w:t>
      </w:r>
      <w:r w:rsidRPr="00156B04">
        <w:rPr>
          <w:rFonts w:cs="Times New Roman"/>
          <w:i/>
        </w:rPr>
        <w:t>Montreal Convention</w:t>
      </w:r>
      <w:bookmarkEnd w:id="29"/>
    </w:p>
    <w:p w14:paraId="3DD4997B" w14:textId="77777777" w:rsidR="00156B04" w:rsidRPr="00156B04" w:rsidRDefault="00156B04" w:rsidP="00156B04">
      <w:pPr>
        <w:pStyle w:val="ParaNoNdepar-AltN"/>
        <w:rPr>
          <w:rFonts w:cs="Times New Roman"/>
        </w:rPr>
      </w:pPr>
      <w:r w:rsidRPr="00156B04">
        <w:rPr>
          <w:rFonts w:cs="Times New Roman"/>
        </w:rPr>
        <w:t xml:space="preserve">The object and purpose of the </w:t>
      </w:r>
      <w:r w:rsidRPr="00156B04">
        <w:rPr>
          <w:rFonts w:cs="Times New Roman"/>
          <w:i/>
        </w:rPr>
        <w:t>Montreal Convention</w:t>
      </w:r>
      <w:r w:rsidRPr="00156B04">
        <w:rPr>
          <w:rFonts w:cs="Times New Roman"/>
        </w:rPr>
        <w:t xml:space="preserve">, including the history of its development, support the above conclusion. This Court in </w:t>
      </w:r>
      <w:proofErr w:type="spellStart"/>
      <w:r w:rsidRPr="00156B04">
        <w:rPr>
          <w:rFonts w:cs="Times New Roman"/>
          <w:i/>
        </w:rPr>
        <w:t>Thibodeau</w:t>
      </w:r>
      <w:proofErr w:type="spellEnd"/>
      <w:r w:rsidRPr="00156B04">
        <w:rPr>
          <w:rFonts w:cs="Times New Roman"/>
        </w:rPr>
        <w:t xml:space="preserve"> considered the history of the </w:t>
      </w:r>
      <w:r w:rsidRPr="00156B04">
        <w:rPr>
          <w:rFonts w:cs="Times New Roman"/>
          <w:i/>
        </w:rPr>
        <w:t>Montreal Convention</w:t>
      </w:r>
      <w:r w:rsidRPr="00156B04">
        <w:rPr>
          <w:rFonts w:cs="Times New Roman"/>
        </w:rPr>
        <w:t xml:space="preserve">, and how that history informs our understanding of its purpose: </w:t>
      </w:r>
    </w:p>
    <w:p w14:paraId="2010C792" w14:textId="77777777" w:rsidR="00156B04" w:rsidRPr="00156B04" w:rsidRDefault="00156B04" w:rsidP="00156B04">
      <w:pPr>
        <w:pStyle w:val="Citation-AltC"/>
        <w:ind w:firstLine="274"/>
      </w:pPr>
      <w:r w:rsidRPr="00156B04">
        <w:t xml:space="preserve">The </w:t>
      </w:r>
      <w:r w:rsidRPr="00156B04">
        <w:rPr>
          <w:i/>
        </w:rPr>
        <w:t>Warsaw Convention</w:t>
      </w:r>
      <w:r w:rsidRPr="00156B04">
        <w:t xml:space="preserve"> (and therefore its successor the </w:t>
      </w:r>
      <w:r w:rsidRPr="00156B04">
        <w:rPr>
          <w:i/>
        </w:rPr>
        <w:t>Montreal Convention</w:t>
      </w:r>
      <w:r w:rsidRPr="00156B04">
        <w:t>) had three main purposes: to create uniform rules governing claims arising from international air transportation; to protect the international air carriage industry by limiting carrier liability; and to balance that protective goal with the interests of passengers and others seeking recovery. [para. 41]</w:t>
      </w:r>
    </w:p>
    <w:p w14:paraId="3EC4F53F" w14:textId="77777777" w:rsidR="00156B04" w:rsidRPr="00156B04" w:rsidRDefault="00156B04" w:rsidP="00156B04">
      <w:pPr>
        <w:pStyle w:val="ParaNoNdepar-AltN"/>
        <w:rPr>
          <w:rFonts w:cs="Times New Roman"/>
        </w:rPr>
      </w:pPr>
      <w:r w:rsidRPr="00156B04">
        <w:rPr>
          <w:rFonts w:cs="Times New Roman"/>
        </w:rPr>
        <w:t xml:space="preserve">Limitations on carrier liability were balanced against “a reversal of the burden of proof in [passengers’ and shippers’] favour such that, </w:t>
      </w:r>
      <w:r w:rsidRPr="00156B04">
        <w:rPr>
          <w:rFonts w:cs="Times New Roman"/>
          <w:u w:val="single"/>
        </w:rPr>
        <w:t>on proof of damage</w:t>
      </w:r>
      <w:r w:rsidRPr="00156B04">
        <w:rPr>
          <w:rFonts w:cs="Times New Roman"/>
        </w:rPr>
        <w:t>, fault on the part of the carrier would be presumed” (</w:t>
      </w:r>
      <w:proofErr w:type="spellStart"/>
      <w:r w:rsidRPr="00156B04">
        <w:rPr>
          <w:rFonts w:cs="Times New Roman"/>
          <w:i/>
        </w:rPr>
        <w:t>Thibodeau</w:t>
      </w:r>
      <w:proofErr w:type="spellEnd"/>
      <w:r w:rsidRPr="00156B04">
        <w:rPr>
          <w:rFonts w:cs="Times New Roman"/>
        </w:rPr>
        <w:t>, at para. 42</w:t>
      </w:r>
      <w:r w:rsidRPr="00156B04">
        <w:rPr>
          <w:rFonts w:cs="Times New Roman"/>
          <w:i/>
        </w:rPr>
        <w:t xml:space="preserve"> </w:t>
      </w:r>
      <w:r w:rsidRPr="00156B04">
        <w:rPr>
          <w:rFonts w:cs="Times New Roman"/>
        </w:rPr>
        <w:t xml:space="preserve">(emphasis added)). </w:t>
      </w:r>
    </w:p>
    <w:p w14:paraId="2501371F" w14:textId="77777777" w:rsidR="00156B04" w:rsidRPr="00156B04" w:rsidRDefault="00156B04" w:rsidP="00156B04">
      <w:pPr>
        <w:pStyle w:val="ParaNoNdepar-AltN"/>
        <w:rPr>
          <w:rFonts w:cs="Times New Roman"/>
        </w:rPr>
      </w:pPr>
      <w:r w:rsidRPr="00156B04">
        <w:rPr>
          <w:rFonts w:cs="Times New Roman"/>
        </w:rPr>
        <w:t xml:space="preserve">In </w:t>
      </w:r>
      <w:proofErr w:type="spellStart"/>
      <w:r w:rsidRPr="00156B04">
        <w:rPr>
          <w:rFonts w:cs="Times New Roman"/>
          <w:i/>
        </w:rPr>
        <w:t>Thibodeau</w:t>
      </w:r>
      <w:proofErr w:type="spellEnd"/>
      <w:r w:rsidRPr="00156B04">
        <w:rPr>
          <w:rFonts w:cs="Times New Roman"/>
        </w:rPr>
        <w:t xml:space="preserve">, Justice </w:t>
      </w:r>
      <w:proofErr w:type="spellStart"/>
      <w:r w:rsidRPr="00156B04">
        <w:rPr>
          <w:rFonts w:cs="Times New Roman"/>
        </w:rPr>
        <w:t>Abella</w:t>
      </w:r>
      <w:proofErr w:type="spellEnd"/>
      <w:r w:rsidRPr="00156B04">
        <w:rPr>
          <w:rFonts w:cs="Times New Roman"/>
        </w:rPr>
        <w:t xml:space="preserve">, dissenting on another point, expanded in her reasons on the history and purpose of the </w:t>
      </w:r>
      <w:r w:rsidRPr="00156B04">
        <w:rPr>
          <w:rFonts w:cs="Times New Roman"/>
          <w:i/>
        </w:rPr>
        <w:t>Montreal Convention</w:t>
      </w:r>
      <w:r w:rsidRPr="00156B04">
        <w:rPr>
          <w:rFonts w:cs="Times New Roman"/>
        </w:rPr>
        <w:t>, as received from its predecessor:</w:t>
      </w:r>
    </w:p>
    <w:p w14:paraId="3AAC73CF" w14:textId="77777777" w:rsidR="00156B04" w:rsidRPr="00156B04" w:rsidRDefault="00156B04" w:rsidP="00156B04">
      <w:pPr>
        <w:pStyle w:val="Citation-AltC"/>
      </w:pPr>
      <w:r w:rsidRPr="00156B04">
        <w:tab/>
        <w:t xml:space="preserve">The predecessor </w:t>
      </w:r>
      <w:r w:rsidRPr="00156B04">
        <w:rPr>
          <w:i/>
          <w:iCs/>
        </w:rPr>
        <w:t>Warsaw Convention</w:t>
      </w:r>
      <w:r w:rsidRPr="00156B04">
        <w:t xml:space="preserve"> came into being in 1929 to assist the fledgling airline industry take flight. At that time, aviation technology was in its initial stages. Accidents were common, and many pilots and passengers were injured or died as a result. . . .</w:t>
      </w:r>
    </w:p>
    <w:p w14:paraId="04E393FC" w14:textId="77777777" w:rsidR="00156B04" w:rsidRPr="00156B04" w:rsidRDefault="00156B04" w:rsidP="00156B04">
      <w:pPr>
        <w:pStyle w:val="Citation-AltC"/>
      </w:pPr>
    </w:p>
    <w:p w14:paraId="29B0DE79" w14:textId="77777777" w:rsidR="00156B04" w:rsidRPr="00156B04" w:rsidRDefault="00156B04" w:rsidP="00156B04">
      <w:pPr>
        <w:pStyle w:val="Citation-AltC"/>
      </w:pPr>
      <w:r w:rsidRPr="00156B04">
        <w:tab/>
        <w:t>Airlines responded by requiring passengers to sign waivers relieving carriers of any and all liability in the event of an injury. When accidents happened, those passengers were left with no remedy for their injuries or losses.</w:t>
      </w:r>
    </w:p>
    <w:p w14:paraId="01539D14" w14:textId="77777777" w:rsidR="00156B04" w:rsidRPr="00156B04" w:rsidRDefault="00156B04" w:rsidP="00156B04">
      <w:pPr>
        <w:pStyle w:val="Citation-AltC"/>
      </w:pPr>
    </w:p>
    <w:p w14:paraId="7FBDC8ED" w14:textId="77777777" w:rsidR="00156B04" w:rsidRPr="00156B04" w:rsidRDefault="00156B04" w:rsidP="00156B04">
      <w:pPr>
        <w:pStyle w:val="Citation-AltC"/>
      </w:pPr>
      <w:r w:rsidRPr="00156B04">
        <w:tab/>
        <w:t xml:space="preserve">The </w:t>
      </w:r>
      <w:r w:rsidRPr="00156B04">
        <w:rPr>
          <w:i/>
        </w:rPr>
        <w:t>Warsaw Convention</w:t>
      </w:r>
      <w:r w:rsidRPr="00156B04">
        <w:t xml:space="preserve"> attempted a protective reconciliation for both airlines and passengers. Airlines would benefit from the introduction of a uniform scheme of limited liability to protect against the financial risks and uncertainty posed by accidents, passengers would benefit from access to predetermined amounts of limited compensation for death or injury — about </w:t>
      </w:r>
      <w:proofErr w:type="spellStart"/>
      <w:r w:rsidRPr="00156B04">
        <w:t>US$8,300</w:t>
      </w:r>
      <w:proofErr w:type="spellEnd"/>
      <w:r w:rsidRPr="00156B04">
        <w:t xml:space="preserve"> per passenger — and a prohibition on airlines requiring passengers to waive all liability . . . . [</w:t>
      </w:r>
      <w:proofErr w:type="gramStart"/>
      <w:r w:rsidRPr="00156B04">
        <w:t>paras</w:t>
      </w:r>
      <w:proofErr w:type="gramEnd"/>
      <w:r w:rsidRPr="00156B04">
        <w:t>. 151-53]</w:t>
      </w:r>
    </w:p>
    <w:p w14:paraId="2ED222F0" w14:textId="77777777" w:rsidR="00156B04" w:rsidRPr="00156B04" w:rsidRDefault="00156B04" w:rsidP="00156B04">
      <w:pPr>
        <w:pStyle w:val="ContinueParaSuitedupar-AltP"/>
        <w:rPr>
          <w:rFonts w:cs="Times New Roman"/>
        </w:rPr>
      </w:pPr>
      <w:r w:rsidRPr="00156B04">
        <w:rPr>
          <w:rFonts w:cs="Times New Roman"/>
        </w:rPr>
        <w:t xml:space="preserve">As Justice </w:t>
      </w:r>
      <w:proofErr w:type="spellStart"/>
      <w:r w:rsidRPr="00156B04">
        <w:rPr>
          <w:rFonts w:cs="Times New Roman"/>
        </w:rPr>
        <w:t>Abella</w:t>
      </w:r>
      <w:proofErr w:type="spellEnd"/>
      <w:r w:rsidRPr="00156B04">
        <w:rPr>
          <w:rFonts w:cs="Times New Roman"/>
        </w:rPr>
        <w:t xml:space="preserve"> explained, growing recognition that liability limitations set by the </w:t>
      </w:r>
      <w:r w:rsidRPr="00156B04">
        <w:rPr>
          <w:rFonts w:cs="Times New Roman"/>
          <w:i/>
        </w:rPr>
        <w:t xml:space="preserve">Warsaw Convention </w:t>
      </w:r>
      <w:r w:rsidRPr="00156B04">
        <w:rPr>
          <w:rFonts w:cs="Times New Roman"/>
        </w:rPr>
        <w:t>were too low and a broader shift in the attention of governments towards a more passenger-friendly legal regime resulted in</w:t>
      </w:r>
      <w:r w:rsidRPr="00156B04">
        <w:rPr>
          <w:rFonts w:cs="Times New Roman"/>
          <w:b/>
        </w:rPr>
        <w:t xml:space="preserve"> </w:t>
      </w:r>
      <w:r w:rsidRPr="00156B04">
        <w:rPr>
          <w:rFonts w:cs="Times New Roman"/>
        </w:rPr>
        <w:t xml:space="preserve">patchwork efforts to expand carrier liability. This led to efforts to update the </w:t>
      </w:r>
      <w:r w:rsidRPr="00156B04">
        <w:rPr>
          <w:rFonts w:cs="Times New Roman"/>
          <w:i/>
        </w:rPr>
        <w:t>Warsaw Convention</w:t>
      </w:r>
      <w:r w:rsidRPr="00156B04">
        <w:rPr>
          <w:rFonts w:cs="Times New Roman"/>
        </w:rPr>
        <w:t xml:space="preserve">, culminating in the </w:t>
      </w:r>
      <w:r w:rsidRPr="00156B04">
        <w:rPr>
          <w:rFonts w:cs="Times New Roman"/>
          <w:i/>
        </w:rPr>
        <w:t xml:space="preserve">Montreal Convention </w:t>
      </w:r>
      <w:r w:rsidRPr="00156B04">
        <w:rPr>
          <w:rFonts w:cs="Times New Roman"/>
        </w:rPr>
        <w:t xml:space="preserve">of 1999. In comparison to the earlier agreement, </w:t>
      </w:r>
    </w:p>
    <w:p w14:paraId="4E931359" w14:textId="77777777" w:rsidR="00156B04" w:rsidRPr="00156B04" w:rsidRDefault="00156B04" w:rsidP="00156B04">
      <w:pPr>
        <w:pStyle w:val="Citation-AltC"/>
      </w:pPr>
      <w:proofErr w:type="gramStart"/>
      <w:r w:rsidRPr="00156B04">
        <w:t>the</w:t>
      </w:r>
      <w:proofErr w:type="gramEnd"/>
      <w:r w:rsidRPr="00156B04">
        <w:t xml:space="preserve"> state parties to the </w:t>
      </w:r>
      <w:r w:rsidRPr="00156B04">
        <w:rPr>
          <w:i/>
        </w:rPr>
        <w:t>Montreal Convention</w:t>
      </w:r>
      <w:r w:rsidRPr="00156B04">
        <w:t xml:space="preserve"> were more focused on the importance of “ensuring protection of the interests of consumers in international carriage by air and the need for equitable compensation based on the principle of restitution” (</w:t>
      </w:r>
      <w:r w:rsidRPr="00156B04">
        <w:rPr>
          <w:i/>
        </w:rPr>
        <w:t>Montreal Convention</w:t>
      </w:r>
      <w:r w:rsidRPr="00156B04">
        <w:t xml:space="preserve">, preamble; </w:t>
      </w:r>
      <w:r w:rsidRPr="00156B04">
        <w:rPr>
          <w:i/>
        </w:rPr>
        <w:t>Ehrlich v. American Airlines, Inc.</w:t>
      </w:r>
      <w:r w:rsidRPr="00156B04">
        <w:t xml:space="preserve">, 360 </w:t>
      </w:r>
      <w:proofErr w:type="spellStart"/>
      <w:r w:rsidRPr="00156B04">
        <w:t>F.3d</w:t>
      </w:r>
      <w:proofErr w:type="spellEnd"/>
      <w:r w:rsidRPr="00156B04">
        <w:t xml:space="preserve"> 366 (</w:t>
      </w:r>
      <w:proofErr w:type="spellStart"/>
      <w:r w:rsidRPr="00156B04">
        <w:t>2d</w:t>
      </w:r>
      <w:proofErr w:type="spellEnd"/>
      <w:r w:rsidRPr="00156B04">
        <w:t xml:space="preserve"> Cir. 2004), at p. 371 (fn. 4)).</w:t>
      </w:r>
    </w:p>
    <w:p w14:paraId="7B5A2614" w14:textId="77777777" w:rsidR="00156B04" w:rsidRPr="00156B04" w:rsidRDefault="00156B04" w:rsidP="00156B04">
      <w:pPr>
        <w:pStyle w:val="Citation-AltC"/>
      </w:pPr>
    </w:p>
    <w:p w14:paraId="4C73CAEC" w14:textId="77777777" w:rsidR="00156B04" w:rsidRPr="00156B04" w:rsidRDefault="00156B04" w:rsidP="00156B04">
      <w:pPr>
        <w:pStyle w:val="Citation-AltC"/>
      </w:pPr>
      <w:r w:rsidRPr="00156B04">
        <w:t>(</w:t>
      </w:r>
      <w:proofErr w:type="spellStart"/>
      <w:r w:rsidRPr="00156B04">
        <w:rPr>
          <w:i/>
        </w:rPr>
        <w:t>Thibodeau</w:t>
      </w:r>
      <w:proofErr w:type="spellEnd"/>
      <w:r w:rsidRPr="00156B04">
        <w:t>, at para. 159)</w:t>
      </w:r>
    </w:p>
    <w:p w14:paraId="113C8ABE" w14:textId="77777777" w:rsidR="00156B04" w:rsidRPr="00156B04" w:rsidRDefault="00156B04" w:rsidP="00156B04">
      <w:pPr>
        <w:pStyle w:val="ParaNoNdepar-AltN"/>
        <w:rPr>
          <w:rFonts w:cs="Times New Roman"/>
        </w:rPr>
      </w:pPr>
      <w:r w:rsidRPr="00156B04">
        <w:rPr>
          <w:rFonts w:cs="Times New Roman"/>
        </w:rPr>
        <w:t xml:space="preserve">From the foregoing, I draw two conclusions relevant to understanding the scope of Article 29. First, the textual focus of the </w:t>
      </w:r>
      <w:r w:rsidRPr="00156B04">
        <w:rPr>
          <w:rFonts w:cs="Times New Roman"/>
          <w:i/>
        </w:rPr>
        <w:t>Montreal Convention</w:t>
      </w:r>
      <w:r w:rsidRPr="00156B04">
        <w:rPr>
          <w:rFonts w:cs="Times New Roman"/>
        </w:rPr>
        <w:t xml:space="preserve"> on actions with the characteristics of judicial proceedings that seek to vindicate individualized claims for damages related to death or bodily injury, damage or loss of baggage and cargo, and for delay is consonant with the history of the </w:t>
      </w:r>
      <w:r w:rsidRPr="00156B04">
        <w:rPr>
          <w:rFonts w:cs="Times New Roman"/>
          <w:i/>
        </w:rPr>
        <w:t xml:space="preserve">Montreal Convention </w:t>
      </w:r>
      <w:r w:rsidRPr="00156B04">
        <w:rPr>
          <w:rFonts w:cs="Times New Roman"/>
        </w:rPr>
        <w:t xml:space="preserve">and predecessor agreements. Efforts over time to find a balance between limitations on carrier liability and the interests of passengers led the state parties and airline industry stakeholders to the approach set out in the </w:t>
      </w:r>
      <w:r w:rsidRPr="00156B04">
        <w:rPr>
          <w:rFonts w:cs="Times New Roman"/>
          <w:i/>
        </w:rPr>
        <w:t>Montreal Convention</w:t>
      </w:r>
      <w:r w:rsidRPr="00156B04">
        <w:rPr>
          <w:rFonts w:cs="Times New Roman"/>
        </w:rPr>
        <w:t xml:space="preserve">. Second, the state parties to the </w:t>
      </w:r>
      <w:r w:rsidRPr="00156B04">
        <w:rPr>
          <w:rFonts w:cs="Times New Roman"/>
          <w:i/>
        </w:rPr>
        <w:t xml:space="preserve">Montreal Convention </w:t>
      </w:r>
      <w:r w:rsidRPr="00156B04">
        <w:rPr>
          <w:rFonts w:cs="Times New Roman"/>
        </w:rPr>
        <w:t xml:space="preserve">framed the exclusivity principle so as to ensure that such claims could proceed only within the framework provided for therein. This ensured that the compromise struck in the </w:t>
      </w:r>
      <w:r w:rsidRPr="00156B04">
        <w:rPr>
          <w:rFonts w:cs="Times New Roman"/>
          <w:i/>
        </w:rPr>
        <w:t xml:space="preserve">Montreal Convention </w:t>
      </w:r>
      <w:r w:rsidRPr="00156B04">
        <w:rPr>
          <w:rFonts w:cs="Times New Roman"/>
        </w:rPr>
        <w:t xml:space="preserve">could not be undercut by recourse to actions for damages under local law. </w:t>
      </w:r>
    </w:p>
    <w:p w14:paraId="5AA347AE" w14:textId="77777777" w:rsidR="00156B04" w:rsidRPr="00156B04" w:rsidRDefault="00156B04" w:rsidP="00156B04">
      <w:pPr>
        <w:pStyle w:val="Title3LevelTitre3Niveau"/>
        <w:rPr>
          <w:rFonts w:cs="Times New Roman"/>
        </w:rPr>
      </w:pPr>
      <w:bookmarkStart w:id="30" w:name="_Toc168491262"/>
      <w:r w:rsidRPr="00156B04">
        <w:rPr>
          <w:rFonts w:cs="Times New Roman"/>
        </w:rPr>
        <w:t>Foreign Jurisprudence</w:t>
      </w:r>
      <w:bookmarkEnd w:id="30"/>
      <w:r w:rsidRPr="00156B04">
        <w:rPr>
          <w:rFonts w:cs="Times New Roman"/>
        </w:rPr>
        <w:t xml:space="preserve"> </w:t>
      </w:r>
    </w:p>
    <w:p w14:paraId="4501C1F1" w14:textId="77777777" w:rsidR="00156B04" w:rsidRPr="00156B04" w:rsidRDefault="00156B04" w:rsidP="00156B04">
      <w:pPr>
        <w:pStyle w:val="ParaNoNdepar-AltN"/>
        <w:rPr>
          <w:rFonts w:cs="Times New Roman"/>
        </w:rPr>
      </w:pPr>
      <w:r w:rsidRPr="00156B04">
        <w:rPr>
          <w:rFonts w:cs="Times New Roman"/>
        </w:rPr>
        <w:t xml:space="preserve">In light of the </w:t>
      </w:r>
      <w:r w:rsidRPr="00156B04">
        <w:rPr>
          <w:rFonts w:cs="Times New Roman"/>
          <w:i/>
        </w:rPr>
        <w:t>Montreal Convention</w:t>
      </w:r>
      <w:r w:rsidRPr="00156B04">
        <w:rPr>
          <w:rFonts w:cs="Times New Roman"/>
        </w:rPr>
        <w:t>’s objective of “achieving international uniformity, we should pay close attention to the international jurisprudence and be especially reluctant to depart from any strong international consensus that has developed in relation to its interpretation” (</w:t>
      </w:r>
      <w:proofErr w:type="spellStart"/>
      <w:r w:rsidRPr="00156B04">
        <w:rPr>
          <w:rFonts w:cs="Times New Roman"/>
          <w:i/>
        </w:rPr>
        <w:t>Thibodeau</w:t>
      </w:r>
      <w:proofErr w:type="spellEnd"/>
      <w:r w:rsidRPr="00156B04">
        <w:rPr>
          <w:rFonts w:cs="Times New Roman"/>
        </w:rPr>
        <w:t xml:space="preserve">, at para. 50). Having considered the text and context of the </w:t>
      </w:r>
      <w:r w:rsidRPr="00156B04">
        <w:rPr>
          <w:rFonts w:cs="Times New Roman"/>
          <w:i/>
        </w:rPr>
        <w:t xml:space="preserve">Montreal Convention </w:t>
      </w:r>
      <w:r w:rsidRPr="00156B04">
        <w:rPr>
          <w:rFonts w:cs="Times New Roman"/>
        </w:rPr>
        <w:t xml:space="preserve">along with its history and purpose, I turn now to the manner in which courts of other state parties have considered the </w:t>
      </w:r>
      <w:r w:rsidRPr="00156B04">
        <w:rPr>
          <w:rFonts w:cs="Times New Roman"/>
          <w:i/>
        </w:rPr>
        <w:t>Montreal Convention</w:t>
      </w:r>
      <w:r w:rsidRPr="00156B04">
        <w:rPr>
          <w:rFonts w:cs="Times New Roman"/>
        </w:rPr>
        <w:t xml:space="preserve">. </w:t>
      </w:r>
    </w:p>
    <w:p w14:paraId="6F7A0B52" w14:textId="77777777" w:rsidR="00156B04" w:rsidRPr="00156B04" w:rsidRDefault="00156B04" w:rsidP="00156B04">
      <w:pPr>
        <w:pStyle w:val="ParaNoNdepar-AltN"/>
        <w:rPr>
          <w:rFonts w:cs="Times New Roman"/>
        </w:rPr>
      </w:pPr>
      <w:r w:rsidRPr="00156B04">
        <w:rPr>
          <w:rFonts w:cs="Times New Roman"/>
        </w:rPr>
        <w:t>As noted in the reasons of the Federal Court of Appeal, the European Court of Justice (“</w:t>
      </w:r>
      <w:proofErr w:type="spellStart"/>
      <w:r w:rsidRPr="00156B04">
        <w:rPr>
          <w:rFonts w:cs="Times New Roman"/>
        </w:rPr>
        <w:t>ECJ</w:t>
      </w:r>
      <w:proofErr w:type="spellEnd"/>
      <w:r w:rsidRPr="00156B04">
        <w:rPr>
          <w:rFonts w:cs="Times New Roman"/>
        </w:rPr>
        <w:t xml:space="preserve">”) has considered the scope of Articles 19 and 29 in decisions addressing (and rejecting) challenges to the European Union’s standardized passenger compensation scheme on the basis that it conflicts with the </w:t>
      </w:r>
      <w:r w:rsidRPr="00156B04">
        <w:rPr>
          <w:rFonts w:cs="Times New Roman"/>
          <w:i/>
        </w:rPr>
        <w:t>Montreal Convention</w:t>
      </w:r>
      <w:r w:rsidRPr="00156B04">
        <w:rPr>
          <w:rFonts w:cs="Times New Roman"/>
        </w:rPr>
        <w:t xml:space="preserve">. </w:t>
      </w:r>
    </w:p>
    <w:p w14:paraId="381141A6" w14:textId="77777777" w:rsidR="00156B04" w:rsidRPr="00156B04" w:rsidRDefault="00156B04" w:rsidP="00156B04">
      <w:pPr>
        <w:pStyle w:val="ParaNoNdepar-AltN"/>
        <w:rPr>
          <w:rFonts w:cs="Times New Roman"/>
        </w:rPr>
      </w:pPr>
      <w:bookmarkStart w:id="31" w:name="_Hlk171515908"/>
      <w:r w:rsidRPr="00156B04">
        <w:rPr>
          <w:rFonts w:cs="Times New Roman"/>
        </w:rPr>
        <w:t xml:space="preserve">In the first such decision, </w:t>
      </w:r>
      <w:bookmarkStart w:id="32" w:name="_Hlk172794976"/>
      <w:r w:rsidRPr="00156B04">
        <w:rPr>
          <w:rFonts w:cs="Times New Roman"/>
        </w:rPr>
        <w:t xml:space="preserve">the </w:t>
      </w:r>
      <w:proofErr w:type="spellStart"/>
      <w:r w:rsidRPr="00156B04">
        <w:rPr>
          <w:rFonts w:cs="Times New Roman"/>
        </w:rPr>
        <w:t>ECJ</w:t>
      </w:r>
      <w:proofErr w:type="spellEnd"/>
      <w:r w:rsidRPr="00156B04">
        <w:rPr>
          <w:rFonts w:cs="Times New Roman"/>
        </w:rPr>
        <w:t xml:space="preserve"> characterized Article 19 as governing “individual” damage resulting from delay that is “inherent in the reason for travelling” </w:t>
      </w:r>
      <w:bookmarkEnd w:id="32"/>
      <w:r w:rsidRPr="00156B04">
        <w:rPr>
          <w:rFonts w:cs="Times New Roman"/>
        </w:rPr>
        <w:t xml:space="preserve">and which requires “a </w:t>
      </w:r>
      <w:bookmarkStart w:id="33" w:name="_Hlk170823431"/>
      <w:r w:rsidRPr="00156B04">
        <w:rPr>
          <w:rFonts w:cs="Times New Roman"/>
        </w:rPr>
        <w:t>case-by-case assessment of the extent of the damage caused</w:t>
      </w:r>
      <w:bookmarkEnd w:id="33"/>
      <w:r w:rsidRPr="00156B04">
        <w:rPr>
          <w:rFonts w:cs="Times New Roman"/>
        </w:rPr>
        <w:t xml:space="preserve">” so as to provide “compensation granted subsequently on an individual basis” </w:t>
      </w:r>
      <w:bookmarkEnd w:id="31"/>
      <w:r w:rsidRPr="00156B04">
        <w:rPr>
          <w:rFonts w:cs="Times New Roman"/>
        </w:rPr>
        <w:t>(</w:t>
      </w:r>
      <w:r w:rsidRPr="00156B04">
        <w:rPr>
          <w:rFonts w:cs="Times New Roman"/>
          <w:i/>
          <w:iCs/>
        </w:rPr>
        <w:t>International Air Transport Association v. Department for Transport</w:t>
      </w:r>
      <w:r w:rsidRPr="00156B04">
        <w:rPr>
          <w:rFonts w:cs="Times New Roman"/>
          <w:iCs/>
        </w:rPr>
        <w:t xml:space="preserve">, C-344/04, [2006] </w:t>
      </w:r>
      <w:proofErr w:type="spellStart"/>
      <w:r w:rsidRPr="00156B04">
        <w:rPr>
          <w:rFonts w:cs="Times New Roman"/>
          <w:iCs/>
        </w:rPr>
        <w:t>E.C.R</w:t>
      </w:r>
      <w:proofErr w:type="spellEnd"/>
      <w:r w:rsidRPr="00156B04">
        <w:rPr>
          <w:rFonts w:cs="Times New Roman"/>
          <w:iCs/>
        </w:rPr>
        <w:t xml:space="preserve">. I-403 (Grand Chamber), at paras. 43-44). The </w:t>
      </w:r>
      <w:proofErr w:type="spellStart"/>
      <w:r w:rsidRPr="00156B04">
        <w:rPr>
          <w:rFonts w:cs="Times New Roman"/>
          <w:iCs/>
        </w:rPr>
        <w:t>ECJ</w:t>
      </w:r>
      <w:proofErr w:type="spellEnd"/>
      <w:r w:rsidRPr="00156B04">
        <w:rPr>
          <w:rFonts w:cs="Times New Roman"/>
          <w:iCs/>
        </w:rPr>
        <w:t xml:space="preserve"> further noted that Article 19 and the other provisions in Chapter III “lay down the conditions under which any actions for damages against air carriers may be brought by passengers </w:t>
      </w:r>
      <w:r w:rsidRPr="00156B04">
        <w:rPr>
          <w:rFonts w:cs="Times New Roman"/>
          <w:iCs/>
          <w:u w:val="single"/>
        </w:rPr>
        <w:t>who invoke damage sustained because of delay</w:t>
      </w:r>
      <w:r w:rsidRPr="00156B04">
        <w:rPr>
          <w:rFonts w:cs="Times New Roman"/>
          <w:iCs/>
        </w:rPr>
        <w:t xml:space="preserve">” (para. 42 (emphasis added)). Determining the nature of the damage sustained by a given passenger as a result of a flight delay implicates a case-by-case analysis. This is distinct from a standardized approach: </w:t>
      </w:r>
    </w:p>
    <w:p w14:paraId="091056B3" w14:textId="77777777" w:rsidR="00156B04" w:rsidRPr="00156B04" w:rsidRDefault="00156B04" w:rsidP="00156B04">
      <w:pPr>
        <w:pStyle w:val="Citation-AltC"/>
        <w:ind w:firstLine="274"/>
      </w:pPr>
      <w:r w:rsidRPr="00156B04">
        <w:t xml:space="preserve">Any delay in the carriage of passengers by </w:t>
      </w:r>
      <w:proofErr w:type="gramStart"/>
      <w:r w:rsidRPr="00156B04">
        <w:t>air .</w:t>
      </w:r>
      <w:proofErr w:type="gramEnd"/>
      <w:r w:rsidRPr="00156B04">
        <w:t xml:space="preserve"> . . may, generally speaking, cause two types of damage. First, excessive delay will cause damage that is almost identical for every passenger. . . . Second, passengers are liable to suffer individual damage, inherent in the reason for travelling, redress for which requires a case-by-case assessment of the extent of the damage caused and can consequently only be the subject of compensation granted subsequently on an individual basis. </w:t>
      </w:r>
    </w:p>
    <w:p w14:paraId="52DAB8E3" w14:textId="77777777" w:rsidR="00156B04" w:rsidRPr="00156B04" w:rsidRDefault="00156B04" w:rsidP="00156B04">
      <w:pPr>
        <w:pStyle w:val="Citation-AltC"/>
      </w:pPr>
    </w:p>
    <w:p w14:paraId="2BF3CE95" w14:textId="77777777" w:rsidR="00156B04" w:rsidRPr="00156B04" w:rsidRDefault="00156B04" w:rsidP="00156B04">
      <w:pPr>
        <w:pStyle w:val="Citation-AltC"/>
        <w:ind w:firstLine="274"/>
      </w:pPr>
      <w:r w:rsidRPr="00156B04">
        <w:t xml:space="preserve">It is clear from Articles 19, 22 and 29 of the Montreal Convention that they merely govern the conditions under which, after a flight has been delayed, the passengers concerned may bring actions for damages by way of redress on an individual basis, that is to say for compensation, from the carriers liable for damage resulting from that delay. </w:t>
      </w:r>
    </w:p>
    <w:p w14:paraId="4348F61B" w14:textId="77777777" w:rsidR="00156B04" w:rsidRPr="00156B04" w:rsidRDefault="00156B04" w:rsidP="00156B04">
      <w:pPr>
        <w:pStyle w:val="Citation-AltC"/>
      </w:pPr>
    </w:p>
    <w:p w14:paraId="61164AB0" w14:textId="77777777" w:rsidR="00156B04" w:rsidRPr="00156B04" w:rsidRDefault="00156B04" w:rsidP="00156B04">
      <w:pPr>
        <w:pStyle w:val="Citation-AltC"/>
        <w:ind w:firstLine="274"/>
      </w:pPr>
      <w:r w:rsidRPr="00156B04">
        <w:t>It does not follow from these provisions, or from any other provision of the Montreal Convention, that the authors of the Convention intended to shield those carriers from any other form of intervention, in particular action which could be envisaged by the public authorities to redress, in a standardised and immediate manner, the damage that is constituted by the inconvenience that delay in the carriage of passengers by air causes, without the passengers having to suffer the inconvenience inherent in the bringing of actions for damages before the courts. [</w:t>
      </w:r>
      <w:proofErr w:type="gramStart"/>
      <w:r w:rsidRPr="00156B04">
        <w:t>paras</w:t>
      </w:r>
      <w:proofErr w:type="gramEnd"/>
      <w:r w:rsidRPr="00156B04">
        <w:t>. 43-45]</w:t>
      </w:r>
    </w:p>
    <w:p w14:paraId="2F3C3CD2" w14:textId="77777777" w:rsidR="00156B04" w:rsidRPr="00156B04" w:rsidRDefault="00156B04" w:rsidP="00156B04">
      <w:pPr>
        <w:pStyle w:val="ParaNoNdepar-AltN"/>
        <w:rPr>
          <w:rFonts w:cs="Times New Roman"/>
        </w:rPr>
      </w:pPr>
      <w:r w:rsidRPr="00156B04">
        <w:rPr>
          <w:rFonts w:cs="Times New Roman"/>
          <w:iCs/>
        </w:rPr>
        <w:t xml:space="preserve">The </w:t>
      </w:r>
      <w:proofErr w:type="spellStart"/>
      <w:r w:rsidRPr="00156B04">
        <w:rPr>
          <w:rFonts w:cs="Times New Roman"/>
          <w:iCs/>
        </w:rPr>
        <w:t>ECJ</w:t>
      </w:r>
      <w:proofErr w:type="spellEnd"/>
      <w:r w:rsidRPr="00156B04">
        <w:rPr>
          <w:rFonts w:cs="Times New Roman"/>
          <w:iCs/>
        </w:rPr>
        <w:t xml:space="preserve"> built on this decision in noting that </w:t>
      </w:r>
      <w:r w:rsidRPr="00156B04">
        <w:rPr>
          <w:rFonts w:cs="Times New Roman"/>
        </w:rPr>
        <w:t>compensation for the loss of time inherent in a delay that is “suffered identically by all passengers” falls outside the scope of Article 19 and is not subject to the exclusivity principle (</w:t>
      </w:r>
      <w:r w:rsidRPr="00156B04">
        <w:rPr>
          <w:rFonts w:cs="Times New Roman"/>
          <w:i/>
        </w:rPr>
        <w:t>Nelson v. Deutsche Lufthansa AG</w:t>
      </w:r>
      <w:r w:rsidRPr="00156B04">
        <w:rPr>
          <w:rFonts w:cs="Times New Roman"/>
        </w:rPr>
        <w:t xml:space="preserve">, C-581/10 and C-629/10, [2013] 1 </w:t>
      </w:r>
      <w:proofErr w:type="spellStart"/>
      <w:r w:rsidRPr="00156B04">
        <w:rPr>
          <w:rFonts w:cs="Times New Roman"/>
        </w:rPr>
        <w:t>C.M.L.R</w:t>
      </w:r>
      <w:proofErr w:type="spellEnd"/>
      <w:r w:rsidRPr="00156B04">
        <w:rPr>
          <w:rFonts w:cs="Times New Roman"/>
        </w:rPr>
        <w:t xml:space="preserve">. 42 (p. 1191), at paras. 49-56).  </w:t>
      </w:r>
    </w:p>
    <w:p w14:paraId="34F619EF" w14:textId="77777777" w:rsidR="00156B04" w:rsidRPr="00156B04" w:rsidRDefault="00156B04" w:rsidP="00156B04">
      <w:pPr>
        <w:pStyle w:val="ParaNoNdepar-AltN"/>
        <w:rPr>
          <w:rFonts w:cs="Times New Roman"/>
        </w:rPr>
      </w:pPr>
      <w:r w:rsidRPr="00156B04">
        <w:rPr>
          <w:rFonts w:eastAsia="Times New Roman" w:cs="Times New Roman"/>
        </w:rPr>
        <w:t xml:space="preserve">Courts in the United States have also considered the scope of the </w:t>
      </w:r>
      <w:r w:rsidRPr="00156B04">
        <w:rPr>
          <w:rFonts w:cs="Times New Roman"/>
          <w:i/>
        </w:rPr>
        <w:t xml:space="preserve">Montreal </w:t>
      </w:r>
      <w:r w:rsidRPr="00156B04">
        <w:rPr>
          <w:rFonts w:eastAsia="Times New Roman" w:cs="Times New Roman"/>
          <w:i/>
        </w:rPr>
        <w:t xml:space="preserve">Convention </w:t>
      </w:r>
      <w:r w:rsidRPr="00156B04">
        <w:rPr>
          <w:rFonts w:eastAsia="Times New Roman" w:cs="Times New Roman"/>
        </w:rPr>
        <w:t xml:space="preserve">and its predecessors. The United States Supreme Court, in an appeal addressing what was covered by the liability cap associated with “damage sustained” in international carriage, linked damages recoverable under the </w:t>
      </w:r>
      <w:r w:rsidRPr="00156B04">
        <w:rPr>
          <w:rFonts w:eastAsia="Times New Roman" w:cs="Times New Roman"/>
          <w:i/>
        </w:rPr>
        <w:t xml:space="preserve">Warsaw Convention </w:t>
      </w:r>
      <w:r w:rsidRPr="00156B04">
        <w:rPr>
          <w:rFonts w:eastAsia="Times New Roman" w:cs="Times New Roman"/>
        </w:rPr>
        <w:t xml:space="preserve">to </w:t>
      </w:r>
      <w:bookmarkStart w:id="34" w:name="_Hlk171517496"/>
      <w:r w:rsidRPr="00156B04">
        <w:rPr>
          <w:rFonts w:eastAsia="Times New Roman" w:cs="Times New Roman"/>
        </w:rPr>
        <w:t>“</w:t>
      </w:r>
      <w:bookmarkStart w:id="35" w:name="_Hlk170823464"/>
      <w:r w:rsidRPr="00156B04">
        <w:rPr>
          <w:rFonts w:eastAsia="Times New Roman" w:cs="Times New Roman"/>
        </w:rPr>
        <w:t>compensation for harm incurred</w:t>
      </w:r>
      <w:bookmarkEnd w:id="35"/>
      <w:r w:rsidRPr="00156B04">
        <w:rPr>
          <w:rFonts w:eastAsia="Times New Roman" w:cs="Times New Roman"/>
        </w:rPr>
        <w:t>” as determined by the domestic law of contracting parties</w:t>
      </w:r>
      <w:r w:rsidRPr="00156B04">
        <w:rPr>
          <w:rFonts w:eastAsia="Times New Roman" w:cs="Times New Roman"/>
          <w:i/>
        </w:rPr>
        <w:t xml:space="preserve"> </w:t>
      </w:r>
      <w:bookmarkEnd w:id="34"/>
      <w:r w:rsidRPr="00156B04">
        <w:rPr>
          <w:rFonts w:eastAsia="Times New Roman" w:cs="Times New Roman"/>
        </w:rPr>
        <w:t>(</w:t>
      </w:r>
      <w:proofErr w:type="spellStart"/>
      <w:r w:rsidRPr="00156B04">
        <w:rPr>
          <w:rFonts w:eastAsia="Times New Roman" w:cs="Times New Roman"/>
          <w:i/>
        </w:rPr>
        <w:t>Zicherman</w:t>
      </w:r>
      <w:proofErr w:type="spellEnd"/>
      <w:r w:rsidRPr="00156B04">
        <w:rPr>
          <w:rFonts w:eastAsia="Times New Roman" w:cs="Times New Roman"/>
          <w:i/>
        </w:rPr>
        <w:t xml:space="preserve"> v. Korean Air Lines Co.</w:t>
      </w:r>
      <w:r w:rsidRPr="00156B04">
        <w:rPr>
          <w:rFonts w:eastAsia="Times New Roman" w:cs="Times New Roman"/>
        </w:rPr>
        <w:t xml:space="preserve">, 516 U.S. 217 (1996), at p. 227). Three years later, in </w:t>
      </w:r>
      <w:r w:rsidRPr="00156B04">
        <w:rPr>
          <w:rFonts w:eastAsia="Times New Roman" w:cs="Times New Roman"/>
          <w:i/>
        </w:rPr>
        <w:t xml:space="preserve">El Al Israel Airlines, Ltd. v. </w:t>
      </w:r>
      <w:proofErr w:type="spellStart"/>
      <w:r w:rsidRPr="00156B04">
        <w:rPr>
          <w:rFonts w:eastAsia="Times New Roman" w:cs="Times New Roman"/>
          <w:i/>
        </w:rPr>
        <w:t>Tsui</w:t>
      </w:r>
      <w:proofErr w:type="spellEnd"/>
      <w:r w:rsidRPr="00156B04">
        <w:rPr>
          <w:rFonts w:eastAsia="Times New Roman" w:cs="Times New Roman"/>
          <w:i/>
        </w:rPr>
        <w:t xml:space="preserve"> Yuan Tseng</w:t>
      </w:r>
      <w:r w:rsidRPr="00156B04">
        <w:rPr>
          <w:rFonts w:eastAsia="Times New Roman" w:cs="Times New Roman"/>
        </w:rPr>
        <w:t xml:space="preserve">, 525 U.S. 155 (1999), at p. 175, the United States Supreme Court described the </w:t>
      </w:r>
      <w:r w:rsidRPr="00156B04">
        <w:rPr>
          <w:rFonts w:eastAsia="Times New Roman" w:cs="Times New Roman"/>
          <w:i/>
        </w:rPr>
        <w:t>Warsaw Convention</w:t>
      </w:r>
      <w:r w:rsidRPr="00156B04">
        <w:rPr>
          <w:rFonts w:eastAsia="Times New Roman" w:cs="Times New Roman"/>
        </w:rPr>
        <w:t xml:space="preserve">’s pre-emptive effect (as amended by </w:t>
      </w:r>
      <w:r w:rsidRPr="00156B04">
        <w:rPr>
          <w:rFonts w:eastAsia="Times New Roman" w:cs="Times New Roman"/>
          <w:i/>
        </w:rPr>
        <w:t>Montreal Protocol No. 4 to amend the Convention for the Unification of Certain Rules Relating to International Carriage by Air</w:t>
      </w:r>
      <w:r w:rsidRPr="00156B04">
        <w:rPr>
          <w:rFonts w:cs="Times New Roman"/>
          <w:i/>
          <w:iCs/>
        </w:rPr>
        <w:t xml:space="preserve"> signed at Warsaw on 12 October 1929 as amended by the Protocol done at The Hague on 28 September 1955</w:t>
      </w:r>
      <w:r w:rsidRPr="00156B04">
        <w:rPr>
          <w:rFonts w:cs="Times New Roman"/>
          <w:iCs/>
        </w:rPr>
        <w:t xml:space="preserve">, 2145 </w:t>
      </w:r>
      <w:proofErr w:type="spellStart"/>
      <w:r w:rsidRPr="00156B04">
        <w:rPr>
          <w:rFonts w:cs="Times New Roman"/>
          <w:iCs/>
        </w:rPr>
        <w:t>U.N.T.S</w:t>
      </w:r>
      <w:proofErr w:type="spellEnd"/>
      <w:r w:rsidRPr="00156B04">
        <w:rPr>
          <w:rFonts w:cs="Times New Roman"/>
          <w:iCs/>
        </w:rPr>
        <w:t>. 31</w:t>
      </w:r>
      <w:r w:rsidRPr="00156B04">
        <w:rPr>
          <w:rFonts w:eastAsia="Times New Roman" w:cs="Times New Roman"/>
        </w:rPr>
        <w:t>) as “</w:t>
      </w:r>
      <w:proofErr w:type="spellStart"/>
      <w:r w:rsidRPr="00156B04">
        <w:rPr>
          <w:rFonts w:eastAsia="Times New Roman" w:cs="Times New Roman"/>
        </w:rPr>
        <w:t>preclud</w:t>
      </w:r>
      <w:proofErr w:type="spellEnd"/>
      <w:r w:rsidRPr="00156B04">
        <w:rPr>
          <w:rFonts w:eastAsia="Times New Roman" w:cs="Times New Roman"/>
        </w:rPr>
        <w:t>[</w:t>
      </w:r>
      <w:proofErr w:type="spellStart"/>
      <w:r w:rsidRPr="00156B04">
        <w:rPr>
          <w:rFonts w:eastAsia="Times New Roman" w:cs="Times New Roman"/>
        </w:rPr>
        <w:t>ing</w:t>
      </w:r>
      <w:proofErr w:type="spellEnd"/>
      <w:r w:rsidRPr="00156B04">
        <w:rPr>
          <w:rFonts w:eastAsia="Times New Roman" w:cs="Times New Roman"/>
        </w:rPr>
        <w:t xml:space="preserve">] passengers from </w:t>
      </w:r>
      <w:r w:rsidRPr="00156B04">
        <w:rPr>
          <w:rFonts w:eastAsia="Times New Roman" w:cs="Times New Roman"/>
          <w:u w:val="single"/>
        </w:rPr>
        <w:t>bringing actions under local law</w:t>
      </w:r>
      <w:r w:rsidRPr="00156B04">
        <w:rPr>
          <w:rFonts w:eastAsia="Times New Roman" w:cs="Times New Roman"/>
        </w:rPr>
        <w:t xml:space="preserve"> when they cannot establish air carrier liability under the treaty” (emphasis added). The United States Supreme Court concluded that “</w:t>
      </w:r>
      <w:r w:rsidRPr="00156B04">
        <w:rPr>
          <w:rFonts w:cs="Times New Roman"/>
        </w:rPr>
        <w:t xml:space="preserve">the [Warsaw] Convention’s </w:t>
      </w:r>
      <w:proofErr w:type="spellStart"/>
      <w:r w:rsidRPr="00156B04">
        <w:rPr>
          <w:rFonts w:cs="Times New Roman"/>
        </w:rPr>
        <w:t>preemptive</w:t>
      </w:r>
      <w:proofErr w:type="spellEnd"/>
      <w:r w:rsidRPr="00156B04">
        <w:rPr>
          <w:rFonts w:cs="Times New Roman"/>
        </w:rPr>
        <w:t xml:space="preserve"> effect on local law extends no further than the Convention’s own substantive scope” (p. 172).</w:t>
      </w:r>
    </w:p>
    <w:p w14:paraId="604DB0E7" w14:textId="40D413C8" w:rsidR="00156B04" w:rsidRPr="00156B04" w:rsidRDefault="00156B04" w:rsidP="00156B04">
      <w:pPr>
        <w:pStyle w:val="ParaNoNdepar-AltN"/>
        <w:rPr>
          <w:rFonts w:cs="Times New Roman"/>
        </w:rPr>
      </w:pPr>
      <w:r w:rsidRPr="00156B04">
        <w:rPr>
          <w:rFonts w:cs="Times New Roman"/>
        </w:rPr>
        <w:t xml:space="preserve">And, in an appeal before the Second Circuit Court of Appeals considering whether a private suit for discrimination was precluded by the </w:t>
      </w:r>
      <w:r w:rsidRPr="00156B04">
        <w:rPr>
          <w:rFonts w:cs="Times New Roman"/>
          <w:i/>
        </w:rPr>
        <w:t>Warsaw Convention</w:t>
      </w:r>
      <w:r w:rsidRPr="00156B04">
        <w:rPr>
          <w:rFonts w:cs="Times New Roman"/>
        </w:rPr>
        <w:t>, Circuit Judge Sotomayor (as she then was) described the remedial system it created as one that is “designed to protect air carriers against catastrophic, crippling liability by establishing monetary caps on awards and restricting the types of claims that may be brought against carriers” (</w:t>
      </w:r>
      <w:r w:rsidRPr="00156B04">
        <w:rPr>
          <w:rFonts w:cs="Times New Roman"/>
          <w:i/>
        </w:rPr>
        <w:t>King v. American Airlines, Inc.</w:t>
      </w:r>
      <w:r w:rsidR="0021549E">
        <w:rPr>
          <w:rFonts w:cs="Times New Roman"/>
        </w:rPr>
        <w:t xml:space="preserve">, 284 </w:t>
      </w:r>
      <w:proofErr w:type="spellStart"/>
      <w:r w:rsidR="0021549E">
        <w:rPr>
          <w:rFonts w:cs="Times New Roman"/>
        </w:rPr>
        <w:t>F.3d</w:t>
      </w:r>
      <w:proofErr w:type="spellEnd"/>
      <w:r w:rsidR="0021549E">
        <w:rPr>
          <w:rFonts w:cs="Times New Roman"/>
        </w:rPr>
        <w:t xml:space="preserve"> 352 (</w:t>
      </w:r>
      <w:r w:rsidRPr="00156B04">
        <w:rPr>
          <w:rFonts w:cs="Times New Roman"/>
        </w:rPr>
        <w:t xml:space="preserve">2002), at p. 357). She further noted that, while the discrimination claim was barred by the </w:t>
      </w:r>
      <w:r w:rsidRPr="00156B04">
        <w:rPr>
          <w:rFonts w:cs="Times New Roman"/>
          <w:i/>
        </w:rPr>
        <w:t>Warsaw Convention</w:t>
      </w:r>
      <w:r w:rsidRPr="00156B04">
        <w:rPr>
          <w:rFonts w:cs="Times New Roman"/>
        </w:rPr>
        <w:t>, the plaintiffs could avail themselves of “other remedies”, including filing “a complaint with the Secretary [of Transportation]” who, under United States law, “has the authority to address violations of [</w:t>
      </w:r>
      <w:r w:rsidRPr="00156B04">
        <w:rPr>
          <w:rFonts w:cs="Times New Roman"/>
          <w:i/>
        </w:rPr>
        <w:t>Federal Aviation Act</w:t>
      </w:r>
      <w:r w:rsidRPr="00156B04">
        <w:rPr>
          <w:rFonts w:cs="Times New Roman"/>
        </w:rPr>
        <w:t xml:space="preserve">, 49 </w:t>
      </w:r>
      <w:proofErr w:type="spellStart"/>
      <w:r w:rsidRPr="00156B04">
        <w:rPr>
          <w:rFonts w:cs="Times New Roman"/>
        </w:rPr>
        <w:t>U.S.C</w:t>
      </w:r>
      <w:proofErr w:type="spellEnd"/>
      <w:r w:rsidRPr="00156B04">
        <w:rPr>
          <w:rFonts w:cs="Times New Roman"/>
        </w:rPr>
        <w:t xml:space="preserve">. § 41310(a)] provisions, including the power to file civil actions to enforce federal law” (p. 362). </w:t>
      </w:r>
    </w:p>
    <w:p w14:paraId="1F8867E9" w14:textId="77777777" w:rsidR="00156B04" w:rsidRPr="00156B04" w:rsidRDefault="00156B04" w:rsidP="00156B04">
      <w:pPr>
        <w:pStyle w:val="ParaNoNdepar-AltN"/>
        <w:rPr>
          <w:rFonts w:cs="Times New Roman"/>
        </w:rPr>
      </w:pPr>
      <w:r w:rsidRPr="00156B04">
        <w:rPr>
          <w:rFonts w:cs="Times New Roman"/>
        </w:rPr>
        <w:t xml:space="preserve">The appellants submit that the </w:t>
      </w:r>
      <w:proofErr w:type="spellStart"/>
      <w:r w:rsidRPr="00156B04">
        <w:rPr>
          <w:rFonts w:cs="Times New Roman"/>
        </w:rPr>
        <w:t>ECJ</w:t>
      </w:r>
      <w:proofErr w:type="spellEnd"/>
      <w:r w:rsidRPr="00156B04">
        <w:rPr>
          <w:rFonts w:cs="Times New Roman"/>
        </w:rPr>
        <w:t xml:space="preserve"> decisions addressed are “highly controversial” and “wrong and irreconcilable with </w:t>
      </w:r>
      <w:proofErr w:type="spellStart"/>
      <w:r w:rsidRPr="00156B04">
        <w:rPr>
          <w:rFonts w:cs="Times New Roman"/>
          <w:i/>
        </w:rPr>
        <w:t>Thibodeau</w:t>
      </w:r>
      <w:proofErr w:type="spellEnd"/>
      <w:r w:rsidRPr="00156B04">
        <w:rPr>
          <w:rFonts w:cs="Times New Roman"/>
        </w:rPr>
        <w:t>” (</w:t>
      </w:r>
      <w:proofErr w:type="spellStart"/>
      <w:r w:rsidRPr="00156B04">
        <w:rPr>
          <w:rFonts w:cs="Times New Roman"/>
        </w:rPr>
        <w:t>A.F</w:t>
      </w:r>
      <w:proofErr w:type="spellEnd"/>
      <w:r w:rsidRPr="00156B04">
        <w:rPr>
          <w:rFonts w:cs="Times New Roman"/>
        </w:rPr>
        <w:t xml:space="preserve">., heading of para. 60). They refer to academic articles criticizing the decisions, and submit that this Court should consider </w:t>
      </w:r>
      <w:r w:rsidRPr="00156B04">
        <w:rPr>
          <w:rFonts w:cs="Times New Roman"/>
          <w:i/>
          <w:iCs/>
        </w:rPr>
        <w:t>International Air Transport Association</w:t>
      </w:r>
      <w:r w:rsidRPr="00156B04">
        <w:rPr>
          <w:rFonts w:cs="Times New Roman"/>
        </w:rPr>
        <w:t xml:space="preserve"> </w:t>
      </w:r>
      <w:r w:rsidRPr="00156B04">
        <w:rPr>
          <w:rFonts w:cs="Times New Roman"/>
          <w:i/>
        </w:rPr>
        <w:t>v.</w:t>
      </w:r>
      <w:r w:rsidRPr="00156B04">
        <w:rPr>
          <w:rFonts w:cs="Times New Roman"/>
        </w:rPr>
        <w:t xml:space="preserve"> </w:t>
      </w:r>
      <w:r w:rsidRPr="00156B04">
        <w:rPr>
          <w:rFonts w:cs="Times New Roman"/>
          <w:i/>
          <w:iCs/>
        </w:rPr>
        <w:t>Department for Transport</w:t>
      </w:r>
      <w:r w:rsidRPr="00156B04">
        <w:rPr>
          <w:rFonts w:cs="Times New Roman"/>
        </w:rPr>
        <w:t xml:space="preserve"> and its progeny as having no persuasive effect. </w:t>
      </w:r>
      <w:bookmarkStart w:id="36" w:name="_Hlk170894227"/>
      <w:r w:rsidRPr="00156B04">
        <w:rPr>
          <w:rFonts w:cs="Times New Roman"/>
        </w:rPr>
        <w:t xml:space="preserve">While academic articles can provide useful insights and perspectives, they can only be persuasive, not binding </w:t>
      </w:r>
      <w:bookmarkEnd w:id="36"/>
      <w:r w:rsidRPr="00156B04">
        <w:rPr>
          <w:rFonts w:cs="Times New Roman"/>
        </w:rPr>
        <w:t>(</w:t>
      </w:r>
      <w:r w:rsidRPr="00156B04">
        <w:rPr>
          <w:rFonts w:cs="Times New Roman"/>
          <w:i/>
        </w:rPr>
        <w:t>R. v. McGregor</w:t>
      </w:r>
      <w:r w:rsidRPr="00156B04">
        <w:rPr>
          <w:rFonts w:cs="Times New Roman"/>
        </w:rPr>
        <w:t xml:space="preserve">, 2023 SCC 4, at para. 102; </w:t>
      </w:r>
      <w:r w:rsidRPr="00156B04">
        <w:rPr>
          <w:rFonts w:cs="Times New Roman"/>
          <w:i/>
        </w:rPr>
        <w:t xml:space="preserve">Canada (Minister of Citizenship and Immigration) v. </w:t>
      </w:r>
      <w:proofErr w:type="spellStart"/>
      <w:r w:rsidRPr="00156B04">
        <w:rPr>
          <w:rFonts w:cs="Times New Roman"/>
          <w:i/>
        </w:rPr>
        <w:t>Vavilov</w:t>
      </w:r>
      <w:proofErr w:type="spellEnd"/>
      <w:r w:rsidRPr="00156B04">
        <w:rPr>
          <w:rFonts w:cs="Times New Roman"/>
        </w:rPr>
        <w:t xml:space="preserve">, 2019 SCC 65, [2019] 4 </w:t>
      </w:r>
      <w:proofErr w:type="spellStart"/>
      <w:r w:rsidRPr="00156B04">
        <w:rPr>
          <w:rFonts w:cs="Times New Roman"/>
        </w:rPr>
        <w:t>S.C.R</w:t>
      </w:r>
      <w:proofErr w:type="spellEnd"/>
      <w:r w:rsidRPr="00156B04">
        <w:rPr>
          <w:rFonts w:cs="Times New Roman"/>
        </w:rPr>
        <w:t xml:space="preserve">. 653, at para. 274, per </w:t>
      </w:r>
      <w:proofErr w:type="spellStart"/>
      <w:r w:rsidRPr="00156B04">
        <w:rPr>
          <w:rFonts w:cs="Times New Roman"/>
        </w:rPr>
        <w:t>Abella</w:t>
      </w:r>
      <w:proofErr w:type="spellEnd"/>
      <w:r w:rsidRPr="00156B04">
        <w:rPr>
          <w:rFonts w:cs="Times New Roman"/>
        </w:rPr>
        <w:t xml:space="preserve"> and </w:t>
      </w:r>
      <w:proofErr w:type="spellStart"/>
      <w:r w:rsidRPr="00156B04">
        <w:rPr>
          <w:rFonts w:cs="Times New Roman"/>
        </w:rPr>
        <w:t>Karakatsanis</w:t>
      </w:r>
      <w:proofErr w:type="spellEnd"/>
      <w:r w:rsidRPr="00156B04">
        <w:rPr>
          <w:rFonts w:cs="Times New Roman"/>
        </w:rPr>
        <w:t xml:space="preserve"> </w:t>
      </w:r>
      <w:proofErr w:type="spellStart"/>
      <w:r w:rsidRPr="00156B04">
        <w:rPr>
          <w:rFonts w:cs="Times New Roman"/>
        </w:rPr>
        <w:t>JJ</w:t>
      </w:r>
      <w:proofErr w:type="spellEnd"/>
      <w:r w:rsidRPr="00156B04">
        <w:rPr>
          <w:rFonts w:cs="Times New Roman"/>
        </w:rPr>
        <w:t xml:space="preserve">., concurring; see also </w:t>
      </w:r>
      <w:r w:rsidRPr="00156B04">
        <w:rPr>
          <w:rFonts w:cs="Times New Roman"/>
          <w:i/>
          <w:iCs/>
        </w:rPr>
        <w:t>R. v. Kirkpatrick</w:t>
      </w:r>
      <w:r w:rsidRPr="00156B04">
        <w:rPr>
          <w:rFonts w:cs="Times New Roman"/>
        </w:rPr>
        <w:t>, 2022 SCC 33, at para. 247).</w:t>
      </w:r>
    </w:p>
    <w:p w14:paraId="4F070EE4" w14:textId="77777777" w:rsidR="00156B04" w:rsidRPr="00156B04" w:rsidRDefault="00156B04" w:rsidP="00156B04">
      <w:pPr>
        <w:pStyle w:val="ParaNoNdepar-AltN"/>
        <w:rPr>
          <w:rFonts w:cs="Times New Roman"/>
        </w:rPr>
      </w:pPr>
      <w:r w:rsidRPr="00156B04">
        <w:rPr>
          <w:rFonts w:cs="Times New Roman"/>
        </w:rPr>
        <w:t xml:space="preserve">More importantly, there is no basis on which to disavow the reasoning in the </w:t>
      </w:r>
      <w:proofErr w:type="spellStart"/>
      <w:r w:rsidRPr="00156B04">
        <w:rPr>
          <w:rFonts w:cs="Times New Roman"/>
        </w:rPr>
        <w:t>ECJ</w:t>
      </w:r>
      <w:proofErr w:type="spellEnd"/>
      <w:r w:rsidRPr="00156B04">
        <w:rPr>
          <w:rFonts w:cs="Times New Roman"/>
        </w:rPr>
        <w:t xml:space="preserve"> or the American decisions. Rather, they help to illustrate the meaning of an “action for damages” and the scope of the </w:t>
      </w:r>
      <w:r w:rsidRPr="00156B04">
        <w:rPr>
          <w:rFonts w:cs="Times New Roman"/>
          <w:i/>
        </w:rPr>
        <w:t>Montreal Convention</w:t>
      </w:r>
      <w:r w:rsidRPr="00156B04">
        <w:rPr>
          <w:rFonts w:cs="Times New Roman"/>
        </w:rPr>
        <w:t>,</w:t>
      </w:r>
      <w:r w:rsidRPr="00156B04">
        <w:rPr>
          <w:rFonts w:cs="Times New Roman"/>
          <w:i/>
        </w:rPr>
        <w:t xml:space="preserve"> </w:t>
      </w:r>
      <w:r w:rsidRPr="00156B04">
        <w:rPr>
          <w:rFonts w:cs="Times New Roman"/>
        </w:rPr>
        <w:t xml:space="preserve">and suggest a meaning that is consonant with the text, context and purpose considered above. These cases establish that an “action for damages” seeks to address individualized harm on a case-by-case basis. The term, within the context of the </w:t>
      </w:r>
      <w:r w:rsidRPr="00156B04">
        <w:rPr>
          <w:rFonts w:cs="Times New Roman"/>
          <w:i/>
        </w:rPr>
        <w:t>Montreal Convention</w:t>
      </w:r>
      <w:r w:rsidRPr="00156B04">
        <w:rPr>
          <w:rFonts w:cs="Times New Roman"/>
        </w:rPr>
        <w:t xml:space="preserve">, does not include standardized compensation that is owed identically to all passengers impacted by a given set of circumstances irrespective of the harm suffered.  </w:t>
      </w:r>
    </w:p>
    <w:p w14:paraId="5CD311F9" w14:textId="77777777" w:rsidR="00156B04" w:rsidRPr="00156B04" w:rsidRDefault="00156B04" w:rsidP="00156B04">
      <w:pPr>
        <w:pStyle w:val="Title3LevelTitre3Niveau"/>
        <w:rPr>
          <w:rFonts w:cs="Times New Roman"/>
        </w:rPr>
      </w:pPr>
      <w:bookmarkStart w:id="37" w:name="_Toc168491263"/>
      <w:r w:rsidRPr="00156B04">
        <w:rPr>
          <w:rFonts w:cs="Times New Roman"/>
        </w:rPr>
        <w:t>Consideration of State Practice</w:t>
      </w:r>
      <w:bookmarkEnd w:id="37"/>
    </w:p>
    <w:p w14:paraId="286572CC"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Before concluding my review of the scope of the </w:t>
      </w:r>
      <w:r w:rsidRPr="00156B04">
        <w:rPr>
          <w:rFonts w:eastAsia="Times New Roman" w:cs="Times New Roman"/>
          <w:i/>
        </w:rPr>
        <w:t xml:space="preserve">Montreal Convention </w:t>
      </w:r>
      <w:r w:rsidRPr="00156B04">
        <w:rPr>
          <w:rFonts w:eastAsia="Times New Roman" w:cs="Times New Roman"/>
        </w:rPr>
        <w:t xml:space="preserve">and Article 29, I would address the question of state practice, which both parties rely on. </w:t>
      </w:r>
    </w:p>
    <w:p w14:paraId="56F1C0D1"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Per Article 31(3) of the </w:t>
      </w:r>
      <w:r w:rsidRPr="00156B04">
        <w:rPr>
          <w:rFonts w:eastAsia="Times New Roman" w:cs="Times New Roman"/>
          <w:i/>
        </w:rPr>
        <w:t>Vienna Convention</w:t>
      </w:r>
      <w:r w:rsidRPr="00156B04">
        <w:rPr>
          <w:rFonts w:eastAsia="Times New Roman" w:cs="Times New Roman"/>
        </w:rPr>
        <w:t xml:space="preserve">, “[t]here shall be taken into account together with the context . . . any subsequent practice in the application of the treaty which establishes the agreement of the parties regarding its interpretation” (see also </w:t>
      </w:r>
      <w:proofErr w:type="spellStart"/>
      <w:r w:rsidRPr="00156B04">
        <w:rPr>
          <w:rFonts w:cs="Times New Roman"/>
          <w:i/>
          <w:iCs/>
          <w:lang w:val="en-US"/>
        </w:rPr>
        <w:t>Yugraneft</w:t>
      </w:r>
      <w:proofErr w:type="spellEnd"/>
      <w:r w:rsidRPr="00156B04">
        <w:rPr>
          <w:rFonts w:cs="Times New Roman"/>
          <w:i/>
          <w:iCs/>
          <w:lang w:val="en-US"/>
        </w:rPr>
        <w:t xml:space="preserve"> Corp. </w:t>
      </w:r>
      <w:r w:rsidRPr="00156B04">
        <w:rPr>
          <w:rFonts w:cs="Times New Roman"/>
          <w:i/>
          <w:lang w:val="en-US"/>
        </w:rPr>
        <w:t>v.</w:t>
      </w:r>
      <w:r w:rsidRPr="00156B04">
        <w:rPr>
          <w:rFonts w:cs="Times New Roman"/>
          <w:lang w:val="en-US"/>
        </w:rPr>
        <w:t xml:space="preserve"> </w:t>
      </w:r>
      <w:proofErr w:type="spellStart"/>
      <w:r w:rsidRPr="00156B04">
        <w:rPr>
          <w:rFonts w:cs="Times New Roman"/>
          <w:i/>
          <w:iCs/>
          <w:lang w:val="en-US"/>
        </w:rPr>
        <w:t>Rexx</w:t>
      </w:r>
      <w:proofErr w:type="spellEnd"/>
      <w:r w:rsidRPr="00156B04">
        <w:rPr>
          <w:rFonts w:cs="Times New Roman"/>
          <w:i/>
          <w:iCs/>
          <w:lang w:val="en-US"/>
        </w:rPr>
        <w:t xml:space="preserve"> Management Corp.</w:t>
      </w:r>
      <w:r w:rsidRPr="00156B04">
        <w:rPr>
          <w:rFonts w:cs="Times New Roman"/>
          <w:iCs/>
          <w:lang w:val="en-US"/>
        </w:rPr>
        <w:t>,</w:t>
      </w:r>
      <w:r w:rsidRPr="00156B04">
        <w:rPr>
          <w:rFonts w:cs="Times New Roman"/>
          <w:i/>
          <w:iCs/>
          <w:lang w:val="en-US"/>
        </w:rPr>
        <w:t xml:space="preserve"> </w:t>
      </w:r>
      <w:r w:rsidRPr="00156B04">
        <w:rPr>
          <w:rFonts w:cs="Times New Roman"/>
          <w:lang w:val="en-US"/>
        </w:rPr>
        <w:t xml:space="preserve">2010 SCC 19, </w:t>
      </w:r>
      <w:r w:rsidRPr="00156B04">
        <w:rPr>
          <w:rFonts w:cs="Times New Roman"/>
        </w:rPr>
        <w:t xml:space="preserve">[2010] 1 </w:t>
      </w:r>
      <w:proofErr w:type="spellStart"/>
      <w:r w:rsidRPr="00156B04">
        <w:rPr>
          <w:rFonts w:cs="Times New Roman"/>
        </w:rPr>
        <w:t>S.C.R</w:t>
      </w:r>
      <w:proofErr w:type="spellEnd"/>
      <w:r w:rsidRPr="00156B04">
        <w:rPr>
          <w:rFonts w:cs="Times New Roman"/>
        </w:rPr>
        <w:t>. 649</w:t>
      </w:r>
      <w:r w:rsidRPr="00156B04">
        <w:rPr>
          <w:rFonts w:cs="Times New Roman"/>
          <w:lang w:val="en-US"/>
        </w:rPr>
        <w:t>, at para. 21)</w:t>
      </w:r>
      <w:r w:rsidRPr="00156B04">
        <w:rPr>
          <w:rFonts w:eastAsia="Times New Roman" w:cs="Times New Roman"/>
        </w:rPr>
        <w:t>. The Attorney General notes that the practice of parties to a treaty is of utmost importance in its interpretation because “it constitutes objective evidence of the understanding of the parties as to the meaning of the treaty” (</w:t>
      </w:r>
      <w:proofErr w:type="spellStart"/>
      <w:r w:rsidRPr="00156B04">
        <w:rPr>
          <w:rFonts w:eastAsia="Times New Roman" w:cs="Times New Roman"/>
        </w:rPr>
        <w:t>R.F</w:t>
      </w:r>
      <w:proofErr w:type="spellEnd"/>
      <w:r w:rsidRPr="00156B04">
        <w:rPr>
          <w:rFonts w:eastAsia="Times New Roman" w:cs="Times New Roman"/>
        </w:rPr>
        <w:t>.,</w:t>
      </w:r>
      <w:r w:rsidRPr="00156B04">
        <w:rPr>
          <w:rFonts w:eastAsia="Times New Roman" w:cs="Times New Roman"/>
          <w:i/>
        </w:rPr>
        <w:t xml:space="preserve"> </w:t>
      </w:r>
      <w:r w:rsidRPr="00156B04">
        <w:rPr>
          <w:rFonts w:eastAsia="Times New Roman" w:cs="Times New Roman"/>
        </w:rPr>
        <w:t xml:space="preserve">at para. 80, quoting </w:t>
      </w:r>
      <w:proofErr w:type="spellStart"/>
      <w:r w:rsidRPr="00156B04">
        <w:rPr>
          <w:rFonts w:cs="Times New Roman"/>
          <w:i/>
          <w:iCs/>
          <w:lang w:val="en-US"/>
        </w:rPr>
        <w:t>Kasikili</w:t>
      </w:r>
      <w:proofErr w:type="spellEnd"/>
      <w:r w:rsidRPr="00156B04">
        <w:rPr>
          <w:rFonts w:cs="Times New Roman"/>
          <w:i/>
          <w:iCs/>
          <w:lang w:val="en-US"/>
        </w:rPr>
        <w:t>/</w:t>
      </w:r>
      <w:proofErr w:type="spellStart"/>
      <w:r w:rsidRPr="00156B04">
        <w:rPr>
          <w:rFonts w:cs="Times New Roman"/>
          <w:i/>
          <w:iCs/>
          <w:lang w:val="en-US"/>
        </w:rPr>
        <w:t>Sedudu</w:t>
      </w:r>
      <w:proofErr w:type="spellEnd"/>
      <w:r w:rsidRPr="00156B04">
        <w:rPr>
          <w:rFonts w:cs="Times New Roman"/>
          <w:i/>
          <w:iCs/>
          <w:lang w:val="en-US"/>
        </w:rPr>
        <w:t xml:space="preserve"> Island (Botswana/Namibia)</w:t>
      </w:r>
      <w:r w:rsidRPr="00156B04">
        <w:rPr>
          <w:rFonts w:cs="Times New Roman"/>
          <w:lang w:val="en-US"/>
        </w:rPr>
        <w:t xml:space="preserve">, Judgment, </w:t>
      </w:r>
      <w:proofErr w:type="spellStart"/>
      <w:r w:rsidRPr="00156B04">
        <w:rPr>
          <w:rFonts w:cs="Times New Roman"/>
          <w:lang w:val="en-US"/>
        </w:rPr>
        <w:t>I.C.J</w:t>
      </w:r>
      <w:proofErr w:type="spellEnd"/>
      <w:r w:rsidRPr="00156B04">
        <w:rPr>
          <w:rFonts w:cs="Times New Roman"/>
          <w:lang w:val="en-US"/>
        </w:rPr>
        <w:t>. Reports 1999, p. 1045, at para. 49). Thus, I cannot agree with the appellants when they submit that state practice should be considered only “when the text of the treaty is obscure or ambiguous” (</w:t>
      </w:r>
      <w:proofErr w:type="spellStart"/>
      <w:r w:rsidRPr="00156B04">
        <w:rPr>
          <w:rFonts w:cs="Times New Roman"/>
          <w:lang w:val="en-US"/>
        </w:rPr>
        <w:t>A.F</w:t>
      </w:r>
      <w:proofErr w:type="spellEnd"/>
      <w:r w:rsidRPr="00156B04">
        <w:rPr>
          <w:rFonts w:cs="Times New Roman"/>
          <w:lang w:val="en-US"/>
        </w:rPr>
        <w:t xml:space="preserve">., at para. 100). </w:t>
      </w:r>
      <w:r w:rsidRPr="00156B04">
        <w:rPr>
          <w:rFonts w:cs="Times New Roman"/>
        </w:rPr>
        <w:t xml:space="preserve"> </w:t>
      </w:r>
    </w:p>
    <w:p w14:paraId="137F016C"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The Federal Court of Appeal found that 73 state parties to the </w:t>
      </w:r>
      <w:r w:rsidRPr="00156B04">
        <w:rPr>
          <w:rFonts w:eastAsia="Times New Roman" w:cs="Times New Roman"/>
          <w:i/>
        </w:rPr>
        <w:t>Montreal Convention</w:t>
      </w:r>
      <w:r w:rsidRPr="00156B04">
        <w:rPr>
          <w:rFonts w:eastAsia="Times New Roman" w:cs="Times New Roman"/>
        </w:rPr>
        <w:t xml:space="preserve"> have adopted schemes providing for minimum standardized compensation in case of cancellation, denied boarding and/or delay. The adoption of these schemes, without objection from other state parties, reveals common acceptance by state parties that they are compatible with the </w:t>
      </w:r>
      <w:r w:rsidRPr="00156B04">
        <w:rPr>
          <w:rFonts w:eastAsia="Times New Roman" w:cs="Times New Roman"/>
          <w:i/>
        </w:rPr>
        <w:t>Montreal Convention</w:t>
      </w:r>
      <w:r w:rsidRPr="00156B04">
        <w:rPr>
          <w:rFonts w:eastAsia="Times New Roman" w:cs="Times New Roman"/>
        </w:rPr>
        <w:t xml:space="preserve"> and can operate in parallel to it (paras. 167-68). The Federal Court of Appeal stated:</w:t>
      </w:r>
    </w:p>
    <w:p w14:paraId="0A664A81" w14:textId="77777777" w:rsidR="00156B04" w:rsidRPr="00156B04" w:rsidRDefault="00156B04" w:rsidP="00156B04">
      <w:pPr>
        <w:pStyle w:val="Citation-AltC"/>
        <w:ind w:firstLine="274"/>
      </w:pPr>
      <w:r w:rsidRPr="00156B04">
        <w:t xml:space="preserve">. . . </w:t>
      </w:r>
      <w:proofErr w:type="gramStart"/>
      <w:r w:rsidRPr="00156B04">
        <w:t>state</w:t>
      </w:r>
      <w:proofErr w:type="gramEnd"/>
      <w:r w:rsidRPr="00156B04">
        <w:t xml:space="preserve"> practice confirms that standardized compensation for the inconvenience resulting from flight cancellation, denial of boarding and/or delay is compatible with and can operate alongside the individual damages prescribed by the </w:t>
      </w:r>
      <w:r w:rsidRPr="00156B04">
        <w:rPr>
          <w:i/>
        </w:rPr>
        <w:t>Montreal Convention</w:t>
      </w:r>
      <w:r w:rsidRPr="00156B04">
        <w:t xml:space="preserve">. The jurisprudence of the </w:t>
      </w:r>
      <w:proofErr w:type="spellStart"/>
      <w:r w:rsidRPr="00156B04">
        <w:t>ECJ</w:t>
      </w:r>
      <w:proofErr w:type="spellEnd"/>
      <w:r w:rsidRPr="00156B04">
        <w:t xml:space="preserve"> and Regulation 261/2004 constitute the law in Europe, and the criticism of scholars (including those of the two professors who have filed expert reports on behalf of the appellants) does not supersede state practice when it comes to interpreting an international treaty. [para. 170]</w:t>
      </w:r>
    </w:p>
    <w:p w14:paraId="1144E82B" w14:textId="77777777" w:rsidR="00156B04" w:rsidRPr="00156B04" w:rsidRDefault="00156B04" w:rsidP="00156B04">
      <w:pPr>
        <w:pStyle w:val="ParaNoNdepar-AltN"/>
        <w:rPr>
          <w:rFonts w:cs="Times New Roman"/>
          <w:i/>
          <w:lang w:val="en-US"/>
        </w:rPr>
      </w:pPr>
      <w:r w:rsidRPr="00156B04">
        <w:rPr>
          <w:rFonts w:eastAsia="Times New Roman" w:cs="Times New Roman"/>
        </w:rPr>
        <w:t>The appellants argue that this finding was in error, and</w:t>
      </w:r>
      <w:r w:rsidRPr="00156B04">
        <w:rPr>
          <w:rFonts w:cs="Times New Roman"/>
        </w:rPr>
        <w:t xml:space="preserve"> </w:t>
      </w:r>
      <w:r w:rsidRPr="00156B04">
        <w:rPr>
          <w:rFonts w:cs="Times New Roman"/>
          <w:lang w:val="en-US"/>
        </w:rPr>
        <w:t>that state practice that is “driven by considerations other than the member States’ obligations pursuant to the [</w:t>
      </w:r>
      <w:r w:rsidRPr="00156B04">
        <w:rPr>
          <w:rFonts w:cs="Times New Roman"/>
          <w:i/>
          <w:lang w:val="en-US"/>
        </w:rPr>
        <w:t>Montreal</w:t>
      </w:r>
      <w:r w:rsidRPr="00156B04">
        <w:rPr>
          <w:rFonts w:cs="Times New Roman"/>
          <w:lang w:val="en-US"/>
        </w:rPr>
        <w:t xml:space="preserve">] </w:t>
      </w:r>
      <w:r w:rsidRPr="00156B04">
        <w:rPr>
          <w:rFonts w:cs="Times New Roman"/>
          <w:i/>
          <w:lang w:val="en-US"/>
        </w:rPr>
        <w:t>Convention</w:t>
      </w:r>
      <w:r w:rsidRPr="00156B04">
        <w:rPr>
          <w:rFonts w:cs="Times New Roman"/>
          <w:lang w:val="en-US"/>
        </w:rPr>
        <w:t xml:space="preserve">” cannot constitute state practice for the purposes of Article 31(3) of the </w:t>
      </w:r>
      <w:r w:rsidRPr="00156B04">
        <w:rPr>
          <w:rFonts w:eastAsia="Times New Roman" w:cs="Times New Roman"/>
          <w:i/>
        </w:rPr>
        <w:t xml:space="preserve">Vienna Convention </w:t>
      </w:r>
      <w:r w:rsidRPr="00156B04">
        <w:rPr>
          <w:rFonts w:cs="Times New Roman"/>
          <w:lang w:val="en-US"/>
        </w:rPr>
        <w:t>(para.</w:t>
      </w:r>
      <w:r w:rsidRPr="00156B04">
        <w:rPr>
          <w:rFonts w:cs="Times New Roman"/>
        </w:rPr>
        <w:t> 133)</w:t>
      </w:r>
      <w:r w:rsidRPr="00156B04">
        <w:rPr>
          <w:rFonts w:eastAsia="Times New Roman" w:cs="Times New Roman"/>
        </w:rPr>
        <w:t>. The Attorney General responds that “state practice” means “any practice that shows that the parties ‘have taken a position regarding the interpretation of the treaty’” (</w:t>
      </w:r>
      <w:proofErr w:type="spellStart"/>
      <w:r w:rsidRPr="00156B04">
        <w:rPr>
          <w:rFonts w:eastAsia="Times New Roman" w:cs="Times New Roman"/>
        </w:rPr>
        <w:t>R.F</w:t>
      </w:r>
      <w:proofErr w:type="spellEnd"/>
      <w:r w:rsidRPr="00156B04">
        <w:rPr>
          <w:rFonts w:eastAsia="Times New Roman" w:cs="Times New Roman"/>
        </w:rPr>
        <w:t xml:space="preserve">., at para. 84). </w:t>
      </w:r>
    </w:p>
    <w:p w14:paraId="1B8B8108" w14:textId="77777777" w:rsidR="00156B04" w:rsidRPr="00156B04" w:rsidRDefault="00156B04" w:rsidP="00156B04">
      <w:pPr>
        <w:pStyle w:val="ParaNoNdepar-AltN"/>
        <w:rPr>
          <w:rFonts w:cs="Times New Roman"/>
          <w:i/>
          <w:lang w:val="en-US"/>
        </w:rPr>
      </w:pPr>
      <w:r w:rsidRPr="00156B04">
        <w:rPr>
          <w:rFonts w:eastAsia="Times New Roman" w:cs="Times New Roman"/>
        </w:rPr>
        <w:t xml:space="preserve">For present purposes, I will take the appellants’ argument at its highest and assume that the practice of the 73 state parties who have adopted schemes providing for minimum standardized compensation in case of cancellation, denied boarding and/or delay does not constitute “state practice”. Even assuming, without deciding, that there is no state practice supporting the view that an “action for damages” does not include a scheme for standardized compensation, I nonetheless conclude that an “action for damages” does not include a scheme for standardized compensation. This conclusion is supported by the ordinary meaning of “action for damages”, the history, object and purpose of the </w:t>
      </w:r>
      <w:r w:rsidRPr="00156B04">
        <w:rPr>
          <w:rFonts w:cs="Times New Roman"/>
          <w:i/>
          <w:lang w:val="en-US"/>
        </w:rPr>
        <w:t>Montreal</w:t>
      </w:r>
      <w:r w:rsidRPr="00156B04">
        <w:rPr>
          <w:rFonts w:eastAsia="Times New Roman" w:cs="Times New Roman"/>
          <w:i/>
        </w:rPr>
        <w:t xml:space="preserve"> Convention</w:t>
      </w:r>
      <w:r w:rsidRPr="00156B04">
        <w:rPr>
          <w:rFonts w:eastAsia="Times New Roman" w:cs="Times New Roman"/>
        </w:rPr>
        <w:t>, and foreign jurisprudence interpreting the</w:t>
      </w:r>
      <w:r w:rsidRPr="00156B04">
        <w:rPr>
          <w:rFonts w:eastAsia="Times New Roman" w:cs="Times New Roman"/>
          <w:i/>
        </w:rPr>
        <w:t xml:space="preserve"> </w:t>
      </w:r>
      <w:r w:rsidRPr="00156B04">
        <w:rPr>
          <w:rFonts w:cs="Times New Roman"/>
          <w:i/>
          <w:lang w:val="en-US"/>
        </w:rPr>
        <w:t>Montreal</w:t>
      </w:r>
      <w:r w:rsidRPr="00156B04">
        <w:rPr>
          <w:rFonts w:eastAsia="Times New Roman" w:cs="Times New Roman"/>
          <w:i/>
        </w:rPr>
        <w:t xml:space="preserve"> Convention</w:t>
      </w:r>
      <w:r w:rsidRPr="00156B04">
        <w:rPr>
          <w:rFonts w:eastAsia="Times New Roman" w:cs="Times New Roman"/>
        </w:rPr>
        <w:t>.</w:t>
      </w:r>
    </w:p>
    <w:p w14:paraId="51E1C75A" w14:textId="77777777" w:rsidR="00156B04" w:rsidRPr="00156B04" w:rsidRDefault="00156B04" w:rsidP="00156B04">
      <w:pPr>
        <w:pStyle w:val="Title3LevelTitre3Niveau"/>
        <w:rPr>
          <w:rFonts w:cs="Times New Roman"/>
        </w:rPr>
      </w:pPr>
      <w:bookmarkStart w:id="38" w:name="_Toc168491264"/>
      <w:r w:rsidRPr="00156B04">
        <w:rPr>
          <w:rFonts w:cs="Times New Roman"/>
        </w:rPr>
        <w:t>The Exclusivity Principle Precludes Actions for Individualized Damages</w:t>
      </w:r>
      <w:bookmarkEnd w:id="38"/>
    </w:p>
    <w:p w14:paraId="5DA9B16B"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Based on all the foregoing, Article 29 should be understood as precluding </w:t>
      </w:r>
      <w:r w:rsidRPr="00156B04">
        <w:rPr>
          <w:rFonts w:cs="Times New Roman"/>
        </w:rPr>
        <w:t xml:space="preserve">actions for damages that share the characteristics of judicial proceedings in courts of law, and that seek individualized compensation for death or bodily injury, damage or loss of baggage and cargo, and for delay in international carriage. </w:t>
      </w:r>
      <w:r w:rsidRPr="00156B04">
        <w:rPr>
          <w:rFonts w:eastAsia="Times New Roman" w:cs="Times New Roman"/>
        </w:rPr>
        <w:t xml:space="preserve">The text, object, and purpose </w:t>
      </w:r>
      <w:r w:rsidRPr="00156B04">
        <w:rPr>
          <w:rFonts w:cs="Times New Roman"/>
        </w:rPr>
        <w:t xml:space="preserve">reflect the compromise that lies at the heart of the </w:t>
      </w:r>
      <w:r w:rsidRPr="00156B04">
        <w:rPr>
          <w:rFonts w:cs="Times New Roman"/>
          <w:i/>
          <w:lang w:val="en-US"/>
        </w:rPr>
        <w:t>Montreal</w:t>
      </w:r>
      <w:r w:rsidRPr="00156B04">
        <w:rPr>
          <w:rFonts w:cs="Times New Roman"/>
          <w:i/>
        </w:rPr>
        <w:t xml:space="preserve"> Convention</w:t>
      </w:r>
      <w:r w:rsidRPr="00156B04">
        <w:rPr>
          <w:rFonts w:cs="Times New Roman"/>
        </w:rPr>
        <w:t xml:space="preserve">. Passengers benefit from an evidentiary presumption under Articles 17 to 19 that allows them to pursue damages without showing fault by a carrier. Articles 21 and 22 shield carriers from unlimited liability in these matters. Foreign jurisprudence has given the </w:t>
      </w:r>
      <w:r w:rsidRPr="00156B04">
        <w:rPr>
          <w:rFonts w:cs="Times New Roman"/>
          <w:i/>
          <w:lang w:val="en-US"/>
        </w:rPr>
        <w:t>Montreal</w:t>
      </w:r>
      <w:r w:rsidRPr="00156B04">
        <w:rPr>
          <w:rFonts w:eastAsia="Times New Roman" w:cs="Times New Roman"/>
          <w:i/>
        </w:rPr>
        <w:t xml:space="preserve"> </w:t>
      </w:r>
      <w:r w:rsidRPr="00156B04">
        <w:rPr>
          <w:rFonts w:cs="Times New Roman"/>
          <w:i/>
        </w:rPr>
        <w:t xml:space="preserve">Convention </w:t>
      </w:r>
      <w:r w:rsidRPr="00156B04">
        <w:rPr>
          <w:rFonts w:cs="Times New Roman"/>
        </w:rPr>
        <w:t xml:space="preserve">a meaning consistent with that which I have set out above. </w:t>
      </w:r>
    </w:p>
    <w:p w14:paraId="52083B06"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In light of this, I need not have recourse to the “supplementary means of interpretation” provided for under Article 32 of the </w:t>
      </w:r>
      <w:r w:rsidRPr="00156B04">
        <w:rPr>
          <w:rFonts w:eastAsia="Times New Roman" w:cs="Times New Roman"/>
          <w:i/>
        </w:rPr>
        <w:t>Vienna Convention</w:t>
      </w:r>
      <w:r w:rsidRPr="00156B04">
        <w:rPr>
          <w:rFonts w:eastAsia="Times New Roman" w:cs="Times New Roman"/>
        </w:rPr>
        <w:t xml:space="preserve">, though I note that the Attorney General points to the </w:t>
      </w:r>
      <w:r w:rsidRPr="00156B04">
        <w:rPr>
          <w:rFonts w:cs="Times New Roman"/>
        </w:rPr>
        <w:t>preparatory work of the treaty (one of the supplementary means provided for under Article 32) as further reinforcing my conclusion above.</w:t>
      </w:r>
      <w:r w:rsidRPr="004A20D1">
        <w:rPr>
          <w:rStyle w:val="Hyperlink"/>
          <w:vertAlign w:val="superscript"/>
        </w:rPr>
        <w:footnoteReference w:id="1"/>
      </w:r>
    </w:p>
    <w:p w14:paraId="20CD3743" w14:textId="77777777" w:rsidR="00156B04" w:rsidRPr="00156B04" w:rsidRDefault="00156B04" w:rsidP="00156B04">
      <w:pPr>
        <w:pStyle w:val="Title2LevelTitre2Niveau"/>
        <w:rPr>
          <w:rFonts w:cs="Times New Roman"/>
        </w:rPr>
      </w:pPr>
      <w:bookmarkStart w:id="40" w:name="_Toc168491265"/>
      <w:r w:rsidRPr="00156B04">
        <w:rPr>
          <w:rFonts w:cs="Times New Roman"/>
        </w:rPr>
        <w:t>The Test for Expert Evidence on Questions of International Law</w:t>
      </w:r>
      <w:bookmarkEnd w:id="40"/>
      <w:r w:rsidRPr="00156B04">
        <w:rPr>
          <w:rFonts w:cs="Times New Roman"/>
        </w:rPr>
        <w:t xml:space="preserve"> </w:t>
      </w:r>
    </w:p>
    <w:p w14:paraId="7BCDD642" w14:textId="77777777" w:rsidR="00156B04" w:rsidRPr="00156B04" w:rsidRDefault="00156B04" w:rsidP="00156B04">
      <w:pPr>
        <w:pStyle w:val="ParaNoNdepar-AltN"/>
        <w:rPr>
          <w:rFonts w:cs="Times New Roman"/>
          <w:i/>
          <w:lang w:val="en-US"/>
        </w:rPr>
      </w:pPr>
      <w:r w:rsidRPr="00156B04">
        <w:rPr>
          <w:rFonts w:eastAsia="Times New Roman" w:cs="Times New Roman"/>
          <w:lang w:val="en-US"/>
        </w:rPr>
        <w:t xml:space="preserve">In the course of dealing with state practice, the Federal Court of Appeal and the parties addressed the admissibility of expert evidence regarding international law. Before I address this, I would note an important distinction between foreign law and international law. Foreign law is the domestic law of other states </w:t>
      </w:r>
      <w:r w:rsidRPr="00156B04">
        <w:rPr>
          <w:rFonts w:cs="Times New Roman"/>
        </w:rPr>
        <w:t>(</w:t>
      </w:r>
      <w:r w:rsidRPr="00156B04">
        <w:rPr>
          <w:rFonts w:cs="Times New Roman"/>
          <w:i/>
          <w:iCs/>
        </w:rPr>
        <w:t xml:space="preserve">Hunt v. </w:t>
      </w:r>
      <w:proofErr w:type="spellStart"/>
      <w:r w:rsidRPr="00156B04">
        <w:rPr>
          <w:rFonts w:cs="Times New Roman"/>
          <w:i/>
          <w:iCs/>
        </w:rPr>
        <w:t>T&amp;N</w:t>
      </w:r>
      <w:proofErr w:type="spellEnd"/>
      <w:r w:rsidRPr="00156B04">
        <w:rPr>
          <w:rFonts w:cs="Times New Roman"/>
          <w:i/>
          <w:iCs/>
        </w:rPr>
        <w:t xml:space="preserve"> plc</w:t>
      </w:r>
      <w:r w:rsidRPr="00156B04">
        <w:rPr>
          <w:rFonts w:cs="Times New Roman"/>
        </w:rPr>
        <w:t xml:space="preserve">, [1993] 4 </w:t>
      </w:r>
      <w:proofErr w:type="spellStart"/>
      <w:r w:rsidRPr="00156B04">
        <w:rPr>
          <w:rFonts w:cs="Times New Roman"/>
        </w:rPr>
        <w:t>S.C.R</w:t>
      </w:r>
      <w:proofErr w:type="spellEnd"/>
      <w:r w:rsidRPr="00156B04">
        <w:rPr>
          <w:rFonts w:cs="Times New Roman"/>
        </w:rPr>
        <w:t>. 289, at pp. 308-9)</w:t>
      </w:r>
      <w:r w:rsidRPr="00156B04">
        <w:rPr>
          <w:rFonts w:eastAsia="Times New Roman" w:cs="Times New Roman"/>
          <w:lang w:val="en-US"/>
        </w:rPr>
        <w:t xml:space="preserve">. International law is </w:t>
      </w:r>
      <w:r w:rsidRPr="00156B04">
        <w:rPr>
          <w:rFonts w:cs="Times New Roman"/>
        </w:rPr>
        <w:t xml:space="preserve">“the law among states, but it is also a body of law enunciating certain rights and obligations that states have vis-à-vis non-state actors (such as individuals, international organizations, and other entities) and, to a more limited extent, imposing certain obligations on non-state actors in areas of concern to the international community” (J. H. Currie et al., </w:t>
      </w:r>
      <w:r w:rsidRPr="00156B04">
        <w:rPr>
          <w:rFonts w:cs="Times New Roman"/>
          <w:i/>
        </w:rPr>
        <w:t>International Law: Doctrine, Practice, and Theory</w:t>
      </w:r>
      <w:r w:rsidRPr="00156B04">
        <w:rPr>
          <w:rFonts w:cs="Times New Roman"/>
        </w:rPr>
        <w:t xml:space="preserve"> (3rd ed. 2022), at p. 14)</w:t>
      </w:r>
      <w:r w:rsidRPr="00156B04">
        <w:rPr>
          <w:rFonts w:eastAsia="Times New Roman" w:cs="Times New Roman"/>
          <w:lang w:val="en-US"/>
        </w:rPr>
        <w:t xml:space="preserve">. Foreign law is treated as a question of fact </w:t>
      </w:r>
      <w:r w:rsidRPr="00156B04">
        <w:rPr>
          <w:rFonts w:cs="Times New Roman"/>
        </w:rPr>
        <w:t>that has to be pleaded and proved, generally by way of expert evidence (</w:t>
      </w:r>
      <w:proofErr w:type="spellStart"/>
      <w:r w:rsidRPr="00156B04">
        <w:rPr>
          <w:rFonts w:cs="Times New Roman"/>
          <w:i/>
          <w:iCs/>
        </w:rPr>
        <w:t>Nevsun</w:t>
      </w:r>
      <w:proofErr w:type="spellEnd"/>
      <w:r w:rsidRPr="00156B04">
        <w:rPr>
          <w:rFonts w:cs="Times New Roman"/>
          <w:i/>
          <w:iCs/>
        </w:rPr>
        <w:t xml:space="preserve"> Resources Ltd. v. Araya</w:t>
      </w:r>
      <w:r w:rsidRPr="00156B04">
        <w:rPr>
          <w:rFonts w:cs="Times New Roman"/>
        </w:rPr>
        <w:t xml:space="preserve">, 2020 SCC 5, [2020] 1 </w:t>
      </w:r>
      <w:proofErr w:type="spellStart"/>
      <w:r w:rsidRPr="00156B04">
        <w:rPr>
          <w:rFonts w:cs="Times New Roman"/>
        </w:rPr>
        <w:t>S.C.R</w:t>
      </w:r>
      <w:proofErr w:type="spellEnd"/>
      <w:r w:rsidRPr="00156B04">
        <w:rPr>
          <w:rFonts w:cs="Times New Roman"/>
        </w:rPr>
        <w:t>. 166, at para. 97)</w:t>
      </w:r>
      <w:r w:rsidRPr="00156B04">
        <w:rPr>
          <w:rFonts w:eastAsia="Times New Roman" w:cs="Times New Roman"/>
          <w:lang w:val="en-US"/>
        </w:rPr>
        <w:t xml:space="preserve">. International law is treated as a question of law. </w:t>
      </w:r>
      <w:r w:rsidRPr="00156B04">
        <w:rPr>
          <w:rFonts w:cs="Times New Roman"/>
        </w:rPr>
        <w:t xml:space="preserve">As I explain below, the admissibility of expert evidence concerning international law depends on the same legal criteria as the admissibility of expert evidence in any other area of Canadian law. </w:t>
      </w:r>
    </w:p>
    <w:p w14:paraId="22A1A8C6" w14:textId="77777777" w:rsidR="00156B04" w:rsidRPr="00156B04" w:rsidRDefault="00156B04" w:rsidP="00156B04">
      <w:pPr>
        <w:pStyle w:val="ParaNoNdepar-AltN"/>
        <w:rPr>
          <w:rFonts w:cs="Times New Roman"/>
        </w:rPr>
      </w:pPr>
      <w:r w:rsidRPr="00156B04">
        <w:rPr>
          <w:rFonts w:cs="Times New Roman"/>
        </w:rPr>
        <w:t xml:space="preserve">In the proceedings before the </w:t>
      </w:r>
      <w:r w:rsidRPr="00156B04">
        <w:rPr>
          <w:rFonts w:eastAsia="Times New Roman" w:cs="Times New Roman"/>
          <w:lang w:val="en-US"/>
        </w:rPr>
        <w:t>Federal Court of Appeal</w:t>
      </w:r>
      <w:r w:rsidRPr="00156B04">
        <w:rPr>
          <w:rFonts w:cs="Times New Roman"/>
        </w:rPr>
        <w:t xml:space="preserve">, the Attorney General, under r. 369 of the </w:t>
      </w:r>
      <w:r w:rsidRPr="00156B04">
        <w:rPr>
          <w:rFonts w:cs="Times New Roman"/>
          <w:i/>
        </w:rPr>
        <w:t>Federal Courts Rules</w:t>
      </w:r>
      <w:r w:rsidRPr="00156B04">
        <w:rPr>
          <w:rFonts w:cs="Times New Roman"/>
        </w:rPr>
        <w:t xml:space="preserve">, </w:t>
      </w:r>
      <w:proofErr w:type="spellStart"/>
      <w:r w:rsidRPr="00156B04">
        <w:rPr>
          <w:rFonts w:cs="Times New Roman"/>
        </w:rPr>
        <w:t>SOR</w:t>
      </w:r>
      <w:proofErr w:type="spellEnd"/>
      <w:r w:rsidRPr="00156B04">
        <w:rPr>
          <w:rFonts w:cs="Times New Roman"/>
        </w:rPr>
        <w:t xml:space="preserve">/98-106, sought an order striking out portions of expert affidavits filed by the appellants. </w:t>
      </w:r>
    </w:p>
    <w:p w14:paraId="2ED48514" w14:textId="77777777" w:rsidR="00156B04" w:rsidRPr="00156B04" w:rsidRDefault="00156B04" w:rsidP="00156B04">
      <w:pPr>
        <w:pStyle w:val="ParaNoNdepar-AltN"/>
        <w:rPr>
          <w:rFonts w:eastAsiaTheme="minorHAnsi" w:cs="Times New Roman"/>
        </w:rPr>
      </w:pPr>
      <w:r w:rsidRPr="00156B04">
        <w:rPr>
          <w:rFonts w:cs="Times New Roman"/>
        </w:rPr>
        <w:t xml:space="preserve">In the merits proceedings, Justice de </w:t>
      </w:r>
      <w:proofErr w:type="spellStart"/>
      <w:r w:rsidRPr="00156B04">
        <w:rPr>
          <w:rFonts w:cs="Times New Roman"/>
        </w:rPr>
        <w:t>Montigny</w:t>
      </w:r>
      <w:proofErr w:type="spellEnd"/>
      <w:r w:rsidRPr="00156B04">
        <w:rPr>
          <w:rFonts w:cs="Times New Roman"/>
        </w:rPr>
        <w:t xml:space="preserve"> ruled that “[t]he normative content of international law falls within the bailiwick of the court’s exclusive jurisdiction” and therefore the offending paragraphs of the affidavits should be struck (C.A. reasons, at para. 66). </w:t>
      </w:r>
    </w:p>
    <w:p w14:paraId="2A021F3E" w14:textId="77777777" w:rsidR="00156B04" w:rsidRPr="00156B04" w:rsidRDefault="00156B04" w:rsidP="00156B04">
      <w:pPr>
        <w:pStyle w:val="ParaNoNdepar-AltN"/>
        <w:rPr>
          <w:rFonts w:cs="Times New Roman"/>
          <w:lang w:val="fr-CA"/>
        </w:rPr>
      </w:pPr>
      <w:r w:rsidRPr="00156B04">
        <w:rPr>
          <w:rFonts w:eastAsiaTheme="minorHAnsi" w:cs="Times New Roman"/>
        </w:rPr>
        <w:t xml:space="preserve">Justice de </w:t>
      </w:r>
      <w:proofErr w:type="spellStart"/>
      <w:r w:rsidRPr="00156B04">
        <w:rPr>
          <w:rFonts w:eastAsiaTheme="minorHAnsi" w:cs="Times New Roman"/>
        </w:rPr>
        <w:t>Montigny</w:t>
      </w:r>
      <w:proofErr w:type="spellEnd"/>
      <w:r w:rsidRPr="00156B04">
        <w:rPr>
          <w:rFonts w:eastAsiaTheme="minorHAnsi" w:cs="Times New Roman"/>
        </w:rPr>
        <w:t xml:space="preserve"> noted that the case law has not been consistent in its treatment of expert evidence regarding international law. Some appellate courts have taken judicial notice of international law (see </w:t>
      </w:r>
      <w:proofErr w:type="spellStart"/>
      <w:r w:rsidRPr="00156B04">
        <w:rPr>
          <w:rFonts w:eastAsia="Times New Roman" w:cs="Times New Roman"/>
          <w:i/>
        </w:rPr>
        <w:t>Turp</w:t>
      </w:r>
      <w:proofErr w:type="spellEnd"/>
      <w:r w:rsidRPr="00156B04">
        <w:rPr>
          <w:rFonts w:eastAsia="Times New Roman" w:cs="Times New Roman"/>
          <w:i/>
        </w:rPr>
        <w:t xml:space="preserve"> v. Canada (Foreign Affairs)</w:t>
      </w:r>
      <w:r w:rsidRPr="00156B04">
        <w:rPr>
          <w:rFonts w:eastAsia="Times New Roman" w:cs="Times New Roman"/>
        </w:rPr>
        <w:t xml:space="preserve">, 2018 </w:t>
      </w:r>
      <w:proofErr w:type="spellStart"/>
      <w:r w:rsidRPr="00156B04">
        <w:rPr>
          <w:rFonts w:eastAsia="Times New Roman" w:cs="Times New Roman"/>
        </w:rPr>
        <w:t>FCA</w:t>
      </w:r>
      <w:proofErr w:type="spellEnd"/>
      <w:r w:rsidRPr="00156B04">
        <w:rPr>
          <w:rFonts w:eastAsia="Times New Roman" w:cs="Times New Roman"/>
        </w:rPr>
        <w:t xml:space="preserve"> 133, [2019] 1 </w:t>
      </w:r>
      <w:proofErr w:type="spellStart"/>
      <w:r w:rsidRPr="00156B04">
        <w:rPr>
          <w:rFonts w:eastAsia="Times New Roman" w:cs="Times New Roman"/>
        </w:rPr>
        <w:t>F.C.R</w:t>
      </w:r>
      <w:proofErr w:type="spellEnd"/>
      <w:r w:rsidRPr="00156B04">
        <w:rPr>
          <w:rFonts w:eastAsia="Times New Roman" w:cs="Times New Roman"/>
        </w:rPr>
        <w:t>. 198</w:t>
      </w:r>
      <w:r w:rsidRPr="00156B04">
        <w:rPr>
          <w:rFonts w:eastAsiaTheme="minorHAnsi" w:cs="Times New Roman"/>
        </w:rPr>
        <w:t xml:space="preserve">) or have otherwise considered questions of customary and conventional international law without recourse to expert evidence (e.g., </w:t>
      </w:r>
      <w:r w:rsidRPr="00156B04">
        <w:rPr>
          <w:rFonts w:eastAsiaTheme="minorHAnsi" w:cs="Times New Roman"/>
          <w:i/>
        </w:rPr>
        <w:t>Suresh v. Canada (Minister of Citizenship and Immigration)</w:t>
      </w:r>
      <w:r w:rsidRPr="00156B04">
        <w:rPr>
          <w:rFonts w:eastAsiaTheme="minorHAnsi" w:cs="Times New Roman"/>
        </w:rPr>
        <w:t xml:space="preserve">, 2002 SCC 1, [2002] 1 </w:t>
      </w:r>
      <w:proofErr w:type="spellStart"/>
      <w:r w:rsidRPr="00156B04">
        <w:rPr>
          <w:rFonts w:eastAsiaTheme="minorHAnsi" w:cs="Times New Roman"/>
        </w:rPr>
        <w:t>S.C.R</w:t>
      </w:r>
      <w:proofErr w:type="spellEnd"/>
      <w:r w:rsidRPr="00156B04">
        <w:rPr>
          <w:rFonts w:eastAsiaTheme="minorHAnsi" w:cs="Times New Roman"/>
        </w:rPr>
        <w:t>. 3</w:t>
      </w:r>
      <w:r w:rsidRPr="00156B04">
        <w:rPr>
          <w:rFonts w:cs="Times New Roman"/>
        </w:rPr>
        <w:t xml:space="preserve"> (considering peremptory norms of international law); </w:t>
      </w:r>
      <w:proofErr w:type="spellStart"/>
      <w:r w:rsidRPr="00156B04">
        <w:rPr>
          <w:rFonts w:cs="Times New Roman"/>
          <w:i/>
        </w:rPr>
        <w:t>Yugraneft</w:t>
      </w:r>
      <w:proofErr w:type="spellEnd"/>
      <w:r w:rsidRPr="00156B04">
        <w:rPr>
          <w:rFonts w:cs="Times New Roman"/>
          <w:i/>
        </w:rPr>
        <w:t xml:space="preserve"> Corp.</w:t>
      </w:r>
      <w:r w:rsidRPr="00156B04">
        <w:rPr>
          <w:rFonts w:cs="Times New Roman"/>
        </w:rPr>
        <w:t xml:space="preserve">, at paras. 19 and 21 (considering the </w:t>
      </w:r>
      <w:r w:rsidRPr="00156B04">
        <w:rPr>
          <w:rFonts w:cs="Times New Roman"/>
          <w:i/>
          <w:iCs/>
        </w:rPr>
        <w:t>Convention on the Recognition and Enforcement of Foreign Arbitral Awards</w:t>
      </w:r>
      <w:r w:rsidRPr="00156B04">
        <w:rPr>
          <w:rFonts w:cs="Times New Roman"/>
        </w:rPr>
        <w:t xml:space="preserve">, Can. </w:t>
      </w:r>
      <w:proofErr w:type="spellStart"/>
      <w:r w:rsidRPr="00156B04">
        <w:rPr>
          <w:rFonts w:cs="Times New Roman"/>
        </w:rPr>
        <w:t>T.S</w:t>
      </w:r>
      <w:proofErr w:type="spellEnd"/>
      <w:r w:rsidRPr="00156B04">
        <w:rPr>
          <w:rFonts w:cs="Times New Roman"/>
        </w:rPr>
        <w:t>. 1986 No. 43)</w:t>
      </w:r>
      <w:r w:rsidRPr="00156B04">
        <w:rPr>
          <w:rFonts w:eastAsiaTheme="minorHAnsi" w:cs="Times New Roman"/>
        </w:rPr>
        <w:t>). However, on at least two occasions, courts have admitted expert evidence on questions of international law (</w:t>
      </w:r>
      <w:r w:rsidRPr="00156B04">
        <w:rPr>
          <w:rFonts w:cs="Times New Roman"/>
          <w:i/>
        </w:rPr>
        <w:t xml:space="preserve">Holding Tusculum </w:t>
      </w:r>
      <w:proofErr w:type="spellStart"/>
      <w:r w:rsidRPr="00156B04">
        <w:rPr>
          <w:rFonts w:cs="Times New Roman"/>
          <w:i/>
        </w:rPr>
        <w:t>B.V</w:t>
      </w:r>
      <w:proofErr w:type="spellEnd"/>
      <w:r w:rsidRPr="00156B04">
        <w:rPr>
          <w:rFonts w:cs="Times New Roman"/>
          <w:i/>
        </w:rPr>
        <w:t xml:space="preserve">. </w:t>
      </w:r>
      <w:r w:rsidRPr="00156B04">
        <w:rPr>
          <w:rFonts w:cs="Times New Roman"/>
          <w:i/>
          <w:lang w:val="en-US"/>
        </w:rPr>
        <w:t xml:space="preserve">v. S.A. Louis Dreyfus &amp; </w:t>
      </w:r>
      <w:proofErr w:type="spellStart"/>
      <w:r w:rsidRPr="00156B04">
        <w:rPr>
          <w:rFonts w:cs="Times New Roman"/>
          <w:i/>
          <w:lang w:val="en-US"/>
        </w:rPr>
        <w:t>Cie</w:t>
      </w:r>
      <w:proofErr w:type="spellEnd"/>
      <w:r w:rsidRPr="00156B04">
        <w:rPr>
          <w:rFonts w:cs="Times New Roman"/>
          <w:lang w:val="en-US"/>
        </w:rPr>
        <w:t xml:space="preserve">, 2006 </w:t>
      </w:r>
      <w:proofErr w:type="spellStart"/>
      <w:r w:rsidRPr="00156B04">
        <w:rPr>
          <w:rFonts w:cs="Times New Roman"/>
          <w:lang w:val="en-US"/>
        </w:rPr>
        <w:t>QCCS</w:t>
      </w:r>
      <w:proofErr w:type="spellEnd"/>
      <w:r w:rsidRPr="00156B04">
        <w:rPr>
          <w:rFonts w:cs="Times New Roman"/>
          <w:lang w:val="en-US"/>
        </w:rPr>
        <w:t xml:space="preserve"> 2827, at para. </w:t>
      </w:r>
      <w:r w:rsidRPr="00156B04">
        <w:rPr>
          <w:rFonts w:cs="Times New Roman"/>
          <w:lang w:val="fr-CA"/>
        </w:rPr>
        <w:t>16 (</w:t>
      </w:r>
      <w:proofErr w:type="spellStart"/>
      <w:r w:rsidRPr="00156B04">
        <w:rPr>
          <w:rFonts w:cs="Times New Roman"/>
          <w:lang w:val="fr-CA"/>
        </w:rPr>
        <w:t>CanLII</w:t>
      </w:r>
      <w:proofErr w:type="spellEnd"/>
      <w:r w:rsidRPr="00156B04">
        <w:rPr>
          <w:rFonts w:cs="Times New Roman"/>
          <w:lang w:val="fr-CA"/>
        </w:rPr>
        <w:t>); </w:t>
      </w:r>
      <w:r w:rsidRPr="00156B04">
        <w:rPr>
          <w:rFonts w:cs="Times New Roman"/>
          <w:i/>
          <w:lang w:val="fr-CA"/>
        </w:rPr>
        <w:t>Fédération des travailleurs du Québec (</w:t>
      </w:r>
      <w:proofErr w:type="spellStart"/>
      <w:r w:rsidRPr="00156B04">
        <w:rPr>
          <w:rFonts w:cs="Times New Roman"/>
          <w:i/>
          <w:lang w:val="fr-CA"/>
        </w:rPr>
        <w:t>FTQ</w:t>
      </w:r>
      <w:proofErr w:type="spellEnd"/>
      <w:r w:rsidRPr="00156B04">
        <w:rPr>
          <w:rFonts w:cs="Times New Roman"/>
          <w:i/>
          <w:lang w:val="fr-CA"/>
        </w:rPr>
        <w:t xml:space="preserve"> - Construction) v. Procureure générale du Québec</w:t>
      </w:r>
      <w:r w:rsidRPr="00156B04">
        <w:rPr>
          <w:rFonts w:cs="Times New Roman"/>
          <w:lang w:val="fr-CA"/>
        </w:rPr>
        <w:t xml:space="preserve">, 2018 </w:t>
      </w:r>
      <w:proofErr w:type="spellStart"/>
      <w:r w:rsidRPr="00156B04">
        <w:rPr>
          <w:rFonts w:cs="Times New Roman"/>
          <w:lang w:val="fr-CA"/>
        </w:rPr>
        <w:t>QCCS</w:t>
      </w:r>
      <w:proofErr w:type="spellEnd"/>
      <w:r w:rsidRPr="00156B04">
        <w:rPr>
          <w:rFonts w:cs="Times New Roman"/>
          <w:lang w:val="fr-CA"/>
        </w:rPr>
        <w:t xml:space="preserve"> 4548, at para. 20 (</w:t>
      </w:r>
      <w:proofErr w:type="spellStart"/>
      <w:r w:rsidRPr="00156B04">
        <w:rPr>
          <w:rFonts w:cs="Times New Roman"/>
          <w:lang w:val="fr-CA"/>
        </w:rPr>
        <w:t>CanLII</w:t>
      </w:r>
      <w:proofErr w:type="spellEnd"/>
      <w:r w:rsidRPr="00156B04">
        <w:rPr>
          <w:rFonts w:cs="Times New Roman"/>
          <w:lang w:val="fr-CA"/>
        </w:rPr>
        <w:t xml:space="preserve">)). </w:t>
      </w:r>
    </w:p>
    <w:p w14:paraId="2E75523C" w14:textId="77777777" w:rsidR="00156B04" w:rsidRPr="00156B04" w:rsidRDefault="00156B04" w:rsidP="00156B04">
      <w:pPr>
        <w:pStyle w:val="ParaNoNdepar-AltN"/>
        <w:rPr>
          <w:rFonts w:eastAsia="Times New Roman" w:cs="Times New Roman"/>
          <w:bCs/>
        </w:rPr>
      </w:pPr>
      <w:r w:rsidRPr="00156B04">
        <w:rPr>
          <w:rFonts w:eastAsia="Times New Roman" w:cs="Times New Roman"/>
        </w:rPr>
        <w:t xml:space="preserve">The appellants, the Attorney General and the Federal Court of Appeal have sought clarification on this issue. I agree that such </w:t>
      </w:r>
      <w:r w:rsidRPr="00156B04">
        <w:rPr>
          <w:rFonts w:cs="Times New Roman"/>
        </w:rPr>
        <w:t>clarification is timely.</w:t>
      </w:r>
      <w:r w:rsidRPr="00156B04">
        <w:rPr>
          <w:rFonts w:eastAsia="Times New Roman" w:cs="Times New Roman"/>
          <w:bCs/>
        </w:rPr>
        <w:t xml:space="preserve"> </w:t>
      </w:r>
    </w:p>
    <w:p w14:paraId="65E090ED" w14:textId="77777777" w:rsidR="00156B04" w:rsidRPr="00156B04" w:rsidRDefault="00156B04" w:rsidP="00156B04">
      <w:pPr>
        <w:pStyle w:val="Title3LevelTitre3Niveau"/>
        <w:rPr>
          <w:rFonts w:cs="Times New Roman"/>
        </w:rPr>
      </w:pPr>
      <w:bookmarkStart w:id="41" w:name="_Toc168491266"/>
      <w:r w:rsidRPr="00156B04">
        <w:rPr>
          <w:rFonts w:cs="Times New Roman"/>
          <w:i/>
        </w:rPr>
        <w:t xml:space="preserve">Mohan </w:t>
      </w:r>
      <w:r w:rsidRPr="00156B04">
        <w:rPr>
          <w:rFonts w:cs="Times New Roman"/>
        </w:rPr>
        <w:t>Governs Expert Evidence on Questions of International Law</w:t>
      </w:r>
      <w:bookmarkEnd w:id="41"/>
      <w:r w:rsidRPr="00156B04">
        <w:rPr>
          <w:rFonts w:cs="Times New Roman"/>
        </w:rPr>
        <w:t xml:space="preserve"> </w:t>
      </w:r>
    </w:p>
    <w:p w14:paraId="7324B8B9"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The appellants and the Attorney General are, for the most part, </w:t>
      </w:r>
      <w:r w:rsidRPr="00156B04">
        <w:rPr>
          <w:rFonts w:eastAsia="Times New Roman" w:cs="Times New Roman"/>
          <w:i/>
        </w:rPr>
        <w:t xml:space="preserve">ad idem </w:t>
      </w:r>
      <w:r w:rsidRPr="00156B04">
        <w:rPr>
          <w:rFonts w:eastAsia="Times New Roman" w:cs="Times New Roman"/>
        </w:rPr>
        <w:t xml:space="preserve">that the </w:t>
      </w:r>
      <w:r w:rsidRPr="00156B04">
        <w:rPr>
          <w:rFonts w:eastAsia="Times New Roman" w:cs="Times New Roman"/>
          <w:i/>
        </w:rPr>
        <w:t xml:space="preserve">Mohan </w:t>
      </w:r>
      <w:r w:rsidRPr="00156B04">
        <w:rPr>
          <w:rFonts w:eastAsia="Times New Roman" w:cs="Times New Roman"/>
        </w:rPr>
        <w:t>framework be used to determine the admissibility of the expert evidence. The appellants submit that “[e]</w:t>
      </w:r>
      <w:proofErr w:type="spellStart"/>
      <w:r w:rsidRPr="00156B04">
        <w:rPr>
          <w:rFonts w:eastAsia="Times New Roman" w:cs="Times New Roman"/>
        </w:rPr>
        <w:t>xpert</w:t>
      </w:r>
      <w:proofErr w:type="spellEnd"/>
      <w:r w:rsidRPr="00156B04">
        <w:rPr>
          <w:rFonts w:eastAsia="Times New Roman" w:cs="Times New Roman"/>
        </w:rPr>
        <w:t xml:space="preserve"> evidence is necessary when it is likely to provide information outside the judge’s experience and knowledge” (</w:t>
      </w:r>
      <w:proofErr w:type="spellStart"/>
      <w:r w:rsidRPr="00156B04">
        <w:rPr>
          <w:rFonts w:eastAsia="Times New Roman" w:cs="Times New Roman"/>
        </w:rPr>
        <w:t>A.F</w:t>
      </w:r>
      <w:proofErr w:type="spellEnd"/>
      <w:r w:rsidRPr="00156B04">
        <w:rPr>
          <w:rFonts w:eastAsia="Times New Roman" w:cs="Times New Roman"/>
        </w:rPr>
        <w:t xml:space="preserve">., at para. 107). </w:t>
      </w:r>
      <w:r w:rsidRPr="00156B04">
        <w:rPr>
          <w:rFonts w:cs="Times New Roman"/>
        </w:rPr>
        <w:t>The appellants submit that it</w:t>
      </w:r>
      <w:r w:rsidRPr="00156B04">
        <w:rPr>
          <w:rFonts w:eastAsia="Times New Roman" w:cs="Times New Roman"/>
        </w:rPr>
        <w:t xml:space="preserve"> may be “necessary for a court to receive expert evidence where the normative content of international law is unsettled, controversial or emerging” (para. 111). They further argue that Canadian judges may find it difficult to ascertain the content of international law because it implicates practice in foreign states, making expert evidence important in this context. The Attorney General agrees that </w:t>
      </w:r>
      <w:r w:rsidRPr="00156B04">
        <w:rPr>
          <w:rFonts w:eastAsia="Times New Roman" w:cs="Times New Roman"/>
          <w:i/>
        </w:rPr>
        <w:t xml:space="preserve">Mohan </w:t>
      </w:r>
      <w:r w:rsidRPr="00156B04">
        <w:rPr>
          <w:rFonts w:eastAsia="Times New Roman" w:cs="Times New Roman"/>
        </w:rPr>
        <w:t xml:space="preserve">governs, but argues that expert evidence on a legal issue before the court is inadmissible as such expert evidence would usurp the court’s role. Justice de </w:t>
      </w:r>
      <w:proofErr w:type="spellStart"/>
      <w:r w:rsidRPr="00156B04">
        <w:rPr>
          <w:rFonts w:eastAsia="Times New Roman" w:cs="Times New Roman"/>
        </w:rPr>
        <w:t>Montigny</w:t>
      </w:r>
      <w:proofErr w:type="spellEnd"/>
      <w:r w:rsidRPr="00156B04">
        <w:rPr>
          <w:rFonts w:eastAsia="Times New Roman" w:cs="Times New Roman"/>
        </w:rPr>
        <w:t xml:space="preserve">, in weighing these arguments, noted that whether “international law [should] be treated as a question of fact” is “a vexed question” (C.A. reasons, at para. 46). </w:t>
      </w:r>
    </w:p>
    <w:p w14:paraId="62CF8F3C" w14:textId="77777777" w:rsidR="00156B04" w:rsidRPr="00156B04" w:rsidRDefault="00156B04" w:rsidP="00156B04">
      <w:pPr>
        <w:pStyle w:val="ParaNoNdepar-AltN"/>
        <w:rPr>
          <w:rFonts w:cs="Times New Roman"/>
        </w:rPr>
      </w:pPr>
      <w:r w:rsidRPr="00156B04">
        <w:rPr>
          <w:rFonts w:cs="Times New Roman"/>
        </w:rPr>
        <w:t xml:space="preserve">While some courts of first instance deal infrequently with international law, others do so with more regularity. For example, the Federal Court often encounters international legal issues due to the nature of its jurisdiction. The approach of some courts of first instance to expert evidence has been described as “inconsistent, and often under-reasoned” (G. van </w:t>
      </w:r>
      <w:proofErr w:type="spellStart"/>
      <w:r w:rsidRPr="00156B04">
        <w:rPr>
          <w:rFonts w:cs="Times New Roman"/>
        </w:rPr>
        <w:t>Ert</w:t>
      </w:r>
      <w:proofErr w:type="spellEnd"/>
      <w:r w:rsidRPr="00156B04">
        <w:rPr>
          <w:rFonts w:cs="Times New Roman"/>
        </w:rPr>
        <w:t xml:space="preserve">, </w:t>
      </w:r>
      <w:r w:rsidRPr="00156B04">
        <w:rPr>
          <w:rFonts w:cs="Times New Roman"/>
          <w:i/>
        </w:rPr>
        <w:t>Recent Federal Courts decisions on expert evidence of international law</w:t>
      </w:r>
      <w:r w:rsidRPr="00156B04">
        <w:rPr>
          <w:rFonts w:cs="Times New Roman"/>
        </w:rPr>
        <w:t xml:space="preserve">, December 31, 2018 (online); see also G. van </w:t>
      </w:r>
      <w:proofErr w:type="spellStart"/>
      <w:r w:rsidRPr="00156B04">
        <w:rPr>
          <w:rFonts w:cs="Times New Roman"/>
        </w:rPr>
        <w:t>Ert</w:t>
      </w:r>
      <w:proofErr w:type="spellEnd"/>
      <w:r w:rsidRPr="00156B04">
        <w:rPr>
          <w:rFonts w:cs="Times New Roman"/>
        </w:rPr>
        <w:t xml:space="preserve">, “The Admissibility of International Legal Evidence” (2005), 84 </w:t>
      </w:r>
      <w:r w:rsidRPr="00156B04">
        <w:rPr>
          <w:rFonts w:cs="Times New Roman"/>
          <w:i/>
        </w:rPr>
        <w:t>Can. Bar Rev.</w:t>
      </w:r>
      <w:r w:rsidRPr="00156B04">
        <w:rPr>
          <w:rFonts w:cs="Times New Roman"/>
        </w:rPr>
        <w:t xml:space="preserve"> 31). As a result, clarification of how to determine the admissibility of expert evidence, when such is necessary, may be beneficial. </w:t>
      </w:r>
    </w:p>
    <w:p w14:paraId="4FB6DEB7" w14:textId="77777777" w:rsidR="00156B04" w:rsidRPr="00156B04" w:rsidRDefault="00156B04" w:rsidP="00156B04">
      <w:pPr>
        <w:pStyle w:val="ParaNoNdepar-AltN"/>
        <w:rPr>
          <w:rFonts w:cs="Times New Roman"/>
        </w:rPr>
      </w:pPr>
      <w:r w:rsidRPr="00156B04">
        <w:rPr>
          <w:rFonts w:eastAsia="Times New Roman" w:cs="Times New Roman"/>
        </w:rPr>
        <w:t xml:space="preserve">The test from </w:t>
      </w:r>
      <w:r w:rsidRPr="00156B04">
        <w:rPr>
          <w:rFonts w:eastAsia="Times New Roman" w:cs="Times New Roman"/>
          <w:i/>
        </w:rPr>
        <w:t>Mohan</w:t>
      </w:r>
      <w:r w:rsidRPr="00156B04">
        <w:rPr>
          <w:rFonts w:eastAsia="Times New Roman" w:cs="Times New Roman"/>
        </w:rPr>
        <w:t xml:space="preserve"> should be applied in the context of international law as it is in other circumstances where expert evidence is sought to be admitted. Under the </w:t>
      </w:r>
      <w:r w:rsidRPr="00156B04">
        <w:rPr>
          <w:rFonts w:eastAsia="Times New Roman" w:cs="Times New Roman"/>
          <w:i/>
        </w:rPr>
        <w:t xml:space="preserve">Mohan </w:t>
      </w:r>
      <w:r w:rsidRPr="00156B04">
        <w:rPr>
          <w:rFonts w:eastAsia="Times New Roman" w:cs="Times New Roman"/>
        </w:rPr>
        <w:t>test, expert evidence is admissible when it is “</w:t>
      </w:r>
      <w:bookmarkStart w:id="42" w:name="_Hlk168062825"/>
      <w:r w:rsidRPr="00156B04">
        <w:rPr>
          <w:rFonts w:eastAsia="Times New Roman" w:cs="Times New Roman"/>
        </w:rPr>
        <w:t xml:space="preserve">necessary in the sense that it provides information ‘which is likely to be outside the experience and knowledge of a </w:t>
      </w:r>
      <w:proofErr w:type="gramStart"/>
      <w:r w:rsidRPr="00156B04">
        <w:rPr>
          <w:rFonts w:eastAsia="Times New Roman" w:cs="Times New Roman"/>
        </w:rPr>
        <w:t>judge .</w:t>
      </w:r>
      <w:proofErr w:type="gramEnd"/>
      <w:r w:rsidRPr="00156B04">
        <w:rPr>
          <w:rFonts w:eastAsia="Times New Roman" w:cs="Times New Roman"/>
        </w:rPr>
        <w:t> . .’</w:t>
      </w:r>
      <w:bookmarkEnd w:id="42"/>
      <w:r w:rsidRPr="00156B04">
        <w:rPr>
          <w:rFonts w:eastAsia="Times New Roman" w:cs="Times New Roman"/>
        </w:rPr>
        <w:t xml:space="preserve">” (p. 23, quoting </w:t>
      </w:r>
      <w:r w:rsidRPr="00156B04">
        <w:rPr>
          <w:rFonts w:eastAsia="Times New Roman" w:cs="Times New Roman"/>
          <w:i/>
        </w:rPr>
        <w:t>R. v. Abbey</w:t>
      </w:r>
      <w:r w:rsidRPr="00156B04">
        <w:rPr>
          <w:rFonts w:eastAsia="Times New Roman" w:cs="Times New Roman"/>
        </w:rPr>
        <w:t xml:space="preserve">, [1982] 2 </w:t>
      </w:r>
      <w:proofErr w:type="spellStart"/>
      <w:r w:rsidRPr="00156B04">
        <w:rPr>
          <w:rFonts w:eastAsia="Times New Roman" w:cs="Times New Roman"/>
        </w:rPr>
        <w:t>S.C.R</w:t>
      </w:r>
      <w:proofErr w:type="spellEnd"/>
      <w:r w:rsidRPr="00156B04">
        <w:rPr>
          <w:rFonts w:eastAsia="Times New Roman" w:cs="Times New Roman"/>
        </w:rPr>
        <w:t xml:space="preserve">. 24). The test is as follows: At the first stage, judges must consider the threshold requirements of admissibility set out in </w:t>
      </w:r>
      <w:r w:rsidRPr="00156B04">
        <w:rPr>
          <w:rFonts w:eastAsia="Times New Roman" w:cs="Times New Roman"/>
          <w:i/>
        </w:rPr>
        <w:t>Mohan</w:t>
      </w:r>
      <w:r w:rsidRPr="00156B04">
        <w:rPr>
          <w:rFonts w:eastAsia="Times New Roman" w:cs="Times New Roman"/>
        </w:rPr>
        <w:t>. There are four threshold requirements: “. . . (1) relevance; (2) necessity in assisting the trier of fact; (3) absence of an exclusionary rule; and (4) a properly qualified expert . . .” (</w:t>
      </w:r>
      <w:r w:rsidRPr="00156B04">
        <w:rPr>
          <w:rFonts w:eastAsia="Times New Roman" w:cs="Times New Roman"/>
          <w:i/>
        </w:rPr>
        <w:t xml:space="preserve">White Burgess </w:t>
      </w:r>
      <w:proofErr w:type="spellStart"/>
      <w:r w:rsidRPr="00156B04">
        <w:rPr>
          <w:rFonts w:eastAsia="Times New Roman" w:cs="Times New Roman"/>
          <w:i/>
        </w:rPr>
        <w:t>Langille</w:t>
      </w:r>
      <w:proofErr w:type="spellEnd"/>
      <w:r w:rsidRPr="00156B04">
        <w:rPr>
          <w:rFonts w:eastAsia="Times New Roman" w:cs="Times New Roman"/>
          <w:i/>
        </w:rPr>
        <w:t xml:space="preserve"> Inman v. Abbott and Haliburton Co.</w:t>
      </w:r>
      <w:r w:rsidRPr="00156B04">
        <w:rPr>
          <w:rFonts w:eastAsia="Times New Roman" w:cs="Times New Roman"/>
        </w:rPr>
        <w:t xml:space="preserve">, 2015 SCC 23, [2015] 2 </w:t>
      </w:r>
      <w:proofErr w:type="spellStart"/>
      <w:r w:rsidRPr="00156B04">
        <w:rPr>
          <w:rFonts w:eastAsia="Times New Roman" w:cs="Times New Roman"/>
        </w:rPr>
        <w:t>S.C.R</w:t>
      </w:r>
      <w:proofErr w:type="spellEnd"/>
      <w:r w:rsidRPr="00156B04">
        <w:rPr>
          <w:rFonts w:eastAsia="Times New Roman" w:cs="Times New Roman"/>
        </w:rPr>
        <w:t xml:space="preserve">. 182, at para. 19, citing </w:t>
      </w:r>
      <w:r w:rsidRPr="00156B04">
        <w:rPr>
          <w:rFonts w:eastAsia="Times New Roman" w:cs="Times New Roman"/>
          <w:i/>
        </w:rPr>
        <w:t>Mohan</w:t>
      </w:r>
      <w:r w:rsidRPr="00156B04">
        <w:rPr>
          <w:rFonts w:eastAsia="Times New Roman" w:cs="Times New Roman"/>
        </w:rPr>
        <w:t xml:space="preserve">, at pp. 20-25). At the second stage — the discretionary “gatekeeping” stage — judges must balance the potential risks and benefits of admitting the evidence and determine whether the benefits outweigh the risks. </w:t>
      </w:r>
      <w:bookmarkStart w:id="43" w:name="_Hlk177035359"/>
      <w:r w:rsidRPr="00156B04">
        <w:rPr>
          <w:rFonts w:eastAsia="Times New Roman" w:cs="Times New Roman"/>
          <w:i/>
        </w:rPr>
        <w:t>Mohan</w:t>
      </w:r>
      <w:r w:rsidRPr="00156B04">
        <w:rPr>
          <w:rFonts w:eastAsia="Times New Roman" w:cs="Times New Roman"/>
        </w:rPr>
        <w:t>’s “basic structure for the law relating to the admissibility of expert opinion evidence” is applicable in a wide range of contexts outside the experience of judges (</w:t>
      </w:r>
      <w:r w:rsidRPr="00156B04">
        <w:rPr>
          <w:rFonts w:eastAsia="Times New Roman" w:cs="Times New Roman"/>
          <w:i/>
        </w:rPr>
        <w:t>White Burgess</w:t>
      </w:r>
      <w:r w:rsidRPr="00156B04">
        <w:rPr>
          <w:rFonts w:eastAsia="Times New Roman" w:cs="Times New Roman"/>
        </w:rPr>
        <w:t xml:space="preserve">, at para. 19). </w:t>
      </w:r>
      <w:bookmarkStart w:id="44" w:name="_Hlk177035365"/>
      <w:bookmarkEnd w:id="43"/>
      <w:r w:rsidRPr="00156B04">
        <w:rPr>
          <w:rFonts w:eastAsia="Times New Roman" w:cs="Times New Roman"/>
        </w:rPr>
        <w:t xml:space="preserve">See, for example, </w:t>
      </w:r>
      <w:r w:rsidRPr="00156B04">
        <w:rPr>
          <w:rFonts w:eastAsia="Times New Roman" w:cs="Times New Roman"/>
          <w:i/>
        </w:rPr>
        <w:t>M</w:t>
      </w:r>
      <w:r w:rsidRPr="00156B04">
        <w:rPr>
          <w:rFonts w:cs="Times New Roman"/>
          <w:i/>
          <w:iCs/>
        </w:rPr>
        <w:t xml:space="preserve">asterpiece Inc. v. </w:t>
      </w:r>
      <w:proofErr w:type="spellStart"/>
      <w:r w:rsidRPr="00156B04">
        <w:rPr>
          <w:rFonts w:cs="Times New Roman"/>
          <w:i/>
          <w:iCs/>
        </w:rPr>
        <w:t>Alavida</w:t>
      </w:r>
      <w:proofErr w:type="spellEnd"/>
      <w:r w:rsidRPr="00156B04">
        <w:rPr>
          <w:rFonts w:cs="Times New Roman"/>
          <w:i/>
          <w:iCs/>
        </w:rPr>
        <w:t xml:space="preserve"> Lifestyles Inc.</w:t>
      </w:r>
      <w:r w:rsidRPr="00156B04">
        <w:rPr>
          <w:rFonts w:cs="Times New Roman"/>
        </w:rPr>
        <w:t>,</w:t>
      </w:r>
      <w:r w:rsidRPr="00156B04">
        <w:rPr>
          <w:rFonts w:cs="Times New Roman"/>
          <w:i/>
          <w:iCs/>
        </w:rPr>
        <w:t> </w:t>
      </w:r>
      <w:r w:rsidRPr="00156B04">
        <w:rPr>
          <w:rFonts w:cs="Times New Roman"/>
        </w:rPr>
        <w:t xml:space="preserve">2011 SCC 27, [2011] 2 </w:t>
      </w:r>
      <w:proofErr w:type="spellStart"/>
      <w:r w:rsidRPr="00156B04">
        <w:rPr>
          <w:rFonts w:cs="Times New Roman"/>
        </w:rPr>
        <w:t>S.C.R</w:t>
      </w:r>
      <w:proofErr w:type="spellEnd"/>
      <w:r w:rsidRPr="00156B04">
        <w:rPr>
          <w:rFonts w:cs="Times New Roman"/>
        </w:rPr>
        <w:t xml:space="preserve">. 387, at para. 75 (intellectual property); </w:t>
      </w:r>
      <w:proofErr w:type="spellStart"/>
      <w:r w:rsidRPr="00156B04">
        <w:rPr>
          <w:rFonts w:cs="Times New Roman"/>
          <w:i/>
        </w:rPr>
        <w:t>Clayson</w:t>
      </w:r>
      <w:proofErr w:type="spellEnd"/>
      <w:r w:rsidRPr="00156B04">
        <w:rPr>
          <w:rFonts w:cs="Times New Roman"/>
          <w:i/>
        </w:rPr>
        <w:t>-Martin v. Martin</w:t>
      </w:r>
      <w:r w:rsidRPr="00156B04">
        <w:rPr>
          <w:rFonts w:cs="Times New Roman"/>
        </w:rPr>
        <w:t xml:space="preserve">, 2015 </w:t>
      </w:r>
      <w:proofErr w:type="spellStart"/>
      <w:r w:rsidRPr="00156B04">
        <w:rPr>
          <w:rFonts w:cs="Times New Roman"/>
        </w:rPr>
        <w:t>ONCA</w:t>
      </w:r>
      <w:proofErr w:type="spellEnd"/>
      <w:r w:rsidRPr="00156B04">
        <w:rPr>
          <w:rFonts w:cs="Times New Roman"/>
        </w:rPr>
        <w:t xml:space="preserve"> 596, 127 </w:t>
      </w:r>
      <w:proofErr w:type="spellStart"/>
      <w:r w:rsidRPr="00156B04">
        <w:rPr>
          <w:rFonts w:cs="Times New Roman"/>
        </w:rPr>
        <w:t>O.R</w:t>
      </w:r>
      <w:proofErr w:type="spellEnd"/>
      <w:r w:rsidRPr="00156B04">
        <w:rPr>
          <w:rFonts w:cs="Times New Roman"/>
        </w:rPr>
        <w:t>. (</w:t>
      </w:r>
      <w:proofErr w:type="spellStart"/>
      <w:r w:rsidRPr="00156B04">
        <w:rPr>
          <w:rFonts w:cs="Times New Roman"/>
        </w:rPr>
        <w:t>3d</w:t>
      </w:r>
      <w:proofErr w:type="spellEnd"/>
      <w:r w:rsidRPr="00156B04">
        <w:rPr>
          <w:rFonts w:cs="Times New Roman"/>
        </w:rPr>
        <w:t xml:space="preserve">) 1 (medical reports); and </w:t>
      </w:r>
      <w:r w:rsidRPr="00156B04">
        <w:rPr>
          <w:rFonts w:cs="Times New Roman"/>
          <w:i/>
        </w:rPr>
        <w:t xml:space="preserve">R. v. </w:t>
      </w:r>
      <w:proofErr w:type="spellStart"/>
      <w:r w:rsidRPr="00156B04">
        <w:rPr>
          <w:rFonts w:cs="Times New Roman"/>
          <w:i/>
        </w:rPr>
        <w:t>Abdullahi</w:t>
      </w:r>
      <w:proofErr w:type="spellEnd"/>
      <w:r w:rsidRPr="00156B04">
        <w:rPr>
          <w:rFonts w:cs="Times New Roman"/>
        </w:rPr>
        <w:t xml:space="preserve">, 2021 </w:t>
      </w:r>
      <w:proofErr w:type="spellStart"/>
      <w:r w:rsidRPr="00156B04">
        <w:rPr>
          <w:rFonts w:cs="Times New Roman"/>
        </w:rPr>
        <w:t>ONCA</w:t>
      </w:r>
      <w:proofErr w:type="spellEnd"/>
      <w:r w:rsidRPr="00156B04">
        <w:rPr>
          <w:rFonts w:cs="Times New Roman"/>
        </w:rPr>
        <w:t xml:space="preserve"> 82, 399 </w:t>
      </w:r>
      <w:proofErr w:type="spellStart"/>
      <w:r w:rsidRPr="00156B04">
        <w:rPr>
          <w:rFonts w:cs="Times New Roman"/>
        </w:rPr>
        <w:t>C.C.C</w:t>
      </w:r>
      <w:proofErr w:type="spellEnd"/>
      <w:r w:rsidRPr="00156B04">
        <w:rPr>
          <w:rFonts w:cs="Times New Roman"/>
        </w:rPr>
        <w:t>. (</w:t>
      </w:r>
      <w:proofErr w:type="spellStart"/>
      <w:r w:rsidRPr="00156B04">
        <w:rPr>
          <w:rFonts w:cs="Times New Roman"/>
        </w:rPr>
        <w:t>3d</w:t>
      </w:r>
      <w:proofErr w:type="spellEnd"/>
      <w:r w:rsidRPr="00156B04">
        <w:rPr>
          <w:rFonts w:cs="Times New Roman"/>
        </w:rPr>
        <w:t>)</w:t>
      </w:r>
      <w:r w:rsidRPr="00156B04">
        <w:rPr>
          <w:rFonts w:eastAsia="Times New Roman" w:cs="Times New Roman"/>
          <w:sz w:val="18"/>
          <w:szCs w:val="18"/>
          <w:lang w:eastAsia="en-CA"/>
        </w:rPr>
        <w:t xml:space="preserve"> </w:t>
      </w:r>
      <w:r w:rsidRPr="00156B04">
        <w:rPr>
          <w:rFonts w:cs="Times New Roman"/>
        </w:rPr>
        <w:t>397, at para. 34 (linguistics and translation)</w:t>
      </w:r>
      <w:bookmarkEnd w:id="44"/>
      <w:r w:rsidRPr="00156B04">
        <w:rPr>
          <w:rFonts w:cs="Times New Roman"/>
        </w:rPr>
        <w:t>.</w:t>
      </w:r>
    </w:p>
    <w:p w14:paraId="358AFE3A" w14:textId="77777777" w:rsidR="00156B04" w:rsidRPr="00156B04" w:rsidRDefault="00156B04" w:rsidP="00156B04">
      <w:pPr>
        <w:pStyle w:val="ParaNoNdepar-AltN"/>
        <w:rPr>
          <w:rFonts w:cs="Times New Roman"/>
        </w:rPr>
      </w:pPr>
      <w:r w:rsidRPr="00156B04">
        <w:rPr>
          <w:rFonts w:cs="Times New Roman"/>
        </w:rPr>
        <w:t xml:space="preserve">As with areas of the law such as those noted above, from time to time difficult and contentious questions of international law will arise where judges will be assisted in carrying out their functions by appropriate expert evidence. Questions of conventional international law may require judges to have regard to questions of fact that are susceptible to expert evidence including, </w:t>
      </w:r>
      <w:r w:rsidRPr="00156B04">
        <w:rPr>
          <w:rFonts w:cs="Times New Roman"/>
          <w:i/>
        </w:rPr>
        <w:t>inter alia</w:t>
      </w:r>
      <w:r w:rsidRPr="00156B04">
        <w:rPr>
          <w:rFonts w:cs="Times New Roman"/>
        </w:rPr>
        <w:t xml:space="preserve">, foreign law (in applying a treaty, for example), state practice in a treaty’s application, or the authentic text of a treaty in a foreign language (see G. van </w:t>
      </w:r>
      <w:proofErr w:type="spellStart"/>
      <w:r w:rsidRPr="00156B04">
        <w:rPr>
          <w:rFonts w:cs="Times New Roman"/>
        </w:rPr>
        <w:t>Ert</w:t>
      </w:r>
      <w:proofErr w:type="spellEnd"/>
      <w:r w:rsidRPr="00156B04">
        <w:rPr>
          <w:rFonts w:cs="Times New Roman"/>
        </w:rPr>
        <w:t xml:space="preserve">, </w:t>
      </w:r>
      <w:r w:rsidRPr="00156B04">
        <w:rPr>
          <w:rFonts w:cs="Times New Roman"/>
          <w:i/>
        </w:rPr>
        <w:t>Using International Law in Canadian Courts</w:t>
      </w:r>
      <w:r w:rsidRPr="00156B04">
        <w:rPr>
          <w:rFonts w:cs="Times New Roman"/>
        </w:rPr>
        <w:t xml:space="preserve"> (2nd ed. 2008), at pp. 57 and 63). Similarly, in the context of customary international law, “alleged customs may be contested and require proof” (p. 67). </w:t>
      </w:r>
      <w:r w:rsidRPr="00156B04">
        <w:rPr>
          <w:rFonts w:cs="Times New Roman"/>
          <w:i/>
        </w:rPr>
        <w:t xml:space="preserve">Mohan </w:t>
      </w:r>
      <w:r w:rsidRPr="00156B04">
        <w:rPr>
          <w:rFonts w:cs="Times New Roman"/>
        </w:rPr>
        <w:t xml:space="preserve">is sufficiently flexible to enable courts to admit expert evidence on such questions, where it is needed for a court to carry out its functions. </w:t>
      </w:r>
    </w:p>
    <w:p w14:paraId="3047D88E" w14:textId="77777777" w:rsidR="00156B04" w:rsidRPr="00156B04" w:rsidRDefault="00156B04" w:rsidP="00156B04">
      <w:pPr>
        <w:pStyle w:val="ParaNoNdepar-AltN"/>
        <w:rPr>
          <w:rFonts w:cs="Times New Roman"/>
        </w:rPr>
      </w:pPr>
      <w:r w:rsidRPr="00156B04">
        <w:rPr>
          <w:rFonts w:cs="Times New Roman"/>
        </w:rPr>
        <w:t xml:space="preserve">To summarize, then, the appropriate framework is the following. Where expert evidence satisfies </w:t>
      </w:r>
      <w:r w:rsidRPr="00156B04">
        <w:rPr>
          <w:rFonts w:cs="Times New Roman"/>
          <w:i/>
        </w:rPr>
        <w:t>Mohan</w:t>
      </w:r>
      <w:r w:rsidRPr="00156B04">
        <w:rPr>
          <w:rFonts w:cs="Times New Roman"/>
        </w:rPr>
        <w:t>’s criteria, it may be considered. Otherwise, judges should proceed as they would for any other question of law — that is, on the basis of the submissions of the parties before the court and authorities on which they rely.</w:t>
      </w:r>
    </w:p>
    <w:p w14:paraId="4F4B7F20" w14:textId="77777777" w:rsidR="00156B04" w:rsidRPr="00156B04" w:rsidRDefault="00156B04" w:rsidP="00156B04">
      <w:pPr>
        <w:pStyle w:val="ParaNoNdepar-AltN"/>
        <w:rPr>
          <w:rFonts w:cs="Times New Roman"/>
        </w:rPr>
      </w:pPr>
      <w:r w:rsidRPr="00156B04">
        <w:rPr>
          <w:rFonts w:eastAsia="Times New Roman" w:cs="Times New Roman"/>
        </w:rPr>
        <w:t xml:space="preserve">This Court on various occasions has considered the meaning of treaties without recourse to expert evidence, including in </w:t>
      </w:r>
      <w:proofErr w:type="spellStart"/>
      <w:r w:rsidRPr="00156B04">
        <w:rPr>
          <w:rFonts w:eastAsia="Times New Roman" w:cs="Times New Roman"/>
          <w:i/>
        </w:rPr>
        <w:t>Thibodeau</w:t>
      </w:r>
      <w:proofErr w:type="spellEnd"/>
      <w:r w:rsidRPr="00156B04">
        <w:rPr>
          <w:rFonts w:eastAsia="Times New Roman" w:cs="Times New Roman"/>
          <w:i/>
        </w:rPr>
        <w:t xml:space="preserve"> </w:t>
      </w:r>
      <w:r w:rsidRPr="00156B04">
        <w:rPr>
          <w:rFonts w:eastAsia="Times New Roman" w:cs="Times New Roman"/>
        </w:rPr>
        <w:t xml:space="preserve">and </w:t>
      </w:r>
      <w:proofErr w:type="spellStart"/>
      <w:r w:rsidRPr="00156B04">
        <w:rPr>
          <w:rFonts w:cs="Times New Roman"/>
          <w:i/>
        </w:rPr>
        <w:t>Yugraneft</w:t>
      </w:r>
      <w:proofErr w:type="spellEnd"/>
      <w:r w:rsidRPr="00156B04">
        <w:rPr>
          <w:rFonts w:cs="Times New Roman"/>
        </w:rPr>
        <w:t xml:space="preserve"> </w:t>
      </w:r>
      <w:r w:rsidRPr="00156B04">
        <w:rPr>
          <w:rFonts w:cs="Times New Roman"/>
          <w:i/>
        </w:rPr>
        <w:t>Corp.</w:t>
      </w:r>
      <w:r w:rsidRPr="00156B04">
        <w:rPr>
          <w:rFonts w:cs="Times New Roman"/>
        </w:rPr>
        <w:t xml:space="preserve"> Looking to the principles of treaty interpretation codified in the </w:t>
      </w:r>
      <w:r w:rsidRPr="00156B04">
        <w:rPr>
          <w:rFonts w:eastAsia="Times New Roman" w:cs="Times New Roman"/>
          <w:i/>
        </w:rPr>
        <w:t>Vienna Convention</w:t>
      </w:r>
      <w:r w:rsidRPr="00156B04">
        <w:rPr>
          <w:rFonts w:cs="Times New Roman"/>
        </w:rPr>
        <w:t>, and undertaking an examination of the text, object, and purpose of a treaty, is within the capacity of Canadian courts.</w:t>
      </w:r>
    </w:p>
    <w:p w14:paraId="1E58C9AA" w14:textId="77777777" w:rsidR="00156B04" w:rsidRPr="00156B04" w:rsidRDefault="00156B04" w:rsidP="00156B04">
      <w:pPr>
        <w:pStyle w:val="ParaNoNdepar-AltN"/>
        <w:rPr>
          <w:rFonts w:eastAsia="Times New Roman" w:cs="Times New Roman"/>
        </w:rPr>
      </w:pPr>
      <w:r w:rsidRPr="00156B04">
        <w:rPr>
          <w:rFonts w:cs="Times New Roman"/>
        </w:rPr>
        <w:t xml:space="preserve">In </w:t>
      </w:r>
      <w:r w:rsidRPr="00156B04">
        <w:rPr>
          <w:rFonts w:cs="Times New Roman"/>
          <w:i/>
        </w:rPr>
        <w:t>Suresh</w:t>
      </w:r>
      <w:r w:rsidRPr="00156B04">
        <w:rPr>
          <w:rFonts w:cs="Times New Roman"/>
        </w:rPr>
        <w:t xml:space="preserve">, this Court considered the peremptory norm of international law regarding the prohibition of torture; this required the Court to have regard to international conventions which Canada has ratified and to </w:t>
      </w:r>
      <w:r w:rsidRPr="00156B04">
        <w:rPr>
          <w:rFonts w:cs="Times New Roman"/>
          <w:i/>
        </w:rPr>
        <w:t xml:space="preserve">jus </w:t>
      </w:r>
      <w:proofErr w:type="spellStart"/>
      <w:r w:rsidRPr="00156B04">
        <w:rPr>
          <w:rFonts w:cs="Times New Roman"/>
          <w:i/>
        </w:rPr>
        <w:t>cogens</w:t>
      </w:r>
      <w:proofErr w:type="spellEnd"/>
      <w:r w:rsidRPr="00156B04">
        <w:rPr>
          <w:rFonts w:cs="Times New Roman"/>
          <w:i/>
        </w:rPr>
        <w:t xml:space="preserve"> </w:t>
      </w:r>
      <w:r w:rsidRPr="00156B04">
        <w:rPr>
          <w:rFonts w:cs="Times New Roman"/>
        </w:rPr>
        <w:t xml:space="preserve">norms of international law. The Court had recourse to academic texts, foreign jurisprudence, as well as the submissions of parties and interveners. These sources sufficed for the Court to consider the status of the prohibition against torture as a matter of international law. </w:t>
      </w:r>
    </w:p>
    <w:p w14:paraId="4F3D4CD5" w14:textId="77777777" w:rsidR="00156B04" w:rsidRPr="00156B04" w:rsidRDefault="00156B04" w:rsidP="00156B04">
      <w:pPr>
        <w:pStyle w:val="ParaNoNdepar-AltN"/>
        <w:rPr>
          <w:rFonts w:cs="Times New Roman"/>
        </w:rPr>
      </w:pPr>
      <w:r w:rsidRPr="00156B04">
        <w:rPr>
          <w:rFonts w:eastAsia="Times New Roman" w:cs="Times New Roman"/>
        </w:rPr>
        <w:t xml:space="preserve">Though the Court did not rely on </w:t>
      </w:r>
      <w:r w:rsidRPr="00156B04">
        <w:rPr>
          <w:rFonts w:cs="Times New Roman"/>
          <w:i/>
        </w:rPr>
        <w:t xml:space="preserve">Mohan </w:t>
      </w:r>
      <w:r w:rsidRPr="00156B04">
        <w:rPr>
          <w:rFonts w:cs="Times New Roman"/>
        </w:rPr>
        <w:t>in these cases</w:t>
      </w:r>
      <w:r w:rsidRPr="00156B04">
        <w:rPr>
          <w:rFonts w:eastAsia="Times New Roman" w:cs="Times New Roman"/>
        </w:rPr>
        <w:t xml:space="preserve">, its approach to dealing with questions of international law without recourse to expert evidence is consistent with </w:t>
      </w:r>
      <w:r w:rsidRPr="00156B04">
        <w:rPr>
          <w:rFonts w:cs="Times New Roman"/>
          <w:i/>
        </w:rPr>
        <w:t>Mohan</w:t>
      </w:r>
      <w:r w:rsidRPr="00156B04">
        <w:rPr>
          <w:rFonts w:eastAsia="Times New Roman" w:cs="Times New Roman"/>
        </w:rPr>
        <w:t>’s suggestion that “[i]</w:t>
      </w:r>
      <w:r w:rsidRPr="00156B04">
        <w:rPr>
          <w:rFonts w:cs="Times New Roman"/>
        </w:rPr>
        <w:t xml:space="preserve">f on the proven facts a judge or jury can form their own conclusions without help, then the opinion of an expert is unnecessary” (p. 24).  </w:t>
      </w:r>
    </w:p>
    <w:p w14:paraId="7DB96B8E" w14:textId="77777777" w:rsidR="00156B04" w:rsidRPr="00156B04" w:rsidRDefault="00156B04" w:rsidP="00156B04">
      <w:pPr>
        <w:pStyle w:val="ParaNoNdepar-AltN"/>
        <w:rPr>
          <w:rFonts w:cs="Times New Roman"/>
        </w:rPr>
      </w:pPr>
      <w:r w:rsidRPr="00156B04">
        <w:rPr>
          <w:rFonts w:eastAsia="Times New Roman" w:cs="Times New Roman"/>
        </w:rPr>
        <w:t xml:space="preserve">Finally, I note that evidence law jurisprudence establishes a number of cautionary rules that apply with equal force in the context of expert evidence sought to be admitted regarding international law. First, as noted in </w:t>
      </w:r>
      <w:r w:rsidRPr="00156B04">
        <w:rPr>
          <w:rFonts w:eastAsia="Times New Roman" w:cs="Times New Roman"/>
          <w:i/>
        </w:rPr>
        <w:t>Quebec (Attorney General) v. Canada</w:t>
      </w:r>
      <w:r w:rsidRPr="00156B04">
        <w:rPr>
          <w:rFonts w:eastAsia="Times New Roman" w:cs="Times New Roman"/>
        </w:rPr>
        <w:t xml:space="preserve">, 2008 FC 713, 359 </w:t>
      </w:r>
      <w:proofErr w:type="spellStart"/>
      <w:r w:rsidRPr="00156B04">
        <w:rPr>
          <w:rFonts w:eastAsia="Times New Roman" w:cs="Times New Roman"/>
        </w:rPr>
        <w:t>F.T.R</w:t>
      </w:r>
      <w:proofErr w:type="spellEnd"/>
      <w:r w:rsidRPr="00156B04">
        <w:rPr>
          <w:rFonts w:eastAsia="Times New Roman" w:cs="Times New Roman"/>
        </w:rPr>
        <w:t xml:space="preserve">. 1, aff’d 2009 </w:t>
      </w:r>
      <w:proofErr w:type="spellStart"/>
      <w:r w:rsidRPr="00156B04">
        <w:rPr>
          <w:rFonts w:eastAsia="Times New Roman" w:cs="Times New Roman"/>
        </w:rPr>
        <w:t>FCA</w:t>
      </w:r>
      <w:proofErr w:type="spellEnd"/>
      <w:r w:rsidRPr="00156B04">
        <w:rPr>
          <w:rFonts w:eastAsia="Times New Roman" w:cs="Times New Roman"/>
        </w:rPr>
        <w:t xml:space="preserve"> 361, 400 </w:t>
      </w:r>
      <w:proofErr w:type="spellStart"/>
      <w:r w:rsidRPr="00156B04">
        <w:rPr>
          <w:rFonts w:eastAsia="Times New Roman" w:cs="Times New Roman"/>
        </w:rPr>
        <w:t>N.R</w:t>
      </w:r>
      <w:proofErr w:type="spellEnd"/>
      <w:r w:rsidRPr="00156B04">
        <w:rPr>
          <w:rFonts w:eastAsia="Times New Roman" w:cs="Times New Roman"/>
        </w:rPr>
        <w:t xml:space="preserve">. 323, aff’d 2011 SCC 11, [2011] 1 </w:t>
      </w:r>
      <w:proofErr w:type="spellStart"/>
      <w:r w:rsidRPr="00156B04">
        <w:rPr>
          <w:rFonts w:eastAsia="Times New Roman" w:cs="Times New Roman"/>
        </w:rPr>
        <w:t>S.C.R</w:t>
      </w:r>
      <w:proofErr w:type="spellEnd"/>
      <w:r w:rsidRPr="00156B04">
        <w:rPr>
          <w:rFonts w:eastAsia="Times New Roman" w:cs="Times New Roman"/>
        </w:rPr>
        <w:t>. 368,</w:t>
      </w:r>
      <w:r w:rsidRPr="00156B04">
        <w:rPr>
          <w:rFonts w:cs="Times New Roman"/>
        </w:rPr>
        <w:t xml:space="preserve"> the role of an expert is “only to assist the court in assessing complex and technical facts. It must never be forgotten that, ultimately, it is the court that must decide questions of law” (para. 161). Furthermore, “[e]</w:t>
      </w:r>
      <w:proofErr w:type="spellStart"/>
      <w:r w:rsidRPr="00156B04">
        <w:rPr>
          <w:rFonts w:cs="Times New Roman"/>
        </w:rPr>
        <w:t>xpert</w:t>
      </w:r>
      <w:proofErr w:type="spellEnd"/>
      <w:r w:rsidRPr="00156B04">
        <w:rPr>
          <w:rFonts w:cs="Times New Roman"/>
        </w:rPr>
        <w:t xml:space="preserve"> opinions will be rendered inadmissible when they are nothing more than the reworking of the argument of counsel participating in the case” (</w:t>
      </w:r>
      <w:r w:rsidRPr="00156B04">
        <w:rPr>
          <w:rFonts w:cs="Times New Roman"/>
          <w:i/>
        </w:rPr>
        <w:t xml:space="preserve">Surrey Credit Union v. </w:t>
      </w:r>
      <w:proofErr w:type="spellStart"/>
      <w:r w:rsidRPr="00156B04">
        <w:rPr>
          <w:rFonts w:cs="Times New Roman"/>
          <w:i/>
        </w:rPr>
        <w:t>Willson</w:t>
      </w:r>
      <w:proofErr w:type="spellEnd"/>
      <w:r w:rsidRPr="00156B04">
        <w:rPr>
          <w:rFonts w:cs="Times New Roman"/>
        </w:rPr>
        <w:t xml:space="preserve"> (1990), 45 </w:t>
      </w:r>
      <w:proofErr w:type="spellStart"/>
      <w:r w:rsidRPr="00156B04">
        <w:rPr>
          <w:rFonts w:cs="Times New Roman"/>
        </w:rPr>
        <w:t>B.C.L.R</w:t>
      </w:r>
      <w:proofErr w:type="spellEnd"/>
      <w:r w:rsidRPr="00156B04">
        <w:rPr>
          <w:rFonts w:cs="Times New Roman"/>
        </w:rPr>
        <w:t>. (</w:t>
      </w:r>
      <w:proofErr w:type="spellStart"/>
      <w:r w:rsidRPr="00156B04">
        <w:rPr>
          <w:rFonts w:cs="Times New Roman"/>
        </w:rPr>
        <w:t>2d</w:t>
      </w:r>
      <w:proofErr w:type="spellEnd"/>
      <w:r w:rsidRPr="00156B04">
        <w:rPr>
          <w:rFonts w:cs="Times New Roman"/>
        </w:rPr>
        <w:t xml:space="preserve">) 310 (S.C.), at p. 315).  </w:t>
      </w:r>
    </w:p>
    <w:p w14:paraId="4D60212B" w14:textId="77777777" w:rsidR="00156B04" w:rsidRPr="00156B04" w:rsidRDefault="00156B04" w:rsidP="00156B04">
      <w:pPr>
        <w:pStyle w:val="ParaNoNdepar-AltN"/>
        <w:rPr>
          <w:rFonts w:eastAsia="Times New Roman" w:cs="Times New Roman"/>
          <w:lang w:val="en-US"/>
        </w:rPr>
      </w:pPr>
      <w:r w:rsidRPr="00156B04">
        <w:rPr>
          <w:rFonts w:eastAsia="Times New Roman" w:cs="Times New Roman"/>
        </w:rPr>
        <w:t xml:space="preserve">In applying </w:t>
      </w:r>
      <w:r w:rsidRPr="00156B04">
        <w:rPr>
          <w:rFonts w:eastAsia="Times New Roman" w:cs="Times New Roman"/>
          <w:i/>
        </w:rPr>
        <w:t>Mohan</w:t>
      </w:r>
      <w:r w:rsidRPr="00156B04">
        <w:rPr>
          <w:rFonts w:eastAsia="Times New Roman" w:cs="Times New Roman"/>
        </w:rPr>
        <w:t>,</w:t>
      </w:r>
      <w:r w:rsidRPr="00156B04">
        <w:rPr>
          <w:rFonts w:eastAsia="Times New Roman" w:cs="Times New Roman"/>
          <w:i/>
        </w:rPr>
        <w:t xml:space="preserve"> </w:t>
      </w:r>
      <w:r w:rsidRPr="00156B04">
        <w:rPr>
          <w:rFonts w:eastAsia="Times New Roman" w:cs="Times New Roman"/>
        </w:rPr>
        <w:t>the</w:t>
      </w:r>
      <w:r w:rsidRPr="00156B04">
        <w:rPr>
          <w:rFonts w:eastAsia="Times New Roman" w:cs="Times New Roman"/>
          <w:lang w:val="en-US"/>
        </w:rPr>
        <w:t xml:space="preserve"> admissibility of expert evidence is within the court’s discretion so long as the threshold requirements of admissibility are satisfied. Given the variety of contexts in which expert evidence is sought to be adduced on questions of international law, the admissibility of such evidence is best left as a matter of judicial discretion rather than being subject to a fixed and invariable rule.</w:t>
      </w:r>
    </w:p>
    <w:p w14:paraId="7BE54EC0" w14:textId="77777777" w:rsidR="00156B04" w:rsidRPr="00156B04" w:rsidRDefault="00156B04" w:rsidP="00156B04">
      <w:pPr>
        <w:pStyle w:val="Title2LevelTitre2Niveau"/>
        <w:rPr>
          <w:rFonts w:cs="Times New Roman"/>
        </w:rPr>
      </w:pPr>
      <w:bookmarkStart w:id="45" w:name="_Toc168491267"/>
      <w:r w:rsidRPr="00156B04">
        <w:rPr>
          <w:rFonts w:cs="Times New Roman"/>
        </w:rPr>
        <w:t>What Is the Scope of the Regulations?</w:t>
      </w:r>
      <w:bookmarkEnd w:id="45"/>
      <w:r w:rsidRPr="00156B04">
        <w:rPr>
          <w:rFonts w:cs="Times New Roman"/>
        </w:rPr>
        <w:t xml:space="preserve"> </w:t>
      </w:r>
    </w:p>
    <w:p w14:paraId="270B1DAD" w14:textId="77777777" w:rsidR="00156B04" w:rsidRPr="00156B04" w:rsidRDefault="00156B04" w:rsidP="00156B04">
      <w:pPr>
        <w:pStyle w:val="ParaNoNdepar-AltN"/>
        <w:tabs>
          <w:tab w:val="clear" w:pos="1152"/>
          <w:tab w:val="left" w:pos="1166"/>
        </w:tabs>
        <w:rPr>
          <w:rFonts w:eastAsia="Times New Roman" w:cs="Times New Roman"/>
          <w:b/>
        </w:rPr>
      </w:pPr>
      <w:r w:rsidRPr="00156B04">
        <w:rPr>
          <w:rFonts w:eastAsia="Times New Roman" w:cs="Times New Roman"/>
        </w:rPr>
        <w:t xml:space="preserve">I now turn to the </w:t>
      </w:r>
      <w:r w:rsidRPr="00156B04">
        <w:rPr>
          <w:rFonts w:eastAsia="Times New Roman" w:cs="Times New Roman"/>
          <w:i/>
        </w:rPr>
        <w:t>Regulations</w:t>
      </w:r>
      <w:r w:rsidRPr="00156B04">
        <w:rPr>
          <w:rFonts w:eastAsia="Times New Roman" w:cs="Times New Roman"/>
        </w:rPr>
        <w:t>, the manner in which they are enforced and the compensation that they provide for passengers who are affected by a delay, cancellation, denial of boarding, or damage or loss of baggage.</w:t>
      </w:r>
    </w:p>
    <w:p w14:paraId="707E4E7C" w14:textId="77777777" w:rsidR="00156B04" w:rsidRPr="00156B04" w:rsidRDefault="00156B04" w:rsidP="00156B04">
      <w:pPr>
        <w:pStyle w:val="Title3LevelTitre3Niveau"/>
        <w:numPr>
          <w:ilvl w:val="2"/>
          <w:numId w:val="20"/>
        </w:numPr>
        <w:rPr>
          <w:rFonts w:cs="Times New Roman"/>
        </w:rPr>
      </w:pPr>
      <w:bookmarkStart w:id="46" w:name="_Toc168491268"/>
      <w:r w:rsidRPr="00156B04">
        <w:rPr>
          <w:rFonts w:cs="Times New Roman"/>
        </w:rPr>
        <w:t>Compensation</w:t>
      </w:r>
      <w:bookmarkEnd w:id="46"/>
      <w:r w:rsidRPr="00156B04">
        <w:rPr>
          <w:rFonts w:cs="Times New Roman"/>
        </w:rPr>
        <w:t xml:space="preserve"> </w:t>
      </w:r>
    </w:p>
    <w:p w14:paraId="3895E6AE" w14:textId="77777777" w:rsidR="00156B04" w:rsidRPr="00156B04" w:rsidRDefault="00156B04" w:rsidP="00156B04">
      <w:pPr>
        <w:pStyle w:val="ParaNoNdepar-AltN"/>
        <w:tabs>
          <w:tab w:val="clear" w:pos="1152"/>
          <w:tab w:val="left" w:pos="1166"/>
        </w:tabs>
        <w:rPr>
          <w:rFonts w:eastAsia="Times New Roman" w:cs="Times New Roman"/>
          <w:b/>
        </w:rPr>
      </w:pPr>
      <w:r w:rsidRPr="00156B04">
        <w:rPr>
          <w:rFonts w:eastAsia="Times New Roman" w:cs="Times New Roman"/>
        </w:rPr>
        <w:t xml:space="preserve">Under the </w:t>
      </w:r>
      <w:r w:rsidRPr="00156B04">
        <w:rPr>
          <w:rFonts w:eastAsia="Times New Roman" w:cs="Times New Roman"/>
          <w:i/>
        </w:rPr>
        <w:t>Regulations</w:t>
      </w:r>
      <w:r w:rsidRPr="00156B04">
        <w:rPr>
          <w:rFonts w:eastAsia="Times New Roman" w:cs="Times New Roman"/>
        </w:rPr>
        <w:t>, a carrier must pay compensation to a passenger when the carrier cancels or delays a flight for reasons within its control and notifies the passenger 14 days or less before the flight</w:t>
      </w:r>
      <w:r w:rsidRPr="00156B04">
        <w:rPr>
          <w:rFonts w:eastAsia="Calibri" w:cs="Times New Roman"/>
        </w:rPr>
        <w:t xml:space="preserve">, except if the cancellation or delay is required for safety purposes </w:t>
      </w:r>
      <w:r w:rsidRPr="00156B04">
        <w:rPr>
          <w:rFonts w:eastAsia="Times New Roman" w:cs="Times New Roman"/>
        </w:rPr>
        <w:t>(ss. 11 and 12(2)(d) and (3)(d)). Compensation must also be paid when a passenger is denied boarding for reasons within the carrier’s control, unless required for safety (s. 12(4</w:t>
      </w:r>
      <w:proofErr w:type="gramStart"/>
      <w:r w:rsidRPr="00156B04">
        <w:rPr>
          <w:rFonts w:eastAsia="Times New Roman" w:cs="Times New Roman"/>
        </w:rPr>
        <w:t>)(</w:t>
      </w:r>
      <w:proofErr w:type="gramEnd"/>
      <w:r w:rsidRPr="00156B04">
        <w:rPr>
          <w:rFonts w:eastAsia="Times New Roman" w:cs="Times New Roman"/>
        </w:rPr>
        <w:t xml:space="preserve">d)). </w:t>
      </w:r>
    </w:p>
    <w:p w14:paraId="69BF6FF5" w14:textId="77777777" w:rsidR="00156B04" w:rsidRPr="00156B04" w:rsidRDefault="00156B04" w:rsidP="00156B04">
      <w:pPr>
        <w:pStyle w:val="ParaNoNdepar-AltN"/>
        <w:tabs>
          <w:tab w:val="clear" w:pos="1152"/>
          <w:tab w:val="left" w:pos="1166"/>
        </w:tabs>
        <w:rPr>
          <w:rFonts w:eastAsia="Times New Roman" w:cs="Times New Roman"/>
          <w:b/>
        </w:rPr>
      </w:pPr>
      <w:r w:rsidRPr="00156B04">
        <w:rPr>
          <w:rFonts w:eastAsia="Times New Roman" w:cs="Times New Roman"/>
        </w:rPr>
        <w:t xml:space="preserve">Sections 19 and 20 of the </w:t>
      </w:r>
      <w:r w:rsidRPr="00156B04">
        <w:rPr>
          <w:rFonts w:eastAsia="Times New Roman" w:cs="Times New Roman"/>
          <w:i/>
        </w:rPr>
        <w:t xml:space="preserve">Regulations </w:t>
      </w:r>
      <w:r w:rsidRPr="00156B04">
        <w:rPr>
          <w:rFonts w:eastAsia="Times New Roman" w:cs="Times New Roman"/>
        </w:rPr>
        <w:t xml:space="preserve">set out the amount of compensation payable in the event of delay, cancellation or denial of boarding. The amount of compensation is calculated, in the case of delay or cancellation, by reference to the size of the carrier and the time by which the passenger’s arrival at the intended destination is delayed (s. 19(1)). For denial of boarding, compensation is calculated by reference to the time by which the passenger’s arrival at the intended destination is delayed. </w:t>
      </w:r>
    </w:p>
    <w:p w14:paraId="70370688" w14:textId="77777777" w:rsidR="00156B04" w:rsidRPr="00156B04" w:rsidRDefault="00156B04" w:rsidP="00156B04">
      <w:pPr>
        <w:pStyle w:val="ParaNoNdepar-AltN"/>
        <w:tabs>
          <w:tab w:val="clear" w:pos="1152"/>
          <w:tab w:val="left" w:pos="1166"/>
        </w:tabs>
        <w:rPr>
          <w:rFonts w:eastAsia="Times New Roman" w:cs="Times New Roman"/>
          <w:b/>
        </w:rPr>
      </w:pPr>
      <w:r w:rsidRPr="00156B04">
        <w:rPr>
          <w:rFonts w:eastAsia="Times New Roman" w:cs="Times New Roman"/>
        </w:rPr>
        <w:t xml:space="preserve">Passengers are also entitled to compensation for lost or damaged baggage. In those instances, the </w:t>
      </w:r>
      <w:r w:rsidRPr="00156B04">
        <w:rPr>
          <w:rFonts w:eastAsia="Times New Roman" w:cs="Times New Roman"/>
          <w:i/>
        </w:rPr>
        <w:t xml:space="preserve">Regulations </w:t>
      </w:r>
      <w:r w:rsidRPr="00156B04">
        <w:rPr>
          <w:rFonts w:eastAsia="Times New Roman" w:cs="Times New Roman"/>
        </w:rPr>
        <w:t xml:space="preserve">stipulate that the passenger is to be paid the compensation they would be owed under the </w:t>
      </w:r>
      <w:r w:rsidRPr="00156B04">
        <w:rPr>
          <w:rFonts w:eastAsia="Times New Roman" w:cs="Times New Roman"/>
          <w:i/>
        </w:rPr>
        <w:t>Montreal Convention</w:t>
      </w:r>
      <w:r w:rsidRPr="00156B04">
        <w:rPr>
          <w:rFonts w:eastAsia="Times New Roman" w:cs="Times New Roman"/>
        </w:rPr>
        <w:t xml:space="preserve">, in addition to a refund of their baggage fees (s. 23(1)). </w:t>
      </w:r>
    </w:p>
    <w:p w14:paraId="0A028B44" w14:textId="77777777" w:rsidR="00156B04" w:rsidRPr="00156B04" w:rsidRDefault="00156B04" w:rsidP="00156B04">
      <w:pPr>
        <w:pStyle w:val="ParaNoNdepar-AltN"/>
        <w:tabs>
          <w:tab w:val="clear" w:pos="1152"/>
          <w:tab w:val="left" w:pos="1166"/>
        </w:tabs>
        <w:rPr>
          <w:rFonts w:eastAsia="Times New Roman" w:cs="Times New Roman"/>
          <w:b/>
        </w:rPr>
      </w:pPr>
      <w:r w:rsidRPr="00156B04">
        <w:rPr>
          <w:rFonts w:eastAsia="Times New Roman" w:cs="Times New Roman"/>
        </w:rPr>
        <w:t xml:space="preserve">So, although the </w:t>
      </w:r>
      <w:r w:rsidRPr="00156B04">
        <w:rPr>
          <w:rFonts w:eastAsia="Times New Roman" w:cs="Times New Roman"/>
          <w:i/>
        </w:rPr>
        <w:t xml:space="preserve">Regulations </w:t>
      </w:r>
      <w:r w:rsidRPr="00156B04">
        <w:rPr>
          <w:rFonts w:eastAsia="Times New Roman" w:cs="Times New Roman"/>
        </w:rPr>
        <w:t xml:space="preserve">purport to address “compensation for inconvenience” (see ss. 12(2)(d), (3)(d) and (4)(d) and 21), the compensation is not contingent on inconvenience </w:t>
      </w:r>
      <w:r w:rsidRPr="00156B04">
        <w:rPr>
          <w:rFonts w:eastAsia="Times New Roman" w:cs="Times New Roman"/>
          <w:i/>
        </w:rPr>
        <w:t>per se</w:t>
      </w:r>
      <w:r w:rsidRPr="00156B04">
        <w:rPr>
          <w:rFonts w:eastAsia="Times New Roman" w:cs="Times New Roman"/>
        </w:rPr>
        <w:t xml:space="preserve">, as ss. 19 and 20 do not have regard to individualized harm or inconvenience. For example, a passenger whose flight is delayed and who uses the opportunity to visit a relative during the layover enjoys the same entitlement to compensation under the </w:t>
      </w:r>
      <w:r w:rsidRPr="00156B04">
        <w:rPr>
          <w:rFonts w:eastAsia="Times New Roman" w:cs="Times New Roman"/>
          <w:i/>
        </w:rPr>
        <w:t xml:space="preserve">Regulations </w:t>
      </w:r>
      <w:r w:rsidRPr="00156B04">
        <w:rPr>
          <w:rFonts w:eastAsia="Times New Roman" w:cs="Times New Roman"/>
        </w:rPr>
        <w:t>as does a fellow passenger for whom the delay occasioned considerable inconvenience.</w:t>
      </w:r>
    </w:p>
    <w:p w14:paraId="1EA56CEC" w14:textId="77777777" w:rsidR="00156B04" w:rsidRPr="00156B04" w:rsidRDefault="00156B04" w:rsidP="00156B04">
      <w:pPr>
        <w:pStyle w:val="ParaNoNdepar-AltN"/>
        <w:tabs>
          <w:tab w:val="clear" w:pos="1152"/>
          <w:tab w:val="left" w:pos="1166"/>
        </w:tabs>
        <w:rPr>
          <w:rFonts w:eastAsia="Times New Roman" w:cs="Times New Roman"/>
          <w:b/>
        </w:rPr>
      </w:pPr>
      <w:bookmarkStart w:id="47" w:name="_Hlk171512309"/>
      <w:r w:rsidRPr="00156B04">
        <w:rPr>
          <w:rFonts w:eastAsia="Times New Roman" w:cs="Times New Roman"/>
        </w:rPr>
        <w:t xml:space="preserve">The </w:t>
      </w:r>
      <w:r w:rsidRPr="00156B04">
        <w:rPr>
          <w:rFonts w:eastAsia="Times New Roman" w:cs="Times New Roman"/>
          <w:i/>
        </w:rPr>
        <w:t xml:space="preserve">Regulations </w:t>
      </w:r>
      <w:r w:rsidRPr="00156B04">
        <w:rPr>
          <w:rFonts w:eastAsia="Times New Roman" w:cs="Times New Roman"/>
        </w:rPr>
        <w:t xml:space="preserve">do not provide for compensation that is individualized in the manner of a damage award. The compensation for delay, cancellation, denial of boarding or loss or damage to baggage is not contingent “on proof of damage”, is not linked to a showing of “damage sustained” or “occasioned by delay” to the claimant, and does not vary depending on the extent of the harm (if any) that results from wrongdoing by the carrier. The fact that the compensation owed under the </w:t>
      </w:r>
      <w:r w:rsidRPr="00156B04">
        <w:rPr>
          <w:rFonts w:eastAsia="Times New Roman" w:cs="Times New Roman"/>
          <w:i/>
        </w:rPr>
        <w:t xml:space="preserve">Regulations </w:t>
      </w:r>
      <w:r w:rsidRPr="00156B04">
        <w:rPr>
          <w:rFonts w:eastAsia="Times New Roman" w:cs="Times New Roman"/>
        </w:rPr>
        <w:t>may vary depending on whether it relates to a cancellation, delay, or denial of boarding, the amount of time that a passenger was delayed, and the size of the carrier does not change the standardized nature of the compensation, which addresses conditions experienced “identically by all passengers” (</w:t>
      </w:r>
      <w:r w:rsidRPr="00156B04">
        <w:rPr>
          <w:rFonts w:eastAsia="Times New Roman" w:cs="Times New Roman"/>
          <w:i/>
        </w:rPr>
        <w:t>Nelson</w:t>
      </w:r>
      <w:r w:rsidRPr="00156B04">
        <w:rPr>
          <w:rFonts w:eastAsia="Times New Roman" w:cs="Times New Roman"/>
        </w:rPr>
        <w:t xml:space="preserve">, at para. 52). </w:t>
      </w:r>
      <w:bookmarkEnd w:id="47"/>
      <w:r w:rsidRPr="00156B04">
        <w:rPr>
          <w:rFonts w:eastAsia="Times New Roman" w:cs="Times New Roman"/>
        </w:rPr>
        <w:t xml:space="preserve"> </w:t>
      </w:r>
    </w:p>
    <w:p w14:paraId="4B505C92" w14:textId="77777777" w:rsidR="00156B04" w:rsidRPr="00156B04" w:rsidRDefault="00156B04" w:rsidP="00156B04">
      <w:pPr>
        <w:pStyle w:val="Title3LevelTitre3Niveau"/>
        <w:rPr>
          <w:rFonts w:cs="Times New Roman"/>
        </w:rPr>
      </w:pPr>
      <w:bookmarkStart w:id="48" w:name="_Toc168491269"/>
      <w:r w:rsidRPr="00156B04">
        <w:rPr>
          <w:rFonts w:cs="Times New Roman"/>
        </w:rPr>
        <w:t>Enforcement</w:t>
      </w:r>
      <w:bookmarkEnd w:id="48"/>
      <w:r w:rsidRPr="00156B04">
        <w:rPr>
          <w:rFonts w:cs="Times New Roman"/>
        </w:rPr>
        <w:t xml:space="preserve"> </w:t>
      </w:r>
    </w:p>
    <w:p w14:paraId="64FC27C6"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obligations imposed on carriers by the </w:t>
      </w:r>
      <w:r w:rsidRPr="00156B04">
        <w:rPr>
          <w:rFonts w:eastAsia="Times New Roman" w:cs="Times New Roman"/>
          <w:i/>
        </w:rPr>
        <w:t xml:space="preserve">Regulations </w:t>
      </w:r>
      <w:r w:rsidRPr="00156B04">
        <w:rPr>
          <w:rFonts w:eastAsia="Times New Roman" w:cs="Times New Roman"/>
        </w:rPr>
        <w:t>“are deemed to form part of the terms and conditions set out in the carrier’s tariffs in so far as the carrier’s tariffs do not provide more advantageous terms and conditions of carriage than those obligations” (</w:t>
      </w:r>
      <w:r w:rsidRPr="00156B04">
        <w:rPr>
          <w:rFonts w:eastAsia="Times New Roman" w:cs="Times New Roman"/>
          <w:i/>
        </w:rPr>
        <w:t>CTA</w:t>
      </w:r>
      <w:r w:rsidRPr="00156B04">
        <w:rPr>
          <w:rFonts w:eastAsia="Times New Roman" w:cs="Times New Roman"/>
        </w:rPr>
        <w:t xml:space="preserve">, s. 86.11(4)). When the </w:t>
      </w:r>
      <w:r w:rsidRPr="00156B04">
        <w:rPr>
          <w:rFonts w:eastAsia="Times New Roman" w:cs="Times New Roman"/>
          <w:i/>
        </w:rPr>
        <w:t xml:space="preserve">Regulations </w:t>
      </w:r>
      <w:r w:rsidRPr="00156B04">
        <w:rPr>
          <w:rFonts w:eastAsia="Times New Roman" w:cs="Times New Roman"/>
        </w:rPr>
        <w:t xml:space="preserve">were promulgated, the </w:t>
      </w:r>
      <w:r w:rsidRPr="00156B04">
        <w:rPr>
          <w:rFonts w:eastAsia="Times New Roman" w:cs="Times New Roman"/>
          <w:i/>
        </w:rPr>
        <w:t>Air Transportation Regulations</w:t>
      </w:r>
      <w:r w:rsidRPr="00156B04">
        <w:rPr>
          <w:rFonts w:eastAsia="Times New Roman" w:cs="Times New Roman"/>
        </w:rPr>
        <w:t xml:space="preserve">, </w:t>
      </w:r>
      <w:proofErr w:type="spellStart"/>
      <w:r w:rsidRPr="00156B04">
        <w:rPr>
          <w:rFonts w:eastAsia="Times New Roman" w:cs="Times New Roman"/>
        </w:rPr>
        <w:t>SOR</w:t>
      </w:r>
      <w:proofErr w:type="spellEnd"/>
      <w:r w:rsidRPr="00156B04">
        <w:rPr>
          <w:rFonts w:eastAsia="Times New Roman" w:cs="Times New Roman"/>
        </w:rPr>
        <w:t>/88-58</w:t>
      </w:r>
      <w:r w:rsidRPr="00156B04">
        <w:rPr>
          <w:rFonts w:eastAsia="Times New Roman" w:cs="Times New Roman"/>
          <w:i/>
        </w:rPr>
        <w:t xml:space="preserve"> </w:t>
      </w:r>
      <w:r w:rsidRPr="00156B04">
        <w:rPr>
          <w:rFonts w:eastAsia="Times New Roman" w:cs="Times New Roman"/>
        </w:rPr>
        <w:t>(“</w:t>
      </w:r>
      <w:r w:rsidRPr="00156B04">
        <w:rPr>
          <w:rFonts w:eastAsia="Times New Roman" w:cs="Times New Roman"/>
          <w:i/>
        </w:rPr>
        <w:t>ATR</w:t>
      </w:r>
      <w:r w:rsidRPr="00156B04">
        <w:rPr>
          <w:rFonts w:eastAsia="Times New Roman" w:cs="Times New Roman"/>
        </w:rPr>
        <w:t>”),</w:t>
      </w:r>
      <w:r w:rsidRPr="00156B04">
        <w:rPr>
          <w:rFonts w:eastAsia="Times New Roman" w:cs="Times New Roman"/>
          <w:i/>
        </w:rPr>
        <w:t xml:space="preserve"> </w:t>
      </w:r>
      <w:r w:rsidRPr="00156B04">
        <w:rPr>
          <w:rFonts w:eastAsia="Times New Roman" w:cs="Times New Roman"/>
        </w:rPr>
        <w:t xml:space="preserve">were also amended to require carriers to incorporate the </w:t>
      </w:r>
      <w:r w:rsidRPr="00156B04">
        <w:rPr>
          <w:rFonts w:eastAsia="Times New Roman" w:cs="Times New Roman"/>
          <w:i/>
        </w:rPr>
        <w:t xml:space="preserve">Regulations </w:t>
      </w:r>
      <w:r w:rsidRPr="00156B04">
        <w:rPr>
          <w:rFonts w:eastAsia="Times New Roman" w:cs="Times New Roman"/>
        </w:rPr>
        <w:t>into tariffs applicable to international carriage (s. 122(c</w:t>
      </w:r>
      <w:proofErr w:type="gramStart"/>
      <w:r w:rsidRPr="00156B04">
        <w:rPr>
          <w:rFonts w:eastAsia="Times New Roman" w:cs="Times New Roman"/>
        </w:rPr>
        <w:t>)(</w:t>
      </w:r>
      <w:proofErr w:type="gramEnd"/>
      <w:r w:rsidRPr="00156B04">
        <w:rPr>
          <w:rFonts w:eastAsia="Times New Roman" w:cs="Times New Roman"/>
        </w:rPr>
        <w:t xml:space="preserve">xxi)). In this manner, the obligations with respect to compensation set out in the </w:t>
      </w:r>
      <w:r w:rsidRPr="00156B04">
        <w:rPr>
          <w:rFonts w:eastAsia="Times New Roman" w:cs="Times New Roman"/>
          <w:i/>
        </w:rPr>
        <w:t xml:space="preserve">Regulations </w:t>
      </w:r>
      <w:r w:rsidRPr="00156B04">
        <w:rPr>
          <w:rFonts w:eastAsia="Times New Roman" w:cs="Times New Roman"/>
        </w:rPr>
        <w:t xml:space="preserve">become part of the carrier’s conditions of carriage. </w:t>
      </w:r>
    </w:p>
    <w:p w14:paraId="388ED5DC" w14:textId="77777777" w:rsidR="00156B04" w:rsidRPr="00156B04" w:rsidRDefault="00156B04" w:rsidP="00156B04">
      <w:pPr>
        <w:pStyle w:val="ParaNoNdepar-AltN"/>
        <w:rPr>
          <w:rFonts w:eastAsia="Times New Roman" w:cs="Times New Roman"/>
          <w:b/>
        </w:rPr>
      </w:pPr>
      <w:r w:rsidRPr="00156B04">
        <w:rPr>
          <w:rFonts w:cs="Times New Roman"/>
        </w:rPr>
        <w:t xml:space="preserve">If a carrier fails to compensate a passenger in accordance with the </w:t>
      </w:r>
      <w:r w:rsidRPr="00156B04">
        <w:rPr>
          <w:rFonts w:cs="Times New Roman"/>
          <w:i/>
        </w:rPr>
        <w:t>Regulations</w:t>
      </w:r>
      <w:r w:rsidRPr="00156B04">
        <w:rPr>
          <w:rFonts w:cs="Times New Roman"/>
        </w:rPr>
        <w:t>, the passenger can file a complaint with the Agency (</w:t>
      </w:r>
      <w:r w:rsidRPr="00156B04">
        <w:rPr>
          <w:rFonts w:cs="Times New Roman"/>
          <w:i/>
        </w:rPr>
        <w:t>CTA</w:t>
      </w:r>
      <w:r w:rsidRPr="00156B04">
        <w:rPr>
          <w:rFonts w:cs="Times New Roman"/>
        </w:rPr>
        <w:t>, ss. 85.04(1</w:t>
      </w:r>
      <w:proofErr w:type="gramStart"/>
      <w:r w:rsidRPr="00156B04">
        <w:rPr>
          <w:rFonts w:cs="Times New Roman"/>
        </w:rPr>
        <w:t>)(</w:t>
      </w:r>
      <w:proofErr w:type="gramEnd"/>
      <w:r w:rsidRPr="00156B04">
        <w:rPr>
          <w:rFonts w:cs="Times New Roman"/>
        </w:rPr>
        <w:t xml:space="preserve">a) and (c) and 86.11(4)). A complaint resolution officer first attempts to resolve the complaint through mediation (s. 85.05(1)). If unsuccessful, the officer will adjudicate the matter (s. 85.06). If the officer finds that a carrier has not applied the terms and conditions of carriage set out in its tariff (including the </w:t>
      </w:r>
      <w:r w:rsidRPr="00156B04">
        <w:rPr>
          <w:rFonts w:cs="Times New Roman"/>
          <w:i/>
        </w:rPr>
        <w:t>Regulations</w:t>
      </w:r>
      <w:r w:rsidRPr="00156B04">
        <w:rPr>
          <w:rFonts w:cs="Times New Roman"/>
        </w:rPr>
        <w:t xml:space="preserve">), that officer can order the carrier to apply the relevant terms and conditions, including by paying the amount set out in the </w:t>
      </w:r>
      <w:r w:rsidRPr="00156B04">
        <w:rPr>
          <w:rFonts w:cs="Times New Roman"/>
          <w:i/>
        </w:rPr>
        <w:t xml:space="preserve">Regulations </w:t>
      </w:r>
      <w:r w:rsidRPr="00156B04">
        <w:rPr>
          <w:rFonts w:cs="Times New Roman"/>
        </w:rPr>
        <w:t>(</w:t>
      </w:r>
      <w:r w:rsidRPr="00156B04">
        <w:rPr>
          <w:rFonts w:cs="Times New Roman"/>
          <w:i/>
        </w:rPr>
        <w:t>ATR</w:t>
      </w:r>
      <w:r w:rsidRPr="00156B04">
        <w:rPr>
          <w:rFonts w:eastAsia="Times New Roman" w:cs="Times New Roman"/>
        </w:rPr>
        <w:t>,</w:t>
      </w:r>
      <w:r w:rsidRPr="00156B04">
        <w:rPr>
          <w:rFonts w:cs="Times New Roman"/>
          <w:i/>
        </w:rPr>
        <w:t xml:space="preserve"> </w:t>
      </w:r>
      <w:r w:rsidRPr="00156B04">
        <w:rPr>
          <w:rFonts w:cs="Times New Roman"/>
        </w:rPr>
        <w:t xml:space="preserve">s. 113.1; </w:t>
      </w:r>
      <w:r w:rsidRPr="00156B04">
        <w:rPr>
          <w:rFonts w:cs="Times New Roman"/>
          <w:i/>
        </w:rPr>
        <w:t>CTA</w:t>
      </w:r>
      <w:r w:rsidRPr="00156B04">
        <w:rPr>
          <w:rFonts w:eastAsia="Times New Roman" w:cs="Times New Roman"/>
        </w:rPr>
        <w:t>,</w:t>
      </w:r>
      <w:r w:rsidRPr="00156B04">
        <w:rPr>
          <w:rFonts w:cs="Times New Roman"/>
          <w:i/>
        </w:rPr>
        <w:t xml:space="preserve"> </w:t>
      </w:r>
      <w:r w:rsidRPr="00156B04">
        <w:rPr>
          <w:rFonts w:cs="Times New Roman"/>
        </w:rPr>
        <w:t>s. 85.07(1) and (3)). Complaint resolution officers can also consider prior decisions regarding whether a flight delay, cancellation or denial of boarding was within a carrier’s control (</w:t>
      </w:r>
      <w:r w:rsidRPr="00156B04">
        <w:rPr>
          <w:rFonts w:cs="Times New Roman"/>
          <w:i/>
        </w:rPr>
        <w:t>CTA</w:t>
      </w:r>
      <w:r w:rsidRPr="00156B04">
        <w:rPr>
          <w:rFonts w:eastAsia="Times New Roman" w:cs="Times New Roman"/>
        </w:rPr>
        <w:t>,</w:t>
      </w:r>
      <w:r w:rsidRPr="00156B04">
        <w:rPr>
          <w:rFonts w:cs="Times New Roman"/>
          <w:i/>
        </w:rPr>
        <w:t xml:space="preserve"> </w:t>
      </w:r>
      <w:r w:rsidRPr="00156B04">
        <w:rPr>
          <w:rFonts w:cs="Times New Roman"/>
        </w:rPr>
        <w:t xml:space="preserve">ss. 85.08 and 85.14). </w:t>
      </w:r>
      <w:r w:rsidRPr="00156B04">
        <w:rPr>
          <w:rFonts w:eastAsia="Times New Roman" w:cs="Times New Roman"/>
        </w:rPr>
        <w:t xml:space="preserve">The </w:t>
      </w:r>
      <w:r w:rsidRPr="00156B04">
        <w:rPr>
          <w:rFonts w:eastAsia="Times New Roman" w:cs="Times New Roman"/>
          <w:i/>
        </w:rPr>
        <w:t xml:space="preserve">CTA </w:t>
      </w:r>
      <w:r w:rsidRPr="00156B04">
        <w:rPr>
          <w:rFonts w:eastAsia="Times New Roman" w:cs="Times New Roman"/>
        </w:rPr>
        <w:t>(s. 86(1)(h)(</w:t>
      </w:r>
      <w:proofErr w:type="spellStart"/>
      <w:r w:rsidRPr="00156B04">
        <w:rPr>
          <w:rFonts w:eastAsia="Times New Roman" w:cs="Times New Roman"/>
        </w:rPr>
        <w:t>iii.1</w:t>
      </w:r>
      <w:proofErr w:type="spellEnd"/>
      <w:r w:rsidRPr="00156B04">
        <w:rPr>
          <w:rFonts w:eastAsia="Times New Roman" w:cs="Times New Roman"/>
        </w:rPr>
        <w:t xml:space="preserve">)) further enables the Agency to make applicable to some or all passengers on the same flight a decision respecting a complaint in the case of flight delay, cancellation, or denial of boarding. In addition to addressing passenger complaints, the Agency can also enforce the </w:t>
      </w:r>
      <w:r w:rsidRPr="00156B04">
        <w:rPr>
          <w:rFonts w:eastAsia="Times New Roman" w:cs="Times New Roman"/>
          <w:i/>
        </w:rPr>
        <w:t xml:space="preserve">Regulations </w:t>
      </w:r>
      <w:r w:rsidRPr="00156B04">
        <w:rPr>
          <w:rFonts w:eastAsia="Times New Roman" w:cs="Times New Roman"/>
        </w:rPr>
        <w:t>by imposing administrative monetary penalties not exceeding $5,000 (in the case of an individual) or $250,000 (in the case of a corporation) (s. 177(1)).</w:t>
      </w:r>
    </w:p>
    <w:p w14:paraId="5AAF2738"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Read together, these provisions of the </w:t>
      </w:r>
      <w:r w:rsidRPr="00156B04">
        <w:rPr>
          <w:rFonts w:eastAsia="Times New Roman" w:cs="Times New Roman"/>
          <w:i/>
        </w:rPr>
        <w:t xml:space="preserve">CTA </w:t>
      </w:r>
      <w:r w:rsidRPr="00156B04">
        <w:rPr>
          <w:rFonts w:eastAsia="Times New Roman" w:cs="Times New Roman"/>
        </w:rPr>
        <w:t xml:space="preserve">and the </w:t>
      </w:r>
      <w:r w:rsidRPr="00156B04">
        <w:rPr>
          <w:rFonts w:eastAsia="Times New Roman" w:cs="Times New Roman"/>
          <w:i/>
        </w:rPr>
        <w:t xml:space="preserve">Regulations </w:t>
      </w:r>
      <w:r w:rsidRPr="00156B04">
        <w:rPr>
          <w:rFonts w:eastAsia="Times New Roman" w:cs="Times New Roman"/>
        </w:rPr>
        <w:t xml:space="preserve">enable the Agency to enforce carrier compliance with the compensation provided for in the </w:t>
      </w:r>
      <w:r w:rsidRPr="00156B04">
        <w:rPr>
          <w:rFonts w:eastAsia="Times New Roman" w:cs="Times New Roman"/>
          <w:i/>
        </w:rPr>
        <w:t>Regulations</w:t>
      </w:r>
      <w:r w:rsidRPr="00156B04">
        <w:rPr>
          <w:rFonts w:eastAsia="Times New Roman" w:cs="Times New Roman"/>
        </w:rPr>
        <w:t xml:space="preserve">, and to extend compensation owed to one passenger to others who are impacted by the same disruption. </w:t>
      </w:r>
    </w:p>
    <w:p w14:paraId="0C80886E" w14:textId="77777777" w:rsidR="00156B04" w:rsidRPr="00156B04" w:rsidRDefault="00156B04" w:rsidP="00156B04">
      <w:pPr>
        <w:pStyle w:val="Title3LevelTitre3Niveau"/>
        <w:rPr>
          <w:rFonts w:cs="Times New Roman"/>
        </w:rPr>
      </w:pPr>
      <w:bookmarkStart w:id="49" w:name="_Toc168491270"/>
      <w:r w:rsidRPr="00156B04">
        <w:rPr>
          <w:rFonts w:cs="Times New Roman"/>
        </w:rPr>
        <w:t xml:space="preserve">The </w:t>
      </w:r>
      <w:r w:rsidRPr="00156B04">
        <w:rPr>
          <w:rFonts w:cs="Times New Roman"/>
          <w:i/>
        </w:rPr>
        <w:t xml:space="preserve">Regulations </w:t>
      </w:r>
      <w:r w:rsidRPr="00156B04">
        <w:rPr>
          <w:rFonts w:cs="Times New Roman"/>
        </w:rPr>
        <w:t>Operate as a Consumer Protection Scheme</w:t>
      </w:r>
      <w:bookmarkEnd w:id="49"/>
      <w:r w:rsidRPr="00156B04">
        <w:rPr>
          <w:rFonts w:cs="Times New Roman"/>
        </w:rPr>
        <w:t xml:space="preserve"> </w:t>
      </w:r>
    </w:p>
    <w:p w14:paraId="39FEABD1" w14:textId="77777777" w:rsidR="00156B04" w:rsidRPr="00156B04" w:rsidRDefault="00156B04" w:rsidP="00156B04">
      <w:pPr>
        <w:pStyle w:val="ParaNoNdepar-AltN"/>
        <w:rPr>
          <w:rFonts w:eastAsia="Times New Roman" w:cs="Times New Roman"/>
          <w:b/>
        </w:rPr>
      </w:pPr>
      <w:r w:rsidRPr="00156B04">
        <w:rPr>
          <w:rFonts w:cs="Times New Roman"/>
        </w:rPr>
        <w:t xml:space="preserve">The Attorney General and the Agency submit that the </w:t>
      </w:r>
      <w:r w:rsidRPr="00156B04">
        <w:rPr>
          <w:rFonts w:cs="Times New Roman"/>
          <w:i/>
        </w:rPr>
        <w:t xml:space="preserve">Regulations </w:t>
      </w:r>
      <w:r w:rsidRPr="00156B04">
        <w:rPr>
          <w:rFonts w:cs="Times New Roman"/>
        </w:rPr>
        <w:t xml:space="preserve">mark an evolution in the government’s approach away from a “piecemeal” system that relied on carrier-led tariff development towards one that ensures predictable payments to passengers who are inconvenienced during carriage by air to, from or within Canada. The </w:t>
      </w:r>
      <w:r w:rsidRPr="00156B04">
        <w:rPr>
          <w:rFonts w:cs="Times New Roman"/>
          <w:i/>
        </w:rPr>
        <w:t xml:space="preserve">Regulations </w:t>
      </w:r>
      <w:r w:rsidRPr="00156B04">
        <w:rPr>
          <w:rFonts w:cs="Times New Roman"/>
        </w:rPr>
        <w:t xml:space="preserve">were put in place, following a review of the </w:t>
      </w:r>
      <w:r w:rsidRPr="00156B04">
        <w:rPr>
          <w:rFonts w:cs="Times New Roman"/>
          <w:i/>
        </w:rPr>
        <w:t>CTA</w:t>
      </w:r>
      <w:r w:rsidRPr="00156B04">
        <w:rPr>
          <w:rFonts w:cs="Times New Roman"/>
        </w:rPr>
        <w:t>, with a view to correcting an “‘acute imbalance in market power’ between air passengers and air carriers, and the ‘unusual situation’ where Canadian air passengers had to rely on foreign customer protection measures when traveling abroad” (</w:t>
      </w:r>
      <w:proofErr w:type="spellStart"/>
      <w:r w:rsidRPr="00156B04">
        <w:rPr>
          <w:rFonts w:cs="Times New Roman"/>
        </w:rPr>
        <w:t>R.F</w:t>
      </w:r>
      <w:proofErr w:type="spellEnd"/>
      <w:r w:rsidRPr="00156B04">
        <w:rPr>
          <w:rFonts w:cs="Times New Roman"/>
        </w:rPr>
        <w:t xml:space="preserve">., Attorney General, at para. 11). </w:t>
      </w:r>
      <w:r w:rsidRPr="00156B04">
        <w:rPr>
          <w:rFonts w:eastAsia="Times New Roman" w:cs="Times New Roman"/>
        </w:rPr>
        <w:t xml:space="preserve">Parliament responded to this situation by directing the Agency to put in place a system of </w:t>
      </w:r>
      <w:r w:rsidRPr="00156B04">
        <w:rPr>
          <w:rFonts w:cs="Times New Roman"/>
        </w:rPr>
        <w:t>standardized compensation.</w:t>
      </w:r>
    </w:p>
    <w:p w14:paraId="7A12522E"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The </w:t>
      </w:r>
      <w:r w:rsidRPr="00156B04">
        <w:rPr>
          <w:rFonts w:eastAsia="Times New Roman" w:cs="Times New Roman"/>
          <w:i/>
        </w:rPr>
        <w:t xml:space="preserve">Regulations </w:t>
      </w:r>
      <w:r w:rsidRPr="00156B04">
        <w:rPr>
          <w:rFonts w:eastAsia="Times New Roman" w:cs="Times New Roman"/>
        </w:rPr>
        <w:t xml:space="preserve">are, thus, best understood as providing for statutory entitlements under a consumer protection scheme. </w:t>
      </w:r>
      <w:r w:rsidRPr="00156B04">
        <w:rPr>
          <w:rFonts w:cs="Times New Roman"/>
        </w:rPr>
        <w:t xml:space="preserve">Passengers claiming under the </w:t>
      </w:r>
      <w:r w:rsidRPr="00156B04">
        <w:rPr>
          <w:rFonts w:cs="Times New Roman"/>
          <w:i/>
        </w:rPr>
        <w:t>Regulations</w:t>
      </w:r>
      <w:r w:rsidRPr="00156B04">
        <w:rPr>
          <w:rFonts w:cs="Times New Roman"/>
        </w:rPr>
        <w:t xml:space="preserve"> need not show what harm, if any, they have suffered in order to claim compensation. </w:t>
      </w:r>
      <w:r w:rsidRPr="00156B04">
        <w:rPr>
          <w:rFonts w:eastAsia="Times New Roman" w:cs="Times New Roman"/>
        </w:rPr>
        <w:t xml:space="preserve">The </w:t>
      </w:r>
      <w:r w:rsidRPr="00156B04">
        <w:rPr>
          <w:rFonts w:eastAsia="Times New Roman" w:cs="Times New Roman"/>
          <w:i/>
        </w:rPr>
        <w:t>Regulations</w:t>
      </w:r>
      <w:r w:rsidRPr="00156B04">
        <w:rPr>
          <w:rFonts w:eastAsia="Times New Roman" w:cs="Times New Roman"/>
        </w:rPr>
        <w:t xml:space="preserve"> do not tie compensation to harm and inconvenience; rather they mandate compensation for delay, cancellation or denial of boarding based on the time by which a passenger’s arrival at their ultimate destination is delayed. Unlike the </w:t>
      </w:r>
      <w:r w:rsidRPr="00156B04">
        <w:rPr>
          <w:rFonts w:eastAsia="Times New Roman" w:cs="Times New Roman"/>
          <w:i/>
        </w:rPr>
        <w:t>Montreal Convention</w:t>
      </w:r>
      <w:r w:rsidRPr="00156B04">
        <w:rPr>
          <w:rFonts w:eastAsia="Times New Roman" w:cs="Times New Roman"/>
        </w:rPr>
        <w:t xml:space="preserve">, the </w:t>
      </w:r>
      <w:r w:rsidRPr="00156B04">
        <w:rPr>
          <w:rFonts w:eastAsia="Times New Roman" w:cs="Times New Roman"/>
          <w:i/>
        </w:rPr>
        <w:t xml:space="preserve">Regulations </w:t>
      </w:r>
      <w:r w:rsidRPr="00156B04">
        <w:rPr>
          <w:rFonts w:eastAsia="Times New Roman" w:cs="Times New Roman"/>
        </w:rPr>
        <w:t>do not enable a carrier to avoid having to pay compensation otherwise due to a passenger by invoking a due diligence defence or pointing to contributory negligence. As long as the disruption in question occurred for a reason within the carrier’s control and was not required for safety purposes, the compensation is fixed.</w:t>
      </w:r>
      <w:r w:rsidRPr="00156B04">
        <w:rPr>
          <w:rFonts w:eastAsia="Times New Roman" w:cs="Times New Roman"/>
          <w:i/>
        </w:rPr>
        <w:t xml:space="preserve"> </w:t>
      </w:r>
      <w:r w:rsidRPr="00156B04">
        <w:rPr>
          <w:rFonts w:eastAsia="Times New Roman" w:cs="Times New Roman"/>
        </w:rPr>
        <w:t xml:space="preserve">Moreover, the Agency is empowered to extend a finding that compensation is owed to one passenger to other passengers similarly situated. Compensation owed under the </w:t>
      </w:r>
      <w:r w:rsidRPr="00156B04">
        <w:rPr>
          <w:rFonts w:eastAsia="Times New Roman" w:cs="Times New Roman"/>
          <w:i/>
        </w:rPr>
        <w:t xml:space="preserve">Regulations </w:t>
      </w:r>
      <w:r w:rsidRPr="00156B04">
        <w:rPr>
          <w:rFonts w:eastAsia="Times New Roman" w:cs="Times New Roman"/>
        </w:rPr>
        <w:t xml:space="preserve">for lost or damaged baggage is tied to the baggage fees charged by the carrier, not to the harm. The </w:t>
      </w:r>
      <w:r w:rsidRPr="00156B04">
        <w:rPr>
          <w:rFonts w:eastAsia="Times New Roman" w:cs="Times New Roman"/>
          <w:i/>
        </w:rPr>
        <w:t xml:space="preserve">Regulations </w:t>
      </w:r>
      <w:r w:rsidRPr="00156B04">
        <w:rPr>
          <w:rFonts w:eastAsia="Times New Roman" w:cs="Times New Roman"/>
        </w:rPr>
        <w:t xml:space="preserve">are enforced </w:t>
      </w:r>
      <w:r w:rsidRPr="00156B04">
        <w:rPr>
          <w:rFonts w:cs="Times New Roman"/>
        </w:rPr>
        <w:t xml:space="preserve">by </w:t>
      </w:r>
      <w:r w:rsidRPr="00156B04">
        <w:rPr>
          <w:rFonts w:eastAsia="Times New Roman" w:cs="Times New Roman"/>
        </w:rPr>
        <w:t>Agency-designated complaint resolution officers</w:t>
      </w:r>
      <w:r w:rsidRPr="00156B04">
        <w:rPr>
          <w:rFonts w:cs="Times New Roman"/>
        </w:rPr>
        <w:t xml:space="preserve"> whose primary adjudicative duty consists of ensuring that carriers adhere to terms set in their tariffs. </w:t>
      </w:r>
    </w:p>
    <w:p w14:paraId="2BE7A613" w14:textId="77777777" w:rsidR="00156B04" w:rsidRPr="00156B04" w:rsidRDefault="00156B04" w:rsidP="00156B04">
      <w:pPr>
        <w:pStyle w:val="Title2LevelTitre2Niveau"/>
        <w:rPr>
          <w:rFonts w:cs="Times New Roman"/>
        </w:rPr>
      </w:pPr>
      <w:bookmarkStart w:id="50" w:name="_Toc168491271"/>
      <w:r w:rsidRPr="00156B04">
        <w:rPr>
          <w:rFonts w:eastAsia="Times New Roman" w:cs="Times New Roman"/>
        </w:rPr>
        <w:t>The Regulations</w:t>
      </w:r>
      <w:r w:rsidRPr="00156B04">
        <w:rPr>
          <w:rFonts w:eastAsia="Times New Roman" w:cs="Times New Roman"/>
          <w:i w:val="0"/>
        </w:rPr>
        <w:t xml:space="preserve"> </w:t>
      </w:r>
      <w:r w:rsidRPr="00156B04">
        <w:rPr>
          <w:rFonts w:eastAsia="Times New Roman" w:cs="Times New Roman"/>
        </w:rPr>
        <w:t>Do Not Conflict With the Montreal Convention</w:t>
      </w:r>
      <w:bookmarkEnd w:id="50"/>
      <w:r w:rsidRPr="00156B04">
        <w:rPr>
          <w:rFonts w:eastAsia="Times New Roman" w:cs="Times New Roman"/>
          <w:i w:val="0"/>
        </w:rPr>
        <w:t xml:space="preserve"> </w:t>
      </w:r>
      <w:r w:rsidRPr="00156B04">
        <w:rPr>
          <w:rFonts w:eastAsia="Times New Roman" w:cs="Times New Roman"/>
        </w:rPr>
        <w:t>and Thus Are Not Ultra Vires the CTA</w:t>
      </w:r>
      <w:r w:rsidRPr="00156B04">
        <w:rPr>
          <w:rFonts w:cs="Times New Roman"/>
        </w:rPr>
        <w:t xml:space="preserve"> </w:t>
      </w:r>
    </w:p>
    <w:p w14:paraId="70DAE803" w14:textId="77777777" w:rsidR="00156B04" w:rsidRPr="00156B04" w:rsidRDefault="00156B04" w:rsidP="00156B04">
      <w:pPr>
        <w:pStyle w:val="ParaNoNdepar-AltN"/>
        <w:rPr>
          <w:rFonts w:cs="Times New Roman"/>
          <w:lang w:val="en-US"/>
        </w:rPr>
      </w:pPr>
      <w:r w:rsidRPr="00156B04">
        <w:rPr>
          <w:rFonts w:cs="Times New Roman"/>
          <w:lang w:val="en-US"/>
        </w:rPr>
        <w:t xml:space="preserve">I now turn to the central issue in this appeal: are the </w:t>
      </w:r>
      <w:r w:rsidRPr="00156B04">
        <w:rPr>
          <w:rFonts w:cs="Times New Roman"/>
          <w:i/>
          <w:lang w:val="en-US"/>
        </w:rPr>
        <w:t>Regulations ultra vires</w:t>
      </w:r>
      <w:r w:rsidRPr="00156B04">
        <w:rPr>
          <w:rFonts w:cs="Times New Roman"/>
          <w:lang w:val="en-US"/>
        </w:rPr>
        <w:t xml:space="preserve"> the </w:t>
      </w:r>
      <w:r w:rsidRPr="00156B04">
        <w:rPr>
          <w:rFonts w:cs="Times New Roman"/>
          <w:i/>
          <w:lang w:val="en-US"/>
        </w:rPr>
        <w:t>CTA</w:t>
      </w:r>
      <w:r w:rsidRPr="00156B04">
        <w:rPr>
          <w:rFonts w:cs="Times New Roman"/>
          <w:lang w:val="en-US"/>
        </w:rPr>
        <w:t xml:space="preserve">? As I shall explain, they are not. The </w:t>
      </w:r>
      <w:r w:rsidRPr="00156B04">
        <w:rPr>
          <w:rFonts w:cs="Times New Roman"/>
          <w:i/>
          <w:lang w:val="en-US"/>
        </w:rPr>
        <w:t>Regulations</w:t>
      </w:r>
      <w:r w:rsidRPr="00156B04">
        <w:rPr>
          <w:rFonts w:cs="Times New Roman"/>
          <w:lang w:val="en-US"/>
        </w:rPr>
        <w:t xml:space="preserve"> fall outside the scope of Article 29 of the </w:t>
      </w:r>
      <w:r w:rsidRPr="00156B04">
        <w:rPr>
          <w:rFonts w:cs="Times New Roman"/>
          <w:i/>
          <w:lang w:val="en-US"/>
        </w:rPr>
        <w:t>Montreal Convention</w:t>
      </w:r>
      <w:r w:rsidRPr="00156B04">
        <w:rPr>
          <w:rFonts w:cs="Times New Roman"/>
          <w:lang w:val="en-US"/>
        </w:rPr>
        <w:t xml:space="preserve"> and therefore there is no conflict between the </w:t>
      </w:r>
      <w:r w:rsidRPr="00156B04">
        <w:rPr>
          <w:rFonts w:cs="Times New Roman"/>
          <w:i/>
          <w:lang w:val="en-US"/>
        </w:rPr>
        <w:t>CTA</w:t>
      </w:r>
      <w:r w:rsidRPr="00156B04">
        <w:rPr>
          <w:rFonts w:cs="Times New Roman"/>
          <w:lang w:val="en-US"/>
        </w:rPr>
        <w:t xml:space="preserve"> and the </w:t>
      </w:r>
      <w:r w:rsidRPr="00156B04">
        <w:rPr>
          <w:rFonts w:cs="Times New Roman"/>
          <w:i/>
          <w:lang w:val="en-US"/>
        </w:rPr>
        <w:t>Montreal Convention</w:t>
      </w:r>
      <w:r w:rsidRPr="00156B04">
        <w:rPr>
          <w:rFonts w:cs="Times New Roman"/>
          <w:lang w:val="en-US"/>
        </w:rPr>
        <w:t>, as implemented by the</w:t>
      </w:r>
      <w:r w:rsidRPr="00156B04">
        <w:rPr>
          <w:rFonts w:cs="Times New Roman"/>
          <w:i/>
          <w:lang w:val="en-US"/>
        </w:rPr>
        <w:t xml:space="preserve"> CAA</w:t>
      </w:r>
      <w:r w:rsidRPr="00156B04">
        <w:rPr>
          <w:rFonts w:cs="Times New Roman"/>
          <w:lang w:val="en-US"/>
        </w:rPr>
        <w:t xml:space="preserve">. </w:t>
      </w:r>
    </w:p>
    <w:p w14:paraId="1903B560" w14:textId="77777777" w:rsidR="00156B04" w:rsidRPr="00156B04" w:rsidRDefault="00156B04" w:rsidP="00156B04">
      <w:pPr>
        <w:pStyle w:val="Title3LevelTitre3Niveau"/>
        <w:rPr>
          <w:rFonts w:cs="Times New Roman"/>
          <w:lang w:val="en-US"/>
        </w:rPr>
      </w:pPr>
      <w:bookmarkStart w:id="51" w:name="_Toc168491272"/>
      <w:r w:rsidRPr="00156B04">
        <w:rPr>
          <w:rFonts w:cs="Times New Roman"/>
          <w:lang w:val="en-US"/>
        </w:rPr>
        <w:t>What Constitutes a Conflict?</w:t>
      </w:r>
      <w:bookmarkEnd w:id="51"/>
      <w:r w:rsidRPr="00156B04">
        <w:rPr>
          <w:rFonts w:cs="Times New Roman"/>
          <w:lang w:val="en-US"/>
        </w:rPr>
        <w:t xml:space="preserve"> </w:t>
      </w:r>
    </w:p>
    <w:p w14:paraId="3E51E823"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In </w:t>
      </w:r>
      <w:proofErr w:type="spellStart"/>
      <w:r w:rsidRPr="00156B04">
        <w:rPr>
          <w:rFonts w:eastAsia="Times New Roman" w:cs="Times New Roman"/>
          <w:i/>
        </w:rPr>
        <w:t>Thibodeau</w:t>
      </w:r>
      <w:proofErr w:type="spellEnd"/>
      <w:r w:rsidRPr="00156B04">
        <w:rPr>
          <w:rFonts w:eastAsia="Times New Roman" w:cs="Times New Roman"/>
        </w:rPr>
        <w:t xml:space="preserve">, this Court explained that </w:t>
      </w:r>
    </w:p>
    <w:p w14:paraId="67434C65" w14:textId="77777777" w:rsidR="00156B04" w:rsidRPr="00156B04" w:rsidRDefault="00156B04" w:rsidP="00156B04">
      <w:pPr>
        <w:pStyle w:val="Citation-AltC"/>
        <w:ind w:firstLine="274"/>
      </w:pPr>
      <w:r w:rsidRPr="00156B04">
        <w:t>[c]</w:t>
      </w:r>
      <w:proofErr w:type="spellStart"/>
      <w:r w:rsidRPr="00156B04">
        <w:t>ourts</w:t>
      </w:r>
      <w:proofErr w:type="spellEnd"/>
      <w:r w:rsidRPr="00156B04">
        <w:t xml:space="preserve"> presume that legislation passed by Parliament does not contain contradictions or inconsistencies and only find that they exist when provisions are so inconsistent that they are incapable of standing together. Even where provisions overlap in the sense that they address aspects of the same subject, they are interpreted so as to avoid conflict wherever this is possible. [para. 89]</w:t>
      </w:r>
    </w:p>
    <w:p w14:paraId="1BD6BC0D" w14:textId="77777777" w:rsidR="00156B04" w:rsidRPr="00156B04" w:rsidRDefault="00156B04" w:rsidP="00156B04">
      <w:pPr>
        <w:pStyle w:val="ContinueParaSuitedupar-AltP"/>
        <w:rPr>
          <w:rFonts w:cs="Times New Roman"/>
        </w:rPr>
      </w:pPr>
      <w:r w:rsidRPr="00156B04">
        <w:rPr>
          <w:rFonts w:cs="Times New Roman"/>
        </w:rPr>
        <w:t xml:space="preserve">Thus, to find a conflict between the </w:t>
      </w:r>
      <w:r w:rsidRPr="00156B04">
        <w:rPr>
          <w:rFonts w:cs="Times New Roman"/>
          <w:i/>
          <w:lang w:val="en-US"/>
        </w:rPr>
        <w:t xml:space="preserve">Montreal </w:t>
      </w:r>
      <w:r w:rsidRPr="00156B04">
        <w:rPr>
          <w:rFonts w:cs="Times New Roman"/>
          <w:i/>
        </w:rPr>
        <w:t>Convention</w:t>
      </w:r>
      <w:r w:rsidRPr="00156B04">
        <w:rPr>
          <w:rFonts w:cs="Times New Roman"/>
        </w:rPr>
        <w:t xml:space="preserve"> and the impugned </w:t>
      </w:r>
      <w:r w:rsidRPr="00156B04">
        <w:rPr>
          <w:rFonts w:cs="Times New Roman"/>
          <w:i/>
        </w:rPr>
        <w:t>Regulations</w:t>
      </w:r>
      <w:r w:rsidRPr="00156B04">
        <w:rPr>
          <w:rFonts w:cs="Times New Roman"/>
        </w:rPr>
        <w:t>, the latter must be “so inconsistent with” the former that they are “incapable of standing together” (</w:t>
      </w:r>
      <w:r w:rsidRPr="00156B04">
        <w:rPr>
          <w:rFonts w:cs="Times New Roman"/>
          <w:i/>
        </w:rPr>
        <w:t>Daniels v. White</w:t>
      </w:r>
      <w:r w:rsidRPr="00156B04">
        <w:rPr>
          <w:rFonts w:cs="Times New Roman"/>
        </w:rPr>
        <w:t xml:space="preserve">, [1968] </w:t>
      </w:r>
      <w:proofErr w:type="spellStart"/>
      <w:r w:rsidRPr="00156B04">
        <w:rPr>
          <w:rFonts w:cs="Times New Roman"/>
        </w:rPr>
        <w:t>S.C.R</w:t>
      </w:r>
      <w:proofErr w:type="spellEnd"/>
      <w:r w:rsidRPr="00156B04">
        <w:rPr>
          <w:rFonts w:cs="Times New Roman"/>
        </w:rPr>
        <w:t xml:space="preserve">. 517, at p. 526). </w:t>
      </w:r>
    </w:p>
    <w:p w14:paraId="17F8EDC8" w14:textId="77777777" w:rsidR="00156B04" w:rsidRPr="00156B04" w:rsidRDefault="00156B04" w:rsidP="00156B04">
      <w:pPr>
        <w:pStyle w:val="ParaNoNdepar-AltN"/>
        <w:rPr>
          <w:rFonts w:eastAsia="Times New Roman" w:cs="Times New Roman"/>
        </w:rPr>
      </w:pPr>
      <w:r w:rsidRPr="00156B04">
        <w:rPr>
          <w:rFonts w:eastAsia="Times New Roman" w:cs="Times New Roman"/>
        </w:rPr>
        <w:t>The inquiry into whether one statute conflicts with another is distinct from the presumption that Parliament legislates in conformity with international law and “</w:t>
      </w:r>
      <w:r w:rsidRPr="00156B04">
        <w:rPr>
          <w:rFonts w:cs="Times New Roman"/>
        </w:rPr>
        <w:t>the rule of judicial policy that, as a matter of law, courts will strive to avoid constructions of domestic law pursuant to which the state would be in violation of its international obligations” (</w:t>
      </w:r>
      <w:r w:rsidRPr="00156B04">
        <w:rPr>
          <w:rFonts w:cs="Times New Roman"/>
          <w:i/>
        </w:rPr>
        <w:t xml:space="preserve">R. v. </w:t>
      </w:r>
      <w:proofErr w:type="spellStart"/>
      <w:r w:rsidRPr="00156B04">
        <w:rPr>
          <w:rFonts w:cs="Times New Roman"/>
          <w:i/>
        </w:rPr>
        <w:t>Hape</w:t>
      </w:r>
      <w:proofErr w:type="spellEnd"/>
      <w:r w:rsidRPr="00156B04">
        <w:rPr>
          <w:rFonts w:cs="Times New Roman"/>
        </w:rPr>
        <w:t xml:space="preserve">, 2007 SCC 26, [2007] 2 </w:t>
      </w:r>
      <w:proofErr w:type="spellStart"/>
      <w:r w:rsidRPr="00156B04">
        <w:rPr>
          <w:rFonts w:cs="Times New Roman"/>
        </w:rPr>
        <w:t>S.C.R</w:t>
      </w:r>
      <w:proofErr w:type="spellEnd"/>
      <w:r w:rsidRPr="00156B04">
        <w:rPr>
          <w:rFonts w:cs="Times New Roman"/>
        </w:rPr>
        <w:t>. 292, at para. 53)</w:t>
      </w:r>
      <w:r w:rsidRPr="00156B04">
        <w:rPr>
          <w:rFonts w:eastAsia="Times New Roman" w:cs="Times New Roman"/>
        </w:rPr>
        <w:t xml:space="preserve">. Where, as here, the treaty in question has been implemented in Canadian law, the test for statutory conflicts applies and there is no need to have regard to the presumption of conformity.  </w:t>
      </w:r>
    </w:p>
    <w:p w14:paraId="43C6C7D4" w14:textId="77777777" w:rsidR="00156B04" w:rsidRPr="00156B04" w:rsidRDefault="00156B04" w:rsidP="00156B04">
      <w:pPr>
        <w:pStyle w:val="Title3LevelTitre3Niveau"/>
        <w:rPr>
          <w:rFonts w:cs="Times New Roman"/>
        </w:rPr>
      </w:pPr>
      <w:bookmarkStart w:id="52" w:name="_Toc168491273"/>
      <w:r w:rsidRPr="00156B04">
        <w:rPr>
          <w:rFonts w:cs="Times New Roman"/>
        </w:rPr>
        <w:t xml:space="preserve">The </w:t>
      </w:r>
      <w:r w:rsidRPr="00156B04">
        <w:rPr>
          <w:rFonts w:cs="Times New Roman"/>
          <w:i/>
        </w:rPr>
        <w:t>Regulations</w:t>
      </w:r>
      <w:r w:rsidRPr="00156B04">
        <w:rPr>
          <w:rFonts w:cs="Times New Roman"/>
        </w:rPr>
        <w:t xml:space="preserve"> Do Not Provide for an “Action for Damages” and, as a Consequence, There Is No Conflict</w:t>
      </w:r>
      <w:bookmarkEnd w:id="52"/>
      <w:r w:rsidRPr="00156B04">
        <w:rPr>
          <w:rFonts w:cs="Times New Roman"/>
        </w:rPr>
        <w:t xml:space="preserve"> </w:t>
      </w:r>
    </w:p>
    <w:p w14:paraId="3BECF65E"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Because the </w:t>
      </w:r>
      <w:r w:rsidRPr="00156B04">
        <w:rPr>
          <w:rFonts w:eastAsia="Times New Roman" w:cs="Times New Roman"/>
          <w:i/>
        </w:rPr>
        <w:t xml:space="preserve">Regulations </w:t>
      </w:r>
      <w:r w:rsidRPr="00156B04">
        <w:rPr>
          <w:rFonts w:eastAsia="Times New Roman" w:cs="Times New Roman"/>
        </w:rPr>
        <w:t xml:space="preserve">do not provide for an action for damages, but instead create an </w:t>
      </w:r>
      <w:r w:rsidRPr="00156B04">
        <w:rPr>
          <w:rFonts w:cs="Times New Roman"/>
        </w:rPr>
        <w:t>entitlement to standardized compensation that does not seek to measure a passenger’s loss</w:t>
      </w:r>
      <w:r w:rsidRPr="00156B04">
        <w:rPr>
          <w:rFonts w:eastAsia="Times New Roman" w:cs="Times New Roman"/>
        </w:rPr>
        <w:t xml:space="preserve">, they fall outside the scope of Article 29 and do not conflict with the </w:t>
      </w:r>
      <w:r w:rsidRPr="00156B04">
        <w:rPr>
          <w:rFonts w:eastAsia="Times New Roman" w:cs="Times New Roman"/>
          <w:i/>
        </w:rPr>
        <w:t>Montreal Convention</w:t>
      </w:r>
      <w:r w:rsidRPr="00156B04">
        <w:rPr>
          <w:rFonts w:eastAsia="Times New Roman" w:cs="Times New Roman"/>
        </w:rPr>
        <w:t xml:space="preserve">. The two forms of passenger compensation envisaged by the </w:t>
      </w:r>
      <w:r w:rsidRPr="00156B04">
        <w:rPr>
          <w:rFonts w:eastAsia="Times New Roman" w:cs="Times New Roman"/>
          <w:i/>
        </w:rPr>
        <w:t xml:space="preserve">Regulations </w:t>
      </w:r>
      <w:r w:rsidRPr="00156B04">
        <w:rPr>
          <w:rFonts w:eastAsia="Times New Roman" w:cs="Times New Roman"/>
        </w:rPr>
        <w:t xml:space="preserve">and the </w:t>
      </w:r>
      <w:r w:rsidRPr="00156B04">
        <w:rPr>
          <w:rFonts w:eastAsia="Times New Roman" w:cs="Times New Roman"/>
          <w:i/>
        </w:rPr>
        <w:t xml:space="preserve">Montreal Convention </w:t>
      </w:r>
      <w:r w:rsidRPr="00156B04">
        <w:rPr>
          <w:rFonts w:eastAsia="Times New Roman" w:cs="Times New Roman"/>
        </w:rPr>
        <w:t xml:space="preserve">are capable of “standing together”. The bargain at the centre of the </w:t>
      </w:r>
      <w:r w:rsidRPr="00156B04">
        <w:rPr>
          <w:rFonts w:eastAsia="Times New Roman" w:cs="Times New Roman"/>
          <w:i/>
        </w:rPr>
        <w:t xml:space="preserve">Montreal Convention </w:t>
      </w:r>
      <w:r w:rsidRPr="00156B04">
        <w:rPr>
          <w:rFonts w:eastAsia="Times New Roman" w:cs="Times New Roman"/>
        </w:rPr>
        <w:t>remains undisturbed. In actions for damages, passengers continue to enjoy certain evidentiary presumptions “on proof of damage” (</w:t>
      </w:r>
      <w:proofErr w:type="spellStart"/>
      <w:r w:rsidRPr="00156B04">
        <w:rPr>
          <w:rFonts w:eastAsia="Times New Roman" w:cs="Times New Roman"/>
          <w:i/>
        </w:rPr>
        <w:t>Thibodeau</w:t>
      </w:r>
      <w:proofErr w:type="spellEnd"/>
      <w:r w:rsidRPr="00156B04">
        <w:rPr>
          <w:rFonts w:eastAsia="Times New Roman" w:cs="Times New Roman"/>
        </w:rPr>
        <w:t>, at para. 42) which address “the need for equitable compensation based on the principle of restitution” (</w:t>
      </w:r>
      <w:r w:rsidRPr="00156B04">
        <w:rPr>
          <w:rFonts w:eastAsia="Times New Roman" w:cs="Times New Roman"/>
          <w:i/>
        </w:rPr>
        <w:t>Montreal Convention</w:t>
      </w:r>
      <w:r w:rsidRPr="00156B04">
        <w:rPr>
          <w:rFonts w:eastAsia="Times New Roman" w:cs="Times New Roman"/>
        </w:rPr>
        <w:t xml:space="preserve">, preamble). Carriers remain shielded from unlimited liability arising from actions for damages related to </w:t>
      </w:r>
      <w:bookmarkStart w:id="53" w:name="_Hlk168056331"/>
      <w:r w:rsidRPr="00156B04">
        <w:rPr>
          <w:rFonts w:cs="Times New Roman"/>
        </w:rPr>
        <w:t>claims for death or bodily injury, damage or loss of baggage and cargo, and for delay</w:t>
      </w:r>
      <w:bookmarkEnd w:id="53"/>
      <w:r w:rsidRPr="00156B04">
        <w:rPr>
          <w:rFonts w:eastAsia="Times New Roman" w:cs="Times New Roman"/>
        </w:rPr>
        <w:t xml:space="preserve">. </w:t>
      </w:r>
    </w:p>
    <w:p w14:paraId="0CB452A3" w14:textId="77777777" w:rsidR="00156B04" w:rsidRPr="00156B04" w:rsidRDefault="00156B04" w:rsidP="00156B04">
      <w:pPr>
        <w:pStyle w:val="ParaNoNdepar-AltN"/>
        <w:rPr>
          <w:rFonts w:eastAsia="Times New Roman" w:cs="Times New Roman"/>
          <w:b/>
        </w:rPr>
      </w:pPr>
      <w:r w:rsidRPr="00156B04">
        <w:rPr>
          <w:rFonts w:eastAsia="Times New Roman" w:cs="Times New Roman"/>
        </w:rPr>
        <w:t xml:space="preserve">It is helpful to look beyond the context of the </w:t>
      </w:r>
      <w:r w:rsidRPr="00156B04">
        <w:rPr>
          <w:rFonts w:eastAsia="Times New Roman" w:cs="Times New Roman"/>
          <w:i/>
        </w:rPr>
        <w:t xml:space="preserve">Montreal Convention </w:t>
      </w:r>
      <w:r w:rsidRPr="00156B04">
        <w:rPr>
          <w:rFonts w:eastAsia="Times New Roman" w:cs="Times New Roman"/>
        </w:rPr>
        <w:t xml:space="preserve">to other instances in which courts have </w:t>
      </w:r>
      <w:r w:rsidRPr="00156B04">
        <w:rPr>
          <w:rFonts w:cs="Times New Roman"/>
        </w:rPr>
        <w:t>considered whether a statutory entitlement is an award of damages</w:t>
      </w:r>
      <w:r w:rsidRPr="00156B04">
        <w:rPr>
          <w:rFonts w:eastAsia="Times New Roman" w:cs="Times New Roman"/>
        </w:rPr>
        <w:t xml:space="preserve">. In </w:t>
      </w:r>
      <w:r w:rsidRPr="00156B04">
        <w:rPr>
          <w:rFonts w:cs="Times New Roman"/>
          <w:i/>
        </w:rPr>
        <w:t xml:space="preserve">Brake v. </w:t>
      </w:r>
      <w:proofErr w:type="spellStart"/>
      <w:r w:rsidRPr="00156B04">
        <w:rPr>
          <w:rFonts w:cs="Times New Roman"/>
          <w:i/>
        </w:rPr>
        <w:t>PJ-M2R</w:t>
      </w:r>
      <w:proofErr w:type="spellEnd"/>
      <w:r w:rsidRPr="00156B04">
        <w:rPr>
          <w:rFonts w:cs="Times New Roman"/>
          <w:i/>
        </w:rPr>
        <w:t xml:space="preserve"> Restaurant Inc.</w:t>
      </w:r>
      <w:r w:rsidRPr="00156B04">
        <w:rPr>
          <w:rFonts w:cs="Times New Roman"/>
        </w:rPr>
        <w:t xml:space="preserve">, 2017 </w:t>
      </w:r>
      <w:proofErr w:type="spellStart"/>
      <w:r w:rsidRPr="00156B04">
        <w:rPr>
          <w:rFonts w:cs="Times New Roman"/>
        </w:rPr>
        <w:t>ONCA</w:t>
      </w:r>
      <w:proofErr w:type="spellEnd"/>
      <w:r w:rsidRPr="00156B04">
        <w:rPr>
          <w:rFonts w:cs="Times New Roman"/>
        </w:rPr>
        <w:t xml:space="preserve"> 402, 135 </w:t>
      </w:r>
      <w:proofErr w:type="spellStart"/>
      <w:r w:rsidRPr="00156B04">
        <w:rPr>
          <w:rFonts w:cs="Times New Roman"/>
        </w:rPr>
        <w:t>O.R</w:t>
      </w:r>
      <w:proofErr w:type="spellEnd"/>
      <w:r w:rsidRPr="00156B04">
        <w:rPr>
          <w:rFonts w:cs="Times New Roman"/>
        </w:rPr>
        <w:t>. (</w:t>
      </w:r>
      <w:proofErr w:type="spellStart"/>
      <w:r w:rsidRPr="00156B04">
        <w:rPr>
          <w:rFonts w:cs="Times New Roman"/>
        </w:rPr>
        <w:t>3d</w:t>
      </w:r>
      <w:proofErr w:type="spellEnd"/>
      <w:r w:rsidRPr="00156B04">
        <w:rPr>
          <w:rFonts w:cs="Times New Roman"/>
        </w:rPr>
        <w:t xml:space="preserve">) 561, the Court of Appeal dealt with whether a plaintiff was entitled to statutory entitlements (termination and severance pay) under the </w:t>
      </w:r>
      <w:r w:rsidRPr="00156B04">
        <w:rPr>
          <w:rFonts w:cs="Times New Roman"/>
          <w:i/>
        </w:rPr>
        <w:t>Employment Standards Act</w:t>
      </w:r>
      <w:r w:rsidRPr="00156B04">
        <w:rPr>
          <w:rFonts w:cs="Times New Roman"/>
          <w:i/>
          <w:iCs/>
        </w:rPr>
        <w:t>, 2000</w:t>
      </w:r>
      <w:r w:rsidRPr="00156B04">
        <w:rPr>
          <w:rFonts w:cs="Times New Roman"/>
        </w:rPr>
        <w:t xml:space="preserve">, </w:t>
      </w:r>
      <w:proofErr w:type="spellStart"/>
      <w:r w:rsidRPr="00156B04">
        <w:rPr>
          <w:rFonts w:cs="Times New Roman"/>
        </w:rPr>
        <w:t>S.O</w:t>
      </w:r>
      <w:proofErr w:type="spellEnd"/>
      <w:r w:rsidRPr="00156B04">
        <w:rPr>
          <w:rFonts w:cs="Times New Roman"/>
        </w:rPr>
        <w:t>. 2000, c. 41,</w:t>
      </w:r>
      <w:r w:rsidRPr="00156B04">
        <w:rPr>
          <w:rFonts w:cs="Times New Roman"/>
          <w:i/>
        </w:rPr>
        <w:t xml:space="preserve"> </w:t>
      </w:r>
      <w:r w:rsidRPr="00156B04">
        <w:rPr>
          <w:rFonts w:cs="Times New Roman"/>
        </w:rPr>
        <w:t xml:space="preserve">in addition to damages, or whether this would result in double recovery. In concluding that the compensation owed under the </w:t>
      </w:r>
      <w:r w:rsidRPr="00156B04">
        <w:rPr>
          <w:rFonts w:cs="Times New Roman"/>
          <w:i/>
        </w:rPr>
        <w:t>Employment Standards Act</w:t>
      </w:r>
      <w:r w:rsidRPr="00156B04">
        <w:rPr>
          <w:rFonts w:cs="Times New Roman"/>
        </w:rPr>
        <w:t xml:space="preserve"> was not an award of damages and there was no double recovery, the court characterized the compensation payable under the </w:t>
      </w:r>
      <w:r w:rsidRPr="00156B04">
        <w:rPr>
          <w:rFonts w:cs="Times New Roman"/>
          <w:i/>
        </w:rPr>
        <w:t xml:space="preserve">Employment Standards Act </w:t>
      </w:r>
      <w:r w:rsidRPr="00156B04">
        <w:rPr>
          <w:rFonts w:cs="Times New Roman"/>
        </w:rPr>
        <w:t xml:space="preserve">as “minimum entitlements” that “are not linked to any actual loss suffered by the employee, but are payable in any event” (para. 116, quoting </w:t>
      </w:r>
      <w:r w:rsidRPr="00156B04">
        <w:rPr>
          <w:rFonts w:cs="Times New Roman"/>
          <w:i/>
        </w:rPr>
        <w:t xml:space="preserve">Boland v. </w:t>
      </w:r>
      <w:proofErr w:type="spellStart"/>
      <w:r w:rsidRPr="00156B04">
        <w:rPr>
          <w:rFonts w:cs="Times New Roman"/>
          <w:i/>
        </w:rPr>
        <w:t>APV</w:t>
      </w:r>
      <w:proofErr w:type="spellEnd"/>
      <w:r w:rsidRPr="00156B04">
        <w:rPr>
          <w:rFonts w:cs="Times New Roman"/>
          <w:i/>
        </w:rPr>
        <w:t xml:space="preserve"> Canada Inc.</w:t>
      </w:r>
      <w:r w:rsidRPr="00156B04">
        <w:rPr>
          <w:rFonts w:cs="Times New Roman"/>
        </w:rPr>
        <w:t xml:space="preserve"> (2005), 250 </w:t>
      </w:r>
      <w:proofErr w:type="spellStart"/>
      <w:r w:rsidRPr="00156B04">
        <w:rPr>
          <w:rFonts w:cs="Times New Roman"/>
        </w:rPr>
        <w:t>D.L.R</w:t>
      </w:r>
      <w:proofErr w:type="spellEnd"/>
      <w:r w:rsidRPr="00156B04">
        <w:rPr>
          <w:rFonts w:cs="Times New Roman"/>
        </w:rPr>
        <w:t xml:space="preserve">. (4th) 376 (Ont. Div. Ct.), at para. 22). The entitlements could be contrasted with damages in the employment context, which seek to correct the loss suffered by a plaintiff through monetary compensation, having regard to factors such as “the age of the employee, the likely length of time to find another position, the actual finding of another position etc.” (para. 117, quoting </w:t>
      </w:r>
      <w:r w:rsidRPr="00156B04">
        <w:rPr>
          <w:rFonts w:cs="Times New Roman"/>
          <w:i/>
        </w:rPr>
        <w:t>Boland</w:t>
      </w:r>
      <w:r w:rsidRPr="00156B04">
        <w:rPr>
          <w:rFonts w:cs="Times New Roman"/>
        </w:rPr>
        <w:t xml:space="preserve">, at para. 23). Concluding that no conflict exists between the statutory entitlements provided for under the </w:t>
      </w:r>
      <w:r w:rsidRPr="00156B04">
        <w:rPr>
          <w:rFonts w:cs="Times New Roman"/>
          <w:i/>
        </w:rPr>
        <w:t xml:space="preserve">Regulations </w:t>
      </w:r>
      <w:r w:rsidRPr="00156B04">
        <w:rPr>
          <w:rFonts w:cs="Times New Roman"/>
        </w:rPr>
        <w:t xml:space="preserve">and the damages limitations under the </w:t>
      </w:r>
      <w:r w:rsidRPr="00156B04">
        <w:rPr>
          <w:rFonts w:cs="Times New Roman"/>
          <w:i/>
        </w:rPr>
        <w:t xml:space="preserve">Montreal Convention </w:t>
      </w:r>
      <w:r w:rsidRPr="00156B04">
        <w:rPr>
          <w:rFonts w:cs="Times New Roman"/>
        </w:rPr>
        <w:t xml:space="preserve">is consistent with the approach in </w:t>
      </w:r>
      <w:r w:rsidRPr="00156B04">
        <w:rPr>
          <w:rFonts w:cs="Times New Roman"/>
          <w:i/>
        </w:rPr>
        <w:t xml:space="preserve">Brake </w:t>
      </w:r>
      <w:r w:rsidRPr="00156B04">
        <w:rPr>
          <w:rFonts w:cs="Times New Roman"/>
        </w:rPr>
        <w:t xml:space="preserve">and a correct interpretation of the </w:t>
      </w:r>
      <w:r w:rsidRPr="00156B04">
        <w:rPr>
          <w:rFonts w:cs="Times New Roman"/>
          <w:i/>
        </w:rPr>
        <w:t>Regulations</w:t>
      </w:r>
      <w:r w:rsidRPr="00156B04">
        <w:rPr>
          <w:rFonts w:cs="Times New Roman"/>
        </w:rPr>
        <w:t xml:space="preserve">. </w:t>
      </w:r>
    </w:p>
    <w:p w14:paraId="7CD2EC8F"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The appellants raise two further arguments with respect to the purported incompatibility of the </w:t>
      </w:r>
      <w:r w:rsidRPr="00156B04">
        <w:rPr>
          <w:rFonts w:eastAsia="Times New Roman" w:cs="Times New Roman"/>
          <w:i/>
        </w:rPr>
        <w:t xml:space="preserve">Regulations </w:t>
      </w:r>
      <w:r w:rsidRPr="00156B04">
        <w:rPr>
          <w:rFonts w:eastAsia="Times New Roman" w:cs="Times New Roman"/>
        </w:rPr>
        <w:t xml:space="preserve">with the </w:t>
      </w:r>
      <w:r w:rsidRPr="00156B04">
        <w:rPr>
          <w:rFonts w:cs="Times New Roman"/>
          <w:i/>
        </w:rPr>
        <w:t xml:space="preserve">Montreal </w:t>
      </w:r>
      <w:r w:rsidRPr="00156B04">
        <w:rPr>
          <w:rFonts w:eastAsia="Times New Roman" w:cs="Times New Roman"/>
          <w:i/>
        </w:rPr>
        <w:t>Convention</w:t>
      </w:r>
      <w:r w:rsidRPr="00156B04">
        <w:rPr>
          <w:rFonts w:eastAsia="Times New Roman" w:cs="Times New Roman"/>
        </w:rPr>
        <w:t xml:space="preserve">, neither of which changes the outcome. First, they submit that the compensation provided for under the </w:t>
      </w:r>
      <w:r w:rsidRPr="00156B04">
        <w:rPr>
          <w:rFonts w:eastAsia="Times New Roman" w:cs="Times New Roman"/>
          <w:i/>
        </w:rPr>
        <w:t xml:space="preserve">Regulations </w:t>
      </w:r>
      <w:r w:rsidRPr="00156B04">
        <w:rPr>
          <w:rFonts w:eastAsia="Times New Roman" w:cs="Times New Roman"/>
        </w:rPr>
        <w:t xml:space="preserve">amounts to “non-compensatory damages” under the meaning of Article 29. This argument does not get off the ground. The meaning of “damages” examined above also applies to preclude a finding that the compensation provided for by the </w:t>
      </w:r>
      <w:r w:rsidRPr="00156B04">
        <w:rPr>
          <w:rFonts w:eastAsia="Times New Roman" w:cs="Times New Roman"/>
          <w:i/>
        </w:rPr>
        <w:t xml:space="preserve">Regulations </w:t>
      </w:r>
      <w:r w:rsidRPr="00156B04">
        <w:rPr>
          <w:rFonts w:eastAsia="Times New Roman" w:cs="Times New Roman"/>
        </w:rPr>
        <w:t xml:space="preserve">amounts to “non-compensatory damages”. Furthermore, the text of Article 29 places “non-compensatory damages” alongside “punitive” and “exemplary” damages deriving from “any such action”, i.e., any such “action for damages”. This construction establishes that the non-compensatory damages in question are a subset of the damages precluded by Article </w:t>
      </w:r>
      <w:proofErr w:type="spellStart"/>
      <w:r w:rsidRPr="00156B04">
        <w:rPr>
          <w:rFonts w:eastAsia="Times New Roman" w:cs="Times New Roman"/>
        </w:rPr>
        <w:t>29’s</w:t>
      </w:r>
      <w:proofErr w:type="spellEnd"/>
      <w:r w:rsidRPr="00156B04">
        <w:rPr>
          <w:rFonts w:eastAsia="Times New Roman" w:cs="Times New Roman"/>
        </w:rPr>
        <w:t xml:space="preserve"> exclusivity principle and not a standalone category. I therefore do not accept that this wording in Article 29 serves to broaden the exclusivity principle. </w:t>
      </w:r>
    </w:p>
    <w:p w14:paraId="42CA36BD"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Second, the appellants submit that, because claims for compensation under the </w:t>
      </w:r>
      <w:r w:rsidRPr="00156B04">
        <w:rPr>
          <w:rFonts w:eastAsia="Times New Roman" w:cs="Times New Roman"/>
          <w:i/>
        </w:rPr>
        <w:t xml:space="preserve">Regulations </w:t>
      </w:r>
      <w:r w:rsidRPr="00156B04">
        <w:rPr>
          <w:rFonts w:eastAsia="Times New Roman" w:cs="Times New Roman"/>
        </w:rPr>
        <w:t xml:space="preserve">can be vindicated in court, the </w:t>
      </w:r>
      <w:r w:rsidRPr="00156B04">
        <w:rPr>
          <w:rFonts w:eastAsia="Times New Roman" w:cs="Times New Roman"/>
          <w:i/>
        </w:rPr>
        <w:t xml:space="preserve">Regulations </w:t>
      </w:r>
      <w:r w:rsidRPr="00156B04">
        <w:rPr>
          <w:rFonts w:eastAsia="Times New Roman" w:cs="Times New Roman"/>
        </w:rPr>
        <w:t xml:space="preserve">do in fact give rise to “actions for damages” despite the primacy of the administrative enforcement mechanism under the </w:t>
      </w:r>
      <w:r w:rsidRPr="00156B04">
        <w:rPr>
          <w:rFonts w:eastAsia="Times New Roman" w:cs="Times New Roman"/>
          <w:i/>
        </w:rPr>
        <w:t>CTA</w:t>
      </w:r>
      <w:r w:rsidRPr="00156B04">
        <w:rPr>
          <w:rFonts w:eastAsia="Times New Roman" w:cs="Times New Roman"/>
        </w:rPr>
        <w:t xml:space="preserve">. But the fact that claims payable pursuant to the </w:t>
      </w:r>
      <w:r w:rsidRPr="00156B04">
        <w:rPr>
          <w:rFonts w:eastAsia="Times New Roman" w:cs="Times New Roman"/>
          <w:i/>
        </w:rPr>
        <w:t xml:space="preserve">Regulations </w:t>
      </w:r>
      <w:r w:rsidRPr="00156B04">
        <w:rPr>
          <w:rFonts w:eastAsia="Times New Roman" w:cs="Times New Roman"/>
        </w:rPr>
        <w:t xml:space="preserve">can be vindicated by way of an action in court does not change the nature of the compensation or the </w:t>
      </w:r>
      <w:r w:rsidRPr="00156B04">
        <w:rPr>
          <w:rFonts w:eastAsia="Times New Roman" w:cs="Times New Roman"/>
          <w:i/>
        </w:rPr>
        <w:t xml:space="preserve">Regulations </w:t>
      </w:r>
      <w:r w:rsidRPr="00156B04">
        <w:rPr>
          <w:rFonts w:eastAsia="Times New Roman" w:cs="Times New Roman"/>
        </w:rPr>
        <w:t xml:space="preserve">themselves. The </w:t>
      </w:r>
      <w:r w:rsidRPr="00156B04">
        <w:rPr>
          <w:rFonts w:eastAsia="Times New Roman" w:cs="Times New Roman"/>
          <w:i/>
        </w:rPr>
        <w:t xml:space="preserve">Regulations </w:t>
      </w:r>
      <w:r w:rsidRPr="00156B04">
        <w:rPr>
          <w:rFonts w:eastAsia="Times New Roman" w:cs="Times New Roman"/>
        </w:rPr>
        <w:t xml:space="preserve">make no provision for claims to be filed in court. And even assuming, without deciding, that judicial proceedings that seek to vindicate a claim under the </w:t>
      </w:r>
      <w:r w:rsidRPr="00156B04">
        <w:rPr>
          <w:rFonts w:eastAsia="Times New Roman" w:cs="Times New Roman"/>
          <w:i/>
        </w:rPr>
        <w:t xml:space="preserve">Regulations </w:t>
      </w:r>
      <w:r w:rsidRPr="00156B04">
        <w:rPr>
          <w:rFonts w:eastAsia="Times New Roman" w:cs="Times New Roman"/>
        </w:rPr>
        <w:t xml:space="preserve">amount to an “action” for the purposes of the </w:t>
      </w:r>
      <w:r w:rsidRPr="00156B04">
        <w:rPr>
          <w:rFonts w:cs="Times New Roman"/>
          <w:i/>
          <w:lang w:val="en-US"/>
        </w:rPr>
        <w:t xml:space="preserve">Montreal </w:t>
      </w:r>
      <w:r w:rsidRPr="00156B04">
        <w:rPr>
          <w:rFonts w:eastAsia="Times New Roman" w:cs="Times New Roman"/>
          <w:i/>
        </w:rPr>
        <w:t>Convention</w:t>
      </w:r>
      <w:r w:rsidRPr="00156B04">
        <w:rPr>
          <w:rFonts w:eastAsia="Times New Roman" w:cs="Times New Roman"/>
        </w:rPr>
        <w:t>, the claim would not be for “damages”. Where such claims are filed in courts of law, the claim is not in the nature of one for damages, because the claim is not tied to any harm suffered by the claimant and does not require any “case-by-case assessment” or relate to “compensation for harm incurred” (</w:t>
      </w:r>
      <w:r w:rsidRPr="00156B04">
        <w:rPr>
          <w:rFonts w:eastAsia="Times New Roman" w:cs="Times New Roman"/>
          <w:i/>
          <w:iCs/>
          <w:lang w:val="en-US"/>
        </w:rPr>
        <w:t>International Air Transport Association v. Department for Transport</w:t>
      </w:r>
      <w:r w:rsidRPr="00156B04">
        <w:rPr>
          <w:rFonts w:eastAsia="Times New Roman" w:cs="Times New Roman"/>
          <w:lang w:val="en-US"/>
        </w:rPr>
        <w:t>, at para. 43;</w:t>
      </w:r>
      <w:r w:rsidRPr="00156B04">
        <w:rPr>
          <w:rFonts w:eastAsia="Times New Roman" w:cs="Times New Roman"/>
          <w:i/>
          <w:iCs/>
          <w:lang w:val="en-US"/>
        </w:rPr>
        <w:t xml:space="preserve"> </w:t>
      </w:r>
      <w:proofErr w:type="spellStart"/>
      <w:r w:rsidRPr="00156B04">
        <w:rPr>
          <w:rFonts w:cs="Times New Roman"/>
          <w:i/>
          <w:iCs/>
          <w:lang w:val="en-US"/>
        </w:rPr>
        <w:t>Zicherman</w:t>
      </w:r>
      <w:proofErr w:type="spellEnd"/>
      <w:r w:rsidRPr="00156B04">
        <w:rPr>
          <w:rFonts w:cs="Times New Roman"/>
          <w:iCs/>
          <w:lang w:val="en-US"/>
        </w:rPr>
        <w:t>, at p. 227</w:t>
      </w:r>
      <w:r w:rsidRPr="00156B04">
        <w:rPr>
          <w:rFonts w:eastAsia="Times New Roman" w:cs="Times New Roman"/>
          <w:lang w:val="en-US"/>
        </w:rPr>
        <w:t>)</w:t>
      </w:r>
      <w:r w:rsidRPr="00156B04">
        <w:rPr>
          <w:rFonts w:eastAsia="Times New Roman" w:cs="Times New Roman"/>
        </w:rPr>
        <w:t>. Instead, the claim is for payment of an amount that is already owed as a matter of standardized entitlements provided for under a consumer protection scheme</w:t>
      </w:r>
      <w:r w:rsidRPr="00156B04">
        <w:rPr>
          <w:rFonts w:cs="Times New Roman"/>
        </w:rPr>
        <w:t xml:space="preserve">. </w:t>
      </w:r>
    </w:p>
    <w:p w14:paraId="62A2D630"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The </w:t>
      </w:r>
      <w:r w:rsidRPr="00156B04">
        <w:rPr>
          <w:rFonts w:eastAsia="Times New Roman" w:cs="Times New Roman"/>
          <w:i/>
        </w:rPr>
        <w:t xml:space="preserve">Regulations </w:t>
      </w:r>
      <w:r w:rsidRPr="00156B04">
        <w:rPr>
          <w:rFonts w:eastAsia="Times New Roman" w:cs="Times New Roman"/>
        </w:rPr>
        <w:t xml:space="preserve">impose additional costs on carriers by incorporating certain terms in their tariffs, but these costs are simply a condition of licensure for domestic and international carriers to access the Canadian air carriage market. In signing on to the </w:t>
      </w:r>
      <w:r w:rsidRPr="00156B04">
        <w:rPr>
          <w:rFonts w:eastAsia="Times New Roman" w:cs="Times New Roman"/>
          <w:i/>
        </w:rPr>
        <w:t xml:space="preserve">Convention </w:t>
      </w:r>
      <w:r w:rsidRPr="00156B04">
        <w:rPr>
          <w:rFonts w:eastAsia="Times New Roman" w:cs="Times New Roman"/>
        </w:rPr>
        <w:t>and the “protective reconciliation” between the interests of passengers and carriers that it engendered (</w:t>
      </w:r>
      <w:proofErr w:type="spellStart"/>
      <w:r w:rsidRPr="00156B04">
        <w:rPr>
          <w:rFonts w:eastAsia="Times New Roman" w:cs="Times New Roman"/>
          <w:i/>
        </w:rPr>
        <w:t>Thibodeau</w:t>
      </w:r>
      <w:proofErr w:type="spellEnd"/>
      <w:r w:rsidRPr="00156B04">
        <w:rPr>
          <w:rFonts w:eastAsia="Times New Roman" w:cs="Times New Roman"/>
        </w:rPr>
        <w:t xml:space="preserve">, at para. 153, per </w:t>
      </w:r>
      <w:proofErr w:type="spellStart"/>
      <w:r w:rsidRPr="00156B04">
        <w:rPr>
          <w:rFonts w:eastAsia="Times New Roman" w:cs="Times New Roman"/>
        </w:rPr>
        <w:t>Abella</w:t>
      </w:r>
      <w:proofErr w:type="spellEnd"/>
      <w:r w:rsidRPr="00156B04">
        <w:rPr>
          <w:rFonts w:eastAsia="Times New Roman" w:cs="Times New Roman"/>
        </w:rPr>
        <w:t xml:space="preserve"> J., dissenting), there is no indication that Canada (or any other state party) agreed to forego its ability to provide for minimum standards of treatment for passengers within its jurisdiction. </w:t>
      </w:r>
    </w:p>
    <w:p w14:paraId="1BFFCE00"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This conclusion is consistent with this Court’s holding, in </w:t>
      </w:r>
      <w:proofErr w:type="spellStart"/>
      <w:r w:rsidRPr="00156B04">
        <w:rPr>
          <w:rFonts w:eastAsia="Times New Roman" w:cs="Times New Roman"/>
          <w:i/>
        </w:rPr>
        <w:t>Thibodeau</w:t>
      </w:r>
      <w:proofErr w:type="spellEnd"/>
      <w:r w:rsidRPr="00156B04">
        <w:rPr>
          <w:rFonts w:eastAsia="Times New Roman" w:cs="Times New Roman"/>
        </w:rPr>
        <w:t xml:space="preserve">, that the </w:t>
      </w:r>
      <w:r w:rsidRPr="00156B04">
        <w:rPr>
          <w:rFonts w:eastAsia="Times New Roman" w:cs="Times New Roman"/>
          <w:i/>
        </w:rPr>
        <w:t xml:space="preserve">Convention </w:t>
      </w:r>
      <w:r w:rsidRPr="00156B04">
        <w:rPr>
          <w:rFonts w:eastAsia="Times New Roman" w:cs="Times New Roman"/>
        </w:rPr>
        <w:t xml:space="preserve">is “not comprehensive” but is exclusive “in relation to the matters that it covers”, those being “rules governing damages liability of international air carriers” (para. 47). In the absence of any conflict between the </w:t>
      </w:r>
      <w:r w:rsidRPr="00156B04">
        <w:rPr>
          <w:rFonts w:cs="Times New Roman"/>
          <w:i/>
          <w:lang w:val="en-US"/>
        </w:rPr>
        <w:t xml:space="preserve">Montreal </w:t>
      </w:r>
      <w:r w:rsidRPr="00156B04">
        <w:rPr>
          <w:rFonts w:eastAsia="Times New Roman" w:cs="Times New Roman"/>
          <w:i/>
        </w:rPr>
        <w:t xml:space="preserve">Convention </w:t>
      </w:r>
      <w:r w:rsidRPr="00156B04">
        <w:rPr>
          <w:rFonts w:eastAsia="Times New Roman" w:cs="Times New Roman"/>
        </w:rPr>
        <w:t xml:space="preserve">(as implemented by the </w:t>
      </w:r>
      <w:r w:rsidRPr="00156B04">
        <w:rPr>
          <w:rFonts w:eastAsia="Times New Roman" w:cs="Times New Roman"/>
          <w:i/>
        </w:rPr>
        <w:t>CAA</w:t>
      </w:r>
      <w:r w:rsidRPr="00156B04">
        <w:rPr>
          <w:rFonts w:eastAsia="Times New Roman" w:cs="Times New Roman"/>
        </w:rPr>
        <w:t xml:space="preserve">) and the </w:t>
      </w:r>
      <w:r w:rsidRPr="00156B04">
        <w:rPr>
          <w:rFonts w:eastAsia="Times New Roman" w:cs="Times New Roman"/>
          <w:i/>
        </w:rPr>
        <w:t>Regulations</w:t>
      </w:r>
      <w:r w:rsidRPr="00156B04">
        <w:rPr>
          <w:rFonts w:eastAsia="Times New Roman" w:cs="Times New Roman"/>
        </w:rPr>
        <w:t xml:space="preserve">, there is no basis to find that the </w:t>
      </w:r>
      <w:r w:rsidRPr="00156B04">
        <w:rPr>
          <w:rFonts w:eastAsia="Times New Roman" w:cs="Times New Roman"/>
          <w:i/>
        </w:rPr>
        <w:t xml:space="preserve">Regulations </w:t>
      </w:r>
      <w:r w:rsidRPr="00156B04">
        <w:rPr>
          <w:rFonts w:eastAsia="Times New Roman" w:cs="Times New Roman"/>
        </w:rPr>
        <w:t xml:space="preserve">are </w:t>
      </w:r>
      <w:r w:rsidRPr="00156B04">
        <w:rPr>
          <w:rFonts w:eastAsia="Times New Roman" w:cs="Times New Roman"/>
          <w:i/>
        </w:rPr>
        <w:t xml:space="preserve">ultra vires </w:t>
      </w:r>
      <w:r w:rsidRPr="00156B04">
        <w:rPr>
          <w:rFonts w:eastAsia="Times New Roman" w:cs="Times New Roman"/>
        </w:rPr>
        <w:t xml:space="preserve">the </w:t>
      </w:r>
      <w:r w:rsidRPr="00156B04">
        <w:rPr>
          <w:rFonts w:eastAsia="Times New Roman" w:cs="Times New Roman"/>
          <w:i/>
        </w:rPr>
        <w:t>CTA</w:t>
      </w:r>
      <w:r w:rsidRPr="00156B04">
        <w:rPr>
          <w:rFonts w:eastAsia="Times New Roman" w:cs="Times New Roman"/>
        </w:rPr>
        <w:t xml:space="preserve">.  </w:t>
      </w:r>
    </w:p>
    <w:p w14:paraId="3F8E9251" w14:textId="77777777" w:rsidR="00156B04" w:rsidRPr="00156B04" w:rsidRDefault="00156B04" w:rsidP="00156B04">
      <w:pPr>
        <w:pStyle w:val="Title2LevelTitre2Niveau"/>
        <w:rPr>
          <w:rFonts w:cs="Times New Roman"/>
        </w:rPr>
      </w:pPr>
      <w:bookmarkStart w:id="54" w:name="_Toc168491274"/>
      <w:r w:rsidRPr="00156B04">
        <w:rPr>
          <w:rFonts w:cs="Times New Roman"/>
        </w:rPr>
        <w:t>It Is Unnecessary To Deal With Alternative Arguments in Favour of Validity of the Regulations</w:t>
      </w:r>
      <w:bookmarkEnd w:id="54"/>
      <w:r w:rsidRPr="00156B04">
        <w:rPr>
          <w:rFonts w:cs="Times New Roman"/>
        </w:rPr>
        <w:t xml:space="preserve"> </w:t>
      </w:r>
    </w:p>
    <w:p w14:paraId="5B900FBB"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The respondents raise two alternative arguments in favour of the validity of the </w:t>
      </w:r>
      <w:r w:rsidRPr="00156B04">
        <w:rPr>
          <w:rFonts w:eastAsia="Times New Roman" w:cs="Times New Roman"/>
          <w:i/>
        </w:rPr>
        <w:t>Regulations</w:t>
      </w:r>
      <w:r w:rsidRPr="00156B04">
        <w:rPr>
          <w:rFonts w:eastAsia="Times New Roman" w:cs="Times New Roman"/>
        </w:rPr>
        <w:t xml:space="preserve">. First, they argue that the </w:t>
      </w:r>
      <w:r w:rsidRPr="00156B04">
        <w:rPr>
          <w:rFonts w:eastAsia="Times New Roman" w:cs="Times New Roman"/>
          <w:i/>
        </w:rPr>
        <w:t>Regulations</w:t>
      </w:r>
      <w:r w:rsidRPr="00156B04">
        <w:rPr>
          <w:rFonts w:eastAsia="Times New Roman" w:cs="Times New Roman"/>
        </w:rPr>
        <w:t xml:space="preserve"> are </w:t>
      </w:r>
      <w:r w:rsidRPr="00156B04">
        <w:rPr>
          <w:rFonts w:eastAsia="Times New Roman" w:cs="Times New Roman"/>
          <w:i/>
        </w:rPr>
        <w:t xml:space="preserve">intra vires </w:t>
      </w:r>
      <w:r w:rsidRPr="00156B04">
        <w:rPr>
          <w:rFonts w:eastAsia="Times New Roman" w:cs="Times New Roman"/>
        </w:rPr>
        <w:t xml:space="preserve">the </w:t>
      </w:r>
      <w:r w:rsidRPr="00156B04">
        <w:rPr>
          <w:rFonts w:eastAsia="Times New Roman" w:cs="Times New Roman"/>
          <w:i/>
        </w:rPr>
        <w:t xml:space="preserve">CTA </w:t>
      </w:r>
      <w:r w:rsidRPr="00156B04">
        <w:rPr>
          <w:rFonts w:eastAsia="Times New Roman" w:cs="Times New Roman"/>
        </w:rPr>
        <w:t xml:space="preserve">because the </w:t>
      </w:r>
      <w:r w:rsidRPr="00156B04">
        <w:rPr>
          <w:rFonts w:eastAsia="Times New Roman" w:cs="Times New Roman"/>
          <w:i/>
        </w:rPr>
        <w:t xml:space="preserve">Montreal Convention </w:t>
      </w:r>
      <w:r w:rsidRPr="00156B04">
        <w:rPr>
          <w:rFonts w:eastAsia="Times New Roman" w:cs="Times New Roman"/>
        </w:rPr>
        <w:t xml:space="preserve">does not address cancellation and denial of boarding and therefore does not preclude compensation relating to these sorts of travel disruptions. </w:t>
      </w:r>
    </w:p>
    <w:p w14:paraId="40B85EC3"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Second, the respondents submit that, even if the </w:t>
      </w:r>
      <w:r w:rsidRPr="00156B04">
        <w:rPr>
          <w:rFonts w:eastAsia="Times New Roman" w:cs="Times New Roman"/>
          <w:i/>
        </w:rPr>
        <w:t xml:space="preserve">Regulations </w:t>
      </w:r>
      <w:r w:rsidRPr="00156B04">
        <w:rPr>
          <w:rFonts w:eastAsia="Times New Roman" w:cs="Times New Roman"/>
        </w:rPr>
        <w:t xml:space="preserve">are inconsistent with the </w:t>
      </w:r>
      <w:r w:rsidRPr="00156B04">
        <w:rPr>
          <w:rFonts w:eastAsia="Times New Roman" w:cs="Times New Roman"/>
          <w:i/>
        </w:rPr>
        <w:t>Montreal Convention</w:t>
      </w:r>
      <w:r w:rsidRPr="00156B04">
        <w:rPr>
          <w:rFonts w:eastAsia="Times New Roman" w:cs="Times New Roman"/>
        </w:rPr>
        <w:t xml:space="preserve">, they reflect Parliament’s clear intent and, as such, s. 86.11 of the </w:t>
      </w:r>
      <w:r w:rsidRPr="00156B04">
        <w:rPr>
          <w:rFonts w:eastAsia="Times New Roman" w:cs="Times New Roman"/>
          <w:i/>
        </w:rPr>
        <w:t xml:space="preserve">CTA </w:t>
      </w:r>
      <w:r w:rsidRPr="00156B04">
        <w:rPr>
          <w:rFonts w:eastAsia="Times New Roman" w:cs="Times New Roman"/>
        </w:rPr>
        <w:t xml:space="preserve">overrides any conflicting provision of the </w:t>
      </w:r>
      <w:r w:rsidRPr="00156B04">
        <w:rPr>
          <w:rFonts w:eastAsia="Times New Roman" w:cs="Times New Roman"/>
          <w:i/>
        </w:rPr>
        <w:t>Montreal Convention</w:t>
      </w:r>
      <w:r w:rsidRPr="00156B04">
        <w:rPr>
          <w:rFonts w:eastAsia="Times New Roman" w:cs="Times New Roman"/>
        </w:rPr>
        <w:t xml:space="preserve">. </w:t>
      </w:r>
    </w:p>
    <w:p w14:paraId="7C1832E8" w14:textId="77777777" w:rsidR="00156B04" w:rsidRPr="00156B04" w:rsidRDefault="00156B04" w:rsidP="00156B04">
      <w:pPr>
        <w:pStyle w:val="ParaNoNdepar-AltN"/>
        <w:rPr>
          <w:rFonts w:eastAsia="Times New Roman" w:cs="Times New Roman"/>
        </w:rPr>
      </w:pPr>
      <w:r w:rsidRPr="00156B04">
        <w:rPr>
          <w:rFonts w:eastAsia="Times New Roman" w:cs="Times New Roman"/>
        </w:rPr>
        <w:t xml:space="preserve">In light of my conclusion above that none of the impugned </w:t>
      </w:r>
      <w:r w:rsidRPr="00156B04">
        <w:rPr>
          <w:rFonts w:eastAsia="Times New Roman" w:cs="Times New Roman"/>
          <w:i/>
        </w:rPr>
        <w:t xml:space="preserve">Regulations </w:t>
      </w:r>
      <w:r w:rsidRPr="00156B04">
        <w:rPr>
          <w:rFonts w:eastAsia="Times New Roman" w:cs="Times New Roman"/>
        </w:rPr>
        <w:t>provisions provide for an “action for damages”, it is unnecessary to address these alternative arguments.</w:t>
      </w:r>
    </w:p>
    <w:p w14:paraId="4765E6D7" w14:textId="77777777" w:rsidR="00156B04" w:rsidRPr="00156B04" w:rsidRDefault="00156B04" w:rsidP="00156B04">
      <w:pPr>
        <w:pStyle w:val="Title1LevelTitre1Niveau-AltL"/>
        <w:rPr>
          <w:rFonts w:cs="Times New Roman"/>
        </w:rPr>
      </w:pPr>
      <w:bookmarkStart w:id="55" w:name="_Toc168491275"/>
      <w:r w:rsidRPr="00156B04">
        <w:rPr>
          <w:rFonts w:cs="Times New Roman"/>
        </w:rPr>
        <w:t>Conclusion and Disposition</w:t>
      </w:r>
      <w:bookmarkEnd w:id="55"/>
      <w:r w:rsidRPr="00156B04">
        <w:rPr>
          <w:rFonts w:cs="Times New Roman"/>
        </w:rPr>
        <w:t xml:space="preserve"> </w:t>
      </w:r>
    </w:p>
    <w:p w14:paraId="2B55A9FD" w14:textId="77777777" w:rsidR="00156B04" w:rsidRPr="00156B04" w:rsidRDefault="00156B04" w:rsidP="00156B04">
      <w:pPr>
        <w:pStyle w:val="ParaNoNdepar-AltN"/>
        <w:rPr>
          <w:rFonts w:cs="Times New Roman"/>
        </w:rPr>
      </w:pPr>
      <w:r w:rsidRPr="00156B04">
        <w:rPr>
          <w:rFonts w:cs="Times New Roman"/>
        </w:rPr>
        <w:t xml:space="preserve">The appellants urge this Court to conclude that the exclusivity principle codified in Article 29 prevents Canada from putting in place an air passenger protection scheme through statutory entitlements. For the reasons outlined above, I disagree. </w:t>
      </w:r>
    </w:p>
    <w:p w14:paraId="10670742" w14:textId="77777777" w:rsidR="00156B04" w:rsidRPr="00156B04" w:rsidRDefault="00156B04" w:rsidP="00156B04">
      <w:pPr>
        <w:pStyle w:val="ParaNoNdepar-AltN"/>
        <w:rPr>
          <w:rFonts w:cs="Times New Roman"/>
        </w:rPr>
      </w:pPr>
      <w:r w:rsidRPr="00156B04">
        <w:rPr>
          <w:rFonts w:cs="Times New Roman"/>
        </w:rPr>
        <w:t>The appeal is dismissed. Costs will go to the Attorney General of Canada. The Agency did not seek costs and, accordingly, no costs are awarded to the Agency.</w:t>
      </w:r>
    </w:p>
    <w:p w14:paraId="2F2316ED" w14:textId="28833F81" w:rsidR="009B57B3" w:rsidRPr="00156B04" w:rsidRDefault="009B57B3" w:rsidP="00146D45">
      <w:pPr>
        <w:pStyle w:val="SCCNormalDoubleSpacing"/>
        <w:spacing w:after="480"/>
      </w:pPr>
      <w:r w:rsidRPr="00156B04">
        <w:tab/>
      </w:r>
      <w:r w:rsidR="00656313" w:rsidRPr="00156B04">
        <w:rPr>
          <w:i/>
        </w:rPr>
        <w:t>Appeal</w:t>
      </w:r>
      <w:r w:rsidR="003138F4" w:rsidRPr="00156B04">
        <w:rPr>
          <w:i/>
        </w:rPr>
        <w:t xml:space="preserve"> dismissed</w:t>
      </w:r>
      <w:r w:rsidR="002E1240" w:rsidRPr="00156B04">
        <w:rPr>
          <w:i/>
        </w:rPr>
        <w:t xml:space="preserve"> with costs</w:t>
      </w:r>
      <w:r w:rsidR="003138F4" w:rsidRPr="00156B04">
        <w:rPr>
          <w:i/>
        </w:rPr>
        <w:t>.</w:t>
      </w:r>
    </w:p>
    <w:p w14:paraId="78A66E0B" w14:textId="60A71250" w:rsidR="00B96D6E" w:rsidRPr="00156B04" w:rsidRDefault="00082B47" w:rsidP="00146D45">
      <w:pPr>
        <w:pStyle w:val="SCCLawFirm"/>
        <w:spacing w:after="480"/>
      </w:pPr>
      <w:r w:rsidRPr="00156B04">
        <w:tab/>
        <w:t>Solicitors</w:t>
      </w:r>
      <w:r w:rsidR="000A221A" w:rsidRPr="00156B04">
        <w:t xml:space="preserve"> for the appellant</w:t>
      </w:r>
      <w:r w:rsidRPr="00156B04">
        <w:t>s</w:t>
      </w:r>
      <w:r w:rsidR="00146D45" w:rsidRPr="00156B04">
        <w:t>: </w:t>
      </w:r>
      <w:proofErr w:type="spellStart"/>
      <w:r w:rsidR="000A221A" w:rsidRPr="00156B04">
        <w:t>IMK</w:t>
      </w:r>
      <w:proofErr w:type="spellEnd"/>
      <w:r w:rsidR="000A221A" w:rsidRPr="00156B04">
        <w:t>, Montréal</w:t>
      </w:r>
      <w:r w:rsidR="003B5C6E" w:rsidRPr="00156B04">
        <w:t xml:space="preserve">; Paterson MacDougall, Toronto; </w:t>
      </w:r>
      <w:r w:rsidR="00FE3875" w:rsidRPr="00156B04">
        <w:t>Norton Rose Fulbright Canada, Montréal</w:t>
      </w:r>
      <w:r w:rsidR="000A221A" w:rsidRPr="00156B04">
        <w:t>.</w:t>
      </w:r>
    </w:p>
    <w:p w14:paraId="47ED2246" w14:textId="2CBA00F9" w:rsidR="00B96D6E" w:rsidRPr="00156B04" w:rsidRDefault="000A221A" w:rsidP="00146D45">
      <w:pPr>
        <w:pStyle w:val="SCCLawFirm"/>
        <w:spacing w:after="480"/>
      </w:pPr>
      <w:r w:rsidRPr="00156B04">
        <w:tab/>
        <w:t>Solicitor for the respondent</w:t>
      </w:r>
      <w:r w:rsidR="00082B47" w:rsidRPr="00156B04">
        <w:t xml:space="preserve"> the Canadian Transportation Agency</w:t>
      </w:r>
      <w:r w:rsidR="00146D45" w:rsidRPr="00156B04">
        <w:t>: </w:t>
      </w:r>
      <w:r w:rsidRPr="00156B04">
        <w:t>Canadian Transportation Agency</w:t>
      </w:r>
      <w:r w:rsidR="00E62E27" w:rsidRPr="00156B04">
        <w:t xml:space="preserve"> — Legal Services Directorate</w:t>
      </w:r>
      <w:r w:rsidRPr="00156B04">
        <w:t>, Gatineau.</w:t>
      </w:r>
    </w:p>
    <w:p w14:paraId="53BF8A7C" w14:textId="5DD12034" w:rsidR="00B96D6E" w:rsidRPr="00156B04" w:rsidRDefault="000A221A" w:rsidP="00146D45">
      <w:pPr>
        <w:pStyle w:val="SCCLawFirm"/>
        <w:spacing w:after="480"/>
      </w:pPr>
      <w:r w:rsidRPr="00156B04">
        <w:tab/>
        <w:t>Solicitor for the respondent</w:t>
      </w:r>
      <w:r w:rsidR="00082B47" w:rsidRPr="00156B04">
        <w:t xml:space="preserve"> the Attorney General of Canada</w:t>
      </w:r>
      <w:r w:rsidR="00146D45" w:rsidRPr="00156B04">
        <w:t>: </w:t>
      </w:r>
      <w:r w:rsidR="006F2EBD" w:rsidRPr="00156B04">
        <w:t xml:space="preserve">Department of Justice </w:t>
      </w:r>
      <w:r w:rsidR="00082B47" w:rsidRPr="00156B04">
        <w:t>Canada</w:t>
      </w:r>
      <w:r w:rsidR="006F2EBD" w:rsidRPr="00156B04">
        <w:t>, Quebec Regional Office</w:t>
      </w:r>
      <w:r w:rsidRPr="00156B04">
        <w:t>, Ottawa.</w:t>
      </w:r>
    </w:p>
    <w:p w14:paraId="6541BD54" w14:textId="37EBC82D" w:rsidR="003D6412" w:rsidRPr="00156B04" w:rsidRDefault="003D6412" w:rsidP="00146D45">
      <w:pPr>
        <w:pStyle w:val="SCCNormalDoubleSpacing"/>
        <w:spacing w:after="480"/>
        <w:rPr>
          <w:i/>
        </w:rPr>
      </w:pPr>
      <w:r w:rsidRPr="00156B04">
        <w:rPr>
          <w:i/>
        </w:rPr>
        <w:tab/>
      </w:r>
      <w:r w:rsidRPr="00156B04">
        <w:rPr>
          <w:i/>
          <w:iCs/>
          <w:color w:val="000000"/>
        </w:rPr>
        <w:t xml:space="preserve">Solicitor for the intervener </w:t>
      </w:r>
      <w:proofErr w:type="spellStart"/>
      <w:r w:rsidR="00146D45" w:rsidRPr="00156B04">
        <w:rPr>
          <w:rStyle w:val="SCCCounselNameChar"/>
        </w:rPr>
        <w:t>Gábor</w:t>
      </w:r>
      <w:proofErr w:type="spellEnd"/>
      <w:r w:rsidR="00146D45" w:rsidRPr="00156B04">
        <w:rPr>
          <w:rStyle w:val="SCCCounselNameChar"/>
        </w:rPr>
        <w:t xml:space="preserve"> </w:t>
      </w:r>
      <w:proofErr w:type="spellStart"/>
      <w:r w:rsidR="00146D45" w:rsidRPr="00156B04">
        <w:rPr>
          <w:rStyle w:val="SCCCounselNameChar"/>
        </w:rPr>
        <w:t>Lukács</w:t>
      </w:r>
      <w:proofErr w:type="spellEnd"/>
      <w:r w:rsidR="00146D45" w:rsidRPr="00156B04">
        <w:rPr>
          <w:rStyle w:val="SCCCounselNameChar"/>
        </w:rPr>
        <w:t>: </w:t>
      </w:r>
      <w:proofErr w:type="spellStart"/>
      <w:r w:rsidRPr="00156B04">
        <w:rPr>
          <w:rStyle w:val="SCCCounselNameChar"/>
        </w:rPr>
        <w:t>Gábor</w:t>
      </w:r>
      <w:proofErr w:type="spellEnd"/>
      <w:r w:rsidRPr="00156B04">
        <w:rPr>
          <w:rStyle w:val="SCCCounselNameChar"/>
        </w:rPr>
        <w:t xml:space="preserve"> </w:t>
      </w:r>
      <w:proofErr w:type="spellStart"/>
      <w:r w:rsidRPr="00156B04">
        <w:rPr>
          <w:rStyle w:val="SCCCounselNameChar"/>
        </w:rPr>
        <w:t>Lukács</w:t>
      </w:r>
      <w:proofErr w:type="spellEnd"/>
      <w:r w:rsidRPr="00156B04">
        <w:rPr>
          <w:rStyle w:val="SCCCounselNameChar"/>
        </w:rPr>
        <w:t>, Halifax.</w:t>
      </w:r>
    </w:p>
    <w:p w14:paraId="43E7BB76" w14:textId="57007DB6" w:rsidR="00B96D6E" w:rsidRPr="00156B04" w:rsidRDefault="00082B47" w:rsidP="00146D45">
      <w:pPr>
        <w:pStyle w:val="SCCLawFirm"/>
        <w:spacing w:after="480"/>
      </w:pPr>
      <w:r w:rsidRPr="00156B04">
        <w:tab/>
        <w:t>Solicitor</w:t>
      </w:r>
      <w:r w:rsidR="000A221A" w:rsidRPr="00156B04">
        <w:t xml:space="preserve"> for the intervener</w:t>
      </w:r>
      <w:r w:rsidRPr="00156B04">
        <w:t>s</w:t>
      </w:r>
      <w:r w:rsidR="000A221A" w:rsidRPr="00156B04">
        <w:t xml:space="preserve"> </w:t>
      </w:r>
      <w:r w:rsidRPr="00156B04">
        <w:t xml:space="preserve">the </w:t>
      </w:r>
      <w:r w:rsidR="000A221A" w:rsidRPr="00156B04">
        <w:t xml:space="preserve">Council of Canadians with Disabilities, </w:t>
      </w:r>
      <w:r w:rsidRPr="00156B04">
        <w:t xml:space="preserve">the </w:t>
      </w:r>
      <w:r w:rsidR="000A221A" w:rsidRPr="00156B04">
        <w:t xml:space="preserve">National Pensioners Federation and </w:t>
      </w:r>
      <w:r w:rsidRPr="00156B04">
        <w:t xml:space="preserve">the </w:t>
      </w:r>
      <w:r w:rsidR="000A221A" w:rsidRPr="00156B04">
        <w:t>P</w:t>
      </w:r>
      <w:r w:rsidR="00146D45" w:rsidRPr="00156B04">
        <w:t>ublic Interest Advocacy Centre: </w:t>
      </w:r>
      <w:r w:rsidR="000A221A" w:rsidRPr="00156B04">
        <w:t>Public Interest Law Centre, Winnipeg</w:t>
      </w:r>
      <w:r w:rsidR="00351B94" w:rsidRPr="00156B04">
        <w:t>; University of Ottawa, Ottawa</w:t>
      </w:r>
      <w:r w:rsidR="000A221A" w:rsidRPr="00156B04">
        <w:t>.</w:t>
      </w:r>
    </w:p>
    <w:p w14:paraId="65C9CAF2" w14:textId="78E25E44" w:rsidR="00B96D6E" w:rsidRPr="00047E0F" w:rsidRDefault="000A221A">
      <w:pPr>
        <w:pStyle w:val="SCCLawFirm"/>
        <w:rPr>
          <w:lang w:val="fr-CA"/>
        </w:rPr>
      </w:pPr>
      <w:r w:rsidRPr="00156B04">
        <w:tab/>
      </w:r>
      <w:r w:rsidR="00082B47" w:rsidRPr="00156B04">
        <w:rPr>
          <w:lang w:val="fr-CA"/>
        </w:rPr>
        <w:t>Solicitor</w:t>
      </w:r>
      <w:r w:rsidRPr="00156B04">
        <w:rPr>
          <w:lang w:val="fr-CA"/>
        </w:rPr>
        <w:t xml:space="preserve"> for the </w:t>
      </w:r>
      <w:proofErr w:type="spellStart"/>
      <w:r w:rsidRPr="00156B04">
        <w:rPr>
          <w:lang w:val="fr-CA"/>
        </w:rPr>
        <w:t>intervener</w:t>
      </w:r>
      <w:proofErr w:type="spellEnd"/>
      <w:r w:rsidRPr="00156B04">
        <w:rPr>
          <w:lang w:val="fr-CA"/>
        </w:rPr>
        <w:t xml:space="preserve"> Société qué</w:t>
      </w:r>
      <w:r w:rsidR="00146D45" w:rsidRPr="00156B04">
        <w:rPr>
          <w:lang w:val="fr-CA"/>
        </w:rPr>
        <w:t>bécoise de droit international: </w:t>
      </w:r>
      <w:r w:rsidRPr="00156B04">
        <w:rPr>
          <w:lang w:val="fr-CA"/>
        </w:rPr>
        <w:t>Société québécoise de droit international, Montréal.</w:t>
      </w:r>
    </w:p>
    <w:sectPr w:rsidR="00B96D6E" w:rsidRPr="00047E0F"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36B42" w14:textId="77777777" w:rsidR="00070CFC" w:rsidRDefault="00070CFC">
      <w:r>
        <w:separator/>
      </w:r>
    </w:p>
  </w:endnote>
  <w:endnote w:type="continuationSeparator" w:id="0">
    <w:p w14:paraId="55BDB15E" w14:textId="77777777" w:rsidR="00070CFC" w:rsidRDefault="00070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E8B72"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8F1A6" w14:textId="77777777" w:rsidR="006D099B" w:rsidRDefault="006D09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A6DD" w14:textId="77777777" w:rsidR="006D099B" w:rsidRDefault="006D09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E7BCA" w14:textId="77777777" w:rsidR="00070CFC" w:rsidRDefault="00070CFC">
      <w:r>
        <w:separator/>
      </w:r>
    </w:p>
  </w:footnote>
  <w:footnote w:type="continuationSeparator" w:id="0">
    <w:p w14:paraId="087659BF" w14:textId="77777777" w:rsidR="00070CFC" w:rsidRDefault="00070CFC">
      <w:r>
        <w:continuationSeparator/>
      </w:r>
    </w:p>
  </w:footnote>
  <w:footnote w:id="1">
    <w:p w14:paraId="5B8E393B" w14:textId="1EFDEFF6" w:rsidR="00156B04" w:rsidRDefault="00156B04" w:rsidP="00156B04">
      <w:pPr>
        <w:pStyle w:val="FootnoteText"/>
      </w:pPr>
      <w:r w:rsidRPr="0094731F">
        <w:rPr>
          <w:vertAlign w:val="superscript"/>
        </w:rPr>
        <w:footnoteRef/>
      </w:r>
      <w:r w:rsidR="0021549E">
        <w:rPr>
          <w:vertAlign w:val="superscript"/>
        </w:rPr>
        <w:t xml:space="preserve"> </w:t>
      </w:r>
      <w:r w:rsidR="0021549E">
        <w:rPr>
          <w:vertAlign w:val="superscript"/>
        </w:rPr>
        <w:tab/>
      </w:r>
      <w:bookmarkStart w:id="39" w:name="_GoBack"/>
      <w:bookmarkEnd w:id="39"/>
      <w:r>
        <w:t xml:space="preserve">The Attorney General notes that minutes from the International Conference on Air Law in Montréal in May 1999 suggest that the focus for the drafters of Article 29 was on “the types of actions which could be brought before the Courts” and on ensuring that it would not be “possible to circumvent [the </w:t>
      </w:r>
      <w:r>
        <w:rPr>
          <w:i/>
          <w:lang w:val="en-US"/>
        </w:rPr>
        <w:t>Montreal</w:t>
      </w:r>
      <w:r w:rsidRPr="001A044D">
        <w:rPr>
          <w:i/>
        </w:rPr>
        <w:t xml:space="preserve"> </w:t>
      </w:r>
      <w:r>
        <w:rPr>
          <w:i/>
        </w:rPr>
        <w:t>Convention</w:t>
      </w:r>
      <w:r>
        <w:t>’s] provisions by bringing an action for damages in the carriage of passengers, baggage and cargo in contract or in tort or otherwise” (I</w:t>
      </w:r>
      <w:r>
        <w:rPr>
          <w:color w:val="000000"/>
        </w:rPr>
        <w:t>nternational</w:t>
      </w:r>
      <w:r>
        <w:t xml:space="preserve"> Civil Aviation Organization, </w:t>
      </w:r>
      <w:r w:rsidRPr="00932135">
        <w:rPr>
          <w:i/>
        </w:rPr>
        <w:t>International Conference on Air Law</w:t>
      </w:r>
      <w:r>
        <w:t xml:space="preserve">, vol. I, </w:t>
      </w:r>
      <w:r w:rsidRPr="00932135">
        <w:rPr>
          <w:i/>
        </w:rPr>
        <w:t>Minutes</w:t>
      </w:r>
      <w:r>
        <w:t xml:space="preserve">, Doc. 9775-DC/2 (2001), </w:t>
      </w:r>
      <w:r w:rsidRPr="00997AA3">
        <w:t>at p</w:t>
      </w:r>
      <w:r>
        <w:t>. 235).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A9D07"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B8F3F" w14:textId="5834A604" w:rsidR="00450352" w:rsidRPr="006D099B" w:rsidRDefault="00450352" w:rsidP="006D09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2706" w14:textId="77777777" w:rsidR="006D099B" w:rsidRDefault="006D09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348"/>
    <w:multiLevelType w:val="multilevel"/>
    <w:tmpl w:val="07B4F8CC"/>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A0E5F"/>
    <w:multiLevelType w:val="hybridMultilevel"/>
    <w:tmpl w:val="27181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03130A"/>
    <w:multiLevelType w:val="multilevel"/>
    <w:tmpl w:val="CA28F7E2"/>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6" w15:restartNumberingAfterBreak="0">
    <w:nsid w:val="4C6B5E37"/>
    <w:multiLevelType w:val="hybridMultilevel"/>
    <w:tmpl w:val="696C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64023142"/>
    <w:lvl w:ilvl="0">
      <w:start w:val="1"/>
      <w:numFmt w:val="decimal"/>
      <w:pStyle w:val="ParaNoNdepar-AltN"/>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E66C4"/>
    <w:multiLevelType w:val="hybridMultilevel"/>
    <w:tmpl w:val="6480DFA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 w15:restartNumberingAfterBreak="0">
    <w:nsid w:val="58D10CC9"/>
    <w:multiLevelType w:val="hybridMultilevel"/>
    <w:tmpl w:val="8A56A0F8"/>
    <w:lvl w:ilvl="0" w:tplc="C11E2AA0">
      <w:start w:val="1"/>
      <w:numFmt w:val="decimal"/>
      <w:lvlText w:val="%1."/>
      <w:lvlJc w:val="left"/>
      <w:pPr>
        <w:ind w:left="720" w:hanging="360"/>
      </w:pPr>
      <w:rPr>
        <w:b/>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5D3A3E76"/>
    <w:multiLevelType w:val="hybridMultilevel"/>
    <w:tmpl w:val="55644DB8"/>
    <w:lvl w:ilvl="0" w:tplc="6B6C99C2">
      <w:start w:val="1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6DB1F79"/>
    <w:multiLevelType w:val="hybridMultilevel"/>
    <w:tmpl w:val="83A85D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ED2D7E"/>
    <w:multiLevelType w:val="hybridMultilevel"/>
    <w:tmpl w:val="F64C87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E7A1507"/>
    <w:multiLevelType w:val="multilevel"/>
    <w:tmpl w:val="CF1E4D3A"/>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7A37B72"/>
    <w:multiLevelType w:val="multilevel"/>
    <w:tmpl w:val="929E644A"/>
    <w:lvl w:ilvl="0">
      <w:start w:val="1"/>
      <w:numFmt w:val="bullet"/>
      <w:lvlText w:val=""/>
      <w:lvlJc w:val="left"/>
      <w:pPr>
        <w:tabs>
          <w:tab w:val="num" w:pos="1152"/>
        </w:tabs>
        <w:ind w:left="0" w:firstLine="0"/>
      </w:pPr>
      <w:rPr>
        <w:rFonts w:ascii="Symbol" w:hAnsi="Symbol" w:hint="default"/>
        <w:b w:val="0"/>
        <w:i w:val="0"/>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9951B0F"/>
    <w:multiLevelType w:val="multilevel"/>
    <w:tmpl w:val="929E644A"/>
    <w:lvl w:ilvl="0">
      <w:start w:val="1"/>
      <w:numFmt w:val="bullet"/>
      <w:lvlText w:val=""/>
      <w:lvlJc w:val="left"/>
      <w:pPr>
        <w:tabs>
          <w:tab w:val="num" w:pos="1152"/>
        </w:tabs>
        <w:ind w:left="0" w:firstLine="0"/>
      </w:pPr>
      <w:rPr>
        <w:rFonts w:ascii="Symbol" w:hAnsi="Symbol" w:hint="default"/>
        <w:b w:val="0"/>
        <w:i w:val="0"/>
        <w:sz w:val="24"/>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3"/>
  </w:num>
  <w:num w:numId="3">
    <w:abstractNumId w:val="1"/>
  </w:num>
  <w:num w:numId="4">
    <w:abstractNumId w:val="5"/>
  </w:num>
  <w:num w:numId="5">
    <w:abstractNumId w:val="7"/>
  </w:num>
  <w:num w:numId="6">
    <w:abstractNumId w:val="8"/>
  </w:num>
  <w:num w:numId="7">
    <w:abstractNumId w:val="4"/>
  </w:num>
  <w:num w:numId="8">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8"/>
    <w:lvlOverride w:ilvl="0">
      <w:startOverride w:val="1"/>
    </w:lvlOverride>
    <w:lvlOverride w:ilvl="1">
      <w:startOverride w:val="2"/>
    </w:lvlOverride>
  </w:num>
  <w:num w:numId="10">
    <w:abstractNumId w:val="10"/>
  </w:num>
  <w:num w:numId="11">
    <w:abstractNumId w:val="14"/>
  </w:num>
  <w:num w:numId="12">
    <w:abstractNumId w:val="6"/>
  </w:num>
  <w:num w:numId="13">
    <w:abstractNumId w:val="2"/>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7"/>
  </w:num>
  <w:num w:numId="18">
    <w:abstractNumId w:val="1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42379"/>
    <w:rsid w:val="00047E0F"/>
    <w:rsid w:val="00051EB6"/>
    <w:rsid w:val="000578A3"/>
    <w:rsid w:val="000648CC"/>
    <w:rsid w:val="00067F70"/>
    <w:rsid w:val="00070CFC"/>
    <w:rsid w:val="00082B47"/>
    <w:rsid w:val="00086D87"/>
    <w:rsid w:val="000A0C0B"/>
    <w:rsid w:val="000A1A3B"/>
    <w:rsid w:val="000A221A"/>
    <w:rsid w:val="000B44EC"/>
    <w:rsid w:val="000C59B8"/>
    <w:rsid w:val="000C6AF0"/>
    <w:rsid w:val="000C7DD5"/>
    <w:rsid w:val="000D59D5"/>
    <w:rsid w:val="000E1B1E"/>
    <w:rsid w:val="000F6A3A"/>
    <w:rsid w:val="000F6D9B"/>
    <w:rsid w:val="00104F33"/>
    <w:rsid w:val="00111DE2"/>
    <w:rsid w:val="00116B38"/>
    <w:rsid w:val="00122F27"/>
    <w:rsid w:val="001305C5"/>
    <w:rsid w:val="00135406"/>
    <w:rsid w:val="00135972"/>
    <w:rsid w:val="001426A9"/>
    <w:rsid w:val="001463BC"/>
    <w:rsid w:val="00146D45"/>
    <w:rsid w:val="001510E8"/>
    <w:rsid w:val="00154D7C"/>
    <w:rsid w:val="00156B04"/>
    <w:rsid w:val="001570B0"/>
    <w:rsid w:val="0015752C"/>
    <w:rsid w:val="00157737"/>
    <w:rsid w:val="00165277"/>
    <w:rsid w:val="00170592"/>
    <w:rsid w:val="00177504"/>
    <w:rsid w:val="00186351"/>
    <w:rsid w:val="0019082C"/>
    <w:rsid w:val="00195D83"/>
    <w:rsid w:val="001A00C1"/>
    <w:rsid w:val="001A157D"/>
    <w:rsid w:val="001A1826"/>
    <w:rsid w:val="001B33E0"/>
    <w:rsid w:val="001B3987"/>
    <w:rsid w:val="001B4573"/>
    <w:rsid w:val="001C6C5B"/>
    <w:rsid w:val="001C779F"/>
    <w:rsid w:val="001D0027"/>
    <w:rsid w:val="001D2AC1"/>
    <w:rsid w:val="001D4E88"/>
    <w:rsid w:val="00201B0F"/>
    <w:rsid w:val="00211B51"/>
    <w:rsid w:val="00212A3F"/>
    <w:rsid w:val="0021549E"/>
    <w:rsid w:val="00220FC2"/>
    <w:rsid w:val="002222F4"/>
    <w:rsid w:val="00224FC0"/>
    <w:rsid w:val="00225EA4"/>
    <w:rsid w:val="00226EAF"/>
    <w:rsid w:val="00231F3A"/>
    <w:rsid w:val="00234199"/>
    <w:rsid w:val="002406EE"/>
    <w:rsid w:val="00243EC8"/>
    <w:rsid w:val="00252E5D"/>
    <w:rsid w:val="00270D93"/>
    <w:rsid w:val="002745CC"/>
    <w:rsid w:val="00292EE0"/>
    <w:rsid w:val="00295920"/>
    <w:rsid w:val="002A6EA5"/>
    <w:rsid w:val="002B7924"/>
    <w:rsid w:val="002C3E50"/>
    <w:rsid w:val="002D28C3"/>
    <w:rsid w:val="002D39A4"/>
    <w:rsid w:val="002D5F26"/>
    <w:rsid w:val="002E1240"/>
    <w:rsid w:val="002E6705"/>
    <w:rsid w:val="00300144"/>
    <w:rsid w:val="00301D08"/>
    <w:rsid w:val="0030329A"/>
    <w:rsid w:val="00306D2E"/>
    <w:rsid w:val="0031086F"/>
    <w:rsid w:val="003138F4"/>
    <w:rsid w:val="0031414C"/>
    <w:rsid w:val="00314E01"/>
    <w:rsid w:val="0032057C"/>
    <w:rsid w:val="0032089D"/>
    <w:rsid w:val="00323917"/>
    <w:rsid w:val="0032659F"/>
    <w:rsid w:val="003310DE"/>
    <w:rsid w:val="003323B0"/>
    <w:rsid w:val="003439E7"/>
    <w:rsid w:val="0035169A"/>
    <w:rsid w:val="00351B94"/>
    <w:rsid w:val="00351D1D"/>
    <w:rsid w:val="0035259D"/>
    <w:rsid w:val="00356FD8"/>
    <w:rsid w:val="00361214"/>
    <w:rsid w:val="00364B18"/>
    <w:rsid w:val="003705C0"/>
    <w:rsid w:val="0038084E"/>
    <w:rsid w:val="003A125D"/>
    <w:rsid w:val="003A4C70"/>
    <w:rsid w:val="003A5503"/>
    <w:rsid w:val="003B215F"/>
    <w:rsid w:val="003B5C6E"/>
    <w:rsid w:val="003B5CBB"/>
    <w:rsid w:val="003C7473"/>
    <w:rsid w:val="003C799C"/>
    <w:rsid w:val="003D0399"/>
    <w:rsid w:val="003D6412"/>
    <w:rsid w:val="003E1C71"/>
    <w:rsid w:val="003F327B"/>
    <w:rsid w:val="004027F2"/>
    <w:rsid w:val="00406166"/>
    <w:rsid w:val="0040704B"/>
    <w:rsid w:val="00410A55"/>
    <w:rsid w:val="00411300"/>
    <w:rsid w:val="0041449F"/>
    <w:rsid w:val="00415417"/>
    <w:rsid w:val="00422173"/>
    <w:rsid w:val="00426659"/>
    <w:rsid w:val="00430716"/>
    <w:rsid w:val="0043669D"/>
    <w:rsid w:val="00450352"/>
    <w:rsid w:val="00454BDB"/>
    <w:rsid w:val="00464800"/>
    <w:rsid w:val="0046486F"/>
    <w:rsid w:val="00465132"/>
    <w:rsid w:val="00480C90"/>
    <w:rsid w:val="00482818"/>
    <w:rsid w:val="0048396F"/>
    <w:rsid w:val="00491C54"/>
    <w:rsid w:val="00493C18"/>
    <w:rsid w:val="00496F8A"/>
    <w:rsid w:val="004A1ABE"/>
    <w:rsid w:val="004A20D1"/>
    <w:rsid w:val="004A600C"/>
    <w:rsid w:val="004A6118"/>
    <w:rsid w:val="004C478D"/>
    <w:rsid w:val="004E2C26"/>
    <w:rsid w:val="004F2064"/>
    <w:rsid w:val="004F36FF"/>
    <w:rsid w:val="004F45F9"/>
    <w:rsid w:val="004F49FE"/>
    <w:rsid w:val="005125A8"/>
    <w:rsid w:val="005168D2"/>
    <w:rsid w:val="00521AE8"/>
    <w:rsid w:val="00522488"/>
    <w:rsid w:val="005243F3"/>
    <w:rsid w:val="00527180"/>
    <w:rsid w:val="0054201E"/>
    <w:rsid w:val="005540CE"/>
    <w:rsid w:val="00554AA0"/>
    <w:rsid w:val="00555291"/>
    <w:rsid w:val="00563011"/>
    <w:rsid w:val="00566AD1"/>
    <w:rsid w:val="00571334"/>
    <w:rsid w:val="00583EDE"/>
    <w:rsid w:val="00586B2E"/>
    <w:rsid w:val="005943FE"/>
    <w:rsid w:val="005A5928"/>
    <w:rsid w:val="005A6079"/>
    <w:rsid w:val="005D2040"/>
    <w:rsid w:val="005E4698"/>
    <w:rsid w:val="005E5E95"/>
    <w:rsid w:val="00607956"/>
    <w:rsid w:val="00610539"/>
    <w:rsid w:val="006107BB"/>
    <w:rsid w:val="00613969"/>
    <w:rsid w:val="006161D6"/>
    <w:rsid w:val="00625C35"/>
    <w:rsid w:val="006340AE"/>
    <w:rsid w:val="00643E75"/>
    <w:rsid w:val="00656313"/>
    <w:rsid w:val="006565F4"/>
    <w:rsid w:val="00676DA7"/>
    <w:rsid w:val="00684EEA"/>
    <w:rsid w:val="0069120E"/>
    <w:rsid w:val="0069689B"/>
    <w:rsid w:val="006A1551"/>
    <w:rsid w:val="006B5FF5"/>
    <w:rsid w:val="006D099B"/>
    <w:rsid w:val="006F2EBD"/>
    <w:rsid w:val="006F30AF"/>
    <w:rsid w:val="006F4F95"/>
    <w:rsid w:val="00701759"/>
    <w:rsid w:val="007059A2"/>
    <w:rsid w:val="00705C15"/>
    <w:rsid w:val="00706263"/>
    <w:rsid w:val="00713187"/>
    <w:rsid w:val="0071600E"/>
    <w:rsid w:val="007208D1"/>
    <w:rsid w:val="00747288"/>
    <w:rsid w:val="00747DD3"/>
    <w:rsid w:val="0075168D"/>
    <w:rsid w:val="007549C8"/>
    <w:rsid w:val="00754A0B"/>
    <w:rsid w:val="0076670B"/>
    <w:rsid w:val="00766D14"/>
    <w:rsid w:val="00767A0F"/>
    <w:rsid w:val="0077485A"/>
    <w:rsid w:val="007A05F6"/>
    <w:rsid w:val="007A3327"/>
    <w:rsid w:val="007A3914"/>
    <w:rsid w:val="007A3929"/>
    <w:rsid w:val="007B6F4A"/>
    <w:rsid w:val="007D4F10"/>
    <w:rsid w:val="007E1C47"/>
    <w:rsid w:val="007E337A"/>
    <w:rsid w:val="007E5C70"/>
    <w:rsid w:val="007F2FF5"/>
    <w:rsid w:val="007F3F08"/>
    <w:rsid w:val="007F7717"/>
    <w:rsid w:val="00804CC6"/>
    <w:rsid w:val="00817190"/>
    <w:rsid w:val="00820EE5"/>
    <w:rsid w:val="008260E2"/>
    <w:rsid w:val="0082656E"/>
    <w:rsid w:val="008316EC"/>
    <w:rsid w:val="008322BD"/>
    <w:rsid w:val="00833E0A"/>
    <w:rsid w:val="00834F73"/>
    <w:rsid w:val="00847FB8"/>
    <w:rsid w:val="008522AD"/>
    <w:rsid w:val="008553F3"/>
    <w:rsid w:val="00855A8B"/>
    <w:rsid w:val="00864CF8"/>
    <w:rsid w:val="00872819"/>
    <w:rsid w:val="00874914"/>
    <w:rsid w:val="008829FF"/>
    <w:rsid w:val="00891422"/>
    <w:rsid w:val="00892E1A"/>
    <w:rsid w:val="008A3F29"/>
    <w:rsid w:val="008B3162"/>
    <w:rsid w:val="008B660A"/>
    <w:rsid w:val="008C01DA"/>
    <w:rsid w:val="008C359B"/>
    <w:rsid w:val="008F69EC"/>
    <w:rsid w:val="008F78E9"/>
    <w:rsid w:val="00911989"/>
    <w:rsid w:val="009179F9"/>
    <w:rsid w:val="00933E5E"/>
    <w:rsid w:val="00935218"/>
    <w:rsid w:val="009403F3"/>
    <w:rsid w:val="00945136"/>
    <w:rsid w:val="00950F75"/>
    <w:rsid w:val="009555B7"/>
    <w:rsid w:val="009567AA"/>
    <w:rsid w:val="00967374"/>
    <w:rsid w:val="009732D3"/>
    <w:rsid w:val="009852EB"/>
    <w:rsid w:val="00990D76"/>
    <w:rsid w:val="009A337A"/>
    <w:rsid w:val="009A343A"/>
    <w:rsid w:val="009B2F23"/>
    <w:rsid w:val="009B3620"/>
    <w:rsid w:val="009B57B3"/>
    <w:rsid w:val="009B738B"/>
    <w:rsid w:val="009C30D8"/>
    <w:rsid w:val="009C5B92"/>
    <w:rsid w:val="009D2920"/>
    <w:rsid w:val="009D5AEB"/>
    <w:rsid w:val="009E01CE"/>
    <w:rsid w:val="009F0E33"/>
    <w:rsid w:val="00A030CE"/>
    <w:rsid w:val="00A12EDF"/>
    <w:rsid w:val="00A149DF"/>
    <w:rsid w:val="00A1755C"/>
    <w:rsid w:val="00A21B90"/>
    <w:rsid w:val="00A41805"/>
    <w:rsid w:val="00A42DCD"/>
    <w:rsid w:val="00A52AFB"/>
    <w:rsid w:val="00A548CB"/>
    <w:rsid w:val="00A5521C"/>
    <w:rsid w:val="00A643E7"/>
    <w:rsid w:val="00A64469"/>
    <w:rsid w:val="00A73991"/>
    <w:rsid w:val="00A73B45"/>
    <w:rsid w:val="00A73C38"/>
    <w:rsid w:val="00A76B15"/>
    <w:rsid w:val="00A93A6C"/>
    <w:rsid w:val="00A95819"/>
    <w:rsid w:val="00AB0341"/>
    <w:rsid w:val="00AB670D"/>
    <w:rsid w:val="00AE154D"/>
    <w:rsid w:val="00AE4535"/>
    <w:rsid w:val="00AF03C5"/>
    <w:rsid w:val="00B000D8"/>
    <w:rsid w:val="00B00F75"/>
    <w:rsid w:val="00B01AAE"/>
    <w:rsid w:val="00B145B6"/>
    <w:rsid w:val="00B279EB"/>
    <w:rsid w:val="00B34E71"/>
    <w:rsid w:val="00B375E9"/>
    <w:rsid w:val="00B50C81"/>
    <w:rsid w:val="00B557F8"/>
    <w:rsid w:val="00B641A8"/>
    <w:rsid w:val="00B71AE9"/>
    <w:rsid w:val="00B761BD"/>
    <w:rsid w:val="00B815FC"/>
    <w:rsid w:val="00B87665"/>
    <w:rsid w:val="00B93FBC"/>
    <w:rsid w:val="00B96D6E"/>
    <w:rsid w:val="00BA7B77"/>
    <w:rsid w:val="00BA7DA0"/>
    <w:rsid w:val="00BB2EE4"/>
    <w:rsid w:val="00BC2108"/>
    <w:rsid w:val="00BD0E9E"/>
    <w:rsid w:val="00BD1BEC"/>
    <w:rsid w:val="00BD32FF"/>
    <w:rsid w:val="00BD49BF"/>
    <w:rsid w:val="00BD689C"/>
    <w:rsid w:val="00C02092"/>
    <w:rsid w:val="00C16691"/>
    <w:rsid w:val="00C24D91"/>
    <w:rsid w:val="00C3086B"/>
    <w:rsid w:val="00C35769"/>
    <w:rsid w:val="00C53F14"/>
    <w:rsid w:val="00C600CF"/>
    <w:rsid w:val="00C6084F"/>
    <w:rsid w:val="00C62A66"/>
    <w:rsid w:val="00C62F15"/>
    <w:rsid w:val="00C71458"/>
    <w:rsid w:val="00C71531"/>
    <w:rsid w:val="00C77613"/>
    <w:rsid w:val="00C800CE"/>
    <w:rsid w:val="00C811C8"/>
    <w:rsid w:val="00C828E7"/>
    <w:rsid w:val="00C86719"/>
    <w:rsid w:val="00C921DD"/>
    <w:rsid w:val="00C93354"/>
    <w:rsid w:val="00C9444D"/>
    <w:rsid w:val="00CA204D"/>
    <w:rsid w:val="00CA6391"/>
    <w:rsid w:val="00CC27FA"/>
    <w:rsid w:val="00CC34BD"/>
    <w:rsid w:val="00CD44CF"/>
    <w:rsid w:val="00CE161A"/>
    <w:rsid w:val="00CE3171"/>
    <w:rsid w:val="00CE5199"/>
    <w:rsid w:val="00CF1601"/>
    <w:rsid w:val="00D0172F"/>
    <w:rsid w:val="00D052AE"/>
    <w:rsid w:val="00D068A7"/>
    <w:rsid w:val="00D173F8"/>
    <w:rsid w:val="00D17476"/>
    <w:rsid w:val="00D32086"/>
    <w:rsid w:val="00D37A3F"/>
    <w:rsid w:val="00D4431D"/>
    <w:rsid w:val="00D4667A"/>
    <w:rsid w:val="00D63A1C"/>
    <w:rsid w:val="00D7516F"/>
    <w:rsid w:val="00D8579F"/>
    <w:rsid w:val="00D95F8E"/>
    <w:rsid w:val="00DA0590"/>
    <w:rsid w:val="00DA571A"/>
    <w:rsid w:val="00DB055E"/>
    <w:rsid w:val="00DB55D3"/>
    <w:rsid w:val="00DB7BEA"/>
    <w:rsid w:val="00DC1739"/>
    <w:rsid w:val="00DC1788"/>
    <w:rsid w:val="00DC6A98"/>
    <w:rsid w:val="00DD591C"/>
    <w:rsid w:val="00DE319C"/>
    <w:rsid w:val="00DF0CA8"/>
    <w:rsid w:val="00DF1CAB"/>
    <w:rsid w:val="00DF2B48"/>
    <w:rsid w:val="00DF49A7"/>
    <w:rsid w:val="00E00AE6"/>
    <w:rsid w:val="00E0736C"/>
    <w:rsid w:val="00E07EE2"/>
    <w:rsid w:val="00E07FD1"/>
    <w:rsid w:val="00E176D8"/>
    <w:rsid w:val="00E24573"/>
    <w:rsid w:val="00E25E1E"/>
    <w:rsid w:val="00E27EE7"/>
    <w:rsid w:val="00E35404"/>
    <w:rsid w:val="00E44AFC"/>
    <w:rsid w:val="00E45109"/>
    <w:rsid w:val="00E47B7A"/>
    <w:rsid w:val="00E56A44"/>
    <w:rsid w:val="00E60269"/>
    <w:rsid w:val="00E60964"/>
    <w:rsid w:val="00E62E27"/>
    <w:rsid w:val="00E6361B"/>
    <w:rsid w:val="00E77932"/>
    <w:rsid w:val="00E77EB9"/>
    <w:rsid w:val="00E97830"/>
    <w:rsid w:val="00EA5A07"/>
    <w:rsid w:val="00EB26CB"/>
    <w:rsid w:val="00ED175A"/>
    <w:rsid w:val="00ED4437"/>
    <w:rsid w:val="00ED6706"/>
    <w:rsid w:val="00EE643C"/>
    <w:rsid w:val="00EF0683"/>
    <w:rsid w:val="00EF69D2"/>
    <w:rsid w:val="00EF766E"/>
    <w:rsid w:val="00F0070C"/>
    <w:rsid w:val="00F00EB7"/>
    <w:rsid w:val="00F0213F"/>
    <w:rsid w:val="00F146E7"/>
    <w:rsid w:val="00F15F52"/>
    <w:rsid w:val="00F2167F"/>
    <w:rsid w:val="00F262FE"/>
    <w:rsid w:val="00F36AB6"/>
    <w:rsid w:val="00F37A09"/>
    <w:rsid w:val="00F409CE"/>
    <w:rsid w:val="00F4379D"/>
    <w:rsid w:val="00F50D2D"/>
    <w:rsid w:val="00F51C1B"/>
    <w:rsid w:val="00F56C8B"/>
    <w:rsid w:val="00F632C8"/>
    <w:rsid w:val="00F66810"/>
    <w:rsid w:val="00F846D9"/>
    <w:rsid w:val="00F84DF4"/>
    <w:rsid w:val="00F85C97"/>
    <w:rsid w:val="00F87797"/>
    <w:rsid w:val="00F91DBD"/>
    <w:rsid w:val="00FB37D2"/>
    <w:rsid w:val="00FB4028"/>
    <w:rsid w:val="00FC4EFB"/>
    <w:rsid w:val="00FC5393"/>
    <w:rsid w:val="00FD068D"/>
    <w:rsid w:val="00FD4947"/>
    <w:rsid w:val="00FD4F28"/>
    <w:rsid w:val="00FE3875"/>
    <w:rsid w:val="00FE6784"/>
    <w:rsid w:val="00FF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801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0D1"/>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ED175A"/>
    <w:rPr>
      <w:color w:val="660000"/>
      <w:u w:val="none"/>
    </w:rPr>
  </w:style>
  <w:style w:type="character" w:styleId="CommentReference">
    <w:name w:val="annotation reference"/>
    <w:basedOn w:val="DefaultParagraphFont"/>
    <w:uiPriority w:val="99"/>
    <w:semiHidden/>
    <w:unhideWhenUsed/>
    <w:rsid w:val="00B375E9"/>
    <w:rPr>
      <w:sz w:val="16"/>
      <w:szCs w:val="16"/>
    </w:rPr>
  </w:style>
  <w:style w:type="paragraph" w:styleId="CommentText">
    <w:name w:val="annotation text"/>
    <w:basedOn w:val="Normal"/>
    <w:link w:val="CommentTextChar"/>
    <w:uiPriority w:val="99"/>
    <w:unhideWhenUsed/>
    <w:rsid w:val="00B375E9"/>
    <w:rPr>
      <w:sz w:val="20"/>
    </w:rPr>
  </w:style>
  <w:style w:type="character" w:customStyle="1" w:styleId="CommentTextChar">
    <w:name w:val="Comment Text Char"/>
    <w:basedOn w:val="DefaultParagraphFont"/>
    <w:link w:val="CommentText"/>
    <w:uiPriority w:val="99"/>
    <w:rsid w:val="00B375E9"/>
  </w:style>
  <w:style w:type="paragraph" w:styleId="CommentSubject">
    <w:name w:val="annotation subject"/>
    <w:basedOn w:val="CommentText"/>
    <w:next w:val="CommentText"/>
    <w:link w:val="CommentSubjectChar"/>
    <w:uiPriority w:val="99"/>
    <w:semiHidden/>
    <w:unhideWhenUsed/>
    <w:rsid w:val="00B375E9"/>
    <w:rPr>
      <w:b/>
      <w:bCs/>
    </w:rPr>
  </w:style>
  <w:style w:type="character" w:customStyle="1" w:styleId="CommentSubjectChar">
    <w:name w:val="Comment Subject Char"/>
    <w:basedOn w:val="CommentTextChar"/>
    <w:link w:val="CommentSubject"/>
    <w:uiPriority w:val="99"/>
    <w:semiHidden/>
    <w:rsid w:val="00B375E9"/>
    <w:rPr>
      <w:b/>
      <w:bCs/>
    </w:rPr>
  </w:style>
  <w:style w:type="paragraph" w:customStyle="1" w:styleId="sccnormaldoublespacing0">
    <w:name w:val="sccnormaldoublespacing"/>
    <w:basedOn w:val="Normal"/>
    <w:rsid w:val="005D2040"/>
    <w:pPr>
      <w:spacing w:before="100" w:beforeAutospacing="1" w:after="100" w:afterAutospacing="1"/>
    </w:pPr>
    <w:rPr>
      <w:szCs w:val="24"/>
    </w:rPr>
  </w:style>
  <w:style w:type="character" w:customStyle="1" w:styleId="solexhl">
    <w:name w:val="solexhl"/>
    <w:basedOn w:val="DefaultParagraphFont"/>
    <w:rsid w:val="005D2040"/>
  </w:style>
  <w:style w:type="character" w:customStyle="1" w:styleId="ui-provider">
    <w:name w:val="ui-provider"/>
    <w:basedOn w:val="DefaultParagraphFont"/>
    <w:rsid w:val="005E5E95"/>
  </w:style>
  <w:style w:type="paragraph" w:customStyle="1" w:styleId="SCCLsocOtherPartyRoleSeparator">
    <w:name w:val="SCC.Lsoc.OtherPartyRoleSeparator"/>
    <w:basedOn w:val="Normal"/>
    <w:next w:val="Normal"/>
    <w:link w:val="SCCLsocOtherPartyRoleSeparatorChar"/>
    <w:rsid w:val="00156B04"/>
    <w:pPr>
      <w:spacing w:after="480"/>
    </w:pPr>
    <w:rPr>
      <w:rFonts w:eastAsiaTheme="minorHAnsi" w:cstheme="minorBidi"/>
      <w:szCs w:val="22"/>
      <w:lang w:eastAsia="en-US"/>
    </w:rPr>
  </w:style>
  <w:style w:type="character" w:customStyle="1" w:styleId="SCCLsocOtherPartyRoleSeparatorChar">
    <w:name w:val="SCC.Lsoc.OtherPartyRoleSeparator Char"/>
    <w:basedOn w:val="DefaultParagraphFont"/>
    <w:link w:val="SCCLsocOtherPartyRoleSeparator"/>
    <w:rsid w:val="00156B04"/>
    <w:rPr>
      <w:rFonts w:eastAsiaTheme="minorHAnsi" w:cstheme="minorBidi"/>
      <w:sz w:val="24"/>
      <w:szCs w:val="22"/>
      <w:lang w:eastAsia="en-US"/>
    </w:rPr>
  </w:style>
  <w:style w:type="paragraph" w:customStyle="1" w:styleId="SCCCoram">
    <w:name w:val="SCC.Coram"/>
    <w:basedOn w:val="Normal"/>
    <w:next w:val="Normal"/>
    <w:link w:val="SCCCoramChar"/>
    <w:rsid w:val="00156B0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56B04"/>
    <w:rPr>
      <w:rFonts w:eastAsiaTheme="minorHAnsi" w:cstheme="minorBidi"/>
      <w:sz w:val="24"/>
      <w:szCs w:val="22"/>
      <w:lang w:eastAsia="en-US"/>
    </w:rPr>
  </w:style>
  <w:style w:type="character" w:customStyle="1" w:styleId="SCCBanSummaryChar">
    <w:name w:val="SCC.BanSummary Char"/>
    <w:basedOn w:val="DefaultParagraphFont"/>
    <w:link w:val="SCCBanSummary"/>
    <w:rsid w:val="00156B04"/>
    <w:rPr>
      <w:b/>
      <w:sz w:val="24"/>
    </w:rPr>
  </w:style>
  <w:style w:type="table" w:styleId="TableGrid">
    <w:name w:val="Table Grid"/>
    <w:basedOn w:val="TableNormal"/>
    <w:uiPriority w:val="59"/>
    <w:rsid w:val="00156B0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56B0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56B04"/>
    <w:pPr>
      <w:spacing w:before="480" w:after="480" w:line="480" w:lineRule="auto"/>
      <w:jc w:val="both"/>
    </w:pPr>
    <w:rPr>
      <w:rFonts w:eastAsiaTheme="minorHAnsi" w:cstheme="minorBidi"/>
      <w:sz w:val="24"/>
      <w:szCs w:val="22"/>
      <w:lang w:eastAsia="en-US"/>
    </w:rPr>
  </w:style>
  <w:style w:type="paragraph" w:customStyle="1" w:styleId="ParaNoNdepar-AltN">
    <w:name w:val="Para. No. / Nº de par. - Alt N"/>
    <w:link w:val="ParaNoNdepar-AltNChar"/>
    <w:qFormat/>
    <w:rsid w:val="00156B04"/>
    <w:pPr>
      <w:numPr>
        <w:numId w:val="6"/>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156B04"/>
    <w:rPr>
      <w:rFonts w:eastAsiaTheme="minorEastAsia" w:cstheme="minorBidi"/>
      <w:sz w:val="24"/>
      <w:szCs w:val="22"/>
      <w:lang w:eastAsia="en-US"/>
    </w:rPr>
  </w:style>
  <w:style w:type="paragraph" w:customStyle="1" w:styleId="JudgeJuge">
    <w:name w:val="Judge / Juge"/>
    <w:uiPriority w:val="3"/>
    <w:rsid w:val="00156B0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156B0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56B0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56B04"/>
    <w:pPr>
      <w:numPr>
        <w:ilvl w:val="2"/>
      </w:numPr>
      <w:outlineLvl w:val="2"/>
    </w:pPr>
  </w:style>
  <w:style w:type="paragraph" w:customStyle="1" w:styleId="Title4LevelTitre4Niveau">
    <w:name w:val="Title 4 Level / Titre 4 Niveau"/>
    <w:basedOn w:val="Title3LevelTitre3Niveau"/>
    <w:next w:val="ParaNoNdepar-AltN"/>
    <w:uiPriority w:val="4"/>
    <w:qFormat/>
    <w:rsid w:val="00156B0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56B04"/>
    <w:pPr>
      <w:numPr>
        <w:ilvl w:val="4"/>
      </w:numPr>
      <w:outlineLvl w:val="4"/>
    </w:pPr>
  </w:style>
  <w:style w:type="paragraph" w:styleId="TOC1">
    <w:name w:val="toc 1"/>
    <w:basedOn w:val="Normal"/>
    <w:next w:val="Normal"/>
    <w:autoRedefine/>
    <w:uiPriority w:val="39"/>
    <w:unhideWhenUsed/>
    <w:rsid w:val="00156B0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56B0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56B0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56B0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56B0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56B04"/>
    <w:pPr>
      <w:tabs>
        <w:tab w:val="left" w:pos="2160"/>
        <w:tab w:val="right" w:leader="dot" w:pos="8270"/>
      </w:tabs>
      <w:spacing w:after="100"/>
      <w:ind w:left="1800"/>
    </w:pPr>
    <w:rPr>
      <w:noProof/>
    </w:rPr>
  </w:style>
  <w:style w:type="table" w:customStyle="1" w:styleId="TableGrid1">
    <w:name w:val="Table Grid1"/>
    <w:basedOn w:val="TableNormal"/>
    <w:uiPriority w:val="59"/>
    <w:rsid w:val="00156B0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56B0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56B04"/>
    <w:pPr>
      <w:numPr>
        <w:ilvl w:val="5"/>
      </w:numPr>
      <w:outlineLvl w:val="5"/>
    </w:pPr>
    <w:rPr>
      <w:i/>
      <w:u w:val="none"/>
    </w:rPr>
  </w:style>
  <w:style w:type="paragraph" w:styleId="FootnoteText">
    <w:name w:val="footnote text"/>
    <w:basedOn w:val="Normal"/>
    <w:link w:val="FootnoteTextChar"/>
    <w:uiPriority w:val="99"/>
    <w:unhideWhenUsed/>
    <w:rsid w:val="00156B0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56B04"/>
  </w:style>
  <w:style w:type="paragraph" w:styleId="ListParagraph">
    <w:name w:val="List Paragraph"/>
    <w:basedOn w:val="Normal"/>
    <w:uiPriority w:val="34"/>
    <w:qFormat/>
    <w:rsid w:val="00156B04"/>
    <w:pPr>
      <w:ind w:left="720"/>
      <w:contextualSpacing/>
    </w:pPr>
    <w:rPr>
      <w:rFonts w:eastAsiaTheme="minorHAnsi" w:cstheme="minorBidi"/>
      <w:szCs w:val="22"/>
      <w:lang w:val="en-US" w:eastAsia="en-US" w:bidi="en-US"/>
    </w:rPr>
  </w:style>
  <w:style w:type="paragraph" w:styleId="Revision">
    <w:name w:val="Revision"/>
    <w:hidden/>
    <w:uiPriority w:val="99"/>
    <w:semiHidden/>
    <w:rsid w:val="00156B04"/>
    <w:rPr>
      <w:sz w:val="24"/>
      <w:szCs w:val="24"/>
    </w:rPr>
  </w:style>
  <w:style w:type="paragraph" w:customStyle="1" w:styleId="paranondepar-altn0">
    <w:name w:val="paranondepar-altn"/>
    <w:basedOn w:val="Normal"/>
    <w:rsid w:val="00156B04"/>
    <w:pPr>
      <w:spacing w:before="100" w:beforeAutospacing="1" w:after="100" w:afterAutospacing="1"/>
    </w:pPr>
    <w:rPr>
      <w:szCs w:val="24"/>
    </w:rPr>
  </w:style>
  <w:style w:type="paragraph" w:styleId="TOCHeading">
    <w:name w:val="TOC Heading"/>
    <w:basedOn w:val="Heading1"/>
    <w:next w:val="Normal"/>
    <w:uiPriority w:val="39"/>
    <w:unhideWhenUsed/>
    <w:qFormat/>
    <w:rsid w:val="00156B04"/>
    <w:pPr>
      <w:spacing w:before="240" w:after="0" w:line="259" w:lineRule="auto"/>
      <w:ind w:left="0" w:firstLine="0"/>
      <w:outlineLvl w:val="9"/>
    </w:pPr>
    <w:rPr>
      <w:b w:val="0"/>
      <w:bCs w:val="0"/>
      <w:sz w:val="32"/>
      <w:szCs w:val="32"/>
      <w:lang w:val="en-US" w:eastAsia="en-US"/>
    </w:rPr>
  </w:style>
  <w:style w:type="table" w:customStyle="1" w:styleId="TableGrid2">
    <w:name w:val="Table Grid2"/>
    <w:basedOn w:val="TableNormal"/>
    <w:next w:val="TableGrid"/>
    <w:uiPriority w:val="59"/>
    <w:rsid w:val="00156B0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unhideWhenUsed/>
    <w:rsid w:val="004A20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cisions.fca-caf.gc.ca/fca-caf/decisions/en/521067/1/document.do" TargetMode="External"/><Relationship Id="rId4" Type="http://schemas.openxmlformats.org/officeDocument/2006/relationships/webSettings" Target="webSettings.xml"/><Relationship Id="rId9" Type="http://schemas.openxmlformats.org/officeDocument/2006/relationships/hyperlink" Target="https://www.scc-csc.ca/cso-dce/2024SCC-CSC30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14149</Words>
  <Characters>75742</Characters>
  <Application>Microsoft Office Word</Application>
  <DocSecurity>0</DocSecurity>
  <Lines>631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2024-10-04T11:04:00Z</dcterms:created>
  <dcterms:modified xsi:type="dcterms:W3CDTF">2024-10-04T13:36:00Z</dcterms:modified>
</cp:coreProperties>
</file>