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0C4436" w:rsidRPr="000C4436" w14:paraId="51C36552" w14:textId="77777777" w:rsidTr="004310D5">
        <w:trPr>
          <w:trHeight w:val="2103"/>
        </w:trPr>
        <w:tc>
          <w:tcPr>
            <w:tcW w:w="5000" w:type="pct"/>
            <w:gridSpan w:val="4"/>
          </w:tcPr>
          <w:p w14:paraId="70D76742" w14:textId="77777777" w:rsidR="000C4436" w:rsidRPr="000C4436" w:rsidRDefault="000C4436" w:rsidP="000C4436">
            <w:pPr>
              <w:jc w:val="center"/>
              <w:rPr>
                <w:b/>
              </w:rPr>
            </w:pPr>
            <w:r w:rsidRPr="000C4436">
              <w:rPr>
                <w:b/>
                <w:noProof/>
                <w:lang w:val="fr-CA" w:eastAsia="fr-CA"/>
              </w:rPr>
              <w:drawing>
                <wp:inline distT="0" distB="0" distL="0" distR="0" wp14:anchorId="355D811A" wp14:editId="5F2E84C1">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2A15194" w14:textId="77777777" w:rsidR="000C4436" w:rsidRPr="000C4436" w:rsidRDefault="000C4436" w:rsidP="000C4436">
            <w:pPr>
              <w:spacing w:before="120" w:after="100" w:afterAutospacing="1"/>
              <w:jc w:val="center"/>
            </w:pPr>
            <w:r w:rsidRPr="000C4436">
              <w:rPr>
                <w:b/>
              </w:rPr>
              <w:t>SUPREME COURT OF CANADA</w:t>
            </w:r>
          </w:p>
        </w:tc>
      </w:tr>
      <w:tr w:rsidR="000C4436" w:rsidRPr="000C4436" w14:paraId="2935C326" w14:textId="77777777" w:rsidTr="004310D5">
        <w:tblPrEx>
          <w:tblCellMar>
            <w:top w:w="58" w:type="dxa"/>
            <w:left w:w="58" w:type="dxa"/>
            <w:bottom w:w="58" w:type="dxa"/>
            <w:right w:w="58" w:type="dxa"/>
          </w:tblCellMar>
        </w:tblPrEx>
        <w:trPr>
          <w:cantSplit/>
        </w:trPr>
        <w:tc>
          <w:tcPr>
            <w:tcW w:w="2078" w:type="pct"/>
            <w:gridSpan w:val="2"/>
          </w:tcPr>
          <w:p w14:paraId="5012CA5D" w14:textId="77777777" w:rsidR="000C4436" w:rsidRPr="000C4436" w:rsidRDefault="000C4436" w:rsidP="000C4436">
            <w:pPr>
              <w:rPr>
                <w:b/>
                <w:smallCaps/>
              </w:rPr>
            </w:pPr>
          </w:p>
          <w:p w14:paraId="7BEA27E0" w14:textId="77777777" w:rsidR="000C4436" w:rsidRPr="000C4436" w:rsidRDefault="000C4436" w:rsidP="000C4436">
            <w:pPr>
              <w:rPr>
                <w:b/>
                <w:smallCaps/>
              </w:rPr>
            </w:pPr>
            <w:r w:rsidRPr="000C4436">
              <w:rPr>
                <w:b/>
                <w:smallCaps/>
              </w:rPr>
              <w:t>Citation:</w:t>
            </w:r>
            <w:r w:rsidRPr="000C4436">
              <w:t xml:space="preserve"> Aquino </w:t>
            </w:r>
            <w:r w:rsidRPr="000C4436">
              <w:rPr>
                <w:i/>
              </w:rPr>
              <w:t>v.</w:t>
            </w:r>
            <w:r w:rsidRPr="000C4436">
              <w:t xml:space="preserve"> Bondfield Construction Co., 2024 SCC 31</w:t>
            </w:r>
          </w:p>
        </w:tc>
        <w:tc>
          <w:tcPr>
            <w:tcW w:w="781" w:type="pct"/>
          </w:tcPr>
          <w:p w14:paraId="6108B143" w14:textId="77777777" w:rsidR="000C4436" w:rsidRPr="000C4436" w:rsidRDefault="000C4436" w:rsidP="000C4436"/>
        </w:tc>
        <w:tc>
          <w:tcPr>
            <w:tcW w:w="2141" w:type="pct"/>
          </w:tcPr>
          <w:p w14:paraId="25853EF8" w14:textId="77777777" w:rsidR="000C4436" w:rsidRPr="000C4436" w:rsidRDefault="000C4436" w:rsidP="000C4436">
            <w:pPr>
              <w:rPr>
                <w:b/>
                <w:smallCaps/>
              </w:rPr>
            </w:pPr>
          </w:p>
          <w:p w14:paraId="03CD6B97" w14:textId="77777777" w:rsidR="000C4436" w:rsidRPr="000C4436" w:rsidRDefault="000C4436" w:rsidP="0020778D">
            <w:r w:rsidRPr="000C4436">
              <w:rPr>
                <w:b/>
                <w:smallCaps/>
              </w:rPr>
              <w:t>Appeal Heard:</w:t>
            </w:r>
            <w:r w:rsidRPr="000C4436">
              <w:t xml:space="preserve"> December 5, 2023</w:t>
            </w:r>
          </w:p>
          <w:p w14:paraId="7AA53BDF" w14:textId="77777777" w:rsidR="000C4436" w:rsidRPr="000C4436" w:rsidRDefault="000C4436" w:rsidP="000C4436">
            <w:r w:rsidRPr="000C4436">
              <w:rPr>
                <w:b/>
                <w:smallCaps/>
              </w:rPr>
              <w:t>Judgment Rendered:</w:t>
            </w:r>
            <w:r w:rsidRPr="000C4436">
              <w:t xml:space="preserve"> October 11, 2024</w:t>
            </w:r>
          </w:p>
          <w:p w14:paraId="2FF6C6CF" w14:textId="77777777" w:rsidR="000C4436" w:rsidRPr="000C4436" w:rsidRDefault="000C4436" w:rsidP="000C4436">
            <w:r w:rsidRPr="000C4436">
              <w:rPr>
                <w:b/>
                <w:smallCaps/>
              </w:rPr>
              <w:t>Docket:</w:t>
            </w:r>
            <w:r w:rsidRPr="000C4436">
              <w:t xml:space="preserve"> 40166</w:t>
            </w:r>
          </w:p>
        </w:tc>
      </w:tr>
      <w:tr w:rsidR="000C4436" w:rsidRPr="000C4436" w14:paraId="19854D3D" w14:textId="77777777" w:rsidTr="004310D5">
        <w:tblPrEx>
          <w:tblCellMar>
            <w:top w:w="58" w:type="dxa"/>
            <w:left w:w="58" w:type="dxa"/>
            <w:bottom w:w="58" w:type="dxa"/>
            <w:right w:w="58" w:type="dxa"/>
          </w:tblCellMar>
        </w:tblPrEx>
        <w:trPr>
          <w:cantSplit/>
        </w:trPr>
        <w:tc>
          <w:tcPr>
            <w:tcW w:w="5000" w:type="pct"/>
            <w:gridSpan w:val="4"/>
          </w:tcPr>
          <w:p w14:paraId="0E8C5B61" w14:textId="77777777" w:rsidR="000C4436" w:rsidRPr="000C4436" w:rsidRDefault="000C4436" w:rsidP="000C4436"/>
          <w:p w14:paraId="399A5229" w14:textId="77777777" w:rsidR="000C4436" w:rsidRPr="000C4436" w:rsidRDefault="000C4436" w:rsidP="000C4436">
            <w:pPr>
              <w:rPr>
                <w:b/>
                <w:smallCaps/>
              </w:rPr>
            </w:pPr>
            <w:r w:rsidRPr="000C4436">
              <w:rPr>
                <w:b/>
                <w:smallCaps/>
              </w:rPr>
              <w:t>Between:</w:t>
            </w:r>
          </w:p>
          <w:p w14:paraId="704EB207" w14:textId="77777777" w:rsidR="000C4436" w:rsidRPr="000C4436" w:rsidRDefault="000C4436" w:rsidP="000C4436"/>
          <w:p w14:paraId="1610AD28" w14:textId="77777777" w:rsidR="000C4436" w:rsidRPr="000C4436" w:rsidRDefault="000C4436" w:rsidP="000C4436">
            <w:pPr>
              <w:jc w:val="center"/>
              <w:rPr>
                <w:b/>
              </w:rPr>
            </w:pPr>
            <w:r w:rsidRPr="000C4436">
              <w:rPr>
                <w:b/>
              </w:rPr>
              <w:t>John Aquino, 2304288 Ontario Inc., Marco Caruso, Giuseppe Anastasio, also known as Joe Ana and Lucia Coccia, also known as Lucia Canderle</w:t>
            </w:r>
          </w:p>
          <w:p w14:paraId="18CF9FB1" w14:textId="77777777" w:rsidR="000C4436" w:rsidRPr="000C4436" w:rsidRDefault="000C4436" w:rsidP="000C4436">
            <w:pPr>
              <w:jc w:val="center"/>
            </w:pPr>
            <w:r w:rsidRPr="000C4436">
              <w:t>Appellants</w:t>
            </w:r>
          </w:p>
          <w:p w14:paraId="702DF9B4" w14:textId="77777777" w:rsidR="000C4436" w:rsidRPr="000C4436" w:rsidRDefault="000C4436" w:rsidP="000C4436"/>
          <w:p w14:paraId="2ED15545" w14:textId="77777777" w:rsidR="000C4436" w:rsidRPr="000C4436" w:rsidRDefault="000C4436" w:rsidP="000C4436">
            <w:pPr>
              <w:jc w:val="center"/>
            </w:pPr>
            <w:r w:rsidRPr="000C4436">
              <w:t>and</w:t>
            </w:r>
          </w:p>
          <w:p w14:paraId="2FC0FAAE" w14:textId="77777777" w:rsidR="000C4436" w:rsidRPr="000C4436" w:rsidRDefault="000C4436" w:rsidP="000C4436"/>
          <w:p w14:paraId="195DAB0C" w14:textId="77777777" w:rsidR="000C4436" w:rsidRPr="000C4436" w:rsidRDefault="000C4436" w:rsidP="000C4436">
            <w:pPr>
              <w:jc w:val="center"/>
              <w:rPr>
                <w:b/>
              </w:rPr>
            </w:pPr>
            <w:r w:rsidRPr="000C4436">
              <w:rPr>
                <w:b/>
              </w:rPr>
              <w:t>Ernst &amp; Young Inc., in its capacity as Court-Appointed Monitor of Bondfield Construction Company Limited, and KSV Kofman Inc., in its capacity as Trustee in Bankruptcy of 1033803 Ontario Inc. and 1087507 Ontario Limited</w:t>
            </w:r>
          </w:p>
          <w:p w14:paraId="3977A9ED" w14:textId="77777777" w:rsidR="000C4436" w:rsidRPr="000C4436" w:rsidRDefault="000C4436" w:rsidP="000C4436">
            <w:pPr>
              <w:jc w:val="center"/>
            </w:pPr>
            <w:r w:rsidRPr="000C4436">
              <w:t>Respondents</w:t>
            </w:r>
          </w:p>
          <w:p w14:paraId="3EBEB646" w14:textId="77777777" w:rsidR="000C4436" w:rsidRPr="000C4436" w:rsidRDefault="000C4436" w:rsidP="000C4436"/>
          <w:p w14:paraId="356378B7" w14:textId="77777777" w:rsidR="000C4436" w:rsidRPr="000C4436" w:rsidRDefault="000C4436" w:rsidP="000C4436">
            <w:pPr>
              <w:jc w:val="center"/>
            </w:pPr>
            <w:r w:rsidRPr="000C4436">
              <w:t>- and -</w:t>
            </w:r>
          </w:p>
          <w:p w14:paraId="441AE3CA" w14:textId="77777777" w:rsidR="000C4436" w:rsidRPr="000C4436" w:rsidRDefault="000C4436" w:rsidP="000C4436"/>
          <w:p w14:paraId="56A19805" w14:textId="77777777" w:rsidR="000C4436" w:rsidRPr="000C4436" w:rsidRDefault="000C4436" w:rsidP="000C4436">
            <w:pPr>
              <w:jc w:val="center"/>
              <w:rPr>
                <w:b/>
              </w:rPr>
            </w:pPr>
            <w:r w:rsidRPr="000C4436">
              <w:rPr>
                <w:b/>
              </w:rPr>
              <w:t>Attorney General of Ontario and Insolvency Institute of Canada</w:t>
            </w:r>
          </w:p>
          <w:p w14:paraId="1051D747" w14:textId="77777777" w:rsidR="000C4436" w:rsidRPr="000C4436" w:rsidRDefault="000C4436" w:rsidP="000C4436">
            <w:pPr>
              <w:jc w:val="center"/>
            </w:pPr>
            <w:r w:rsidRPr="000C4436">
              <w:t>Interveners</w:t>
            </w:r>
          </w:p>
          <w:p w14:paraId="2EBC8201" w14:textId="77777777" w:rsidR="000C4436" w:rsidRPr="000C4436" w:rsidRDefault="000C4436" w:rsidP="000C4436"/>
          <w:p w14:paraId="10D43795" w14:textId="77777777" w:rsidR="000C4436" w:rsidRPr="000C4436" w:rsidRDefault="000C4436" w:rsidP="000C4436">
            <w:pPr>
              <w:jc w:val="center"/>
              <w:rPr>
                <w:b/>
                <w:smallCaps/>
              </w:rPr>
            </w:pPr>
          </w:p>
          <w:p w14:paraId="38651317" w14:textId="77777777" w:rsidR="000C4436" w:rsidRPr="000C4436" w:rsidRDefault="000C4436" w:rsidP="000C4436"/>
          <w:p w14:paraId="189A2988" w14:textId="77777777" w:rsidR="000C4436" w:rsidRPr="000C4436" w:rsidRDefault="000C4436" w:rsidP="000C4436">
            <w:r w:rsidRPr="000C4436">
              <w:rPr>
                <w:b/>
                <w:smallCaps/>
              </w:rPr>
              <w:t>Coram:</w:t>
            </w:r>
            <w:r w:rsidRPr="000C4436">
              <w:t xml:space="preserve"> Wagner C.J. and Karakatsanis, Côté, Rowe, Martin, Jamal and O’Bonsawin JJ.</w:t>
            </w:r>
          </w:p>
          <w:p w14:paraId="6D380784" w14:textId="77777777" w:rsidR="000C4436" w:rsidRPr="000C4436" w:rsidRDefault="000C4436" w:rsidP="000C4436">
            <w:pPr>
              <w:rPr>
                <w:b/>
                <w:smallCaps/>
              </w:rPr>
            </w:pPr>
          </w:p>
        </w:tc>
      </w:tr>
      <w:tr w:rsidR="000C4436" w:rsidRPr="000C4436" w14:paraId="47FFD434" w14:textId="77777777" w:rsidTr="004310D5">
        <w:tblPrEx>
          <w:tblCellMar>
            <w:top w:w="58" w:type="dxa"/>
            <w:left w:w="58" w:type="dxa"/>
            <w:bottom w:w="58" w:type="dxa"/>
            <w:right w:w="58" w:type="dxa"/>
          </w:tblCellMar>
        </w:tblPrEx>
        <w:trPr>
          <w:cantSplit/>
          <w:trHeight w:val="944"/>
        </w:trPr>
        <w:tc>
          <w:tcPr>
            <w:tcW w:w="1231" w:type="pct"/>
          </w:tcPr>
          <w:p w14:paraId="29F0E16C" w14:textId="77777777" w:rsidR="000C4436" w:rsidRPr="000C4436" w:rsidRDefault="000C4436" w:rsidP="000C4436">
            <w:r w:rsidRPr="00732116">
              <w:rPr>
                <w:b/>
                <w:smallCaps/>
              </w:rPr>
              <w:t>Reasons for Judgment</w:t>
            </w:r>
            <w:r w:rsidRPr="00732116">
              <w:rPr>
                <w:b/>
              </w:rPr>
              <w:t>:</w:t>
            </w:r>
            <w:r w:rsidRPr="000C4436">
              <w:t xml:space="preserve"> </w:t>
            </w:r>
          </w:p>
          <w:p w14:paraId="1904B1EC" w14:textId="77777777" w:rsidR="000C4436" w:rsidRPr="000C4436" w:rsidRDefault="000C4436" w:rsidP="000C4436">
            <w:r w:rsidRPr="000C4436">
              <w:t xml:space="preserve">(paras. 1 to 100) </w:t>
            </w:r>
          </w:p>
        </w:tc>
        <w:tc>
          <w:tcPr>
            <w:tcW w:w="3769" w:type="pct"/>
            <w:gridSpan w:val="3"/>
          </w:tcPr>
          <w:p w14:paraId="642A5B5C" w14:textId="77777777" w:rsidR="000C4436" w:rsidRPr="000C4436" w:rsidRDefault="000C4436" w:rsidP="000C4436">
            <w:r w:rsidRPr="000C4436">
              <w:t>Jamal J. (Wagner C.J. and Karakatsanis, Côté, Rowe, Martin and O’Bonsawin JJ. concurring)</w:t>
            </w:r>
          </w:p>
        </w:tc>
      </w:tr>
    </w:tbl>
    <w:p w14:paraId="3C7CAB6D" w14:textId="77777777" w:rsidR="000C4436" w:rsidRPr="000C4436" w:rsidRDefault="000C4436" w:rsidP="000C4436">
      <w:pPr>
        <w:rPr>
          <w:rFonts w:eastAsiaTheme="minorHAnsi" w:cstheme="minorBidi"/>
          <w:szCs w:val="24"/>
          <w:lang w:eastAsia="en-US"/>
        </w:rPr>
      </w:pPr>
    </w:p>
    <w:p w14:paraId="15C95AF4" w14:textId="77777777" w:rsidR="000C4436" w:rsidRPr="000C4436" w:rsidRDefault="000C4436" w:rsidP="000C4436">
      <w:pPr>
        <w:rPr>
          <w:rFonts w:eastAsiaTheme="minorHAnsi" w:cstheme="minorBidi"/>
          <w:szCs w:val="24"/>
          <w:lang w:eastAsia="en-US"/>
        </w:rPr>
      </w:pPr>
    </w:p>
    <w:p w14:paraId="68B2FAC2" w14:textId="77777777" w:rsidR="000C4436" w:rsidRPr="000C4436" w:rsidRDefault="000C4436" w:rsidP="000C4436">
      <w:pPr>
        <w:rPr>
          <w:rFonts w:eastAsiaTheme="minorHAnsi" w:cstheme="minorBidi"/>
          <w:szCs w:val="24"/>
          <w:lang w:eastAsia="en-US"/>
        </w:rPr>
      </w:pPr>
    </w:p>
    <w:p w14:paraId="354AE68E" w14:textId="77777777" w:rsidR="000C4436" w:rsidRPr="000C4436" w:rsidRDefault="000C4436" w:rsidP="000C4436">
      <w:pPr>
        <w:rPr>
          <w:rFonts w:eastAsiaTheme="minorHAnsi" w:cstheme="minorBidi"/>
          <w:szCs w:val="24"/>
          <w:lang w:eastAsia="en-US"/>
        </w:rPr>
      </w:pPr>
      <w:r w:rsidRPr="000C4436">
        <w:rPr>
          <w:rFonts w:eastAsiaTheme="minorHAnsi" w:cstheme="minorBidi"/>
          <w:b/>
          <w:smallCaps/>
          <w:szCs w:val="24"/>
          <w:lang w:eastAsia="en-US"/>
        </w:rPr>
        <w:t>Note:</w:t>
      </w:r>
      <w:r w:rsidRPr="000C4436">
        <w:rPr>
          <w:rFonts w:eastAsiaTheme="minorHAnsi" w:cstheme="minorBidi"/>
          <w:b/>
          <w:szCs w:val="24"/>
          <w:lang w:eastAsia="en-US"/>
        </w:rPr>
        <w:t xml:space="preserve"> </w:t>
      </w:r>
      <w:r w:rsidRPr="000C4436">
        <w:rPr>
          <w:rFonts w:eastAsiaTheme="minorHAnsi" w:cstheme="minorBidi"/>
          <w:szCs w:val="24"/>
          <w:lang w:eastAsia="en-US"/>
        </w:rPr>
        <w:t xml:space="preserve">This document is subject to editorial revision before its reproduction in final form in the </w:t>
      </w:r>
      <w:r w:rsidRPr="000C4436">
        <w:rPr>
          <w:rFonts w:eastAsiaTheme="minorHAnsi" w:cstheme="minorBidi"/>
          <w:i/>
          <w:szCs w:val="24"/>
          <w:lang w:eastAsia="en-US"/>
        </w:rPr>
        <w:t>Canada Supreme Court Reports</w:t>
      </w:r>
      <w:r w:rsidRPr="000C443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C4436" w:rsidRPr="000C4436" w14:paraId="26F00AFB" w14:textId="77777777" w:rsidTr="004310D5">
        <w:tc>
          <w:tcPr>
            <w:tcW w:w="1500" w:type="pct"/>
            <w:tcMar>
              <w:top w:w="284" w:type="dxa"/>
            </w:tcMar>
          </w:tcPr>
          <w:p w14:paraId="157B95A7" w14:textId="77777777" w:rsidR="000C4436" w:rsidRPr="000C4436" w:rsidRDefault="000C4436" w:rsidP="000C4436"/>
        </w:tc>
        <w:tc>
          <w:tcPr>
            <w:tcW w:w="2000" w:type="pct"/>
            <w:tcBorders>
              <w:bottom w:val="single" w:sz="4" w:space="0" w:color="auto"/>
            </w:tcBorders>
            <w:tcMar>
              <w:top w:w="284" w:type="dxa"/>
            </w:tcMar>
          </w:tcPr>
          <w:p w14:paraId="4128E6C2" w14:textId="77777777" w:rsidR="000C4436" w:rsidRPr="000C4436" w:rsidRDefault="000C4436" w:rsidP="000C4436"/>
        </w:tc>
        <w:tc>
          <w:tcPr>
            <w:tcW w:w="1500" w:type="pct"/>
            <w:tcMar>
              <w:top w:w="284" w:type="dxa"/>
            </w:tcMar>
          </w:tcPr>
          <w:p w14:paraId="59297811" w14:textId="77777777" w:rsidR="000C4436" w:rsidRPr="000C4436" w:rsidRDefault="000C4436" w:rsidP="000C4436"/>
        </w:tc>
      </w:tr>
    </w:tbl>
    <w:p w14:paraId="61E1FAC0" w14:textId="77777777" w:rsidR="000C4436" w:rsidRPr="000C4436" w:rsidRDefault="000C4436" w:rsidP="000C4436">
      <w:pPr>
        <w:rPr>
          <w:rFonts w:eastAsiaTheme="minorHAnsi" w:cstheme="minorBidi"/>
          <w:szCs w:val="24"/>
          <w:lang w:eastAsia="en-US"/>
        </w:rPr>
      </w:pPr>
    </w:p>
    <w:p w14:paraId="1E9A6DC2" w14:textId="77777777" w:rsidR="000C4436" w:rsidRPr="00732116" w:rsidRDefault="000C4436">
      <w:pPr>
        <w:rPr>
          <w:b/>
        </w:rPr>
      </w:pPr>
      <w:r w:rsidRPr="00732116">
        <w:br w:type="page"/>
      </w:r>
    </w:p>
    <w:p w14:paraId="48669437" w14:textId="57B38FA4" w:rsidR="00F47BF2" w:rsidRPr="00732116" w:rsidRDefault="003E469F">
      <w:pPr>
        <w:pStyle w:val="SCCLsocParty"/>
      </w:pPr>
      <w:r w:rsidRPr="00732116">
        <w:t>John Aquino,</w:t>
      </w:r>
    </w:p>
    <w:p w14:paraId="2250EB68" w14:textId="77777777" w:rsidR="00F47BF2" w:rsidRPr="00732116" w:rsidRDefault="003E469F">
      <w:pPr>
        <w:pStyle w:val="SCCLsocParty"/>
      </w:pPr>
      <w:r w:rsidRPr="00732116">
        <w:t>2304288 Ontario Inc.,</w:t>
      </w:r>
    </w:p>
    <w:p w14:paraId="1563BE10" w14:textId="77777777" w:rsidR="00F47BF2" w:rsidRPr="00732116" w:rsidRDefault="003E469F">
      <w:pPr>
        <w:pStyle w:val="SCCLsocParty"/>
      </w:pPr>
      <w:r w:rsidRPr="00732116">
        <w:t>Marco Caruso,</w:t>
      </w:r>
    </w:p>
    <w:p w14:paraId="2E7F3804" w14:textId="68C4FF12" w:rsidR="00F47BF2" w:rsidRPr="00732116" w:rsidRDefault="003E469F">
      <w:pPr>
        <w:pStyle w:val="SCCLsocParty"/>
      </w:pPr>
      <w:r w:rsidRPr="00732116">
        <w:t>Giuseppe Anastasio</w:t>
      </w:r>
      <w:r w:rsidR="00E965F3" w:rsidRPr="00732116">
        <w:t>,</w:t>
      </w:r>
      <w:r w:rsidRPr="00732116">
        <w:t xml:space="preserve"> </w:t>
      </w:r>
      <w:r w:rsidR="00E965F3" w:rsidRPr="00732116">
        <w:rPr>
          <w:bCs/>
        </w:rPr>
        <w:t>also known as</w:t>
      </w:r>
      <w:r w:rsidRPr="00732116">
        <w:t xml:space="preserve"> Joe Ana</w:t>
      </w:r>
      <w:r w:rsidR="00E965F3" w:rsidRPr="00732116">
        <w:t xml:space="preserve"> and</w:t>
      </w:r>
    </w:p>
    <w:p w14:paraId="6194C0E0" w14:textId="77777777" w:rsidR="00F47BF2" w:rsidRPr="00732116" w:rsidRDefault="003E469F">
      <w:pPr>
        <w:pStyle w:val="SCCLsocLastPartyInRole"/>
        <w:rPr>
          <w:lang w:val="en-US"/>
        </w:rPr>
      </w:pPr>
      <w:r w:rsidRPr="00732116">
        <w:rPr>
          <w:lang w:val="en-US"/>
        </w:rPr>
        <w:t>Lucia Coccia</w:t>
      </w:r>
      <w:r w:rsidR="00E965F3" w:rsidRPr="00732116">
        <w:rPr>
          <w:lang w:val="en-US"/>
        </w:rPr>
        <w:t>,</w:t>
      </w:r>
      <w:r w:rsidRPr="00732116">
        <w:rPr>
          <w:lang w:val="en-US"/>
        </w:rPr>
        <w:t xml:space="preserve"> </w:t>
      </w:r>
      <w:r w:rsidR="00E965F3" w:rsidRPr="00732116">
        <w:rPr>
          <w:bCs/>
        </w:rPr>
        <w:t>also known as</w:t>
      </w:r>
      <w:r w:rsidRPr="00732116">
        <w:rPr>
          <w:lang w:val="en-US"/>
        </w:rPr>
        <w:t xml:space="preserve"> Lucia Canderle</w:t>
      </w:r>
      <w:r w:rsidRPr="00732116">
        <w:rPr>
          <w:rStyle w:val="SCCLsocPartyRole"/>
          <w:lang w:val="en-US"/>
        </w:rPr>
        <w:tab/>
        <w:t>Appellants</w:t>
      </w:r>
    </w:p>
    <w:p w14:paraId="22B83FE5" w14:textId="77777777" w:rsidR="00F47BF2" w:rsidRPr="00732116" w:rsidRDefault="003E469F">
      <w:pPr>
        <w:pStyle w:val="SCCLsocVersus"/>
      </w:pPr>
      <w:proofErr w:type="gramStart"/>
      <w:r w:rsidRPr="00732116">
        <w:t>v</w:t>
      </w:r>
      <w:proofErr w:type="gramEnd"/>
      <w:r w:rsidRPr="00732116">
        <w:t>.</w:t>
      </w:r>
    </w:p>
    <w:p w14:paraId="11780AF6" w14:textId="2098BFC4" w:rsidR="00E965F3" w:rsidRPr="00732116" w:rsidRDefault="00E965F3">
      <w:pPr>
        <w:pStyle w:val="SCCLsocParty"/>
      </w:pPr>
      <w:r w:rsidRPr="00732116">
        <w:t xml:space="preserve">Ernst &amp; Young </w:t>
      </w:r>
      <w:r w:rsidR="003E469F" w:rsidRPr="00732116">
        <w:t xml:space="preserve">Inc., in its capacity as </w:t>
      </w:r>
      <w:r w:rsidR="00F8388B" w:rsidRPr="00732116">
        <w:t>c</w:t>
      </w:r>
      <w:r w:rsidR="003E469F" w:rsidRPr="00732116">
        <w:t>ourt-</w:t>
      </w:r>
      <w:r w:rsidR="00F8388B" w:rsidRPr="00732116">
        <w:t>a</w:t>
      </w:r>
      <w:r w:rsidR="003E469F" w:rsidRPr="00732116">
        <w:t xml:space="preserve">ppointed </w:t>
      </w:r>
    </w:p>
    <w:p w14:paraId="45493FE1" w14:textId="2BF984B4" w:rsidR="00F47BF2" w:rsidRPr="00732116" w:rsidRDefault="00F8388B">
      <w:pPr>
        <w:pStyle w:val="SCCLsocParty"/>
      </w:pPr>
      <w:proofErr w:type="gramStart"/>
      <w:r w:rsidRPr="00732116">
        <w:t>m</w:t>
      </w:r>
      <w:r w:rsidR="003E469F" w:rsidRPr="00732116">
        <w:t>onitor</w:t>
      </w:r>
      <w:proofErr w:type="gramEnd"/>
      <w:r w:rsidR="003E469F" w:rsidRPr="00732116">
        <w:t xml:space="preserve"> of Bondfield Construction Company Limited</w:t>
      </w:r>
      <w:r w:rsidR="006C619F" w:rsidRPr="00732116">
        <w:t>,</w:t>
      </w:r>
      <w:r w:rsidR="001D3DF5" w:rsidRPr="00732116">
        <w:t xml:space="preserve"> and</w:t>
      </w:r>
    </w:p>
    <w:p w14:paraId="262483A4" w14:textId="77777777" w:rsidR="00E965F3" w:rsidRPr="00732116" w:rsidRDefault="003E469F" w:rsidP="00E965F3">
      <w:pPr>
        <w:pStyle w:val="SCCLsocLastPartyInRole"/>
        <w:spacing w:after="0"/>
      </w:pPr>
      <w:r w:rsidRPr="00732116">
        <w:t>KSV Kofman Inc., in its capacity as Trustee</w:t>
      </w:r>
      <w:r w:rsidR="002C6B60" w:rsidRPr="00732116">
        <w:t xml:space="preserve"> </w:t>
      </w:r>
      <w:r w:rsidRPr="00732116">
        <w:t>in</w:t>
      </w:r>
      <w:r w:rsidR="002C6B60" w:rsidRPr="00732116">
        <w:t xml:space="preserve"> </w:t>
      </w:r>
      <w:r w:rsidRPr="00732116">
        <w:t xml:space="preserve">Bankruptcy </w:t>
      </w:r>
    </w:p>
    <w:p w14:paraId="61DAE971" w14:textId="62D2945D" w:rsidR="00F47BF2" w:rsidRPr="00732116" w:rsidRDefault="003E469F" w:rsidP="001D3DF5">
      <w:pPr>
        <w:pStyle w:val="SCCLsocLastPartyInRole"/>
      </w:pPr>
      <w:proofErr w:type="gramStart"/>
      <w:r w:rsidRPr="00732116">
        <w:t>of</w:t>
      </w:r>
      <w:proofErr w:type="gramEnd"/>
      <w:r w:rsidRPr="00732116">
        <w:t xml:space="preserve"> 1033803 Ontario Inc. and 1087507 Ontario Limited</w:t>
      </w:r>
      <w:r w:rsidRPr="00732116">
        <w:rPr>
          <w:rStyle w:val="SCCLsocPartyRole"/>
        </w:rPr>
        <w:tab/>
        <w:t>Respondents</w:t>
      </w:r>
    </w:p>
    <w:p w14:paraId="263A7D1A" w14:textId="77777777" w:rsidR="00F47BF2" w:rsidRPr="00732116" w:rsidRDefault="003E469F">
      <w:pPr>
        <w:pStyle w:val="SCCLsocOtherPartySeparator"/>
      </w:pPr>
      <w:proofErr w:type="gramStart"/>
      <w:r w:rsidRPr="00732116">
        <w:t>and</w:t>
      </w:r>
      <w:proofErr w:type="gramEnd"/>
    </w:p>
    <w:p w14:paraId="2CDE1B40" w14:textId="77777777" w:rsidR="00F47BF2" w:rsidRPr="00732116" w:rsidRDefault="00E965F3">
      <w:pPr>
        <w:pStyle w:val="SCCLsocParty"/>
      </w:pPr>
      <w:r w:rsidRPr="00732116">
        <w:t>Attorney General of Ontario and</w:t>
      </w:r>
    </w:p>
    <w:p w14:paraId="5FC820B1" w14:textId="77777777" w:rsidR="00F47BF2" w:rsidRPr="00732116" w:rsidRDefault="003E469F" w:rsidP="00CD4C0B">
      <w:pPr>
        <w:pStyle w:val="SCCLsocLastPartyInRole"/>
        <w:rPr>
          <w:rStyle w:val="SCCLsocPartyRole"/>
        </w:rPr>
      </w:pPr>
      <w:r w:rsidRPr="00732116">
        <w:t>Insolvency Institute of Canada</w:t>
      </w:r>
      <w:r w:rsidRPr="00732116">
        <w:rPr>
          <w:rStyle w:val="SCCLsocPartyRole"/>
        </w:rPr>
        <w:tab/>
        <w:t>Interveners</w:t>
      </w:r>
    </w:p>
    <w:p w14:paraId="71753D6B" w14:textId="73A76E62" w:rsidR="00426659" w:rsidRPr="00732116" w:rsidRDefault="00426659" w:rsidP="00CD4C0B">
      <w:pPr>
        <w:spacing w:after="720"/>
        <w:jc w:val="both"/>
        <w:rPr>
          <w:b/>
        </w:rPr>
      </w:pPr>
      <w:r w:rsidRPr="00732116">
        <w:rPr>
          <w:b/>
        </w:rPr>
        <w:t xml:space="preserve">Indexed as: </w:t>
      </w:r>
      <w:r w:rsidRPr="00732116">
        <w:rPr>
          <w:rStyle w:val="SCCAppellantForIndexChar"/>
        </w:rPr>
        <w:t xml:space="preserve">Aquino </w:t>
      </w:r>
      <w:r w:rsidRPr="00732116">
        <w:rPr>
          <w:b/>
          <w:i/>
        </w:rPr>
        <w:t>v.</w:t>
      </w:r>
      <w:r w:rsidRPr="00732116">
        <w:rPr>
          <w:b/>
        </w:rPr>
        <w:t xml:space="preserve"> </w:t>
      </w:r>
      <w:r w:rsidR="00C41522" w:rsidRPr="00732116">
        <w:rPr>
          <w:b/>
        </w:rPr>
        <w:t>Bondfield Construction Co</w:t>
      </w:r>
      <w:r w:rsidR="00252285" w:rsidRPr="00732116">
        <w:rPr>
          <w:b/>
        </w:rPr>
        <w:t>.</w:t>
      </w:r>
    </w:p>
    <w:p w14:paraId="61FFDAA0" w14:textId="0A382BBC" w:rsidR="00426659" w:rsidRPr="00732116" w:rsidRDefault="00AE4535" w:rsidP="00CD4C0B">
      <w:pPr>
        <w:pStyle w:val="SCCSystemYear"/>
        <w:spacing w:after="720"/>
        <w:jc w:val="both"/>
      </w:pPr>
      <w:r w:rsidRPr="00732116">
        <w:t>2024</w:t>
      </w:r>
      <w:r w:rsidR="003D0399" w:rsidRPr="00732116">
        <w:t xml:space="preserve"> </w:t>
      </w:r>
      <w:r w:rsidR="00CD4C0B" w:rsidRPr="00732116">
        <w:t xml:space="preserve">SCC </w:t>
      </w:r>
      <w:r w:rsidR="005A7500" w:rsidRPr="00732116">
        <w:t>31</w:t>
      </w:r>
    </w:p>
    <w:p w14:paraId="0768E758" w14:textId="77A139BF" w:rsidR="008322BD" w:rsidRPr="00732116" w:rsidRDefault="009B57B3" w:rsidP="00CD4C0B">
      <w:pPr>
        <w:spacing w:after="720"/>
        <w:jc w:val="both"/>
      </w:pPr>
      <w:r w:rsidRPr="00732116">
        <w:t>File No.: 40166.</w:t>
      </w:r>
    </w:p>
    <w:p w14:paraId="1C2A344A" w14:textId="62FE53B5" w:rsidR="008322BD" w:rsidRPr="00732116" w:rsidRDefault="00AE4535" w:rsidP="00CD4C0B">
      <w:pPr>
        <w:spacing w:after="720"/>
        <w:jc w:val="both"/>
      </w:pPr>
      <w:r w:rsidRPr="00732116">
        <w:t>2023: December 5</w:t>
      </w:r>
      <w:r w:rsidR="009B57B3" w:rsidRPr="00732116">
        <w:t xml:space="preserve">; </w:t>
      </w:r>
      <w:r w:rsidR="00176FB2" w:rsidRPr="00732116">
        <w:t>2024:</w:t>
      </w:r>
      <w:r w:rsidR="0066700B" w:rsidRPr="00732116">
        <w:t xml:space="preserve"> October 11</w:t>
      </w:r>
      <w:r w:rsidR="009B57B3" w:rsidRPr="00732116">
        <w:t>.</w:t>
      </w:r>
    </w:p>
    <w:p w14:paraId="19C3BB62" w14:textId="77777777" w:rsidR="008322BD" w:rsidRPr="00732116" w:rsidRDefault="00176FB2" w:rsidP="00FC60F6">
      <w:pPr>
        <w:spacing w:after="720"/>
      </w:pPr>
      <w:r w:rsidRPr="00732116">
        <w:t xml:space="preserve">Present: </w:t>
      </w:r>
      <w:r w:rsidR="009B57B3" w:rsidRPr="00732116">
        <w:t>Wagner C.J. and Karakatsanis, Côté, Rowe, Martin, Jamal and O</w:t>
      </w:r>
      <w:r w:rsidR="00E965F3" w:rsidRPr="00732116">
        <w:t>’</w:t>
      </w:r>
      <w:r w:rsidRPr="00732116">
        <w:t>Bonsawin </w:t>
      </w:r>
      <w:r w:rsidR="009B57B3" w:rsidRPr="00732116">
        <w:t>JJ.</w:t>
      </w:r>
    </w:p>
    <w:p w14:paraId="600B9E47" w14:textId="77777777" w:rsidR="008322BD" w:rsidRPr="00732116" w:rsidRDefault="00656313" w:rsidP="002E64B0">
      <w:pPr>
        <w:pStyle w:val="SCCLowerCourtNameLowercase"/>
        <w:spacing w:after="720" w:line="240" w:lineRule="auto"/>
      </w:pPr>
      <w:r w:rsidRPr="00732116">
        <w:t>o</w:t>
      </w:r>
      <w:r w:rsidR="00170592" w:rsidRPr="00732116">
        <w:t>n</w:t>
      </w:r>
      <w:r w:rsidR="00224FC0" w:rsidRPr="00732116">
        <w:t xml:space="preserve"> </w:t>
      </w:r>
      <w:r w:rsidRPr="00732116">
        <w:t>a</w:t>
      </w:r>
      <w:r w:rsidR="00170592" w:rsidRPr="00732116">
        <w:t>ppeal</w:t>
      </w:r>
      <w:r w:rsidR="00224FC0" w:rsidRPr="00732116">
        <w:t xml:space="preserve"> </w:t>
      </w:r>
      <w:r w:rsidR="00170592" w:rsidRPr="00732116">
        <w:t>from</w:t>
      </w:r>
      <w:r w:rsidR="009567AA" w:rsidRPr="00732116">
        <w:t xml:space="preserve"> the</w:t>
      </w:r>
      <w:r w:rsidR="00224FC0" w:rsidRPr="00732116">
        <w:t xml:space="preserve"> </w:t>
      </w:r>
      <w:r w:rsidR="009B57B3" w:rsidRPr="00732116">
        <w:t>court of appeal for ontario</w:t>
      </w:r>
    </w:p>
    <w:p w14:paraId="14185F20" w14:textId="5654E429" w:rsidR="00695232" w:rsidRPr="00732116" w:rsidRDefault="00695232" w:rsidP="002E64B0">
      <w:pPr>
        <w:pStyle w:val="SCCNormalDoubleSpacing"/>
        <w:spacing w:after="480"/>
        <w:rPr>
          <w:i/>
        </w:rPr>
      </w:pPr>
      <w:r w:rsidRPr="00732116">
        <w:tab/>
      </w:r>
      <w:r w:rsidRPr="00732116">
        <w:rPr>
          <w:i/>
        </w:rPr>
        <w:t>Bankruptcy and insolvency — Transfers at undervalue — Intent to defraud, defeat, or delay creditor — Corporate attribution doctrine — Fraud exception — Directing mind of debtor companies engaged in false invoicing scheme — Monitor and trustee in bankruptcy of debtor companies applying under federal bankruptcy and insolvency legislation to recover monies paid to individuals involved in scheme on basis that transactions were transfers at undervalue and that debtors intended to defraud, defeat or delay creditors — Applications allowed and repayment of monies ordered — Whether trustee and monitor established directing mind’s intent to defraud, defeat, or delay creditors — Whether intent of directing mind to defraud, defeat, or delay creditors can be attributed to debtor companies — Bankruptcy and Insolven</w:t>
      </w:r>
      <w:r w:rsidR="002E64B0" w:rsidRPr="00732116">
        <w:rPr>
          <w:i/>
        </w:rPr>
        <w:t>cy Act, R.S.C. 1985, c. B-3, s. </w:t>
      </w:r>
      <w:r w:rsidRPr="00732116">
        <w:rPr>
          <w:i/>
        </w:rPr>
        <w:t>96(1)(b)(ii)(B).</w:t>
      </w:r>
    </w:p>
    <w:p w14:paraId="332347BC" w14:textId="388D55EC" w:rsidR="00695232" w:rsidRPr="00732116" w:rsidRDefault="00695232" w:rsidP="002E64B0">
      <w:pPr>
        <w:pStyle w:val="SCCNormalDoubleSpacing"/>
        <w:spacing w:after="480"/>
      </w:pPr>
      <w:r w:rsidRPr="00732116">
        <w:tab/>
        <w:t>A was the president and di</w:t>
      </w:r>
      <w:r w:rsidR="002E64B0" w:rsidRPr="00732116">
        <w:t>recting mind of two family</w:t>
      </w:r>
      <w:r w:rsidR="002E64B0" w:rsidRPr="00732116">
        <w:noBreakHyphen/>
      </w:r>
      <w:r w:rsidRPr="00732116">
        <w:t>owned construction</w:t>
      </w:r>
      <w:r w:rsidR="002E64B0" w:rsidRPr="00732116">
        <w:t xml:space="preserve"> companies that worked on large</w:t>
      </w:r>
      <w:r w:rsidR="002E64B0" w:rsidRPr="00732116">
        <w:noBreakHyphen/>
      </w:r>
      <w:r w:rsidRPr="00732116">
        <w:t xml:space="preserve">sale construction projects. When the companies began experiencing serious financial difficulties, restructuring and bankruptcy proceedings were commenced. The monitor and trustee in bankruptcy’s investigations revealed that for years A and several others had been fraudulently taking tens of millions of dollars from the debtor companies through a false invoicing scheme. The monitor and trustee in bankruptcy challenged the transactions and sought to recover </w:t>
      </w:r>
      <w:r w:rsidR="002E64B0" w:rsidRPr="00732116">
        <w:t>the monies on the basis of s. </w:t>
      </w:r>
      <w:r w:rsidRPr="00732116">
        <w:t>96(1</w:t>
      </w:r>
      <w:proofErr w:type="gramStart"/>
      <w:r w:rsidRPr="00732116">
        <w:t>)(</w:t>
      </w:r>
      <w:proofErr w:type="gramEnd"/>
      <w:r w:rsidRPr="00732116">
        <w:t xml:space="preserve">b)(ii)(B) of the </w:t>
      </w:r>
      <w:r w:rsidRPr="00732116">
        <w:rPr>
          <w:i/>
        </w:rPr>
        <w:t>Bankruptcy and Insolvency Act</w:t>
      </w:r>
      <w:r w:rsidRPr="00732116">
        <w:t xml:space="preserve"> (“</w:t>
      </w:r>
      <w:r w:rsidRPr="00732116">
        <w:rPr>
          <w:i/>
        </w:rPr>
        <w:t>BIA</w:t>
      </w:r>
      <w:r w:rsidRPr="00732116">
        <w:t>”).</w:t>
      </w:r>
      <w:r w:rsidR="006C14E5" w:rsidRPr="00732116">
        <w:t xml:space="preserve"> </w:t>
      </w:r>
      <w:r w:rsidRPr="00732116">
        <w:t>This provision provides that a trustee in</w:t>
      </w:r>
      <w:r w:rsidR="002E64B0" w:rsidRPr="00732116">
        <w:t xml:space="preserve"> bankruptcy or, through s. </w:t>
      </w:r>
      <w:r w:rsidRPr="00732116">
        <w:t xml:space="preserve">36.1 of the </w:t>
      </w:r>
      <w:r w:rsidRPr="00732116">
        <w:rPr>
          <w:i/>
        </w:rPr>
        <w:t>Companies’ Creditors Arrangement Act</w:t>
      </w:r>
      <w:r w:rsidRPr="00732116">
        <w:t>, a monitor, may apply to a court to impugn and recover from a non-arm’s length party to a transaction some or all of the amount of the transf</w:t>
      </w:r>
      <w:r w:rsidR="002E64B0" w:rsidRPr="00732116">
        <w:t>er at undervalue (defined in s. </w:t>
      </w:r>
      <w:r w:rsidRPr="00732116">
        <w:t xml:space="preserve">2 of the </w:t>
      </w:r>
      <w:r w:rsidRPr="00732116">
        <w:rPr>
          <w:i/>
        </w:rPr>
        <w:t>BIA</w:t>
      </w:r>
      <w:r w:rsidRPr="00732116">
        <w:t xml:space="preserve"> as a transaction in which a debtor transfers property or provides services to another person for no consideration or conspicuously less than fair market value), if the trustee can show, among other things, that the debtor intended to “defraud, defeat or delay a creditor”.</w:t>
      </w:r>
    </w:p>
    <w:p w14:paraId="38C1D6FE" w14:textId="4D69DA5A" w:rsidR="00695232" w:rsidRPr="00732116" w:rsidRDefault="00695232" w:rsidP="002E64B0">
      <w:pPr>
        <w:pStyle w:val="SCCNormalDoubleSpacing"/>
        <w:spacing w:after="480"/>
      </w:pPr>
      <w:r w:rsidRPr="00732116">
        <w:tab/>
        <w:t xml:space="preserve">The application judge held that the false invoice payments were transfers at undervalue and could be recovered by the monitor and trustee in bankruptcy under s. 96(1)(b)(ii)(B) of the </w:t>
      </w:r>
      <w:r w:rsidRPr="00732116">
        <w:rPr>
          <w:i/>
        </w:rPr>
        <w:t>BIA</w:t>
      </w:r>
      <w:r w:rsidRPr="00732116">
        <w:t xml:space="preserve">. First, the debtor companies had paid the monies to certain suppliers who provided nothing in return. Second, the debtor companies made the payments with the intent to defraud, defeat, or delay a creditor, as revealed by several badges of fraud. She rejected the argument that the debtor companies could not have had this intent because the payments were made at a time when the companies were not insolvent or at risk of insolvency. She attributed A’s fraudulent intent to the debtor companies and ordered </w:t>
      </w:r>
      <w:proofErr w:type="gramStart"/>
      <w:r w:rsidRPr="00732116">
        <w:t>A and</w:t>
      </w:r>
      <w:proofErr w:type="gramEnd"/>
      <w:r w:rsidRPr="00732116">
        <w:t xml:space="preserve"> the others to pay the monitor and trustee in bankruptcy the monies they received under the false invoicing scheme. The Court of Appeal affirmed </w:t>
      </w:r>
      <w:r w:rsidR="002E64B0" w:rsidRPr="00732116">
        <w:t>the application judge’s ruling.</w:t>
      </w:r>
    </w:p>
    <w:p w14:paraId="61F6A122" w14:textId="77777777" w:rsidR="00695232" w:rsidRPr="00732116" w:rsidRDefault="00695232" w:rsidP="002E64B0">
      <w:pPr>
        <w:pStyle w:val="SCCNormalDoubleSpacing"/>
        <w:spacing w:after="480"/>
      </w:pPr>
      <w:r w:rsidRPr="00732116">
        <w:tab/>
      </w:r>
      <w:r w:rsidRPr="00732116">
        <w:rPr>
          <w:i/>
          <w:iCs/>
        </w:rPr>
        <w:t>Held</w:t>
      </w:r>
      <w:r w:rsidRPr="00732116">
        <w:rPr>
          <w:iCs/>
        </w:rPr>
        <w:t>:</w:t>
      </w:r>
      <w:r w:rsidRPr="00732116">
        <w:t xml:space="preserve"> The appeal should be dismissed.</w:t>
      </w:r>
    </w:p>
    <w:p w14:paraId="3DB246AC" w14:textId="1B0F0F51" w:rsidR="00695232" w:rsidRPr="00732116" w:rsidRDefault="00695232" w:rsidP="002E64B0">
      <w:pPr>
        <w:pStyle w:val="SCCNormalDoubleSpacing"/>
        <w:spacing w:after="480"/>
      </w:pPr>
      <w:r w:rsidRPr="00732116">
        <w:tab/>
        <w:t>The application judge did not misapply the badges of fraud approach to inferring fraudulent intent. A court may find that a debtor intended to defraud, defeat, or dela</w:t>
      </w:r>
      <w:r w:rsidR="002E64B0" w:rsidRPr="00732116">
        <w:t>y a creditor under s. </w:t>
      </w:r>
      <w:r w:rsidRPr="00732116">
        <w:t xml:space="preserve">96(1)(b)(ii)(B) of the </w:t>
      </w:r>
      <w:r w:rsidRPr="00732116">
        <w:rPr>
          <w:i/>
        </w:rPr>
        <w:t xml:space="preserve">BIA </w:t>
      </w:r>
      <w:r w:rsidRPr="00732116">
        <w:t xml:space="preserve">even if the debtor was not insolvent at the time of the transfer at undervalue. There is therefore no basis to interfere with the application judge’s conclusion that </w:t>
      </w:r>
      <w:proofErr w:type="gramStart"/>
      <w:r w:rsidRPr="00732116">
        <w:t>A</w:t>
      </w:r>
      <w:proofErr w:type="gramEnd"/>
      <w:r w:rsidRPr="00732116">
        <w:t xml:space="preserve"> intended to defraud, defeat or delay a creditor under the false invoicing scheme. Furthermore, A’s fraudulent intent should be attributed to the debtor companies because he was their directing mind and acted in the sector of corporate responsibility assigned to him. The corporate attribution doctrine must be applied purposively, contextually, and pragmatically to give effect to the policy goals of the law under which a party seeks to attribute to a corporation the actions, knowledge, state of mind, or intent of its directing mind. In </w:t>
      </w:r>
      <w:r w:rsidR="002E64B0" w:rsidRPr="00732116">
        <w:t>the context of a claim under s. </w:t>
      </w:r>
      <w:r w:rsidRPr="00732116">
        <w:t xml:space="preserve">96 of the </w:t>
      </w:r>
      <w:r w:rsidRPr="00732116">
        <w:rPr>
          <w:i/>
        </w:rPr>
        <w:t>BIA</w:t>
      </w:r>
      <w:r w:rsidRPr="00732116">
        <w:t>, the “fraud” and “no benefit” exceptions to corporate attribution should not apply because these exceptions would undermine the purpose of this provision; accordingly, the test for corp</w:t>
      </w:r>
      <w:r w:rsidR="002E64B0" w:rsidRPr="00732116">
        <w:t>orate attribution under s. </w:t>
      </w:r>
      <w:r w:rsidRPr="00732116">
        <w:t>96 is simply whether the person was the directing mind and whether their actions were performed within the sector or corporate responsibility assigned to them.</w:t>
      </w:r>
    </w:p>
    <w:p w14:paraId="7E4303E8" w14:textId="0AF8BACE" w:rsidR="00695232" w:rsidRPr="00732116" w:rsidRDefault="00695232" w:rsidP="00881633">
      <w:pPr>
        <w:pStyle w:val="SCCNormalDoubleSpacing"/>
        <w:spacing w:after="480"/>
      </w:pPr>
      <w:r w:rsidRPr="00732116">
        <w:tab/>
        <w:t>Section 96(1</w:t>
      </w:r>
      <w:proofErr w:type="gramStart"/>
      <w:r w:rsidRPr="00732116">
        <w:t>)(</w:t>
      </w:r>
      <w:proofErr w:type="gramEnd"/>
      <w:r w:rsidRPr="00732116">
        <w:t xml:space="preserve">b)(ii)(B) of the </w:t>
      </w:r>
      <w:r w:rsidRPr="00732116">
        <w:rPr>
          <w:i/>
        </w:rPr>
        <w:t xml:space="preserve">BIA </w:t>
      </w:r>
      <w:r w:rsidRPr="00732116">
        <w:t>requires the party seeking to reverse a transfer at undervalue to prove, among other things, the debtor’s intent to defraud, defeat, or delay a creditor. This is a question of fact to be decided based on all the circumstances that existed at the time of the transfer. Because it is often difficult to adduce evidence of a debtor’s subjective intent, the intent requirement is often proved through the evidentiary shortcut of badges of fraud, which are suspicious circumstances from which a court may infer the debtor’s intent to defraud, defeat, or delay a creditor. Bad</w:t>
      </w:r>
      <w:r w:rsidR="00881633" w:rsidRPr="00732116">
        <w:t>ges of fraud might include: (a) </w:t>
      </w:r>
      <w:r w:rsidRPr="00732116">
        <w:t>the debtor had few remaining</w:t>
      </w:r>
      <w:r w:rsidR="002E64B0" w:rsidRPr="00732116">
        <w:t xml:space="preserve"> assets after the transfer; (b) </w:t>
      </w:r>
      <w:r w:rsidRPr="00732116">
        <w:t>the transfer was made t</w:t>
      </w:r>
      <w:r w:rsidR="002E64B0" w:rsidRPr="00732116">
        <w:t>o a non</w:t>
      </w:r>
      <w:r w:rsidR="002E64B0" w:rsidRPr="00732116">
        <w:noBreakHyphen/>
        <w:t>arm’s length party; (c) </w:t>
      </w:r>
      <w:r w:rsidRPr="00732116">
        <w:t>the debtor was facing actual or potential liabilities, was insolvent, or was about to</w:t>
      </w:r>
      <w:r w:rsidR="002E64B0" w:rsidRPr="00732116">
        <w:t xml:space="preserve"> enter a risky undertaking; (d) </w:t>
      </w:r>
      <w:r w:rsidRPr="00732116">
        <w:t>the consideration for the transact</w:t>
      </w:r>
      <w:r w:rsidR="002E64B0" w:rsidRPr="00732116">
        <w:t>ion was grossly inadequate; (e) </w:t>
      </w:r>
      <w:r w:rsidRPr="00732116">
        <w:t xml:space="preserve">the debtor remained in possession of the property for their </w:t>
      </w:r>
      <w:r w:rsidR="002E64B0" w:rsidRPr="00732116">
        <w:t>own use after the transfer; (f) </w:t>
      </w:r>
      <w:r w:rsidRPr="00732116">
        <w:t>the deed or transfer had a self-serving and unusual provision; (</w:t>
      </w:r>
      <w:r w:rsidR="002E64B0" w:rsidRPr="00732116">
        <w:t>g) the transfer was secret; (h) </w:t>
      </w:r>
      <w:r w:rsidRPr="00732116">
        <w:t>the transfer was m</w:t>
      </w:r>
      <w:r w:rsidR="002E64B0" w:rsidRPr="00732116">
        <w:t>ade with unusual haste; and (i) </w:t>
      </w:r>
      <w:r w:rsidRPr="00732116">
        <w:t>the transaction was made despite an outstanding judgment against the debtor. The presence of a particular badge of fraud does not require a court to infer an intent to defraud, defeat, or delay a creditor, nor does the absence of a particular badge of fraud require the court to refrain from inferring that intent.</w:t>
      </w:r>
    </w:p>
    <w:p w14:paraId="68359A85" w14:textId="0D3BA719" w:rsidR="00695232" w:rsidRPr="00732116" w:rsidRDefault="00695232" w:rsidP="00881633">
      <w:pPr>
        <w:pStyle w:val="SCCNormalDoubleSpacing"/>
        <w:spacing w:after="480"/>
      </w:pPr>
      <w:r w:rsidRPr="00732116">
        <w:tab/>
        <w:t xml:space="preserve">The </w:t>
      </w:r>
      <w:r w:rsidRPr="00732116">
        <w:rPr>
          <w:i/>
        </w:rPr>
        <w:t xml:space="preserve">BIA </w:t>
      </w:r>
      <w:r w:rsidRPr="00732116">
        <w:t>is clear that insolvency is not a prerequisite to finding a debtor intended to defraud, defeat, or delay a creditor. Section 96(1</w:t>
      </w:r>
      <w:proofErr w:type="gramStart"/>
      <w:r w:rsidRPr="00732116">
        <w:t>)(</w:t>
      </w:r>
      <w:proofErr w:type="gramEnd"/>
      <w:r w:rsidRPr="00732116">
        <w:t xml:space="preserve">b)(ii) is disjunctive: the debtor must either be insolvent </w:t>
      </w:r>
      <w:r w:rsidR="00881633" w:rsidRPr="00732116">
        <w:t>at the time of the transfer (s. </w:t>
      </w:r>
      <w:r w:rsidRPr="00732116">
        <w:t xml:space="preserve">96(1)(b)(ii)(A)) or intend to defraud, </w:t>
      </w:r>
      <w:r w:rsidR="00881633" w:rsidRPr="00732116">
        <w:t>defeat, or delay a creditor (s. </w:t>
      </w:r>
      <w:r w:rsidRPr="00732116">
        <w:t>96(1)(b)(ii)(B)). It is therefore no an</w:t>
      </w:r>
      <w:r w:rsidR="00881633" w:rsidRPr="00732116">
        <w:t>swer to an application under s. </w:t>
      </w:r>
      <w:r w:rsidRPr="00732116">
        <w:t>96(1</w:t>
      </w:r>
      <w:proofErr w:type="gramStart"/>
      <w:r w:rsidRPr="00732116">
        <w:t>)(</w:t>
      </w:r>
      <w:proofErr w:type="gramEnd"/>
      <w:r w:rsidRPr="00732116">
        <w:t xml:space="preserve">b)(ii)(B) of the </w:t>
      </w:r>
      <w:r w:rsidRPr="00732116">
        <w:rPr>
          <w:i/>
        </w:rPr>
        <w:t>BIA</w:t>
      </w:r>
      <w:r w:rsidRPr="00732116">
        <w:t xml:space="preserve"> to say that a corporate debtor was not insolvent and was paying its creditors in full and on time at the time of the transfers. Although the debtor’s financial condition at the time of the transfer is one badge of fraud that may be relevant in inferring an intent to defraud, defeat, or delay a creditor, whether that intent exists must be determined based on all the circumstances.</w:t>
      </w:r>
    </w:p>
    <w:p w14:paraId="225BB533" w14:textId="57390A4F" w:rsidR="00695232" w:rsidRPr="00732116" w:rsidRDefault="00695232" w:rsidP="00881633">
      <w:pPr>
        <w:pStyle w:val="SCCNormalDoubleSpacing"/>
        <w:spacing w:after="480"/>
      </w:pPr>
      <w:r w:rsidRPr="00732116">
        <w:tab/>
        <w:t xml:space="preserve">In the instant case, A intended to defraud, defeat, or delay a creditor under the false invoicing scheme. The </w:t>
      </w:r>
      <w:r w:rsidR="00881633" w:rsidRPr="00732116">
        <w:t>transfers were made between non</w:t>
      </w:r>
      <w:r w:rsidR="00881633" w:rsidRPr="00732116">
        <w:noBreakHyphen/>
      </w:r>
      <w:r w:rsidRPr="00732116">
        <w:t>arm’s length parties; the debtor companies received no value; the truth about the transfers was hidden behind false invoices describing services that were never provided; the transfers were made with unusual haste; and at the time of the transfers the companies ha</w:t>
      </w:r>
      <w:r w:rsidR="00106BFE" w:rsidRPr="00732116">
        <w:t>d significant long</w:t>
      </w:r>
      <w:r w:rsidR="00106BFE" w:rsidRPr="00732116">
        <w:noBreakHyphen/>
      </w:r>
      <w:r w:rsidR="00881633" w:rsidRPr="00732116">
        <w:t>term and off</w:t>
      </w:r>
      <w:r w:rsidR="00881633" w:rsidRPr="00732116">
        <w:noBreakHyphen/>
      </w:r>
      <w:r w:rsidRPr="00732116">
        <w:t>balance sheet liabilities and potential liabilities as guarantors for other companies. However, t</w:t>
      </w:r>
      <w:r w:rsidR="00881633" w:rsidRPr="00732116">
        <w:t>o satisfy s. </w:t>
      </w:r>
      <w:r w:rsidRPr="00732116">
        <w:t>96(1</w:t>
      </w:r>
      <w:proofErr w:type="gramStart"/>
      <w:r w:rsidRPr="00732116">
        <w:t>)(</w:t>
      </w:r>
      <w:proofErr w:type="gramEnd"/>
      <w:r w:rsidRPr="00732116">
        <w:t>b)(ii)(B), the monitor and trustee in bankruptcy must show that the debtor companies intended to defraud, defeat, or delay a creditor. This requires showing why it is appropriate to attribute A’s fraudulent intent to the debtor companies.</w:t>
      </w:r>
    </w:p>
    <w:p w14:paraId="33A3E4B0" w14:textId="54AB7250" w:rsidR="00695232" w:rsidRPr="00732116" w:rsidRDefault="00695232" w:rsidP="00881633">
      <w:pPr>
        <w:pStyle w:val="SCCNormalDoubleSpacing"/>
        <w:spacing w:after="480"/>
      </w:pPr>
      <w:r w:rsidRPr="00732116">
        <w:tab/>
        <w:t>The common law doctrine of corporate attribution provides guiding principles for when the actions, knowledge, state of mind, or intent of the directing mind of a corporation may be attributed or imputed to the corporation. Although a corporation is a separate legal person, it has no mind or will of its own. A directing mind must be identified because a corporation can only act through a human agent. The guiding principles for the common law doc</w:t>
      </w:r>
      <w:r w:rsidR="00390EB2" w:rsidRPr="00732116">
        <w:t xml:space="preserve">trine of corporate attribution </w:t>
      </w:r>
      <w:r w:rsidRPr="00732116">
        <w:t>provide that as a general rule, a person’s fraudulent acts may be attributed to a corporation if two conditions are met: the wrongdoer was the directing mind of the corporation at the relevant times; and the wrongful actions of the directing mind were performed within the sector of corporate responsibility assigned to them. Attribution will generally be inappropriate when the directing mind acted totally in fraud of the corporation or the directing mind’s actions were not by design or result partly for the benefit of the corporation — known as the “fraud” or “no benefit” exceptions</w:t>
      </w:r>
      <w:r w:rsidR="00390EB2" w:rsidRPr="00732116">
        <w:t xml:space="preserve">. </w:t>
      </w:r>
      <w:r w:rsidRPr="00732116">
        <w:t>In addition to these exceptions, courts have discretion to refrain from attributing the actions, knowledge, state of mind, or intent of the directing mind to the corporation when this would be in the public interest, in the sense that it would promote the purpose of the law under which attribution is sought. In all cases, courts must apply the common law corporate attribution doctrine purposively, contextually, and pragmatically. The corporate attribution doctrine is not a standalone princ</w:t>
      </w:r>
      <w:r w:rsidR="00881633" w:rsidRPr="00732116">
        <w:t>iple; there is no one</w:t>
      </w:r>
      <w:r w:rsidR="00881633" w:rsidRPr="00732116">
        <w:noBreakHyphen/>
        <w:t>size</w:t>
      </w:r>
      <w:r w:rsidR="00881633" w:rsidRPr="00732116">
        <w:noBreakHyphen/>
        <w:t>fits</w:t>
      </w:r>
      <w:r w:rsidR="00881633" w:rsidRPr="00732116">
        <w:noBreakHyphen/>
      </w:r>
      <w:r w:rsidRPr="00732116">
        <w:t>all approach. The court must always determine whether the actions, knowledge, state of mind, or intent of a person should be treated as those of the corporation for the purpose of the law under which attribution is sought. This may require the court to tailor the general rule of attribution or its exceptions to the particular legal context. Attribution may be appropriate for one purpose in one context but inappropriate for another purpose in another context.</w:t>
      </w:r>
    </w:p>
    <w:p w14:paraId="6EDA3FE1" w14:textId="6F69370B" w:rsidR="00695232" w:rsidRPr="00732116" w:rsidRDefault="00695232" w:rsidP="00BB258A">
      <w:pPr>
        <w:pStyle w:val="SCCNormalDoubleSpacing"/>
        <w:spacing w:after="480"/>
      </w:pPr>
      <w:r w:rsidRPr="00732116">
        <w:tab/>
        <w:t xml:space="preserve">The fraud and no benefit exceptions to corporate attribution do not apply in the context of a </w:t>
      </w:r>
      <w:r w:rsidR="00BB258A" w:rsidRPr="00732116">
        <w:t>transfer at undervalue under s. </w:t>
      </w:r>
      <w:r w:rsidRPr="00732116">
        <w:t xml:space="preserve">96 of the </w:t>
      </w:r>
      <w:r w:rsidRPr="00732116">
        <w:rPr>
          <w:i/>
        </w:rPr>
        <w:t>BIA</w:t>
      </w:r>
      <w:r w:rsidRPr="00732116">
        <w:t>. These exceptions would undermine rather than promote the purpose of this statutory p</w:t>
      </w:r>
      <w:r w:rsidR="00BB258A" w:rsidRPr="00732116">
        <w:t>rovision. The purpose of s. </w:t>
      </w:r>
      <w:r w:rsidRPr="00732116">
        <w:t>96 is to protect creditors from harmful actions by a debtor that would diminish the assets available for recovery. That purpose is served by attributing the actions, knowledge, state of mind, or intent of the corporation’s directing mind to the corporation, so long as those actions were performed within the sector of corporate responsibility assigned to them. This is so even if the directing mind acted in fraud of the corporation, and even if the corporation did not benefit from the actions of the directing mind. By contrast, applying the fraud and no benefit exceptions would render the transfer at undervalue remedy meaningless and would de</w:t>
      </w:r>
      <w:r w:rsidR="00BB258A" w:rsidRPr="00732116">
        <w:t>ny third</w:t>
      </w:r>
      <w:r w:rsidR="00BB258A" w:rsidRPr="00732116">
        <w:noBreakHyphen/>
      </w:r>
      <w:r w:rsidRPr="00732116">
        <w:t>party creditors a statutory remedy that Parliament intended woul</w:t>
      </w:r>
      <w:r w:rsidR="00BB258A" w:rsidRPr="00732116">
        <w:t>d be available to protect them.</w:t>
      </w:r>
    </w:p>
    <w:p w14:paraId="67F006DF" w14:textId="1598C9A7" w:rsidR="00A149DF" w:rsidRPr="00732116" w:rsidRDefault="00695232" w:rsidP="00BB258A">
      <w:pPr>
        <w:pStyle w:val="SCCNormalDoubleSpacing"/>
        <w:spacing w:after="480"/>
      </w:pPr>
      <w:r w:rsidRPr="00732116">
        <w:tab/>
        <w:t>In the instant case, the fraud and no benefit exceptions are inappropriate and inapplicable</w:t>
      </w:r>
      <w:r w:rsidR="00390EB2" w:rsidRPr="00732116">
        <w:t xml:space="preserve"> </w:t>
      </w:r>
      <w:r w:rsidRPr="00732116">
        <w:t xml:space="preserve">and as a result A’s intent should be attributed or imputed to the debtor companies. Attributing A’s fraudulent intent to the debtor companies would advance </w:t>
      </w:r>
      <w:r w:rsidR="00BB258A" w:rsidRPr="00732116">
        <w:t>the public policy underlying s. </w:t>
      </w:r>
      <w:r w:rsidRPr="00732116">
        <w:t xml:space="preserve">96 of the </w:t>
      </w:r>
      <w:r w:rsidRPr="00732116">
        <w:rPr>
          <w:i/>
        </w:rPr>
        <w:t xml:space="preserve">BIA </w:t>
      </w:r>
      <w:r w:rsidRPr="00732116">
        <w:t>as attribution would allow creditors to recover fraudulently transferred assets that unlawfully reduced the value of the estate available for distribution to creditors.</w:t>
      </w:r>
    </w:p>
    <w:p w14:paraId="7E4494DD" w14:textId="77777777" w:rsidR="007E1C47" w:rsidRPr="00732116" w:rsidRDefault="002E6705" w:rsidP="00BB258A">
      <w:pPr>
        <w:pStyle w:val="SCCNormalDoubleSpacing"/>
        <w:widowControl w:val="0"/>
        <w:spacing w:after="720" w:line="240" w:lineRule="auto"/>
        <w:rPr>
          <w:b/>
        </w:rPr>
      </w:pPr>
      <w:r w:rsidRPr="00732116">
        <w:rPr>
          <w:b/>
        </w:rPr>
        <w:t>Cases Cited</w:t>
      </w:r>
    </w:p>
    <w:p w14:paraId="05E37667" w14:textId="56C07F0B" w:rsidR="004E2C26" w:rsidRPr="00732116" w:rsidRDefault="002E6705" w:rsidP="00B83B4C">
      <w:pPr>
        <w:pStyle w:val="SCCNormalDoubleSpacing"/>
        <w:widowControl w:val="0"/>
        <w:spacing w:after="480"/>
      </w:pPr>
      <w:r w:rsidRPr="00732116">
        <w:tab/>
      </w:r>
      <w:r w:rsidR="00B53FA3" w:rsidRPr="00732116">
        <w:rPr>
          <w:b/>
        </w:rPr>
        <w:t xml:space="preserve">Applied: </w:t>
      </w:r>
      <w:r w:rsidR="00B53FA3" w:rsidRPr="00732116">
        <w:rPr>
          <w:i/>
        </w:rPr>
        <w:t>Canadian Dredge &amp; Dock Co. v. The Queen</w:t>
      </w:r>
      <w:r w:rsidR="00B53FA3" w:rsidRPr="00732116">
        <w:t xml:space="preserve">, [1985] 1 S.C.R. 662; </w:t>
      </w:r>
      <w:r w:rsidR="00B53FA3" w:rsidRPr="00732116">
        <w:rPr>
          <w:i/>
        </w:rPr>
        <w:t>Deloitte &amp; Touche v. Livent Inc. (Receiver of)</w:t>
      </w:r>
      <w:r w:rsidR="00B53FA3" w:rsidRPr="00732116">
        <w:t>, 2017 SCC 63, [2017] 2 S.C.R. 855;</w:t>
      </w:r>
      <w:r w:rsidR="00B53FA3" w:rsidRPr="00732116">
        <w:rPr>
          <w:i/>
        </w:rPr>
        <w:t xml:space="preserve"> Christine DeJong Medicine Professional Corp. v. DBDC Spadina Ltd.</w:t>
      </w:r>
      <w:r w:rsidR="00B53FA3" w:rsidRPr="00732116">
        <w:t xml:space="preserve">, 2019 SCC 30, [2019] 2 S.C.R. 530; </w:t>
      </w:r>
      <w:r w:rsidR="00B53FA3" w:rsidRPr="00732116">
        <w:rPr>
          <w:b/>
        </w:rPr>
        <w:t xml:space="preserve">considered: </w:t>
      </w:r>
      <w:r w:rsidR="00B53FA3" w:rsidRPr="00732116">
        <w:rPr>
          <w:i/>
        </w:rPr>
        <w:t>Meridian Global Funds Management Asia Ltd. v. Securities Commission</w:t>
      </w:r>
      <w:r w:rsidR="00B53FA3" w:rsidRPr="00732116">
        <w:t>, [1995] 2 A.C. 500;</w:t>
      </w:r>
      <w:r w:rsidR="00B53FA3" w:rsidRPr="00732116">
        <w:rPr>
          <w:i/>
        </w:rPr>
        <w:t xml:space="preserve"> </w:t>
      </w:r>
      <w:r w:rsidR="00B53FA3" w:rsidRPr="00732116">
        <w:rPr>
          <w:b/>
        </w:rPr>
        <w:t>r</w:t>
      </w:r>
      <w:r w:rsidRPr="00732116">
        <w:rPr>
          <w:b/>
        </w:rPr>
        <w:t>eferred to:</w:t>
      </w:r>
      <w:r w:rsidR="00BD0E9E" w:rsidRPr="00732116">
        <w:t xml:space="preserve"> </w:t>
      </w:r>
      <w:r w:rsidR="005E186A" w:rsidRPr="00732116">
        <w:rPr>
          <w:i/>
        </w:rPr>
        <w:t>Urbancorp Toronto Management Inc. (Re)</w:t>
      </w:r>
      <w:r w:rsidR="005E186A" w:rsidRPr="00732116">
        <w:t xml:space="preserve">, 2019 ONCA 757, 74 C.B.R. (6th) 23; </w:t>
      </w:r>
      <w:r w:rsidR="005E186A" w:rsidRPr="00732116">
        <w:rPr>
          <w:i/>
          <w:lang w:val="en-US"/>
        </w:rPr>
        <w:t>Peoples Department Stores Inc. (Trustee of) v. Wise</w:t>
      </w:r>
      <w:r w:rsidR="005E186A" w:rsidRPr="00732116">
        <w:rPr>
          <w:lang w:val="en-US"/>
        </w:rPr>
        <w:t>, 2004 SCC 68, [2004] 3 S.C.R. 461;</w:t>
      </w:r>
      <w:r w:rsidR="005E186A" w:rsidRPr="00732116">
        <w:rPr>
          <w:i/>
        </w:rPr>
        <w:t xml:space="preserve"> Estate of Gavin v. Gavin</w:t>
      </w:r>
      <w:r w:rsidR="005E186A" w:rsidRPr="00732116">
        <w:t>, 2023 PECA 8, 10 C.B.R. (7th) 30;</w:t>
      </w:r>
      <w:r w:rsidR="005E186A" w:rsidRPr="00732116">
        <w:rPr>
          <w:i/>
          <w:lang w:bidi="en-US"/>
        </w:rPr>
        <w:t xml:space="preserve"> </w:t>
      </w:r>
      <w:proofErr w:type="spellStart"/>
      <w:r w:rsidR="005E186A" w:rsidRPr="00732116">
        <w:rPr>
          <w:i/>
          <w:lang w:bidi="en-US"/>
        </w:rPr>
        <w:t>Pitblado</w:t>
      </w:r>
      <w:proofErr w:type="spellEnd"/>
      <w:r w:rsidR="005E186A" w:rsidRPr="00732116">
        <w:rPr>
          <w:i/>
          <w:lang w:bidi="en-US"/>
        </w:rPr>
        <w:t xml:space="preserve"> LLP v. </w:t>
      </w:r>
      <w:proofErr w:type="spellStart"/>
      <w:r w:rsidR="005E186A" w:rsidRPr="00732116">
        <w:rPr>
          <w:i/>
          <w:lang w:bidi="en-US"/>
        </w:rPr>
        <w:t>Houde</w:t>
      </w:r>
      <w:proofErr w:type="spellEnd"/>
      <w:r w:rsidR="005E186A" w:rsidRPr="00732116">
        <w:rPr>
          <w:lang w:bidi="en-US"/>
        </w:rPr>
        <w:t xml:space="preserve">, 2015 </w:t>
      </w:r>
      <w:proofErr w:type="spellStart"/>
      <w:r w:rsidR="005E186A" w:rsidRPr="00732116">
        <w:rPr>
          <w:lang w:bidi="en-US"/>
        </w:rPr>
        <w:t>MBQB</w:t>
      </w:r>
      <w:proofErr w:type="spellEnd"/>
      <w:r w:rsidR="005E186A" w:rsidRPr="00732116">
        <w:rPr>
          <w:lang w:bidi="en-US"/>
        </w:rPr>
        <w:t xml:space="preserve"> 85, 318 Man. R. (2d) 39; </w:t>
      </w:r>
      <w:r w:rsidR="00C12402" w:rsidRPr="00732116">
        <w:rPr>
          <w:bCs/>
          <w:i/>
          <w:iCs/>
          <w:lang w:bidi="en-US"/>
        </w:rPr>
        <w:t>Orphan Well Association v. Grant Thornton Ltd.</w:t>
      </w:r>
      <w:r w:rsidR="00C12402" w:rsidRPr="00732116">
        <w:rPr>
          <w:bCs/>
          <w:iCs/>
          <w:lang w:bidi="en-US"/>
        </w:rPr>
        <w:t>,</w:t>
      </w:r>
      <w:r w:rsidR="00C12402" w:rsidRPr="00732116">
        <w:rPr>
          <w:bCs/>
          <w:i/>
          <w:iCs/>
          <w:lang w:bidi="en-US"/>
        </w:rPr>
        <w:t xml:space="preserve"> </w:t>
      </w:r>
      <w:r w:rsidR="00C12402" w:rsidRPr="00732116">
        <w:rPr>
          <w:bCs/>
          <w:iCs/>
          <w:lang w:bidi="en-US"/>
        </w:rPr>
        <w:t xml:space="preserve">2019 SCC 5, [2019] 1 S.C.R. 150; </w:t>
      </w:r>
      <w:r w:rsidR="00A47B7A" w:rsidRPr="00732116">
        <w:rPr>
          <w:i/>
        </w:rPr>
        <w:t>A</w:t>
      </w:r>
      <w:r w:rsidR="00A47B7A" w:rsidRPr="00732116">
        <w:rPr>
          <w:i/>
          <w:lang w:val="en-US"/>
        </w:rPr>
        <w:t>lberta (Attorney General) v. Moloney</w:t>
      </w:r>
      <w:r w:rsidR="00A47B7A" w:rsidRPr="00732116">
        <w:rPr>
          <w:lang w:val="en-US"/>
        </w:rPr>
        <w:t>, 2015 SCC 51, [2015] 3 S.C.R. 327;</w:t>
      </w:r>
      <w:r w:rsidR="00A47B7A" w:rsidRPr="00732116">
        <w:rPr>
          <w:i/>
          <w:lang w:val="en-US"/>
        </w:rPr>
        <w:t xml:space="preserve"> Husky Oil Operations Ltd. v. Minister of National Revenue</w:t>
      </w:r>
      <w:r w:rsidR="00A47B7A" w:rsidRPr="00732116">
        <w:rPr>
          <w:lang w:val="en-US"/>
        </w:rPr>
        <w:t>, [1995] 3 S.C.R. 453;</w:t>
      </w:r>
      <w:r w:rsidR="00A47B7A" w:rsidRPr="00732116">
        <w:rPr>
          <w:i/>
          <w:lang w:val="en-US"/>
        </w:rPr>
        <w:t xml:space="preserve"> Poonian v. British Columbia (Securities Commission)</w:t>
      </w:r>
      <w:r w:rsidR="00A47B7A" w:rsidRPr="00732116">
        <w:rPr>
          <w:lang w:val="en-US"/>
        </w:rPr>
        <w:t>, 2024 SCC 28;</w:t>
      </w:r>
      <w:r w:rsidR="00A47B7A" w:rsidRPr="00732116">
        <w:rPr>
          <w:bCs/>
          <w:i/>
          <w:iCs/>
        </w:rPr>
        <w:t xml:space="preserve"> 9354-9186 Québec inc. v. Callidus Capital Corp.</w:t>
      </w:r>
      <w:r w:rsidR="00A47B7A" w:rsidRPr="00732116">
        <w:rPr>
          <w:bCs/>
          <w:iCs/>
        </w:rPr>
        <w:t>,</w:t>
      </w:r>
      <w:r w:rsidR="00A47B7A" w:rsidRPr="00732116">
        <w:rPr>
          <w:bCs/>
          <w:i/>
          <w:iCs/>
        </w:rPr>
        <w:t xml:space="preserve"> </w:t>
      </w:r>
      <w:r w:rsidR="00A47B7A" w:rsidRPr="00732116">
        <w:rPr>
          <w:bCs/>
          <w:iCs/>
        </w:rPr>
        <w:t>2020 SCC 10, [2020] 1 S.C.R. 521;</w:t>
      </w:r>
      <w:r w:rsidR="004232F5" w:rsidRPr="00732116">
        <w:rPr>
          <w:i/>
        </w:rPr>
        <w:t xml:space="preserve"> Montor Business Corp. (Trustee of) v. Goldfinger</w:t>
      </w:r>
      <w:r w:rsidR="004232F5" w:rsidRPr="00732116">
        <w:t>, 2016 ONCA 406, 36 C.B.R. (6th) 169</w:t>
      </w:r>
      <w:r w:rsidR="00794ABF" w:rsidRPr="00732116">
        <w:t xml:space="preserve">, </w:t>
      </w:r>
      <w:proofErr w:type="spellStart"/>
      <w:r w:rsidR="00794ABF" w:rsidRPr="00732116">
        <w:t>aff’g</w:t>
      </w:r>
      <w:proofErr w:type="spellEnd"/>
      <w:r w:rsidR="00794ABF" w:rsidRPr="00732116">
        <w:t xml:space="preserve"> </w:t>
      </w:r>
      <w:r w:rsidR="00794ABF" w:rsidRPr="00732116">
        <w:rPr>
          <w:lang w:val="en-US"/>
        </w:rPr>
        <w:t xml:space="preserve">2013 </w:t>
      </w:r>
      <w:proofErr w:type="spellStart"/>
      <w:r w:rsidR="00794ABF" w:rsidRPr="00732116">
        <w:rPr>
          <w:lang w:val="en-US"/>
        </w:rPr>
        <w:t>ONSC</w:t>
      </w:r>
      <w:proofErr w:type="spellEnd"/>
      <w:r w:rsidR="00794ABF" w:rsidRPr="00732116">
        <w:rPr>
          <w:lang w:val="en-US"/>
        </w:rPr>
        <w:t xml:space="preserve"> 6635, 8 </w:t>
      </w:r>
      <w:proofErr w:type="spellStart"/>
      <w:r w:rsidR="00794ABF" w:rsidRPr="00732116">
        <w:rPr>
          <w:lang w:val="en-US"/>
        </w:rPr>
        <w:t>C.B.R</w:t>
      </w:r>
      <w:proofErr w:type="spellEnd"/>
      <w:r w:rsidR="00794ABF" w:rsidRPr="00732116">
        <w:rPr>
          <w:lang w:val="en-US"/>
        </w:rPr>
        <w:t>. (6th) 200</w:t>
      </w:r>
      <w:r w:rsidR="004232F5" w:rsidRPr="00732116">
        <w:t>;</w:t>
      </w:r>
      <w:r w:rsidR="004232F5" w:rsidRPr="00732116">
        <w:rPr>
          <w:i/>
        </w:rPr>
        <w:t xml:space="preserve"> </w:t>
      </w:r>
      <w:proofErr w:type="spellStart"/>
      <w:r w:rsidR="004232F5" w:rsidRPr="00732116">
        <w:rPr>
          <w:i/>
        </w:rPr>
        <w:t>Twyne’s</w:t>
      </w:r>
      <w:proofErr w:type="spellEnd"/>
      <w:r w:rsidR="004232F5" w:rsidRPr="00732116">
        <w:rPr>
          <w:i/>
        </w:rPr>
        <w:t xml:space="preserve"> Case</w:t>
      </w:r>
      <w:r w:rsidR="004232F5" w:rsidRPr="00732116">
        <w:t xml:space="preserve"> (1601), 3 Co. Rep. 80b, 76 E.R. 809;</w:t>
      </w:r>
      <w:r w:rsidR="004232F5" w:rsidRPr="00732116">
        <w:rPr>
          <w:i/>
        </w:rPr>
        <w:t xml:space="preserve"> </w:t>
      </w:r>
      <w:r w:rsidR="001473AF" w:rsidRPr="00732116">
        <w:rPr>
          <w:i/>
        </w:rPr>
        <w:t>Salomon v. Salomon &amp; Co.</w:t>
      </w:r>
      <w:r w:rsidR="001473AF" w:rsidRPr="00732116">
        <w:t>, [1897] A.C. 22;</w:t>
      </w:r>
      <w:r w:rsidR="001473AF" w:rsidRPr="00732116">
        <w:rPr>
          <w:i/>
        </w:rPr>
        <w:t xml:space="preserve"> Chevron Corp. v. Yaiguaje</w:t>
      </w:r>
      <w:r w:rsidR="001473AF" w:rsidRPr="00732116">
        <w:t>, 2015 SCC 42, [2015] 3 S.C.R. 69;</w:t>
      </w:r>
      <w:r w:rsidR="001473AF" w:rsidRPr="00732116">
        <w:rPr>
          <w:i/>
        </w:rPr>
        <w:t xml:space="preserve"> Lennard’s Carrying Co. v. Asiatic Petroleum Co.</w:t>
      </w:r>
      <w:r w:rsidR="001473AF" w:rsidRPr="00732116">
        <w:t>, [1915] A.C. 705;</w:t>
      </w:r>
      <w:r w:rsidR="001473AF" w:rsidRPr="00732116">
        <w:rPr>
          <w:i/>
        </w:rPr>
        <w:t xml:space="preserve"> </w:t>
      </w:r>
      <w:r w:rsidR="009557A2" w:rsidRPr="00732116">
        <w:rPr>
          <w:i/>
        </w:rPr>
        <w:t>Bilta (UK) Ltd. v. Nazir</w:t>
      </w:r>
      <w:r w:rsidR="009557A2" w:rsidRPr="00732116">
        <w:t>, [2015] UKSC 23, [2016] A.C. 1;</w:t>
      </w:r>
      <w:r w:rsidR="009557A2" w:rsidRPr="00732116">
        <w:rPr>
          <w:i/>
        </w:rPr>
        <w:t xml:space="preserve"> Singularis Holdings Ltd. v. Daiwa Capital Markets Ltd.</w:t>
      </w:r>
      <w:r w:rsidR="009557A2" w:rsidRPr="00732116">
        <w:t>, [2019] UKSC 50, [2020] A.C. 1189;</w:t>
      </w:r>
      <w:r w:rsidR="009557A2" w:rsidRPr="00732116">
        <w:rPr>
          <w:i/>
        </w:rPr>
        <w:t xml:space="preserve"> DBDC Spadina Ltd. v. Walton</w:t>
      </w:r>
      <w:r w:rsidR="009557A2" w:rsidRPr="00732116">
        <w:t>, 2018 ONCA 60</w:t>
      </w:r>
      <w:r w:rsidR="001F45E6" w:rsidRPr="00732116">
        <w:t>, 78 B.L.R. (5th) 183.</w:t>
      </w:r>
    </w:p>
    <w:p w14:paraId="39E9BA33" w14:textId="77777777" w:rsidR="003B215F" w:rsidRPr="00732116" w:rsidRDefault="002E6705" w:rsidP="00B83B4C">
      <w:pPr>
        <w:pStyle w:val="SCCNormalDoubleSpacing"/>
        <w:spacing w:after="720" w:line="240" w:lineRule="auto"/>
        <w:rPr>
          <w:b/>
        </w:rPr>
      </w:pPr>
      <w:r w:rsidRPr="00732116">
        <w:rPr>
          <w:b/>
        </w:rPr>
        <w:t>Statutes and Regulations Cite</w:t>
      </w:r>
      <w:r w:rsidR="00A41805" w:rsidRPr="00732116">
        <w:rPr>
          <w:b/>
        </w:rPr>
        <w:t>d</w:t>
      </w:r>
    </w:p>
    <w:p w14:paraId="128312F9" w14:textId="04DFDE9C" w:rsidR="001473AF" w:rsidRPr="00732116" w:rsidRDefault="001473AF" w:rsidP="001473AF">
      <w:pPr>
        <w:pStyle w:val="SCCNormalDoubleSpacing"/>
        <w:spacing w:after="240" w:line="240" w:lineRule="auto"/>
        <w:ind w:left="540" w:hanging="540"/>
      </w:pPr>
      <w:r w:rsidRPr="00732116">
        <w:rPr>
          <w:i/>
        </w:rPr>
        <w:t>Bankruptcy and Insolvency Act</w:t>
      </w:r>
      <w:r w:rsidR="00BB258A" w:rsidRPr="00732116">
        <w:t>, R.S.C. 1985, c. </w:t>
      </w:r>
      <w:r w:rsidR="00B83B4C" w:rsidRPr="00732116">
        <w:t>B</w:t>
      </w:r>
      <w:r w:rsidR="00B83B4C" w:rsidRPr="00732116">
        <w:noBreakHyphen/>
      </w:r>
      <w:r w:rsidRPr="00732116">
        <w:t xml:space="preserve">3, ss. 2 “transfer at undervalue”, </w:t>
      </w:r>
      <w:r w:rsidR="00AA0E31" w:rsidRPr="00732116">
        <w:t xml:space="preserve">4, </w:t>
      </w:r>
      <w:r w:rsidRPr="00732116">
        <w:t>96.</w:t>
      </w:r>
    </w:p>
    <w:p w14:paraId="497B82EB" w14:textId="784C2B54" w:rsidR="001473AF" w:rsidRPr="00732116" w:rsidRDefault="001473AF" w:rsidP="001473AF">
      <w:pPr>
        <w:pStyle w:val="SCCNormalDoubleSpacing"/>
        <w:spacing w:after="240" w:line="240" w:lineRule="auto"/>
        <w:ind w:left="540" w:hanging="540"/>
      </w:pPr>
      <w:r w:rsidRPr="00732116">
        <w:rPr>
          <w:i/>
        </w:rPr>
        <w:t>Business Corporations Act</w:t>
      </w:r>
      <w:r w:rsidRPr="00732116">
        <w:t>, CQLR</w:t>
      </w:r>
      <w:r w:rsidR="00663658" w:rsidRPr="00732116">
        <w:t>,</w:t>
      </w:r>
      <w:r w:rsidR="00BB258A" w:rsidRPr="00732116">
        <w:t xml:space="preserve"> c. </w:t>
      </w:r>
      <w:r w:rsidR="00B83B4C" w:rsidRPr="00732116">
        <w:t>S</w:t>
      </w:r>
      <w:r w:rsidR="00B83B4C" w:rsidRPr="00732116">
        <w:noBreakHyphen/>
      </w:r>
      <w:r w:rsidRPr="00732116">
        <w:t>31.1, s. 10.</w:t>
      </w:r>
    </w:p>
    <w:p w14:paraId="225A4E82" w14:textId="702DF00B" w:rsidR="001473AF" w:rsidRPr="00732116" w:rsidRDefault="001473AF" w:rsidP="001473AF">
      <w:pPr>
        <w:pStyle w:val="SCCNormalDoubleSpacing"/>
        <w:spacing w:after="240" w:line="240" w:lineRule="auto"/>
        <w:ind w:left="540" w:hanging="540"/>
      </w:pPr>
      <w:r w:rsidRPr="00732116">
        <w:rPr>
          <w:i/>
        </w:rPr>
        <w:t>Business Corporations Act</w:t>
      </w:r>
      <w:r w:rsidR="00BB258A" w:rsidRPr="00732116">
        <w:t>, R.S.A. 2000, c. </w:t>
      </w:r>
      <w:r w:rsidR="00B83B4C" w:rsidRPr="00732116">
        <w:t>B</w:t>
      </w:r>
      <w:r w:rsidR="00B83B4C" w:rsidRPr="00732116">
        <w:noBreakHyphen/>
        <w:t>9, s. </w:t>
      </w:r>
      <w:r w:rsidRPr="00732116">
        <w:t>16(1).</w:t>
      </w:r>
    </w:p>
    <w:p w14:paraId="7D82A298" w14:textId="27AB928A" w:rsidR="001473AF" w:rsidRPr="00732116" w:rsidRDefault="001473AF" w:rsidP="001473AF">
      <w:pPr>
        <w:pStyle w:val="SCCNormalDoubleSpacing"/>
        <w:spacing w:after="240" w:line="240" w:lineRule="auto"/>
        <w:ind w:left="540" w:hanging="540"/>
      </w:pPr>
      <w:r w:rsidRPr="00732116">
        <w:rPr>
          <w:i/>
        </w:rPr>
        <w:t>Business Corporations Act</w:t>
      </w:r>
      <w:r w:rsidR="00BB258A" w:rsidRPr="00732116">
        <w:t>, R.S.O. 1990, c. </w:t>
      </w:r>
      <w:r w:rsidRPr="00732116">
        <w:t>B.16, s. 15.</w:t>
      </w:r>
    </w:p>
    <w:p w14:paraId="17A4AB77" w14:textId="2AED5D0B" w:rsidR="001473AF" w:rsidRPr="00732116" w:rsidRDefault="001473AF" w:rsidP="001473AF">
      <w:pPr>
        <w:pStyle w:val="SCCNormalDoubleSpacing"/>
        <w:spacing w:after="240" w:line="240" w:lineRule="auto"/>
        <w:ind w:left="540" w:hanging="540"/>
      </w:pPr>
      <w:r w:rsidRPr="00732116">
        <w:rPr>
          <w:i/>
        </w:rPr>
        <w:t>Business Corporations Act</w:t>
      </w:r>
      <w:r w:rsidRPr="00732116">
        <w:t>, R.S.P.</w:t>
      </w:r>
      <w:r w:rsidR="00BB258A" w:rsidRPr="00732116">
        <w:t>E.I. 1988, c. </w:t>
      </w:r>
      <w:r w:rsidR="00B83B4C" w:rsidRPr="00732116">
        <w:t>B</w:t>
      </w:r>
      <w:r w:rsidR="00B83B4C" w:rsidRPr="00732116">
        <w:noBreakHyphen/>
        <w:t>6.01, s. </w:t>
      </w:r>
      <w:r w:rsidRPr="00732116">
        <w:t>22(1).</w:t>
      </w:r>
    </w:p>
    <w:p w14:paraId="2352ACA7" w14:textId="664A455A" w:rsidR="001473AF" w:rsidRPr="00732116" w:rsidRDefault="001473AF" w:rsidP="001473AF">
      <w:pPr>
        <w:pStyle w:val="SCCNormalDoubleSpacing"/>
        <w:spacing w:after="240" w:line="240" w:lineRule="auto"/>
        <w:ind w:left="540" w:hanging="540"/>
      </w:pPr>
      <w:r w:rsidRPr="00732116">
        <w:rPr>
          <w:i/>
        </w:rPr>
        <w:t>Business Corporations Act</w:t>
      </w:r>
      <w:r w:rsidR="00BB258A" w:rsidRPr="00732116">
        <w:t>, R.S.Y. 2002, c. </w:t>
      </w:r>
      <w:r w:rsidR="00B83B4C" w:rsidRPr="00732116">
        <w:t>20, s. </w:t>
      </w:r>
      <w:r w:rsidRPr="00732116">
        <w:t>18(1).</w:t>
      </w:r>
    </w:p>
    <w:p w14:paraId="35B653E4" w14:textId="7D643CAE" w:rsidR="001473AF" w:rsidRPr="00732116" w:rsidRDefault="001473AF" w:rsidP="001473AF">
      <w:pPr>
        <w:pStyle w:val="SCCNormalDoubleSpacing"/>
        <w:spacing w:after="240" w:line="240" w:lineRule="auto"/>
        <w:ind w:left="540" w:hanging="540"/>
      </w:pPr>
      <w:r w:rsidRPr="00732116">
        <w:rPr>
          <w:i/>
        </w:rPr>
        <w:t>Business Corporations Act</w:t>
      </w:r>
      <w:r w:rsidR="00BB258A" w:rsidRPr="00732116">
        <w:t>, S.B.C. 2002, c. </w:t>
      </w:r>
      <w:r w:rsidR="00B83B4C" w:rsidRPr="00732116">
        <w:t>57, s. </w:t>
      </w:r>
      <w:r w:rsidRPr="00732116">
        <w:t>30.</w:t>
      </w:r>
    </w:p>
    <w:p w14:paraId="2EBD27C6" w14:textId="7A7F1583" w:rsidR="001473AF" w:rsidRPr="00732116" w:rsidRDefault="001473AF" w:rsidP="001473AF">
      <w:pPr>
        <w:pStyle w:val="SCCNormalDoubleSpacing"/>
        <w:spacing w:after="240" w:line="240" w:lineRule="auto"/>
        <w:ind w:left="540" w:hanging="540"/>
      </w:pPr>
      <w:r w:rsidRPr="00732116">
        <w:rPr>
          <w:i/>
        </w:rPr>
        <w:t>Business Corporations Act</w:t>
      </w:r>
      <w:r w:rsidR="00BB258A" w:rsidRPr="00732116">
        <w:t>, S.N.B. 1981, c. </w:t>
      </w:r>
      <w:r w:rsidR="00B83B4C" w:rsidRPr="00732116">
        <w:t>B</w:t>
      </w:r>
      <w:r w:rsidR="00B83B4C" w:rsidRPr="00732116">
        <w:noBreakHyphen/>
        <w:t>9.1, s. </w:t>
      </w:r>
      <w:r w:rsidRPr="00732116">
        <w:t>13(1).</w:t>
      </w:r>
    </w:p>
    <w:p w14:paraId="36E092D2" w14:textId="7AF7831C" w:rsidR="001473AF" w:rsidRPr="00732116" w:rsidRDefault="001473AF" w:rsidP="001473AF">
      <w:pPr>
        <w:pStyle w:val="SCCNormalDoubleSpacing"/>
        <w:spacing w:after="240" w:line="240" w:lineRule="auto"/>
        <w:ind w:left="540" w:hanging="540"/>
      </w:pPr>
      <w:r w:rsidRPr="00732116">
        <w:rPr>
          <w:i/>
        </w:rPr>
        <w:t>Business Corporations Act</w:t>
      </w:r>
      <w:r w:rsidR="00BB258A" w:rsidRPr="00732116">
        <w:t>, S.N.W.T. 1996, c. </w:t>
      </w:r>
      <w:r w:rsidRPr="00732116">
        <w:t>19, s. 15(1)).</w:t>
      </w:r>
    </w:p>
    <w:p w14:paraId="606D6365" w14:textId="038B3159" w:rsidR="001473AF" w:rsidRPr="00732116" w:rsidRDefault="001473AF" w:rsidP="001473AF">
      <w:pPr>
        <w:pStyle w:val="SCCNormalDoubleSpacing"/>
        <w:spacing w:after="240" w:line="240" w:lineRule="auto"/>
        <w:ind w:left="540" w:hanging="540"/>
      </w:pPr>
      <w:r w:rsidRPr="00732116">
        <w:rPr>
          <w:i/>
        </w:rPr>
        <w:t>Canada Business Corporations Act</w:t>
      </w:r>
      <w:r w:rsidR="00B83B4C" w:rsidRPr="00732116">
        <w:t xml:space="preserve">, </w:t>
      </w:r>
      <w:r w:rsidR="00BB258A" w:rsidRPr="00732116">
        <w:t>R.S.C. 1985, c. </w:t>
      </w:r>
      <w:r w:rsidR="00B83B4C" w:rsidRPr="00732116">
        <w:t>C</w:t>
      </w:r>
      <w:r w:rsidR="00B83B4C" w:rsidRPr="00732116">
        <w:noBreakHyphen/>
      </w:r>
      <w:r w:rsidRPr="00732116">
        <w:t>44, s. 15.</w:t>
      </w:r>
    </w:p>
    <w:p w14:paraId="5F8B031D" w14:textId="6D1FA157" w:rsidR="001473AF" w:rsidRPr="00732116" w:rsidRDefault="001473AF" w:rsidP="001473AF">
      <w:pPr>
        <w:pStyle w:val="SCCNormalDoubleSpacing"/>
        <w:spacing w:after="240" w:line="240" w:lineRule="auto"/>
        <w:ind w:left="540" w:hanging="540"/>
      </w:pPr>
      <w:r w:rsidRPr="00732116">
        <w:rPr>
          <w:i/>
        </w:rPr>
        <w:t>Companies Act</w:t>
      </w:r>
      <w:r w:rsidRPr="00732116">
        <w:t xml:space="preserve">, </w:t>
      </w:r>
      <w:r w:rsidR="00BB258A" w:rsidRPr="00732116">
        <w:t>R.S.N.S. 1989, c. </w:t>
      </w:r>
      <w:r w:rsidR="00B83B4C" w:rsidRPr="00732116">
        <w:t>81, s. </w:t>
      </w:r>
      <w:r w:rsidRPr="00732116">
        <w:t>26(8).</w:t>
      </w:r>
    </w:p>
    <w:p w14:paraId="73035F2D" w14:textId="76537442" w:rsidR="001473AF" w:rsidRPr="00732116" w:rsidRDefault="001473AF" w:rsidP="001473AF">
      <w:pPr>
        <w:pStyle w:val="SCCNormalDoubleSpacing"/>
        <w:spacing w:after="240" w:line="240" w:lineRule="auto"/>
        <w:ind w:left="540" w:hanging="540"/>
      </w:pPr>
      <w:r w:rsidRPr="00732116">
        <w:rPr>
          <w:i/>
        </w:rPr>
        <w:t>Companies</w:t>
      </w:r>
      <w:r w:rsidR="00FE2D13" w:rsidRPr="00732116">
        <w:rPr>
          <w:i/>
        </w:rPr>
        <w:t>’</w:t>
      </w:r>
      <w:r w:rsidR="00DB0A05" w:rsidRPr="00732116">
        <w:rPr>
          <w:i/>
        </w:rPr>
        <w:t xml:space="preserve"> Creditors</w:t>
      </w:r>
      <w:r w:rsidRPr="00732116">
        <w:rPr>
          <w:i/>
        </w:rPr>
        <w:t xml:space="preserve"> Arrangement Act</w:t>
      </w:r>
      <w:r w:rsidR="00BB258A" w:rsidRPr="00732116">
        <w:t>, R.S.C. 1985, c. </w:t>
      </w:r>
      <w:r w:rsidR="00B83B4C" w:rsidRPr="00732116">
        <w:t>C</w:t>
      </w:r>
      <w:r w:rsidR="00B83B4C" w:rsidRPr="00732116">
        <w:noBreakHyphen/>
      </w:r>
      <w:r w:rsidRPr="00732116">
        <w:t>36, s. 36.1.</w:t>
      </w:r>
    </w:p>
    <w:p w14:paraId="636733E9" w14:textId="67192D75" w:rsidR="001473AF" w:rsidRPr="00732116" w:rsidRDefault="001473AF" w:rsidP="001473AF">
      <w:pPr>
        <w:pStyle w:val="SCCNormalDoubleSpacing"/>
        <w:spacing w:after="240" w:line="240" w:lineRule="auto"/>
        <w:ind w:left="540" w:hanging="540"/>
      </w:pPr>
      <w:r w:rsidRPr="00732116">
        <w:rPr>
          <w:i/>
        </w:rPr>
        <w:t>Corporations Act</w:t>
      </w:r>
      <w:r w:rsidRPr="00732116">
        <w:t>, R.</w:t>
      </w:r>
      <w:r w:rsidR="00BB258A" w:rsidRPr="00732116">
        <w:t>S.N.L. 1990, c. </w:t>
      </w:r>
      <w:r w:rsidR="00B83B4C" w:rsidRPr="00732116">
        <w:t>C</w:t>
      </w:r>
      <w:r w:rsidR="00B83B4C" w:rsidRPr="00732116">
        <w:noBreakHyphen/>
        <w:t>36, s. </w:t>
      </w:r>
      <w:r w:rsidRPr="00732116">
        <w:t>27(1).</w:t>
      </w:r>
    </w:p>
    <w:p w14:paraId="093F6783" w14:textId="175046BE" w:rsidR="001473AF" w:rsidRPr="00732116" w:rsidRDefault="001473AF" w:rsidP="001473AF">
      <w:pPr>
        <w:pStyle w:val="SCCNormalDoubleSpacing"/>
        <w:spacing w:after="240" w:line="240" w:lineRule="auto"/>
        <w:ind w:left="540" w:hanging="540"/>
      </w:pPr>
      <w:r w:rsidRPr="00732116">
        <w:rPr>
          <w:i/>
        </w:rPr>
        <w:t>The Business Corporations Act, 2021</w:t>
      </w:r>
      <w:r w:rsidRPr="00732116">
        <w:t>,</w:t>
      </w:r>
      <w:r w:rsidRPr="00732116">
        <w:rPr>
          <w:i/>
        </w:rPr>
        <w:t xml:space="preserve"> </w:t>
      </w:r>
      <w:r w:rsidRPr="00732116">
        <w:t>S.S. 2021, c.</w:t>
      </w:r>
      <w:r w:rsidR="00BB258A" w:rsidRPr="00732116">
        <w:t> </w:t>
      </w:r>
      <w:r w:rsidR="00B83B4C" w:rsidRPr="00732116">
        <w:t>6, s. 3</w:t>
      </w:r>
      <w:r w:rsidR="00B83B4C" w:rsidRPr="00732116">
        <w:noBreakHyphen/>
      </w:r>
      <w:proofErr w:type="gramStart"/>
      <w:r w:rsidRPr="00732116">
        <w:t>1(</w:t>
      </w:r>
      <w:proofErr w:type="gramEnd"/>
      <w:r w:rsidRPr="00732116">
        <w:t>1).</w:t>
      </w:r>
    </w:p>
    <w:p w14:paraId="6072B559" w14:textId="62602603" w:rsidR="001473AF" w:rsidRPr="00732116" w:rsidRDefault="001473AF" w:rsidP="00B83B4C">
      <w:pPr>
        <w:pStyle w:val="SCCNormalDoubleSpacing"/>
        <w:spacing w:after="720" w:line="240" w:lineRule="auto"/>
        <w:ind w:left="547" w:hanging="547"/>
      </w:pPr>
      <w:r w:rsidRPr="00732116">
        <w:rPr>
          <w:i/>
        </w:rPr>
        <w:t>The Corporations Act</w:t>
      </w:r>
      <w:r w:rsidR="00BB258A" w:rsidRPr="00732116">
        <w:t>, C.C.S.M., c. </w:t>
      </w:r>
      <w:r w:rsidR="00B83B4C" w:rsidRPr="00732116">
        <w:t>C225, s. </w:t>
      </w:r>
      <w:r w:rsidRPr="00732116">
        <w:t>15(1).</w:t>
      </w:r>
    </w:p>
    <w:p w14:paraId="5EF9742C" w14:textId="77777777" w:rsidR="002E6705" w:rsidRPr="00732116" w:rsidRDefault="002E6705" w:rsidP="00B83B4C">
      <w:pPr>
        <w:pStyle w:val="SCCNormalDoubleSpacing"/>
        <w:spacing w:after="720" w:line="240" w:lineRule="auto"/>
        <w:rPr>
          <w:b/>
        </w:rPr>
      </w:pPr>
      <w:r w:rsidRPr="00732116">
        <w:rPr>
          <w:b/>
        </w:rPr>
        <w:t>Authors Cited</w:t>
      </w:r>
    </w:p>
    <w:p w14:paraId="4F368B87" w14:textId="77777777" w:rsidR="00A47B7A" w:rsidRPr="00732116" w:rsidRDefault="00A47B7A" w:rsidP="00A47B7A">
      <w:pPr>
        <w:pStyle w:val="SCCNormalDoubleSpacing"/>
        <w:spacing w:after="240" w:line="240" w:lineRule="auto"/>
        <w:ind w:left="540" w:hanging="540"/>
        <w:rPr>
          <w:szCs w:val="24"/>
          <w:lang w:val="en-US"/>
        </w:rPr>
      </w:pPr>
      <w:r w:rsidRPr="00732116">
        <w:rPr>
          <w:szCs w:val="24"/>
          <w:lang w:val="en-US"/>
        </w:rPr>
        <w:t xml:space="preserve">Bennett, Frank. </w:t>
      </w:r>
      <w:r w:rsidRPr="00732116">
        <w:rPr>
          <w:i/>
          <w:szCs w:val="24"/>
          <w:lang w:val="en-US"/>
        </w:rPr>
        <w:t>Bennett on Bankruptcy</w:t>
      </w:r>
      <w:r w:rsidRPr="00732116">
        <w:rPr>
          <w:szCs w:val="24"/>
          <w:lang w:val="en-US"/>
        </w:rPr>
        <w:t>, 26th ed. Toronto: LexisNexis, 2024.</w:t>
      </w:r>
    </w:p>
    <w:p w14:paraId="0B164A3B" w14:textId="6271D0DE" w:rsidR="00A47B7A" w:rsidRPr="00732116" w:rsidRDefault="005E186A" w:rsidP="00A47B7A">
      <w:pPr>
        <w:pStyle w:val="SCCNormalDoubleSpacing"/>
        <w:spacing w:after="240" w:line="240" w:lineRule="auto"/>
        <w:ind w:left="540" w:hanging="540"/>
        <w:rPr>
          <w:szCs w:val="24"/>
        </w:rPr>
      </w:pPr>
      <w:r w:rsidRPr="00732116">
        <w:rPr>
          <w:szCs w:val="24"/>
          <w:lang w:val="en-US"/>
        </w:rPr>
        <w:t>Duggan</w:t>
      </w:r>
      <w:r w:rsidR="00A47B7A" w:rsidRPr="00732116">
        <w:rPr>
          <w:szCs w:val="24"/>
          <w:lang w:val="en-US"/>
        </w:rPr>
        <w:t>, Anthony</w:t>
      </w:r>
      <w:r w:rsidRPr="00732116">
        <w:rPr>
          <w:szCs w:val="24"/>
        </w:rPr>
        <w:t xml:space="preserve">, and Thomas </w:t>
      </w:r>
      <w:r w:rsidRPr="00732116">
        <w:rPr>
          <w:szCs w:val="24"/>
          <w:lang w:val="en-US"/>
        </w:rPr>
        <w:t xml:space="preserve">G. W. Telfer, “Gifts and Transfers at Undervalue”, </w:t>
      </w:r>
      <w:r w:rsidRPr="00732116">
        <w:rPr>
          <w:szCs w:val="24"/>
        </w:rPr>
        <w:t>in Stephanie</w:t>
      </w:r>
      <w:r w:rsidR="00B83B4C" w:rsidRPr="00732116">
        <w:rPr>
          <w:szCs w:val="24"/>
          <w:lang w:val="en-US"/>
        </w:rPr>
        <w:t xml:space="preserve"> Ben</w:t>
      </w:r>
      <w:r w:rsidR="00B83B4C" w:rsidRPr="00732116">
        <w:rPr>
          <w:szCs w:val="24"/>
          <w:lang w:val="en-US"/>
        </w:rPr>
        <w:noBreakHyphen/>
      </w:r>
      <w:r w:rsidRPr="00732116">
        <w:rPr>
          <w:szCs w:val="24"/>
          <w:lang w:val="en-US"/>
        </w:rPr>
        <w:t xml:space="preserve">Ishai </w:t>
      </w:r>
      <w:r w:rsidRPr="00732116">
        <w:rPr>
          <w:szCs w:val="24"/>
        </w:rPr>
        <w:t>and Anthony</w:t>
      </w:r>
      <w:r w:rsidRPr="00732116">
        <w:rPr>
          <w:szCs w:val="24"/>
          <w:lang w:val="en-US"/>
        </w:rPr>
        <w:t xml:space="preserve"> Duggan, eds., </w:t>
      </w:r>
      <w:r w:rsidRPr="00732116">
        <w:rPr>
          <w:i/>
          <w:szCs w:val="24"/>
          <w:lang w:val="en-US"/>
        </w:rPr>
        <w:t>Canadian Bankruptcy and Insolvency Law: Bill C-55, Statute c. 47 and Beyond</w:t>
      </w:r>
      <w:r w:rsidR="00E43B92" w:rsidRPr="00732116">
        <w:rPr>
          <w:szCs w:val="24"/>
        </w:rPr>
        <w:t>.</w:t>
      </w:r>
      <w:r w:rsidRPr="00732116">
        <w:rPr>
          <w:szCs w:val="24"/>
        </w:rPr>
        <w:t xml:space="preserve"> </w:t>
      </w:r>
      <w:proofErr w:type="spellStart"/>
      <w:r w:rsidRPr="00732116">
        <w:rPr>
          <w:szCs w:val="24"/>
        </w:rPr>
        <w:t>Markam</w:t>
      </w:r>
      <w:proofErr w:type="spellEnd"/>
      <w:r w:rsidRPr="00732116">
        <w:rPr>
          <w:szCs w:val="24"/>
        </w:rPr>
        <w:t>, Ont.: LexisNexis, 2007</w:t>
      </w:r>
      <w:r w:rsidRPr="00732116">
        <w:rPr>
          <w:szCs w:val="24"/>
          <w:lang w:val="en-US"/>
        </w:rPr>
        <w:t>, 175</w:t>
      </w:r>
      <w:r w:rsidRPr="00732116">
        <w:rPr>
          <w:szCs w:val="24"/>
        </w:rPr>
        <w:t>.</w:t>
      </w:r>
    </w:p>
    <w:p w14:paraId="3ED1458E" w14:textId="77777777" w:rsidR="001473AF" w:rsidRPr="00732116" w:rsidRDefault="001473AF" w:rsidP="001473AF">
      <w:pPr>
        <w:pStyle w:val="SCCNormalDoubleSpacing"/>
        <w:spacing w:after="240" w:line="240" w:lineRule="auto"/>
        <w:ind w:left="540" w:hanging="540"/>
        <w:rPr>
          <w:rStyle w:val="CommentReference"/>
          <w:sz w:val="24"/>
          <w:szCs w:val="24"/>
        </w:rPr>
      </w:pPr>
      <w:r w:rsidRPr="00732116">
        <w:t xml:space="preserve">Ferran, Eilís. “Corporate Attribution and the Directing Mind and Will” (2011), 127 </w:t>
      </w:r>
      <w:r w:rsidRPr="00732116">
        <w:rPr>
          <w:i/>
        </w:rPr>
        <w:t>Law Q. Rev.</w:t>
      </w:r>
      <w:r w:rsidRPr="00732116">
        <w:t xml:space="preserve"> 239.</w:t>
      </w:r>
    </w:p>
    <w:p w14:paraId="5FD7E797" w14:textId="22D4C8E4" w:rsidR="00A47B7A" w:rsidRPr="00732116" w:rsidRDefault="00BB258A" w:rsidP="00A47B7A">
      <w:pPr>
        <w:pStyle w:val="SCCNormalDoubleSpacing"/>
        <w:spacing w:after="240" w:line="240" w:lineRule="auto"/>
        <w:ind w:left="540" w:hanging="540"/>
        <w:rPr>
          <w:szCs w:val="24"/>
          <w:lang w:val="en-US"/>
        </w:rPr>
      </w:pPr>
      <w:r w:rsidRPr="00732116">
        <w:rPr>
          <w:szCs w:val="24"/>
          <w:lang w:val="en-US"/>
        </w:rPr>
        <w:t xml:space="preserve">Honsberger, John </w:t>
      </w:r>
      <w:r w:rsidR="00A47B7A" w:rsidRPr="00732116">
        <w:rPr>
          <w:szCs w:val="24"/>
          <w:lang w:val="en-US"/>
        </w:rPr>
        <w:t>D.,</w:t>
      </w:r>
      <w:r w:rsidRPr="00732116">
        <w:rPr>
          <w:szCs w:val="24"/>
          <w:lang w:val="en-US"/>
        </w:rPr>
        <w:t xml:space="preserve"> and Vern </w:t>
      </w:r>
      <w:r w:rsidR="00A47B7A" w:rsidRPr="00732116">
        <w:rPr>
          <w:szCs w:val="24"/>
          <w:lang w:val="en-US"/>
        </w:rPr>
        <w:t xml:space="preserve">W. DaRe. </w:t>
      </w:r>
      <w:r w:rsidR="00A47B7A" w:rsidRPr="00732116">
        <w:rPr>
          <w:i/>
          <w:szCs w:val="24"/>
          <w:lang w:val="en-US"/>
        </w:rPr>
        <w:t>Honsberger’s Bankruptcy in Canada</w:t>
      </w:r>
      <w:r w:rsidR="00A47B7A" w:rsidRPr="00732116">
        <w:rPr>
          <w:szCs w:val="24"/>
          <w:lang w:val="en-US"/>
        </w:rPr>
        <w:t>, 5th ed. Toronto: Thomson Reuters, 2017.</w:t>
      </w:r>
    </w:p>
    <w:p w14:paraId="5C080263" w14:textId="794FB3A8" w:rsidR="00A47B7A" w:rsidRPr="00732116" w:rsidRDefault="00BB258A" w:rsidP="005E186A">
      <w:pPr>
        <w:pStyle w:val="SCCNormalDoubleSpacing"/>
        <w:spacing w:after="240" w:line="240" w:lineRule="auto"/>
        <w:ind w:left="540" w:hanging="540"/>
        <w:rPr>
          <w:rFonts w:eastAsiaTheme="minorHAnsi" w:cstheme="minorBidi"/>
          <w:szCs w:val="24"/>
          <w:lang w:val="en-US" w:eastAsia="en-US" w:bidi="en-US"/>
        </w:rPr>
      </w:pPr>
      <w:r w:rsidRPr="00732116">
        <w:rPr>
          <w:rFonts w:eastAsiaTheme="minorHAnsi" w:cstheme="minorBidi"/>
          <w:szCs w:val="24"/>
          <w:lang w:val="en-US" w:eastAsia="en-US" w:bidi="en-US"/>
        </w:rPr>
        <w:t>Houlden, L. W., G. B. </w:t>
      </w:r>
      <w:r w:rsidR="00A47B7A" w:rsidRPr="00732116">
        <w:rPr>
          <w:rFonts w:eastAsiaTheme="minorHAnsi" w:cstheme="minorBidi"/>
          <w:szCs w:val="24"/>
          <w:lang w:val="en-US" w:eastAsia="en-US" w:bidi="en-US"/>
        </w:rPr>
        <w:t xml:space="preserve">Morawetz and Janis Sarra. </w:t>
      </w:r>
      <w:r w:rsidR="00A47B7A" w:rsidRPr="00732116">
        <w:rPr>
          <w:rFonts w:eastAsiaTheme="minorHAnsi" w:cstheme="minorBidi"/>
          <w:i/>
          <w:szCs w:val="24"/>
          <w:lang w:val="en-US" w:eastAsia="en-US" w:bidi="en-US"/>
        </w:rPr>
        <w:t>Bankruptcy and Insolvency Law of Canada</w:t>
      </w:r>
      <w:r w:rsidR="0076169C" w:rsidRPr="00732116">
        <w:rPr>
          <w:rFonts w:eastAsiaTheme="minorHAnsi" w:cstheme="minorBidi"/>
          <w:szCs w:val="24"/>
          <w:lang w:val="en-US" w:eastAsia="en-US" w:bidi="en-US"/>
        </w:rPr>
        <w:t>,</w:t>
      </w:r>
      <w:r w:rsidR="00A47B7A" w:rsidRPr="00732116">
        <w:rPr>
          <w:rFonts w:eastAsiaTheme="minorHAnsi" w:cstheme="minorBidi"/>
          <w:szCs w:val="24"/>
          <w:lang w:val="en-US" w:eastAsia="en-US" w:bidi="en-US"/>
        </w:rPr>
        <w:t xml:space="preserve"> 4th ed. rev. Toronto: Thomson Reuters, 2024 (loose‐leaf updated April 2024, release 4).</w:t>
      </w:r>
    </w:p>
    <w:p w14:paraId="4268606E" w14:textId="77777777" w:rsidR="001E01FE" w:rsidRPr="00732116" w:rsidRDefault="001E01FE" w:rsidP="001E01FE">
      <w:pPr>
        <w:pStyle w:val="SCCNormalDoubleSpacing"/>
        <w:spacing w:after="240" w:line="240" w:lineRule="auto"/>
        <w:ind w:left="540" w:hanging="540"/>
        <w:rPr>
          <w:rFonts w:eastAsiaTheme="minorHAnsi" w:cstheme="minorBidi"/>
          <w:szCs w:val="24"/>
          <w:lang w:val="en-US" w:eastAsia="en-US" w:bidi="en-US"/>
        </w:rPr>
      </w:pPr>
      <w:r w:rsidRPr="00732116">
        <w:rPr>
          <w:rFonts w:eastAsiaTheme="minorHAnsi" w:cstheme="minorBidi"/>
          <w:szCs w:val="24"/>
          <w:lang w:val="en-US" w:eastAsia="en-US" w:bidi="en-US"/>
        </w:rPr>
        <w:t>MacPherson, Darcy L. “</w:t>
      </w:r>
      <w:r w:rsidRPr="00732116">
        <w:t xml:space="preserve">The Civil and Criminal Applications of the Identification Doctrine: Arguments for Harmonization” (2007), 45 </w:t>
      </w:r>
      <w:r w:rsidRPr="00732116">
        <w:rPr>
          <w:i/>
        </w:rPr>
        <w:t>Alta. L. Rev.</w:t>
      </w:r>
      <w:r w:rsidRPr="00732116">
        <w:t xml:space="preserve"> 171.</w:t>
      </w:r>
    </w:p>
    <w:p w14:paraId="42E8978F" w14:textId="5B8E52CE" w:rsidR="00E64B42" w:rsidRPr="00732116" w:rsidRDefault="00E64B42" w:rsidP="005E186A">
      <w:pPr>
        <w:pStyle w:val="SCCNormalDoubleSpacing"/>
        <w:spacing w:after="240" w:line="240" w:lineRule="auto"/>
        <w:ind w:left="540" w:hanging="540"/>
      </w:pPr>
      <w:r w:rsidRPr="00732116">
        <w:rPr>
          <w:rFonts w:eastAsiaTheme="minorHAnsi" w:cstheme="minorBidi"/>
          <w:szCs w:val="24"/>
          <w:lang w:val="en-US" w:eastAsia="en-US" w:bidi="en-US"/>
        </w:rPr>
        <w:t xml:space="preserve">McGuinness, Kevin P., and Maurice Coombs. </w:t>
      </w:r>
      <w:r w:rsidRPr="00732116">
        <w:rPr>
          <w:i/>
        </w:rPr>
        <w:t>Canadian Business Corporations Law</w:t>
      </w:r>
      <w:r w:rsidRPr="00732116">
        <w:t>, 4th ed., vol. 1. Toronto: LexisNexis, 2023.</w:t>
      </w:r>
    </w:p>
    <w:p w14:paraId="16DFC883" w14:textId="1ABCB875" w:rsidR="00E43B92" w:rsidRPr="00732116" w:rsidRDefault="00E43B92" w:rsidP="005E186A">
      <w:pPr>
        <w:pStyle w:val="SCCNormalDoubleSpacing"/>
        <w:spacing w:after="240" w:line="240" w:lineRule="auto"/>
        <w:ind w:left="540" w:hanging="540"/>
        <w:rPr>
          <w:rFonts w:eastAsiaTheme="minorHAnsi" w:cstheme="minorBidi"/>
          <w:szCs w:val="24"/>
          <w:lang w:val="en-US" w:eastAsia="en-US" w:bidi="en-US"/>
        </w:rPr>
      </w:pPr>
      <w:r w:rsidRPr="00732116">
        <w:t xml:space="preserve">Payne, Jennifer. “Corporate Attribution and the Lessons of </w:t>
      </w:r>
      <w:r w:rsidRPr="00732116">
        <w:rPr>
          <w:i/>
        </w:rPr>
        <w:t>Meridian</w:t>
      </w:r>
      <w:r w:rsidRPr="00732116">
        <w:t xml:space="preserve">”, in Paul S. Davies and Justine Pila, </w:t>
      </w:r>
      <w:proofErr w:type="gramStart"/>
      <w:r w:rsidRPr="00732116">
        <w:rPr>
          <w:i/>
        </w:rPr>
        <w:t>The</w:t>
      </w:r>
      <w:proofErr w:type="gramEnd"/>
      <w:r w:rsidRPr="00732116">
        <w:rPr>
          <w:i/>
        </w:rPr>
        <w:t xml:space="preserve"> Jurisprudence of Lord Hoffman: A Festschrift in Honour of Lord Leonard Hoffman</w:t>
      </w:r>
      <w:r w:rsidRPr="00732116">
        <w:t xml:space="preserve">. Portland, </w:t>
      </w:r>
      <w:proofErr w:type="gramStart"/>
      <w:r w:rsidRPr="00732116">
        <w:t>Or.:</w:t>
      </w:r>
      <w:proofErr w:type="gramEnd"/>
      <w:r w:rsidRPr="00732116">
        <w:t xml:space="preserve"> Hart Publishing, 2015, 357.</w:t>
      </w:r>
    </w:p>
    <w:p w14:paraId="1916040E" w14:textId="7CA651F1" w:rsidR="00A47B7A" w:rsidRPr="00732116" w:rsidRDefault="00A47B7A" w:rsidP="005E186A">
      <w:pPr>
        <w:pStyle w:val="SCCNormalDoubleSpacing"/>
        <w:spacing w:after="240" w:line="240" w:lineRule="auto"/>
        <w:ind w:left="540" w:hanging="540"/>
        <w:rPr>
          <w:szCs w:val="24"/>
          <w:lang w:val="en-US"/>
        </w:rPr>
      </w:pPr>
      <w:r w:rsidRPr="00732116">
        <w:rPr>
          <w:rStyle w:val="CommentReference"/>
          <w:sz w:val="24"/>
          <w:szCs w:val="24"/>
        </w:rPr>
        <w:t>Rappos, Sam</w:t>
      </w:r>
      <w:r w:rsidRPr="00732116">
        <w:rPr>
          <w:szCs w:val="24"/>
        </w:rPr>
        <w:t xml:space="preserve">. </w:t>
      </w:r>
      <w:r w:rsidRPr="00732116">
        <w:rPr>
          <w:szCs w:val="24"/>
          <w:lang w:val="en-US"/>
        </w:rPr>
        <w:t xml:space="preserve">“A Reframing of the Corporate Attribution Doctrine in the Bankruptcy and Insolvency Context”, in Jill Corraini and D. Blair Nixon, eds., </w:t>
      </w:r>
      <w:r w:rsidRPr="00732116">
        <w:rPr>
          <w:i/>
          <w:szCs w:val="24"/>
          <w:lang w:val="en-US"/>
        </w:rPr>
        <w:t>Annual Review of Insolvency Law 2022</w:t>
      </w:r>
      <w:r w:rsidRPr="00732116">
        <w:rPr>
          <w:szCs w:val="24"/>
          <w:lang w:val="en-US"/>
        </w:rPr>
        <w:t>. Toronto: Thomson Reuters, 2023, 1.</w:t>
      </w:r>
    </w:p>
    <w:p w14:paraId="69A9C0EA" w14:textId="5A9E78B5" w:rsidR="005E186A" w:rsidRPr="00732116" w:rsidRDefault="005E186A" w:rsidP="005E186A">
      <w:pPr>
        <w:pStyle w:val="SCCNormalDoubleSpacing"/>
        <w:spacing w:after="240" w:line="240" w:lineRule="auto"/>
        <w:ind w:left="540" w:hanging="540"/>
        <w:rPr>
          <w:rStyle w:val="CommentReference"/>
          <w:sz w:val="24"/>
          <w:szCs w:val="24"/>
        </w:rPr>
      </w:pPr>
      <w:r w:rsidRPr="00732116">
        <w:rPr>
          <w:szCs w:val="24"/>
          <w:lang w:val="en-US"/>
        </w:rPr>
        <w:t>W</w:t>
      </w:r>
      <w:proofErr w:type="spellStart"/>
      <w:r w:rsidRPr="00732116">
        <w:rPr>
          <w:rStyle w:val="CommentReference"/>
          <w:sz w:val="24"/>
          <w:szCs w:val="24"/>
        </w:rPr>
        <w:t>ood</w:t>
      </w:r>
      <w:proofErr w:type="spellEnd"/>
      <w:r w:rsidRPr="00732116">
        <w:rPr>
          <w:rStyle w:val="CommentReference"/>
          <w:sz w:val="24"/>
          <w:szCs w:val="24"/>
        </w:rPr>
        <w:t xml:space="preserve">, Roderick J. </w:t>
      </w:r>
      <w:r w:rsidRPr="00732116">
        <w:rPr>
          <w:rStyle w:val="CommentReference"/>
          <w:i/>
          <w:sz w:val="24"/>
          <w:szCs w:val="24"/>
        </w:rPr>
        <w:t>Bankruptcy and Insolvency Law</w:t>
      </w:r>
      <w:r w:rsidRPr="00732116">
        <w:rPr>
          <w:rStyle w:val="CommentReference"/>
          <w:sz w:val="24"/>
          <w:szCs w:val="24"/>
        </w:rPr>
        <w:t>, 2nd ed. Toronto: Irwin Law, 2015.</w:t>
      </w:r>
    </w:p>
    <w:p w14:paraId="205921EC" w14:textId="2AC025B4" w:rsidR="00B47FD3" w:rsidRPr="00732116" w:rsidRDefault="00B47FD3" w:rsidP="005E186A">
      <w:pPr>
        <w:pStyle w:val="SCCNormalDoubleSpacing"/>
        <w:spacing w:after="240" w:line="240" w:lineRule="auto"/>
        <w:ind w:left="540" w:hanging="540"/>
        <w:rPr>
          <w:rStyle w:val="CommentReference"/>
          <w:sz w:val="24"/>
          <w:szCs w:val="24"/>
        </w:rPr>
      </w:pPr>
      <w:r w:rsidRPr="00732116">
        <w:rPr>
          <w:szCs w:val="24"/>
          <w:lang w:val="en-US"/>
        </w:rPr>
        <w:t>W</w:t>
      </w:r>
      <w:proofErr w:type="spellStart"/>
      <w:r w:rsidRPr="00732116">
        <w:rPr>
          <w:rStyle w:val="CommentReference"/>
          <w:sz w:val="24"/>
          <w:szCs w:val="24"/>
        </w:rPr>
        <w:t>ood</w:t>
      </w:r>
      <w:proofErr w:type="spellEnd"/>
      <w:r w:rsidRPr="00732116">
        <w:rPr>
          <w:rStyle w:val="CommentReference"/>
          <w:sz w:val="24"/>
          <w:szCs w:val="24"/>
        </w:rPr>
        <w:t xml:space="preserve">, Roderick J. </w:t>
      </w:r>
      <w:r w:rsidRPr="00732116">
        <w:rPr>
          <w:lang w:bidi="en-US"/>
        </w:rPr>
        <w:t>“</w:t>
      </w:r>
      <w:r w:rsidRPr="00732116">
        <w:rPr>
          <w:i/>
          <w:lang w:bidi="en-US"/>
        </w:rPr>
        <w:t>Ernst &amp; Young Inc. v. Aquino</w:t>
      </w:r>
      <w:r w:rsidRPr="00732116">
        <w:rPr>
          <w:lang w:bidi="en-US"/>
        </w:rPr>
        <w:t xml:space="preserve">: Attributing Fraudulent Intent to a Defrauded Corporation” (2022), 66 </w:t>
      </w:r>
      <w:r w:rsidRPr="00732116">
        <w:rPr>
          <w:i/>
          <w:lang w:bidi="en-US"/>
        </w:rPr>
        <w:t>Can. Bus. L.J.</w:t>
      </w:r>
      <w:r w:rsidRPr="00732116">
        <w:rPr>
          <w:lang w:bidi="en-US"/>
        </w:rPr>
        <w:t xml:space="preserve"> 250.</w:t>
      </w:r>
    </w:p>
    <w:p w14:paraId="25114407" w14:textId="518E0F2A" w:rsidR="00663658" w:rsidRPr="00732116" w:rsidRDefault="00663658" w:rsidP="00663658">
      <w:pPr>
        <w:pStyle w:val="SCCNormalDoubleSpacing"/>
        <w:spacing w:after="720" w:line="240" w:lineRule="auto"/>
        <w:ind w:left="547" w:hanging="547"/>
        <w:rPr>
          <w:szCs w:val="24"/>
          <w:lang w:val="en-US"/>
        </w:rPr>
      </w:pPr>
      <w:r w:rsidRPr="00732116">
        <w:rPr>
          <w:szCs w:val="24"/>
          <w:lang w:val="en-US"/>
        </w:rPr>
        <w:t>Wood, Roderick J.</w:t>
      </w:r>
      <w:r w:rsidRPr="00732116">
        <w:rPr>
          <w:szCs w:val="24"/>
        </w:rPr>
        <w:t xml:space="preserve"> “Transfers at Undervalue: New Wine in Old Wineskins?</w:t>
      </w:r>
      <w:proofErr w:type="gramStart"/>
      <w:r w:rsidRPr="00732116">
        <w:rPr>
          <w:szCs w:val="24"/>
        </w:rPr>
        <w:t>”,</w:t>
      </w:r>
      <w:proofErr w:type="gramEnd"/>
      <w:r w:rsidRPr="00732116">
        <w:rPr>
          <w:szCs w:val="24"/>
        </w:rPr>
        <w:t xml:space="preserve"> in Janis P. Sarra and Barbara Romaine, eds., </w:t>
      </w:r>
      <w:r w:rsidRPr="00732116">
        <w:rPr>
          <w:i/>
          <w:szCs w:val="24"/>
        </w:rPr>
        <w:t>Annual Review of Insolvency Law 2017</w:t>
      </w:r>
      <w:r w:rsidRPr="00732116">
        <w:rPr>
          <w:szCs w:val="24"/>
        </w:rPr>
        <w:t xml:space="preserve">. </w:t>
      </w:r>
      <w:r w:rsidRPr="00732116">
        <w:rPr>
          <w:szCs w:val="24"/>
          <w:lang w:val="en-US"/>
        </w:rPr>
        <w:t>Toronto: Thomson Reuters, 20</w:t>
      </w:r>
      <w:r w:rsidRPr="00732116">
        <w:rPr>
          <w:szCs w:val="24"/>
        </w:rPr>
        <w:t>18</w:t>
      </w:r>
      <w:r w:rsidRPr="00732116">
        <w:rPr>
          <w:szCs w:val="24"/>
          <w:lang w:val="en-US"/>
        </w:rPr>
        <w:t xml:space="preserve">, </w:t>
      </w:r>
      <w:r w:rsidRPr="00732116">
        <w:rPr>
          <w:szCs w:val="24"/>
        </w:rPr>
        <w:t>1</w:t>
      </w:r>
      <w:r w:rsidRPr="00732116">
        <w:rPr>
          <w:szCs w:val="24"/>
          <w:lang w:val="en-US"/>
        </w:rPr>
        <w:t>.</w:t>
      </w:r>
    </w:p>
    <w:p w14:paraId="60446487" w14:textId="00799282" w:rsidR="007418DC" w:rsidRPr="00732116" w:rsidRDefault="009B57B3" w:rsidP="00B83B4C">
      <w:pPr>
        <w:pStyle w:val="SCCNormalDoubleSpacing"/>
        <w:spacing w:after="480"/>
        <w:rPr>
          <w:lang w:val="en-US"/>
        </w:rPr>
      </w:pPr>
      <w:r w:rsidRPr="00732116">
        <w:tab/>
        <w:t xml:space="preserve">APPEAL from a judgment of the </w:t>
      </w:r>
      <w:r w:rsidR="00144206" w:rsidRPr="00732116">
        <w:t xml:space="preserve">Ontario </w:t>
      </w:r>
      <w:r w:rsidRPr="00732116">
        <w:t xml:space="preserve">Court of Appeal </w:t>
      </w:r>
      <w:r w:rsidR="00144206" w:rsidRPr="00732116">
        <w:t>(</w:t>
      </w:r>
      <w:r w:rsidR="007418DC" w:rsidRPr="00732116">
        <w:rPr>
          <w:lang w:val="en-US"/>
        </w:rPr>
        <w:t xml:space="preserve">Lauwers, Coroza and Sossin JJ.A.), </w:t>
      </w:r>
      <w:hyperlink r:id="rId10" w:history="1">
        <w:r w:rsidR="007418DC" w:rsidRPr="00732116">
          <w:rPr>
            <w:rStyle w:val="Hyperlink"/>
            <w:lang w:val="en-US"/>
          </w:rPr>
          <w:t>2022 ONCA 202</w:t>
        </w:r>
      </w:hyperlink>
      <w:r w:rsidR="007418DC" w:rsidRPr="00732116">
        <w:rPr>
          <w:lang w:val="en-US"/>
        </w:rPr>
        <w:t>, 160 O.R. (3d) 284, 100 C.B.R. (6th) 18, 473 D.L.R. (4th) 571, [2</w:t>
      </w:r>
      <w:r w:rsidR="00BB258A" w:rsidRPr="00732116">
        <w:rPr>
          <w:lang w:val="en-US"/>
        </w:rPr>
        <w:t>022] O.J. No. </w:t>
      </w:r>
      <w:r w:rsidR="007418DC" w:rsidRPr="00732116">
        <w:rPr>
          <w:lang w:val="en-US"/>
        </w:rPr>
        <w:t>1181 (</w:t>
      </w:r>
      <w:r w:rsidR="00A2469B" w:rsidRPr="00732116">
        <w:rPr>
          <w:lang w:val="en-US"/>
        </w:rPr>
        <w:t>Lexis</w:t>
      </w:r>
      <w:r w:rsidR="007418DC" w:rsidRPr="00732116">
        <w:rPr>
          <w:lang w:val="en-US"/>
        </w:rPr>
        <w:t xml:space="preserve">), 2022 CarswellOnt 3170 (WL), </w:t>
      </w:r>
      <w:r w:rsidR="00CC12B5" w:rsidRPr="00732116">
        <w:t xml:space="preserve">affirming a decision of </w:t>
      </w:r>
      <w:r w:rsidR="007418DC" w:rsidRPr="00732116">
        <w:rPr>
          <w:lang w:val="en-US"/>
        </w:rPr>
        <w:t>Dietrich</w:t>
      </w:r>
      <w:r w:rsidR="00CC12B5" w:rsidRPr="00732116">
        <w:rPr>
          <w:lang w:val="en-US"/>
        </w:rPr>
        <w:t> J.</w:t>
      </w:r>
      <w:r w:rsidR="007418DC" w:rsidRPr="00732116">
        <w:rPr>
          <w:lang w:val="en-US"/>
        </w:rPr>
        <w:t>, 2021 ONSC 527, 88 C</w:t>
      </w:r>
      <w:r w:rsidR="00BB258A" w:rsidRPr="00732116">
        <w:rPr>
          <w:lang w:val="en-US"/>
        </w:rPr>
        <w:t>.B.R. (6th) 60, [2021] O.J. No. </w:t>
      </w:r>
      <w:r w:rsidR="007418DC" w:rsidRPr="00732116">
        <w:rPr>
          <w:lang w:val="en-US"/>
        </w:rPr>
        <w:t>1595 (</w:t>
      </w:r>
      <w:r w:rsidR="00A2469B" w:rsidRPr="00732116">
        <w:rPr>
          <w:lang w:val="en-US"/>
        </w:rPr>
        <w:t>Lexis</w:t>
      </w:r>
      <w:r w:rsidR="007418DC" w:rsidRPr="00732116">
        <w:rPr>
          <w:lang w:val="en-US"/>
        </w:rPr>
        <w:t xml:space="preserve">), 2021 CarswellOnt 4221 (WL). </w:t>
      </w:r>
      <w:r w:rsidR="00CC12B5" w:rsidRPr="00732116">
        <w:rPr>
          <w:lang w:val="en-US"/>
        </w:rPr>
        <w:t>Appeal</w:t>
      </w:r>
      <w:r w:rsidR="007418DC" w:rsidRPr="00732116">
        <w:rPr>
          <w:lang w:val="en-US"/>
        </w:rPr>
        <w:t xml:space="preserve"> </w:t>
      </w:r>
      <w:r w:rsidR="006C14E5" w:rsidRPr="00732116">
        <w:rPr>
          <w:lang w:val="en-US"/>
        </w:rPr>
        <w:t>dismissed</w:t>
      </w:r>
      <w:r w:rsidR="007418DC" w:rsidRPr="00732116">
        <w:rPr>
          <w:lang w:val="en-US"/>
        </w:rPr>
        <w:t>.</w:t>
      </w:r>
    </w:p>
    <w:p w14:paraId="7BA63FA3" w14:textId="7F314214" w:rsidR="00F47BF2" w:rsidRPr="00732116" w:rsidRDefault="003E469F" w:rsidP="00B83B4C">
      <w:pPr>
        <w:pStyle w:val="SCCNormalDoubleSpacing"/>
        <w:spacing w:after="480"/>
      </w:pPr>
      <w:r w:rsidRPr="00732116">
        <w:rPr>
          <w:rStyle w:val="SCCCounselNameChar"/>
        </w:rPr>
        <w:tab/>
      </w:r>
      <w:r w:rsidR="00144206" w:rsidRPr="00732116">
        <w:rPr>
          <w:rStyle w:val="SCCCounselNameChar"/>
          <w:lang w:val="en-US"/>
        </w:rPr>
        <w:t>Terry Corsianos</w:t>
      </w:r>
      <w:r w:rsidR="00144206" w:rsidRPr="00732116">
        <w:rPr>
          <w:rStyle w:val="SCCCounselSeparatorChar"/>
          <w:lang w:val="en-US"/>
        </w:rPr>
        <w:t xml:space="preserve">, </w:t>
      </w:r>
      <w:r w:rsidR="00144206" w:rsidRPr="00732116">
        <w:rPr>
          <w:rStyle w:val="SCCCounselNameChar"/>
          <w:lang w:val="en-US"/>
        </w:rPr>
        <w:t xml:space="preserve">George Corsianos </w:t>
      </w:r>
      <w:r w:rsidR="00144206" w:rsidRPr="00732116">
        <w:rPr>
          <w:rStyle w:val="SCCCounselNameChar"/>
          <w:i w:val="0"/>
          <w:lang w:val="en-US"/>
        </w:rPr>
        <w:t xml:space="preserve">and </w:t>
      </w:r>
      <w:r w:rsidR="00144206" w:rsidRPr="00732116">
        <w:rPr>
          <w:rStyle w:val="SCCCounselNameChar"/>
          <w:lang w:val="en-US"/>
        </w:rPr>
        <w:t>Jacob Lee</w:t>
      </w:r>
      <w:r w:rsidRPr="00732116">
        <w:rPr>
          <w:rStyle w:val="SCCCounselPartyRoleChar"/>
        </w:rPr>
        <w:t>, for the appellant</w:t>
      </w:r>
      <w:r w:rsidR="00144206" w:rsidRPr="00732116">
        <w:rPr>
          <w:rStyle w:val="SCCCounselPartyRoleChar"/>
        </w:rPr>
        <w:t>s</w:t>
      </w:r>
      <w:r w:rsidRPr="00732116">
        <w:rPr>
          <w:rStyle w:val="SCCCounselPartyRoleChar"/>
        </w:rPr>
        <w:t>.</w:t>
      </w:r>
    </w:p>
    <w:p w14:paraId="07A0F0D2" w14:textId="18E2BA8D" w:rsidR="00F47BF2" w:rsidRPr="00732116" w:rsidRDefault="003E469F" w:rsidP="00B83B4C">
      <w:pPr>
        <w:pStyle w:val="SCCNormalDoubleSpacing"/>
        <w:spacing w:after="480"/>
      </w:pPr>
      <w:r w:rsidRPr="00732116">
        <w:rPr>
          <w:rStyle w:val="SCCCounselNameChar"/>
        </w:rPr>
        <w:tab/>
        <w:t xml:space="preserve">Alan </w:t>
      </w:r>
      <w:proofErr w:type="spellStart"/>
      <w:r w:rsidRPr="00732116">
        <w:rPr>
          <w:rStyle w:val="SCCCounselNameChar"/>
        </w:rPr>
        <w:t>Merskey</w:t>
      </w:r>
      <w:proofErr w:type="spellEnd"/>
      <w:r w:rsidRPr="00732116">
        <w:rPr>
          <w:rStyle w:val="SCCCounselSeparatorChar"/>
        </w:rPr>
        <w:t xml:space="preserve"> and </w:t>
      </w:r>
      <w:r w:rsidRPr="00732116">
        <w:rPr>
          <w:rStyle w:val="SCCCounselNameChar"/>
        </w:rPr>
        <w:t>Stephen Taylor</w:t>
      </w:r>
      <w:r w:rsidRPr="00732116">
        <w:rPr>
          <w:rStyle w:val="SCCCounselPartyRoleChar"/>
        </w:rPr>
        <w:t>, for the respondent</w:t>
      </w:r>
      <w:r w:rsidR="00144206" w:rsidRPr="00732116">
        <w:rPr>
          <w:rStyle w:val="SCCCounselPartyRoleChar"/>
        </w:rPr>
        <w:t xml:space="preserve"> Ernst &amp; Young</w:t>
      </w:r>
      <w:r w:rsidR="00B83B4C" w:rsidRPr="00732116">
        <w:rPr>
          <w:rStyle w:val="SCCCounselPartyRoleChar"/>
        </w:rPr>
        <w:t xml:space="preserve"> Inc., in its capacity as court</w:t>
      </w:r>
      <w:r w:rsidR="00B83B4C" w:rsidRPr="00732116">
        <w:rPr>
          <w:rStyle w:val="SCCCounselPartyRoleChar"/>
        </w:rPr>
        <w:noBreakHyphen/>
      </w:r>
      <w:r w:rsidR="00144206" w:rsidRPr="00732116">
        <w:rPr>
          <w:rStyle w:val="SCCCounselPartyRoleChar"/>
        </w:rPr>
        <w:t>appointed monitor of Bondfield Construction Company Limited</w:t>
      </w:r>
      <w:r w:rsidRPr="00732116">
        <w:rPr>
          <w:rStyle w:val="SCCCounselPartyRoleChar"/>
        </w:rPr>
        <w:t>.</w:t>
      </w:r>
    </w:p>
    <w:p w14:paraId="4D9F7472" w14:textId="3C9588A2" w:rsidR="00144206" w:rsidRPr="00732116" w:rsidRDefault="00144206" w:rsidP="00B83B4C">
      <w:pPr>
        <w:pStyle w:val="SCCNormalDoubleSpacing"/>
        <w:spacing w:after="480"/>
        <w:rPr>
          <w:rStyle w:val="SCCCounselPartyRoleChar"/>
          <w:lang w:val="en-US"/>
        </w:rPr>
      </w:pPr>
      <w:r w:rsidRPr="00732116">
        <w:tab/>
      </w:r>
      <w:r w:rsidRPr="00732116">
        <w:rPr>
          <w:rStyle w:val="SCCCounselNameChar"/>
          <w:lang w:val="en-US"/>
        </w:rPr>
        <w:t>Jeremy Opolsky</w:t>
      </w:r>
      <w:r w:rsidRPr="00732116">
        <w:rPr>
          <w:rStyle w:val="SCCCounselSeparatorChar"/>
          <w:lang w:val="en-US"/>
        </w:rPr>
        <w:t xml:space="preserve"> and </w:t>
      </w:r>
      <w:r w:rsidRPr="00732116">
        <w:rPr>
          <w:rStyle w:val="SCCCounselNameChar"/>
          <w:lang w:val="en-US"/>
        </w:rPr>
        <w:t>Alex Bogach</w:t>
      </w:r>
      <w:r w:rsidRPr="00732116">
        <w:rPr>
          <w:rStyle w:val="SCCCounselNameChar"/>
          <w:i w:val="0"/>
          <w:lang w:val="en-US"/>
        </w:rPr>
        <w:t xml:space="preserve">, </w:t>
      </w:r>
      <w:r w:rsidRPr="00732116">
        <w:rPr>
          <w:rStyle w:val="SCCCounselPartyRoleChar"/>
        </w:rPr>
        <w:t>for the respondent KSV Kofman Inc., in its capacity as Trustee in Bankruptcy of 1033803 Ontario Inc. and 1087507 Ontario Limited</w:t>
      </w:r>
      <w:r w:rsidRPr="00732116">
        <w:rPr>
          <w:rStyle w:val="SCCCounselPartyRoleChar"/>
          <w:lang w:val="en-US"/>
        </w:rPr>
        <w:t>.</w:t>
      </w:r>
    </w:p>
    <w:p w14:paraId="2E0D7EC8" w14:textId="2EBE891E" w:rsidR="00F47BF2" w:rsidRPr="00732116" w:rsidRDefault="003E469F" w:rsidP="00B83B4C">
      <w:pPr>
        <w:pStyle w:val="SCCNormalDoubleSpacing"/>
        <w:spacing w:after="480"/>
      </w:pPr>
      <w:r w:rsidRPr="00732116">
        <w:rPr>
          <w:rStyle w:val="SCCCounselNameChar"/>
        </w:rPr>
        <w:tab/>
        <w:t>Dona Salmon</w:t>
      </w:r>
      <w:r w:rsidRPr="00732116">
        <w:rPr>
          <w:rStyle w:val="SCCCounselSeparatorChar"/>
        </w:rPr>
        <w:t xml:space="preserve"> and </w:t>
      </w:r>
      <w:r w:rsidRPr="00732116">
        <w:rPr>
          <w:rStyle w:val="SCCCounselNameChar"/>
        </w:rPr>
        <w:t>Jennifer Boyczuk</w:t>
      </w:r>
      <w:r w:rsidRPr="00732116">
        <w:rPr>
          <w:rStyle w:val="SCCCounselPartyRoleChar"/>
        </w:rPr>
        <w:t xml:space="preserve">, for the intervener </w:t>
      </w:r>
      <w:r w:rsidR="00C363A6" w:rsidRPr="00732116">
        <w:rPr>
          <w:rStyle w:val="SCCCounselPartyRoleChar"/>
        </w:rPr>
        <w:t xml:space="preserve">the </w:t>
      </w:r>
      <w:r w:rsidRPr="00732116">
        <w:rPr>
          <w:rStyle w:val="SCCCounselPartyRoleChar"/>
        </w:rPr>
        <w:t>Attorney General of Ontario.</w:t>
      </w:r>
    </w:p>
    <w:p w14:paraId="71D1DBD6" w14:textId="0EF741EE" w:rsidR="00F47BF2" w:rsidRPr="00732116" w:rsidRDefault="003E469F" w:rsidP="00B83B4C">
      <w:pPr>
        <w:pStyle w:val="SCCNormalDoubleSpacing"/>
        <w:spacing w:after="480"/>
        <w:rPr>
          <w:rStyle w:val="SCCCounselPartyRoleChar"/>
        </w:rPr>
      </w:pPr>
      <w:r w:rsidRPr="00732116">
        <w:rPr>
          <w:rStyle w:val="SCCCounselNameChar"/>
        </w:rPr>
        <w:tab/>
        <w:t>Natasha MacParland</w:t>
      </w:r>
      <w:r w:rsidRPr="00732116">
        <w:rPr>
          <w:rStyle w:val="SCCCounselNameChar"/>
          <w:i w:val="0"/>
        </w:rPr>
        <w:t>,</w:t>
      </w:r>
      <w:r w:rsidRPr="00732116">
        <w:rPr>
          <w:rStyle w:val="SCCCounselNameChar"/>
        </w:rPr>
        <w:t xml:space="preserve"> Chanakya A. Sethi</w:t>
      </w:r>
      <w:r w:rsidR="00C363A6" w:rsidRPr="00732116">
        <w:rPr>
          <w:rStyle w:val="SCCCounselNameChar"/>
          <w:i w:val="0"/>
        </w:rPr>
        <w:t>,</w:t>
      </w:r>
      <w:r w:rsidRPr="00732116">
        <w:rPr>
          <w:rStyle w:val="SCCCounselSeparatorChar"/>
        </w:rPr>
        <w:t xml:space="preserve"> </w:t>
      </w:r>
      <w:r w:rsidRPr="00732116">
        <w:rPr>
          <w:rStyle w:val="SCCCounselNameChar"/>
        </w:rPr>
        <w:t xml:space="preserve">Rui </w:t>
      </w:r>
      <w:proofErr w:type="gramStart"/>
      <w:r w:rsidRPr="00732116">
        <w:rPr>
          <w:rStyle w:val="SCCCounselNameChar"/>
        </w:rPr>
        <w:t>Gao</w:t>
      </w:r>
      <w:proofErr w:type="gramEnd"/>
      <w:r w:rsidR="00C363A6" w:rsidRPr="00732116">
        <w:rPr>
          <w:rStyle w:val="SCCCounselSeparatorChar"/>
        </w:rPr>
        <w:t xml:space="preserve"> and </w:t>
      </w:r>
      <w:r w:rsidR="00C363A6" w:rsidRPr="00732116">
        <w:rPr>
          <w:rStyle w:val="SCCCounselNameChar"/>
          <w:lang w:val="en-US"/>
        </w:rPr>
        <w:t>J. Henry Machum</w:t>
      </w:r>
      <w:r w:rsidRPr="00732116">
        <w:rPr>
          <w:rStyle w:val="SCCCounselPartyRoleChar"/>
        </w:rPr>
        <w:t xml:space="preserve">, for the intervener </w:t>
      </w:r>
      <w:r w:rsidR="003D579E" w:rsidRPr="00732116">
        <w:rPr>
          <w:rStyle w:val="SCCCounselPartyRoleChar"/>
        </w:rPr>
        <w:t xml:space="preserve">the </w:t>
      </w:r>
      <w:r w:rsidRPr="00732116">
        <w:rPr>
          <w:rStyle w:val="SCCCounselPartyRoleChar"/>
        </w:rPr>
        <w:t>Insolvency Institute of Canada.</w:t>
      </w:r>
    </w:p>
    <w:p w14:paraId="097E0712" w14:textId="77777777" w:rsidR="000C4436" w:rsidRPr="00732116" w:rsidRDefault="000C4436" w:rsidP="000C4436">
      <w:pPr>
        <w:tabs>
          <w:tab w:val="left" w:pos="1134"/>
        </w:tabs>
        <w:spacing w:after="480" w:line="480" w:lineRule="auto"/>
        <w:ind w:firstLine="12"/>
        <w:jc w:val="both"/>
      </w:pPr>
      <w:r w:rsidRPr="00B53572">
        <w:tab/>
      </w:r>
      <w:r w:rsidRPr="00732116">
        <w:t>The judgment of the Court was delivered by</w:t>
      </w:r>
    </w:p>
    <w:p w14:paraId="10F12237" w14:textId="77777777" w:rsidR="000C4436" w:rsidRPr="00732116" w:rsidRDefault="000C4436" w:rsidP="0011444F">
      <w:pPr>
        <w:pStyle w:val="JudgeJuge"/>
        <w:tabs>
          <w:tab w:val="clear" w:pos="1166"/>
          <w:tab w:val="left" w:pos="1134"/>
          <w:tab w:val="left" w:pos="8090"/>
          <w:tab w:val="right" w:pos="8280"/>
        </w:tabs>
      </w:pPr>
      <w:r w:rsidRPr="00732116">
        <w:tab/>
        <w:t xml:space="preserve">Jamal J. — </w:t>
      </w:r>
      <w:r w:rsidRPr="00732116">
        <w:tab/>
      </w:r>
    </w:p>
    <w:p w14:paraId="0DBA5A25" w14:textId="77777777" w:rsidR="000C4436" w:rsidRPr="00732116" w:rsidRDefault="000C4436" w:rsidP="000C4436">
      <w:pPr>
        <w:pStyle w:val="Title1LevelTitre1Niveau-AltL"/>
        <w:numPr>
          <w:ilvl w:val="0"/>
          <w:numId w:val="8"/>
        </w:numPr>
        <w:rPr>
          <w:rFonts w:cs="Times New Roman"/>
        </w:rPr>
      </w:pPr>
      <w:bookmarkStart w:id="0" w:name="_Toc160194663"/>
      <w:r w:rsidRPr="00732116">
        <w:rPr>
          <w:rFonts w:cs="Times New Roman"/>
        </w:rPr>
        <w:t>Introduction</w:t>
      </w:r>
      <w:bookmarkEnd w:id="0"/>
    </w:p>
    <w:p w14:paraId="4120FFD4" w14:textId="77777777" w:rsidR="000C4436" w:rsidRPr="00732116" w:rsidRDefault="000C4436" w:rsidP="000C4436">
      <w:pPr>
        <w:pStyle w:val="ParaNoNdepar-AltN"/>
        <w:rPr>
          <w:rFonts w:cs="Times New Roman"/>
          <w:i/>
        </w:rPr>
      </w:pPr>
      <w:r w:rsidRPr="00732116">
        <w:rPr>
          <w:rFonts w:cs="Times New Roman"/>
        </w:rPr>
        <w:t xml:space="preserve">The common law doctrine of corporate attribution provides guiding principles for when the actions, knowledge, state of mind, or intent of the directing mind of a corporation may be attributed or imputed to the corporation. This Court applied the corporate attribution doctrine in the criminal context in </w:t>
      </w:r>
      <w:r w:rsidRPr="00732116">
        <w:rPr>
          <w:rFonts w:cs="Times New Roman"/>
          <w:i/>
        </w:rPr>
        <w:t>Canadian Dredge &amp; Dock Co. v. The Queen</w:t>
      </w:r>
      <w:r w:rsidRPr="00732116">
        <w:rPr>
          <w:rFonts w:cs="Times New Roman"/>
        </w:rPr>
        <w:t xml:space="preserve">, [1985] 1 S.C.R. 662, and in the civil context in </w:t>
      </w:r>
      <w:r w:rsidRPr="00732116">
        <w:rPr>
          <w:rFonts w:cs="Times New Roman"/>
          <w:i/>
        </w:rPr>
        <w:t>Deloitte &amp; Touche v. Livent Inc. (Receiver of)</w:t>
      </w:r>
      <w:r w:rsidRPr="00732116">
        <w:rPr>
          <w:rFonts w:cs="Times New Roman"/>
        </w:rPr>
        <w:t xml:space="preserve">, 2017 SCC 63, [2017] 2 S.C.R. 855, and </w:t>
      </w:r>
      <w:r w:rsidRPr="00732116">
        <w:rPr>
          <w:rFonts w:cs="Times New Roman"/>
          <w:i/>
        </w:rPr>
        <w:t>Christine DeJong Medicine Professional Corp. v. DBDC Spadina Ltd.</w:t>
      </w:r>
      <w:r w:rsidRPr="00732116">
        <w:rPr>
          <w:rFonts w:cs="Times New Roman"/>
        </w:rPr>
        <w:t>, 2019 SCC 30, [2019] 2 S.C.R. 530. This appeal requires the Court to apply the corporate attribution doctrine in the bankruptcy and insolvency contexts.</w:t>
      </w:r>
    </w:p>
    <w:p w14:paraId="2A033F4F" w14:textId="77777777" w:rsidR="000C4436" w:rsidRPr="00732116" w:rsidRDefault="000C4436" w:rsidP="000C4436">
      <w:pPr>
        <w:pStyle w:val="ParaNoNdepar-AltN"/>
        <w:rPr>
          <w:rFonts w:cs="Times New Roman"/>
        </w:rPr>
      </w:pPr>
      <w:r w:rsidRPr="00732116">
        <w:rPr>
          <w:rFonts w:cs="Times New Roman"/>
        </w:rPr>
        <w:t xml:space="preserve">The appellants stole tens of millions of dollars from two construction companies through a false invoicing scheme. One of the appellants, John Aquino, was the companies’ directing mind. The respondents, in their capacities as trustee in bankruptcy and monitor of the companies, applied to the Ontario Superior Court of Justice to recover some of this money on the basis that the false invoice transactions were “transfers at undervalue” under s. </w:t>
      </w:r>
      <w:bookmarkStart w:id="1" w:name="_Hlk168727955"/>
      <w:r w:rsidRPr="00732116">
        <w:rPr>
          <w:rFonts w:cs="Times New Roman"/>
        </w:rPr>
        <w:t xml:space="preserve">96(1)(b)(ii)(B) </w:t>
      </w:r>
      <w:bookmarkEnd w:id="1"/>
      <w:r w:rsidRPr="00732116">
        <w:rPr>
          <w:rFonts w:cs="Times New Roman"/>
        </w:rPr>
        <w:t xml:space="preserve">of the </w:t>
      </w:r>
      <w:r w:rsidRPr="00732116">
        <w:rPr>
          <w:rFonts w:cs="Times New Roman"/>
          <w:i/>
        </w:rPr>
        <w:t>Bankruptcy and Insolvency Act</w:t>
      </w:r>
      <w:r w:rsidRPr="00732116">
        <w:rPr>
          <w:rFonts w:cs="Times New Roman"/>
        </w:rPr>
        <w:t>, R.S.C. 1985, c. B-3 (“</w:t>
      </w:r>
      <w:r w:rsidRPr="00732116">
        <w:rPr>
          <w:rFonts w:cs="Times New Roman"/>
          <w:i/>
        </w:rPr>
        <w:t>BIA</w:t>
      </w:r>
      <w:r w:rsidRPr="00732116">
        <w:rPr>
          <w:rFonts w:cs="Times New Roman"/>
        </w:rPr>
        <w:t>”).</w:t>
      </w:r>
    </w:p>
    <w:p w14:paraId="59A084A0" w14:textId="77777777" w:rsidR="000C4436" w:rsidRPr="00732116" w:rsidRDefault="000C4436" w:rsidP="000C4436">
      <w:pPr>
        <w:pStyle w:val="ParaNoNdepar-AltN"/>
        <w:rPr>
          <w:rFonts w:cs="Times New Roman"/>
        </w:rPr>
      </w:pPr>
      <w:r w:rsidRPr="00732116">
        <w:rPr>
          <w:rFonts w:cs="Times New Roman"/>
        </w:rPr>
        <w:t>A “transfer at undervalue” is a transaction in which a debtor transfers property or provides services to another person for no consideration or conspicuously less than fair market value (</w:t>
      </w:r>
      <w:r w:rsidRPr="00732116">
        <w:rPr>
          <w:rFonts w:cs="Times New Roman"/>
          <w:i/>
        </w:rPr>
        <w:t>BIA</w:t>
      </w:r>
      <w:r w:rsidRPr="00732116">
        <w:rPr>
          <w:rFonts w:cs="Times New Roman"/>
        </w:rPr>
        <w:t>, s. 2). Section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xml:space="preserve"> provides that a trustee in bankruptcy may apply to a court to impugn and recover from a non-arm’s length party to a transaction some or all of the amount of the transfer at undervalue, if the trustee can show that the debtor intended to “defraud, defeat or delay a creditor”. Section 96 of the </w:t>
      </w:r>
      <w:r w:rsidRPr="00732116">
        <w:rPr>
          <w:rFonts w:cs="Times New Roman"/>
          <w:i/>
        </w:rPr>
        <w:t>BIA</w:t>
      </w:r>
      <w:r w:rsidRPr="00732116">
        <w:rPr>
          <w:rFonts w:cs="Times New Roman"/>
        </w:rPr>
        <w:t xml:space="preserve"> applies in a corporate restructuring through s. 36.1 of the </w:t>
      </w:r>
      <w:r w:rsidRPr="00732116">
        <w:rPr>
          <w:rFonts w:cs="Times New Roman"/>
          <w:i/>
        </w:rPr>
        <w:t>Companies’ Creditors Arrangement Act</w:t>
      </w:r>
      <w:r w:rsidRPr="00732116">
        <w:rPr>
          <w:rFonts w:cs="Times New Roman"/>
        </w:rPr>
        <w:t xml:space="preserve">, R.S.C. 1985, </w:t>
      </w:r>
      <w:proofErr w:type="gramStart"/>
      <w:r w:rsidRPr="00732116">
        <w:rPr>
          <w:rFonts w:cs="Times New Roman"/>
        </w:rPr>
        <w:t>c</w:t>
      </w:r>
      <w:proofErr w:type="gramEnd"/>
      <w:r w:rsidRPr="00732116">
        <w:rPr>
          <w:rFonts w:cs="Times New Roman"/>
        </w:rPr>
        <w:t>. C-36 (“</w:t>
      </w:r>
      <w:r w:rsidRPr="00732116">
        <w:rPr>
          <w:rFonts w:cs="Times New Roman"/>
          <w:i/>
        </w:rPr>
        <w:t>CCAA</w:t>
      </w:r>
      <w:r w:rsidRPr="00732116">
        <w:rPr>
          <w:rFonts w:cs="Times New Roman"/>
        </w:rPr>
        <w:t>”).</w:t>
      </w:r>
    </w:p>
    <w:p w14:paraId="7E0CE089" w14:textId="77777777" w:rsidR="000C4436" w:rsidRPr="00732116" w:rsidRDefault="000C4436" w:rsidP="000C4436">
      <w:pPr>
        <w:pStyle w:val="ParaNoNdepar-AltN"/>
        <w:rPr>
          <w:rFonts w:cs="Times New Roman"/>
        </w:rPr>
      </w:pPr>
      <w:r w:rsidRPr="00732116">
        <w:rPr>
          <w:rFonts w:cs="Times New Roman"/>
          <w:lang w:val="en-US"/>
        </w:rPr>
        <w:t xml:space="preserve">The </w:t>
      </w:r>
      <w:r w:rsidRPr="00732116">
        <w:rPr>
          <w:rFonts w:cs="Times New Roman"/>
        </w:rPr>
        <w:t>application judge and Court of Appeal for Ontario accepted that the false invoice payments were transfers at undervalue. They applied the doctrine of corporate attribution to attribute Mr. Aquino’s fraudulent intent to the debtor companies and ordered the appellants to pay the trustee and monitor the monies they received under the false invoicing scheme.</w:t>
      </w:r>
    </w:p>
    <w:p w14:paraId="4F0EF5FC" w14:textId="77777777" w:rsidR="000C4436" w:rsidRPr="00732116" w:rsidRDefault="000C4436" w:rsidP="000C4436">
      <w:pPr>
        <w:pStyle w:val="ParaNoNdepar-AltN"/>
        <w:rPr>
          <w:rFonts w:cs="Times New Roman"/>
          <w:lang w:val="en-US"/>
        </w:rPr>
      </w:pPr>
      <w:r w:rsidRPr="00732116">
        <w:rPr>
          <w:rFonts w:cs="Times New Roman"/>
          <w:lang w:val="en-US"/>
        </w:rPr>
        <w:t xml:space="preserve">The appellants now revive before this Court two arguments that were rejected by the courts below. First, the appellants argue that the application judge had no basis to conclude that the debtor companies, through the actions of Mr. Aquino, intended to defraud, defeat, or delay a creditor. They say that the companies were paying their creditors in full and on time when the false invoicing scheme was underway and that the companies’ financial condition at those times could not be determined on the record before the court. I do not accept this submission. A court may find that a debtor intended to defraud, defeat, or delay a creditor under s. </w:t>
      </w:r>
      <w:r w:rsidRPr="00732116">
        <w:rPr>
          <w:rFonts w:cs="Times New Roman"/>
        </w:rPr>
        <w:t xml:space="preserve">96(1)(b)(ii)(B) even if the debtor was not insolvent at the time of the transfers at undervalue. </w:t>
      </w:r>
      <w:r w:rsidRPr="00732116">
        <w:rPr>
          <w:rFonts w:cs="Times New Roman"/>
          <w:lang w:val="en-US"/>
        </w:rPr>
        <w:t xml:space="preserve">I also see no basis to interfere with the findings of the application judge, affirmed by the Court of Appeal, that the record </w:t>
      </w:r>
      <w:r w:rsidRPr="00732116">
        <w:rPr>
          <w:rFonts w:cs="Times New Roman"/>
        </w:rPr>
        <w:t xml:space="preserve">contains many </w:t>
      </w:r>
      <w:r w:rsidRPr="00732116">
        <w:rPr>
          <w:rFonts w:cs="Times New Roman"/>
          <w:i/>
        </w:rPr>
        <w:t>indicia</w:t>
      </w:r>
      <w:r w:rsidRPr="00732116">
        <w:rPr>
          <w:rFonts w:cs="Times New Roman"/>
        </w:rPr>
        <w:t xml:space="preserve"> or badges of fraud showing that Mr. Aquino misled stakeholders as to the companies’ true financial condition, reduced the funds available to pay long-term creditors, and increased the companies’ debts.</w:t>
      </w:r>
    </w:p>
    <w:p w14:paraId="0BFF9519" w14:textId="77777777" w:rsidR="000C4436" w:rsidRPr="00732116" w:rsidRDefault="000C4436" w:rsidP="000C4436">
      <w:pPr>
        <w:pStyle w:val="ParaNoNdepar-AltN"/>
        <w:rPr>
          <w:rFonts w:cs="Times New Roman"/>
        </w:rPr>
      </w:pPr>
      <w:r w:rsidRPr="00732116">
        <w:rPr>
          <w:rFonts w:cs="Times New Roman"/>
        </w:rPr>
        <w:t xml:space="preserve">Second, the </w:t>
      </w:r>
      <w:r w:rsidRPr="00732116">
        <w:rPr>
          <w:rFonts w:cs="Times New Roman"/>
          <w:lang w:val="en-US"/>
        </w:rPr>
        <w:t xml:space="preserve">appellants argue that </w:t>
      </w:r>
      <w:r w:rsidRPr="00732116">
        <w:rPr>
          <w:rFonts w:cs="Times New Roman"/>
        </w:rPr>
        <w:t xml:space="preserve">Mr. </w:t>
      </w:r>
      <w:r w:rsidRPr="00732116">
        <w:rPr>
          <w:rFonts w:cs="Times New Roman"/>
          <w:lang w:val="en-US"/>
        </w:rPr>
        <w:t>Aquino’s fraudulent state of mind cannot be attributed to the debtor companies under the corporate attribution doctrine. They invoke the so-called “fraud” and “no benefit” exceptions to corporate attribution previously recognized by this Court (</w:t>
      </w:r>
      <w:r w:rsidRPr="00732116">
        <w:rPr>
          <w:rFonts w:cs="Times New Roman"/>
          <w:i/>
          <w:lang w:val="en-US"/>
        </w:rPr>
        <w:t>Canadian Dredge</w:t>
      </w:r>
      <w:r w:rsidRPr="00732116">
        <w:rPr>
          <w:rFonts w:cs="Times New Roman"/>
          <w:lang w:val="en-US"/>
        </w:rPr>
        <w:t xml:space="preserve">, at pp. 681-82 and 712-13; </w:t>
      </w:r>
      <w:r w:rsidRPr="00732116">
        <w:rPr>
          <w:rFonts w:cs="Times New Roman"/>
          <w:i/>
          <w:lang w:val="en-US"/>
        </w:rPr>
        <w:t>Livent</w:t>
      </w:r>
      <w:r w:rsidRPr="00732116">
        <w:rPr>
          <w:rFonts w:cs="Times New Roman"/>
          <w:lang w:val="en-US"/>
        </w:rPr>
        <w:t xml:space="preserve">, at para. 100). They claim that there can be no attribution in this case because Mr. Aquino acted in fraud of the debtor companies and his actions did not benefit the companies. I do not accept this submission either. As the trustee notes, this </w:t>
      </w:r>
      <w:r w:rsidRPr="00732116">
        <w:rPr>
          <w:rFonts w:cs="Times New Roman"/>
        </w:rPr>
        <w:t xml:space="preserve">position amounts to saying that the common law doctrine of corporate attribution allows “a fraudulent directing mind and his accomplices to avoid liability </w:t>
      </w:r>
      <w:r w:rsidRPr="00732116">
        <w:rPr>
          <w:rFonts w:cs="Times New Roman"/>
          <w:i/>
        </w:rPr>
        <w:t>because</w:t>
      </w:r>
      <w:r w:rsidRPr="00732116">
        <w:rPr>
          <w:rFonts w:cs="Times New Roman"/>
        </w:rPr>
        <w:t xml:space="preserve"> they defrauded the company they ran” (R.F., at para. 1 (emphasis in original)). The corporate attribution doctrine does not countenance — much less require — such a perverse result.</w:t>
      </w:r>
    </w:p>
    <w:p w14:paraId="67079DAC" w14:textId="77777777" w:rsidR="000C4436" w:rsidRPr="00732116" w:rsidRDefault="000C4436" w:rsidP="000C4436">
      <w:pPr>
        <w:pStyle w:val="ParaNoNdepar-AltN"/>
        <w:rPr>
          <w:rFonts w:cs="Times New Roman"/>
        </w:rPr>
      </w:pPr>
      <w:r w:rsidRPr="00732116">
        <w:rPr>
          <w:rFonts w:cs="Times New Roman"/>
        </w:rPr>
        <w:t>This Court has established that the corporate attribution doctrine is not a “standalone” principle (</w:t>
      </w:r>
      <w:r w:rsidRPr="00732116">
        <w:rPr>
          <w:rFonts w:cs="Times New Roman"/>
          <w:i/>
        </w:rPr>
        <w:t>Livent</w:t>
      </w:r>
      <w:r w:rsidRPr="00732116">
        <w:rPr>
          <w:rFonts w:cs="Times New Roman"/>
        </w:rPr>
        <w:t xml:space="preserve">, at para. 97); there is no one-size-fits-all approach. The corporate attribution doctrine must be applied purposively, contextually, and pragmatically to give effect to the policy goals of the law under which a party seeks to attribute to a corporation the actions, knowledge, state of mind, or intent of its directing mind. Rules of attribution that may be appropriate in one context for one purpose may be inappropriate in another context for another purpose. When the rules of attribution undermine the purpose of the law under which attribution is sought, the court should adapt the attribution rules to promote the purpose of the relevant law. </w:t>
      </w:r>
    </w:p>
    <w:p w14:paraId="2A38B52A" w14:textId="77777777" w:rsidR="000C4436" w:rsidRPr="00732116" w:rsidRDefault="000C4436" w:rsidP="000C4436">
      <w:pPr>
        <w:pStyle w:val="ParaNoNdepar-AltN"/>
        <w:rPr>
          <w:rFonts w:cs="Times New Roman"/>
        </w:rPr>
      </w:pPr>
      <w:r w:rsidRPr="00732116">
        <w:rPr>
          <w:rFonts w:cs="Times New Roman"/>
        </w:rPr>
        <w:t xml:space="preserve">In my view, the fraud and no benefit exceptions to corporate attribution do not apply in the context of a transfer at undervalue under s. 96 of the </w:t>
      </w:r>
      <w:r w:rsidRPr="00732116">
        <w:rPr>
          <w:rFonts w:cs="Times New Roman"/>
          <w:i/>
        </w:rPr>
        <w:t>BIA</w:t>
      </w:r>
      <w:r w:rsidRPr="00732116">
        <w:rPr>
          <w:rFonts w:cs="Times New Roman"/>
        </w:rPr>
        <w:t>. These exceptions would undermine rather than promote the purpose of this statutory provision. The purpose of s. 96 is to protect creditors from harmful actions by a debtor that would diminish the assets available for recovery. That purpose is served by attributing the actions, knowledge, state of mind, or intent of the corporation’s directing mind to the corporation, even if the directing mind acted in fraud of the corporation, and even if the corporation did not benefit from the actions of the directing mind. By contrast, applying the fraud and no benefit exceptions would deny third-party creditors a statutory remedy that Parliament intended would be available to protect them.</w:t>
      </w:r>
    </w:p>
    <w:p w14:paraId="5C8AD264" w14:textId="77777777" w:rsidR="000C4436" w:rsidRPr="00732116" w:rsidRDefault="000C4436" w:rsidP="000C4436">
      <w:pPr>
        <w:pStyle w:val="ParaNoNdepar-AltN"/>
        <w:rPr>
          <w:rFonts w:cs="Times New Roman"/>
        </w:rPr>
      </w:pPr>
      <w:r w:rsidRPr="00732116">
        <w:rPr>
          <w:rFonts w:cs="Times New Roman"/>
        </w:rPr>
        <w:t>Applying these principles to this appeal, Mr. Aquino’s fraudulent intent should be attributed to the debtor companies because he was their directing mind and acted in the sector of corporate responsibility assigned to him. I would dismiss the appeal.</w:t>
      </w:r>
    </w:p>
    <w:p w14:paraId="54B620C4" w14:textId="77777777" w:rsidR="000C4436" w:rsidRPr="00732116" w:rsidRDefault="000C4436" w:rsidP="000C4436">
      <w:pPr>
        <w:pStyle w:val="Title1LevelTitre1Niveau-AltL"/>
        <w:numPr>
          <w:ilvl w:val="0"/>
          <w:numId w:val="8"/>
        </w:numPr>
        <w:rPr>
          <w:rFonts w:cs="Times New Roman"/>
        </w:rPr>
      </w:pPr>
      <w:r w:rsidRPr="00732116">
        <w:rPr>
          <w:rFonts w:cs="Times New Roman"/>
        </w:rPr>
        <w:t>Background</w:t>
      </w:r>
    </w:p>
    <w:p w14:paraId="6A13E242" w14:textId="77777777" w:rsidR="000C4436" w:rsidRPr="00732116" w:rsidRDefault="000C4436" w:rsidP="000C4436">
      <w:pPr>
        <w:pStyle w:val="ParaNoNdepar-AltN"/>
        <w:rPr>
          <w:rFonts w:cs="Times New Roman"/>
        </w:rPr>
      </w:pPr>
      <w:r w:rsidRPr="00732116">
        <w:rPr>
          <w:rFonts w:cs="Times New Roman"/>
        </w:rPr>
        <w:t>Bondfield Construction Company Limited (“Bondfield”) and its affiliate, 1033803 Ontario Inc., known as Forma-Con Construction (“Forma-Con”), were family-owned construction companies that worked on large-scale construction projects in Ontario. At all relevant times, Mr. Aquino was the president and directing mind of Bondfield and Forma-Con.</w:t>
      </w:r>
    </w:p>
    <w:p w14:paraId="17DBDCC3" w14:textId="77777777" w:rsidR="000C4436" w:rsidRPr="00732116" w:rsidRDefault="000C4436" w:rsidP="000C4436">
      <w:pPr>
        <w:pStyle w:val="ParaNoNdepar-AltN"/>
        <w:rPr>
          <w:rFonts w:cs="Times New Roman"/>
        </w:rPr>
      </w:pPr>
      <w:r w:rsidRPr="00732116">
        <w:rPr>
          <w:rFonts w:cs="Times New Roman"/>
        </w:rPr>
        <w:t>By 2018, Bondfield and Forma-Con were experiencing serious financial difficulties. The respondent Ernst &amp; Young Inc. was retained to review their financial situation, which led to the commencement of restructuring proceedings regarding Bondfield in April 2019 and bankruptcy proceedings regarding Forma-Con in December 2019. The court appointed Ernst &amp; Young Inc. as the monitor of Bondfield, and the respondent KSV Restructuring Inc. as the trustee in bankruptcy of Forma-Con.</w:t>
      </w:r>
    </w:p>
    <w:p w14:paraId="68B0F60F" w14:textId="77777777" w:rsidR="000C4436" w:rsidRPr="00732116" w:rsidRDefault="000C4436" w:rsidP="000C4436">
      <w:pPr>
        <w:pStyle w:val="ParaNoNdepar-AltN"/>
        <w:rPr>
          <w:rFonts w:cs="Times New Roman"/>
        </w:rPr>
      </w:pPr>
      <w:r w:rsidRPr="00732116">
        <w:rPr>
          <w:rFonts w:cs="Times New Roman"/>
        </w:rPr>
        <w:t>The monitor and trustee’s investigations revealed that, for years, Mr. Aquino and several other appellants had been fraudulently taking tens of millions of dollars from Bondfield and Forma-Con through a false invoicing scheme. The scheme was simple. Mr. Aquino and his accomplices made up false invoices from certain suppliers — including Mr. Aquino’s holding company — for services that were never provided. Bondfield and Forma-Con then paid the false invoices promptly, often within a few days, at the direction of Mr. Aquino or other appellants. Bondfield paid more than $21.8 million and Forma-Con paid more than $11.3 million towards false invoices in the five years before the commencement of insolvency proceedings, the period within which alleged transfers at undervalue to non-arm’s length parties are reviewable.</w:t>
      </w:r>
    </w:p>
    <w:p w14:paraId="67DC99C1" w14:textId="77777777" w:rsidR="000C4436" w:rsidRPr="00732116" w:rsidRDefault="000C4436" w:rsidP="000C4436">
      <w:pPr>
        <w:pStyle w:val="ParaNoNdepar-AltN"/>
        <w:rPr>
          <w:rFonts w:cs="Times New Roman"/>
        </w:rPr>
      </w:pPr>
      <w:r w:rsidRPr="00732116">
        <w:rPr>
          <w:rFonts w:cs="Times New Roman"/>
        </w:rPr>
        <w:t xml:space="preserve">The trustee and monitor each commenced proceedings before the Ontario Superior Court to challenge the false invoice transactions as transfers at undervalue. Section 96 of the </w:t>
      </w:r>
      <w:r w:rsidRPr="00732116">
        <w:rPr>
          <w:rFonts w:cs="Times New Roman"/>
          <w:i/>
        </w:rPr>
        <w:t xml:space="preserve">BIA </w:t>
      </w:r>
      <w:r w:rsidRPr="00732116">
        <w:rPr>
          <w:rFonts w:cs="Times New Roman"/>
        </w:rPr>
        <w:t xml:space="preserve">provides a trustee and, through s. 36.1 of the </w:t>
      </w:r>
      <w:r w:rsidRPr="00732116">
        <w:rPr>
          <w:rFonts w:cs="Times New Roman"/>
          <w:i/>
        </w:rPr>
        <w:t>CCAA</w:t>
      </w:r>
      <w:r w:rsidRPr="00732116">
        <w:rPr>
          <w:rFonts w:cs="Times New Roman"/>
        </w:rPr>
        <w:t>, a monitor, with a remedy to unwind or claim reimbursement of some or all the value of the assets transferred from a debtor in circumstances that qualify as a transfer at undervalue.</w:t>
      </w:r>
    </w:p>
    <w:p w14:paraId="15036811" w14:textId="77777777" w:rsidR="000C4436" w:rsidRPr="00732116" w:rsidRDefault="000C4436" w:rsidP="000C4436">
      <w:pPr>
        <w:pStyle w:val="ParaNoNdepar-AltN"/>
        <w:rPr>
          <w:rFonts w:cs="Times New Roman"/>
        </w:rPr>
      </w:pPr>
      <w:r w:rsidRPr="00732116">
        <w:rPr>
          <w:rFonts w:cs="Times New Roman"/>
        </w:rPr>
        <w:t xml:space="preserve">In this case, the applications of the trustee and monitor were brought under s. 96(1)(b)(ii)(B) of the </w:t>
      </w:r>
      <w:r w:rsidRPr="00732116">
        <w:rPr>
          <w:rFonts w:cs="Times New Roman"/>
          <w:i/>
        </w:rPr>
        <w:t>BIA</w:t>
      </w:r>
      <w:r w:rsidRPr="00732116">
        <w:rPr>
          <w:rFonts w:cs="Times New Roman"/>
        </w:rPr>
        <w:t>, which required them to show that: (a) the false invoice transactions were transfers at undervalue; (b) the transfers occurred in the five-year period preceding the initial bankruptcy event; (c) the recipients of the transfers were not dealing at arm’s length with the debtor companies; and (d) the debtor companies intended to defraud, defeat, or delay a creditor.</w:t>
      </w:r>
    </w:p>
    <w:p w14:paraId="3EBC1DAE" w14:textId="77777777" w:rsidR="000C4436" w:rsidRPr="00732116" w:rsidRDefault="000C4436" w:rsidP="000C4436">
      <w:pPr>
        <w:pStyle w:val="Title1LevelTitre1Niveau-AltL"/>
        <w:numPr>
          <w:ilvl w:val="0"/>
          <w:numId w:val="8"/>
        </w:numPr>
        <w:rPr>
          <w:rFonts w:cs="Times New Roman"/>
        </w:rPr>
      </w:pPr>
      <w:r w:rsidRPr="00732116">
        <w:rPr>
          <w:rFonts w:cs="Times New Roman"/>
        </w:rPr>
        <w:t>Judicial History</w:t>
      </w:r>
    </w:p>
    <w:p w14:paraId="51CB7D51" w14:textId="77777777" w:rsidR="000C4436" w:rsidRPr="00732116" w:rsidRDefault="000C4436" w:rsidP="000C4436">
      <w:pPr>
        <w:pStyle w:val="Title2LevelTitre2Niveau"/>
        <w:numPr>
          <w:ilvl w:val="1"/>
          <w:numId w:val="8"/>
        </w:numPr>
        <w:spacing w:after="0"/>
        <w:rPr>
          <w:rFonts w:cs="Times New Roman"/>
        </w:rPr>
      </w:pPr>
      <w:bookmarkStart w:id="2" w:name="_Toc160194666"/>
      <w:r w:rsidRPr="00732116">
        <w:rPr>
          <w:rFonts w:cs="Times New Roman"/>
        </w:rPr>
        <w:t>Ontario Superior Court of Justice, 2021 ONSC 527, 88 C.B.R. (6th) 60 (Dietrich J.)</w:t>
      </w:r>
      <w:bookmarkEnd w:id="2"/>
    </w:p>
    <w:p w14:paraId="069375DB" w14:textId="77777777" w:rsidR="000C4436" w:rsidRPr="00732116" w:rsidRDefault="000C4436" w:rsidP="000C4436">
      <w:pPr>
        <w:pStyle w:val="ParaNoNdepar-AltN"/>
        <w:rPr>
          <w:rFonts w:cs="Times New Roman"/>
        </w:rPr>
      </w:pPr>
      <w:r w:rsidRPr="00732116">
        <w:rPr>
          <w:rFonts w:cs="Times New Roman"/>
        </w:rPr>
        <w:t>The application judge held that the false invoice payments made by Bondfield and Forma-Con were transfers at undervalue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xml:space="preserve"> and could be recovered by the monitor and trustee. The transfers were at undervalue because Bondfield and Forma-Con had paid tens of millions of dollars to certain suppliers who provided nothing in return. In a separate costs endorsement, the application judge found the payments involved “serious corporate malfeasance and corporate looting” and “reprehensible and scandalous behaviour” (2021 ONSC 7514, at paras. 29 and 33, reproduced in A.R., at pp. 66-67). She also found the appellants were not dealing at arm’s length with Bondfield or Forma-Con because they collaborated with them in orchestrating the false invoicing scheme.</w:t>
      </w:r>
    </w:p>
    <w:p w14:paraId="621CF579" w14:textId="77777777" w:rsidR="000C4436" w:rsidRPr="00732116" w:rsidRDefault="000C4436" w:rsidP="000C4436">
      <w:pPr>
        <w:pStyle w:val="ParaNoNdepar-AltN"/>
        <w:rPr>
          <w:rFonts w:cs="Times New Roman"/>
        </w:rPr>
      </w:pPr>
      <w:r w:rsidRPr="00732116">
        <w:rPr>
          <w:rFonts w:cs="Times New Roman"/>
        </w:rPr>
        <w:t>The application judge ruled that Bondfield and Forma-Con made these payments with the intent to defraud, defeat, or delay a creditor. She rejected the appellants’ argument that Bondfield and Forma-Con could not have had this intent because the payments were made at a time when they were not insolvent or at risk of insolvency. When evaluating a corporate debtor’s intent to defraud, defeat, or delay a creditor, the corporate debtor’s financial health at the time of the transfer is a relevant but not determinative consideration.</w:t>
      </w:r>
    </w:p>
    <w:p w14:paraId="0C021587" w14:textId="77777777" w:rsidR="000C4436" w:rsidRPr="00732116" w:rsidRDefault="000C4436" w:rsidP="000C4436">
      <w:pPr>
        <w:pStyle w:val="ParaNoNdepar-AltN"/>
        <w:rPr>
          <w:rFonts w:eastAsiaTheme="minorHAnsi" w:cs="Times New Roman"/>
        </w:rPr>
      </w:pPr>
      <w:r w:rsidRPr="00732116">
        <w:rPr>
          <w:rFonts w:cs="Times New Roman"/>
        </w:rPr>
        <w:t>In the application judge’</w:t>
      </w:r>
      <w:r w:rsidRPr="00732116">
        <w:rPr>
          <w:rFonts w:eastAsiaTheme="minorHAnsi" w:cs="Times New Roman"/>
        </w:rPr>
        <w:t xml:space="preserve">s </w:t>
      </w:r>
      <w:r w:rsidRPr="00732116">
        <w:rPr>
          <w:rFonts w:cs="Times New Roman"/>
        </w:rPr>
        <w:t>view, the record revealed several badges of fraud establishing that Mr. Aquino, as the directing mind of Bondfield and Forma-Con, had a fraudulent intent at the time of the false invoice payments. Bondfield and Forma-Con made the payments secretly, in haste, to non-arm’s length persons, for no consideration, based on “phony invoices” for “services that were never delivered” (para. 157). Bondfield and Forma-Con also had several actual or potential long-term and off-balance sheet liabilities and were expanding their activities, even though they knew their lender was not willing to lend them more. In addition, Mr. Aquino was injecting capital into Bondfield to disguise its true financial condition from stakeholders, and unusual accounting practices made it impossible to determine the companies’ financial condition. Based on all the circumstances, the application judge found that the false invoice payments reduced the funds available to pay the companies’ long-term creditors.</w:t>
      </w:r>
    </w:p>
    <w:p w14:paraId="4700851B" w14:textId="77777777" w:rsidR="000C4436" w:rsidRPr="00732116" w:rsidRDefault="000C4436" w:rsidP="000C4436">
      <w:pPr>
        <w:pStyle w:val="ParaNoNdepar-AltN"/>
        <w:rPr>
          <w:rFonts w:eastAsiaTheme="minorHAnsi" w:cs="Times New Roman"/>
        </w:rPr>
      </w:pPr>
      <w:r w:rsidRPr="00732116">
        <w:rPr>
          <w:rFonts w:cs="Times New Roman"/>
        </w:rPr>
        <w:t xml:space="preserve">Finally, the application judge held that Mr. Aquino’s fraudulent intent could be attributed to Bondfield and Forma-Con. The application judge ruled that, as a matter of statutory interpretation and public policy, the corporate attribution doctrine set out in </w:t>
      </w:r>
      <w:r w:rsidRPr="00732116">
        <w:rPr>
          <w:rFonts w:cs="Times New Roman"/>
          <w:i/>
        </w:rPr>
        <w:t xml:space="preserve">Canadian Dredge </w:t>
      </w:r>
      <w:r w:rsidRPr="00732116">
        <w:rPr>
          <w:rFonts w:cs="Times New Roman"/>
        </w:rPr>
        <w:t xml:space="preserve">does not apply under s. 96 of the </w:t>
      </w:r>
      <w:r w:rsidRPr="00732116">
        <w:rPr>
          <w:rFonts w:cs="Times New Roman"/>
          <w:i/>
        </w:rPr>
        <w:t>BIA</w:t>
      </w:r>
      <w:r w:rsidRPr="00732116">
        <w:rPr>
          <w:rFonts w:cs="Times New Roman"/>
        </w:rPr>
        <w:t xml:space="preserve">. In her view, because a purpose of the </w:t>
      </w:r>
      <w:r w:rsidRPr="00732116">
        <w:rPr>
          <w:rFonts w:cs="Times New Roman"/>
          <w:i/>
        </w:rPr>
        <w:t>BIA</w:t>
      </w:r>
      <w:r w:rsidRPr="00732116">
        <w:rPr>
          <w:rFonts w:cs="Times New Roman"/>
        </w:rPr>
        <w:t xml:space="preserve"> is to provide proper redress to creditors, the “intention of the debtor” in s. 96 “should be interpreted liberally to include the intention of individuals in control of the corporation, regardless of whether those individuals had an intent to defraud the corporation itself” (para. 229).</w:t>
      </w:r>
    </w:p>
    <w:p w14:paraId="79FF24F6" w14:textId="77777777" w:rsidR="000C4436" w:rsidRPr="00732116" w:rsidRDefault="000C4436" w:rsidP="000C4436">
      <w:pPr>
        <w:pStyle w:val="ParaNoNdepar-AltN"/>
        <w:rPr>
          <w:rFonts w:eastAsiaTheme="minorHAnsi" w:cs="Times New Roman"/>
        </w:rPr>
      </w:pPr>
      <w:r w:rsidRPr="00732116">
        <w:rPr>
          <w:rFonts w:cs="Times New Roman"/>
        </w:rPr>
        <w:t>The application judge determined that when Mr. Aquino authorized the false invoice payments, he was acting within his area of responsibility of engaging with suppliers and overseeing the provision of services and materials. The appellants, either as bogus suppliers or facilitators of the false invoicing scheme, were all parties or privies to the transfers at undervalue. They were therefore jointly and severally liable to repay the amounts transferred from Bondfield and Forma-Con.</w:t>
      </w:r>
    </w:p>
    <w:p w14:paraId="4C39EE7F" w14:textId="77777777" w:rsidR="000C4436" w:rsidRPr="00732116" w:rsidRDefault="000C4436" w:rsidP="000C4436">
      <w:pPr>
        <w:pStyle w:val="Title2LevelTitre2Niveau"/>
        <w:numPr>
          <w:ilvl w:val="1"/>
          <w:numId w:val="8"/>
        </w:numPr>
        <w:rPr>
          <w:rFonts w:cs="Times New Roman"/>
        </w:rPr>
      </w:pPr>
      <w:bookmarkStart w:id="3" w:name="_Toc320021606"/>
      <w:bookmarkStart w:id="4" w:name="_Toc160194667"/>
      <w:r w:rsidRPr="00732116">
        <w:rPr>
          <w:rFonts w:cs="Times New Roman"/>
        </w:rPr>
        <w:t>Court of Appeal</w:t>
      </w:r>
      <w:bookmarkEnd w:id="3"/>
      <w:r w:rsidRPr="00732116">
        <w:rPr>
          <w:rFonts w:cs="Times New Roman"/>
        </w:rPr>
        <w:t xml:space="preserve"> for Ontario, 2022 ONCA 202, 160 O.R. (3d) 284 (Lauwers J.A., Coroza and Sossin JJ.A. concurring)</w:t>
      </w:r>
      <w:bookmarkEnd w:id="4"/>
    </w:p>
    <w:p w14:paraId="657F6529" w14:textId="77777777" w:rsidR="000C4436" w:rsidRPr="00732116" w:rsidRDefault="000C4436" w:rsidP="000C4436">
      <w:pPr>
        <w:pStyle w:val="ParaNoNdepar-AltN"/>
        <w:rPr>
          <w:rFonts w:cs="Times New Roman"/>
        </w:rPr>
      </w:pPr>
      <w:r w:rsidRPr="00732116">
        <w:rPr>
          <w:rFonts w:cs="Times New Roman"/>
        </w:rPr>
        <w:t>The Court of Appeal affirmed the application judge’s ruling that Mr. Aquino intended to defraud, defeat, or delay Bondfield and Forma-Con’s creditors, and attributed Mr. Aquino’s fraudulent intent to Bondfield and Forma-Con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Accordingly, the court dismissed the appeal.</w:t>
      </w:r>
    </w:p>
    <w:p w14:paraId="6358CCBB" w14:textId="77777777" w:rsidR="000C4436" w:rsidRPr="00732116" w:rsidRDefault="000C4436" w:rsidP="000C4436">
      <w:pPr>
        <w:pStyle w:val="ParaNoNdepar-AltN"/>
        <w:rPr>
          <w:rFonts w:cs="Times New Roman"/>
        </w:rPr>
      </w:pPr>
      <w:r w:rsidRPr="00732116">
        <w:rPr>
          <w:rFonts w:cs="Times New Roman"/>
        </w:rPr>
        <w:t xml:space="preserve">The court rejected the appellants’ attempt to </w:t>
      </w:r>
      <w:proofErr w:type="spellStart"/>
      <w:r w:rsidRPr="00732116">
        <w:rPr>
          <w:rFonts w:cs="Times New Roman"/>
        </w:rPr>
        <w:t>relitigate</w:t>
      </w:r>
      <w:proofErr w:type="spellEnd"/>
      <w:r w:rsidRPr="00732116">
        <w:rPr>
          <w:rFonts w:cs="Times New Roman"/>
        </w:rPr>
        <w:t xml:space="preserve"> their position that Mr. Aquino did not intend to defraud, defeat, or delay Bondfield and Forma-Con’s creditors because the fraudulent payments were made at times when the companies were financially stable. The court noted that the application judge “mustered a phalanx of facts in support of her conclusions” and “took a pragmatic view on the totality of the evidence” (paras. 38 and 46). The Court of Appeal affirmed that “the interests of creditors were imperilled by the transfers because Bondfield and Forma-Con were already experiencing mounting financial difficulties”, and concluded that it would have been “entirely unreasonable” for Mr. Aquino “to believe that, during that time, the interests of the companies’ creditors would not be endangered by this fraudulent scheme” (para. 45). The Court of Appeal deferred to the application judge’s findings that Mr. Aquino intended to defeat the companies’ creditors. At a minimum, Mr. Aquino was reckless as to whether the scheme would have this effect, which also established his fraudulent intent under s. 96.</w:t>
      </w:r>
    </w:p>
    <w:p w14:paraId="60B2FEEB" w14:textId="77777777" w:rsidR="000C4436" w:rsidRPr="00732116" w:rsidRDefault="000C4436" w:rsidP="000C4436">
      <w:pPr>
        <w:pStyle w:val="ParaNoNdepar-AltN"/>
        <w:rPr>
          <w:rFonts w:eastAsiaTheme="minorHAnsi" w:cs="Times New Roman"/>
        </w:rPr>
      </w:pPr>
      <w:r w:rsidRPr="00732116">
        <w:rPr>
          <w:rFonts w:eastAsiaTheme="minorHAnsi" w:cs="Times New Roman"/>
        </w:rPr>
        <w:t xml:space="preserve">The court attributed </w:t>
      </w:r>
      <w:r w:rsidRPr="00732116">
        <w:rPr>
          <w:rFonts w:cs="Times New Roman"/>
        </w:rPr>
        <w:t xml:space="preserve">Mr. </w:t>
      </w:r>
      <w:r w:rsidRPr="00732116">
        <w:rPr>
          <w:rFonts w:eastAsiaTheme="minorHAnsi" w:cs="Times New Roman"/>
        </w:rPr>
        <w:t xml:space="preserve">Aquino’s fraudulent intent to Bondfield and Forma-Con under the common law corporate attribution doctrine. It distilled </w:t>
      </w:r>
      <w:r w:rsidRPr="00732116">
        <w:rPr>
          <w:rFonts w:cs="Times New Roman"/>
        </w:rPr>
        <w:t xml:space="preserve">three principles from </w:t>
      </w:r>
      <w:r w:rsidRPr="00732116">
        <w:rPr>
          <w:rFonts w:cs="Times New Roman"/>
          <w:i/>
        </w:rPr>
        <w:t>Canadian Dredge</w:t>
      </w:r>
      <w:r w:rsidRPr="00732116">
        <w:rPr>
          <w:rFonts w:cs="Times New Roman"/>
        </w:rPr>
        <w:t xml:space="preserve">, </w:t>
      </w:r>
      <w:r w:rsidRPr="00732116">
        <w:rPr>
          <w:rFonts w:cs="Times New Roman"/>
          <w:i/>
        </w:rPr>
        <w:t>Livent</w:t>
      </w:r>
      <w:r w:rsidRPr="00732116">
        <w:rPr>
          <w:rFonts w:cs="Times New Roman"/>
        </w:rPr>
        <w:t xml:space="preserve">, and </w:t>
      </w:r>
      <w:r w:rsidRPr="00732116">
        <w:rPr>
          <w:rFonts w:cs="Times New Roman"/>
          <w:i/>
        </w:rPr>
        <w:t>DeJong</w:t>
      </w:r>
      <w:r w:rsidRPr="00732116">
        <w:rPr>
          <w:rFonts w:cs="Times New Roman"/>
        </w:rPr>
        <w:t>: (1) courts must be sensitive to the legal context in which a directing mind’s intent is sought to be imputed to a corporation; (2) corporate attribution is an exercise grounded in public policy, and policy factors that favour imputing a directing mind’s wrongdoing to a corporation are based on the social purpose of holding the corporation responsible; and (3) courts have discretion to refrain from attributing the directing mind’s intent to the corporation when this would be in the public interest.</w:t>
      </w:r>
    </w:p>
    <w:p w14:paraId="4DEA672B" w14:textId="77777777" w:rsidR="000C4436" w:rsidRPr="00732116" w:rsidRDefault="000C4436" w:rsidP="000C4436">
      <w:pPr>
        <w:pStyle w:val="ParaNoNdepar-AltN"/>
        <w:rPr>
          <w:rFonts w:eastAsiaTheme="minorHAnsi" w:cs="Times New Roman"/>
        </w:rPr>
      </w:pPr>
      <w:r w:rsidRPr="00732116">
        <w:rPr>
          <w:rFonts w:cs="Times New Roman"/>
        </w:rPr>
        <w:t>The court observed that the criminal and civil contexts in which the corporate attribution doctrine has traditionally been applied differ from the bankruptcy context. In the criminal and civil contexts, attributing the directing mind’s intent to the corporation might be justified if the corporation benefits from the improper activities of the directing mind, but would be unjustified if the corporation does not benefit. In the bankruptcy context, the court noted, “the policy currents flow rather differently. . . . [A]</w:t>
      </w:r>
      <w:proofErr w:type="spellStart"/>
      <w:r w:rsidRPr="00732116">
        <w:rPr>
          <w:rFonts w:cs="Times New Roman"/>
        </w:rPr>
        <w:t>ttributing</w:t>
      </w:r>
      <w:proofErr w:type="spellEnd"/>
      <w:r w:rsidRPr="00732116">
        <w:rPr>
          <w:rFonts w:cs="Times New Roman"/>
        </w:rPr>
        <w:t xml:space="preserve"> the intent of a company’s directing mind to the company itself can hardly be said to unjustly prejudice the company . . ., when the company is no longer anything more than a bundle of assets to be liquidated with the proceeds distributed to creditors” (para. 77). The court found that it would make little sense to adopt an approach that would favour fraudsters over legitimate creditors.</w:t>
      </w:r>
    </w:p>
    <w:p w14:paraId="3484C8BE" w14:textId="77777777" w:rsidR="000C4436" w:rsidRPr="00732116" w:rsidRDefault="000C4436" w:rsidP="000C4436">
      <w:pPr>
        <w:pStyle w:val="ParaNoNdepar-AltN"/>
        <w:rPr>
          <w:rFonts w:cs="Times New Roman"/>
        </w:rPr>
      </w:pPr>
      <w:r w:rsidRPr="00732116">
        <w:rPr>
          <w:rFonts w:eastAsiaTheme="minorHAnsi" w:cs="Times New Roman"/>
        </w:rPr>
        <w:t xml:space="preserve">Based on these considerations, the Court of Appeal reframed the test for corporate attribution </w:t>
      </w:r>
      <w:r w:rsidRPr="00732116">
        <w:rPr>
          <w:rFonts w:cs="Times New Roman"/>
        </w:rPr>
        <w:t xml:space="preserve">in the bankruptcy context as turning on the following question: “[W]ho should bear responsibility for the fraudulent acts of a company’s directing mind that are done within the scope of his or her authority — the fraudsters or the creditors?” (para. 78). The court held that it would be perverse and counter to the purpose of s. 96 of the </w:t>
      </w:r>
      <w:r w:rsidRPr="00732116">
        <w:rPr>
          <w:rFonts w:cs="Times New Roman"/>
          <w:i/>
        </w:rPr>
        <w:t>BIA</w:t>
      </w:r>
      <w:r w:rsidRPr="00732116">
        <w:rPr>
          <w:rFonts w:cs="Times New Roman"/>
        </w:rPr>
        <w:t xml:space="preserve"> to allow the appellants to benefit at the expense of Bondfield and Forma-Con’s creditors. It therefore found that Mr. Aquino’s fraudulent intent must be imputed to Bondfield and Forma-Con, even though both companies were also victims of Mr. Aquino’s fraud.</w:t>
      </w:r>
    </w:p>
    <w:p w14:paraId="6515FEFB" w14:textId="77777777" w:rsidR="000C4436" w:rsidRPr="00732116" w:rsidRDefault="000C4436" w:rsidP="000C4436">
      <w:pPr>
        <w:pStyle w:val="Title1LevelTitre1Niveau-AltL"/>
        <w:jc w:val="left"/>
        <w:rPr>
          <w:rFonts w:cs="Times New Roman"/>
        </w:rPr>
      </w:pPr>
      <w:r w:rsidRPr="00732116">
        <w:rPr>
          <w:rFonts w:cs="Times New Roman"/>
        </w:rPr>
        <w:t>Relevant Statutory Provisions</w:t>
      </w:r>
    </w:p>
    <w:p w14:paraId="17E3DAD9" w14:textId="77777777" w:rsidR="000C4436" w:rsidRPr="00732116" w:rsidRDefault="000C4436" w:rsidP="000C4436">
      <w:pPr>
        <w:pStyle w:val="ParaNoNdepar-AltN"/>
        <w:rPr>
          <w:rFonts w:cs="Times New Roman"/>
        </w:rPr>
      </w:pPr>
      <w:r w:rsidRPr="00732116">
        <w:rPr>
          <w:rFonts w:cs="Times New Roman"/>
        </w:rPr>
        <w:t xml:space="preserve">Section 2 of the </w:t>
      </w:r>
      <w:r w:rsidRPr="00732116">
        <w:rPr>
          <w:rFonts w:cs="Times New Roman"/>
          <w:i/>
        </w:rPr>
        <w:t>BIA</w:t>
      </w:r>
      <w:r w:rsidRPr="00732116">
        <w:rPr>
          <w:rFonts w:cs="Times New Roman"/>
        </w:rPr>
        <w:t xml:space="preserve"> defines a “transfer at undervalue”:</w:t>
      </w:r>
    </w:p>
    <w:p w14:paraId="1B4F6D62" w14:textId="77777777" w:rsidR="000C4436" w:rsidRPr="00732116" w:rsidRDefault="000C4436" w:rsidP="000C4436">
      <w:pPr>
        <w:pStyle w:val="Citation-AltC"/>
      </w:pPr>
      <w:r w:rsidRPr="00732116">
        <w:rPr>
          <w:b/>
          <w:bCs/>
          <w:i/>
          <w:shd w:val="clear" w:color="auto" w:fill="FFFFFF"/>
        </w:rPr>
        <w:t>transfer at undervalue</w:t>
      </w:r>
      <w:r w:rsidRPr="00732116">
        <w:rPr>
          <w:shd w:val="clear" w:color="auto" w:fill="FFFFFF"/>
        </w:rPr>
        <w:t> </w:t>
      </w:r>
      <w:r w:rsidRPr="00732116">
        <w:rPr>
          <w:shd w:val="clear" w:color="auto" w:fill="FFFFFF"/>
        </w:rPr>
        <w:t>means a disposition of property or provision of services for which no consideration is received by the debtor or for which the consideration received by the debtor is conspicuously less than the fair market value of the consideration given by the debtor;</w:t>
      </w:r>
    </w:p>
    <w:p w14:paraId="51240511" w14:textId="77777777" w:rsidR="000C4436" w:rsidRPr="00732116" w:rsidRDefault="000C4436" w:rsidP="000C4436">
      <w:pPr>
        <w:pStyle w:val="ParaNoNdepar-AltN"/>
        <w:rPr>
          <w:rFonts w:cs="Times New Roman"/>
        </w:rPr>
      </w:pPr>
      <w:r w:rsidRPr="00732116">
        <w:rPr>
          <w:rFonts w:cs="Times New Roman"/>
        </w:rPr>
        <w:t xml:space="preserve">Section 96 of the </w:t>
      </w:r>
      <w:r w:rsidRPr="00732116">
        <w:rPr>
          <w:rFonts w:cs="Times New Roman"/>
          <w:i/>
        </w:rPr>
        <w:t xml:space="preserve">BIA </w:t>
      </w:r>
      <w:r w:rsidRPr="00732116">
        <w:rPr>
          <w:rFonts w:cs="Times New Roman"/>
        </w:rPr>
        <w:t>governs transfers at undervalue:</w:t>
      </w:r>
    </w:p>
    <w:p w14:paraId="6DE34D6A" w14:textId="77777777" w:rsidR="000C4436" w:rsidRPr="00732116" w:rsidRDefault="000C4436" w:rsidP="000C4436">
      <w:pPr>
        <w:pStyle w:val="Citation-AltC"/>
      </w:pPr>
      <w:r w:rsidRPr="00732116">
        <w:rPr>
          <w:rFonts w:eastAsiaTheme="majorEastAsia"/>
          <w:b/>
          <w:bCs/>
        </w:rPr>
        <w:t>96</w:t>
      </w:r>
      <w:r w:rsidRPr="00732116">
        <w:t> </w:t>
      </w:r>
      <w:r w:rsidRPr="00732116">
        <w:rPr>
          <w:b/>
          <w:bCs/>
        </w:rPr>
        <w:t>(1)</w:t>
      </w:r>
      <w:r w:rsidRPr="00732116">
        <w:t> On application by the trustee, a court may declare that a transfer at undervalue is void as against, or, in Quebec, may not be set up against, the trustee — or order that a party to the transfer or any other person who is privy to the transfer, or all of those persons, pay to the estate the difference between the value of the consideration received by the debtor and the value of the consideration given by the debtor — if</w:t>
      </w:r>
    </w:p>
    <w:p w14:paraId="441DDF75" w14:textId="77777777" w:rsidR="000C4436" w:rsidRPr="00732116" w:rsidRDefault="000C4436" w:rsidP="000C4436">
      <w:pPr>
        <w:pStyle w:val="Citation-AltC"/>
        <w:rPr>
          <w:b/>
          <w:bCs/>
        </w:rPr>
      </w:pPr>
    </w:p>
    <w:p w14:paraId="49126066" w14:textId="77777777" w:rsidR="000C4436" w:rsidRPr="00732116" w:rsidRDefault="000C4436" w:rsidP="000C4436">
      <w:pPr>
        <w:pStyle w:val="Citation-AltC"/>
        <w:ind w:left="1440"/>
      </w:pPr>
      <w:r w:rsidRPr="00732116">
        <w:rPr>
          <w:b/>
          <w:bCs/>
        </w:rPr>
        <w:t>(a)</w:t>
      </w:r>
      <w:r w:rsidRPr="00732116">
        <w:t> </w:t>
      </w:r>
      <w:proofErr w:type="gramStart"/>
      <w:r w:rsidRPr="00732116">
        <w:t>the</w:t>
      </w:r>
      <w:proofErr w:type="gramEnd"/>
      <w:r w:rsidRPr="00732116">
        <w:t xml:space="preserve"> party was dealing at arm’s length with the debtor and</w:t>
      </w:r>
    </w:p>
    <w:p w14:paraId="6108FB2D" w14:textId="77777777" w:rsidR="000C4436" w:rsidRPr="00732116" w:rsidRDefault="000C4436" w:rsidP="000C4436">
      <w:pPr>
        <w:pStyle w:val="Citation-AltC"/>
        <w:rPr>
          <w:b/>
          <w:bCs/>
        </w:rPr>
      </w:pPr>
    </w:p>
    <w:p w14:paraId="3098CA2F" w14:textId="77777777" w:rsidR="000C4436" w:rsidRPr="00732116" w:rsidRDefault="000C4436" w:rsidP="000C4436">
      <w:pPr>
        <w:pStyle w:val="Citation-AltC"/>
        <w:ind w:left="1714"/>
      </w:pPr>
      <w:r w:rsidRPr="00732116">
        <w:rPr>
          <w:b/>
          <w:bCs/>
        </w:rPr>
        <w:t>(i)</w:t>
      </w:r>
      <w:r w:rsidRPr="00732116">
        <w:t> </w:t>
      </w:r>
      <w:proofErr w:type="gramStart"/>
      <w:r w:rsidRPr="00732116">
        <w:t>the</w:t>
      </w:r>
      <w:proofErr w:type="gramEnd"/>
      <w:r w:rsidRPr="00732116">
        <w:t xml:space="preserve"> transfer occurred during the period that begins on the day that is one year before the date of the initial bankruptcy event and that ends on the date of the bankruptcy,</w:t>
      </w:r>
    </w:p>
    <w:p w14:paraId="709148EF" w14:textId="77777777" w:rsidR="000C4436" w:rsidRPr="00732116" w:rsidRDefault="000C4436" w:rsidP="000C4436">
      <w:pPr>
        <w:pStyle w:val="Citation-AltC"/>
        <w:ind w:left="1714"/>
      </w:pPr>
    </w:p>
    <w:p w14:paraId="10A7ED31" w14:textId="77777777" w:rsidR="000C4436" w:rsidRPr="00732116" w:rsidRDefault="000C4436" w:rsidP="000C4436">
      <w:pPr>
        <w:pStyle w:val="Citation-AltC"/>
        <w:ind w:left="1714"/>
      </w:pPr>
      <w:r w:rsidRPr="00732116">
        <w:rPr>
          <w:b/>
          <w:bCs/>
        </w:rPr>
        <w:t>(ii)</w:t>
      </w:r>
      <w:r w:rsidRPr="00732116">
        <w:t> </w:t>
      </w:r>
      <w:proofErr w:type="gramStart"/>
      <w:r w:rsidRPr="00732116">
        <w:t>the</w:t>
      </w:r>
      <w:proofErr w:type="gramEnd"/>
      <w:r w:rsidRPr="00732116">
        <w:t xml:space="preserve"> debtor was insolvent at the time of the transfer or was rendered insolvent by it, and</w:t>
      </w:r>
    </w:p>
    <w:p w14:paraId="154327BA" w14:textId="77777777" w:rsidR="000C4436" w:rsidRPr="009226CF" w:rsidRDefault="000C4436" w:rsidP="000C4436">
      <w:pPr>
        <w:pStyle w:val="Citation-AltC"/>
        <w:ind w:left="1714"/>
        <w:rPr>
          <w:bCs/>
        </w:rPr>
      </w:pPr>
    </w:p>
    <w:p w14:paraId="4C57C384" w14:textId="77777777" w:rsidR="000C4436" w:rsidRPr="00732116" w:rsidRDefault="000C4436" w:rsidP="000C4436">
      <w:pPr>
        <w:pStyle w:val="Citation-AltC"/>
        <w:ind w:left="1714"/>
      </w:pPr>
      <w:r w:rsidRPr="00732116">
        <w:rPr>
          <w:b/>
          <w:bCs/>
        </w:rPr>
        <w:t>(iii)</w:t>
      </w:r>
      <w:r w:rsidRPr="00732116">
        <w:t> </w:t>
      </w:r>
      <w:proofErr w:type="gramStart"/>
      <w:r w:rsidRPr="00732116">
        <w:t>the</w:t>
      </w:r>
      <w:proofErr w:type="gramEnd"/>
      <w:r w:rsidRPr="00732116">
        <w:t xml:space="preserve"> debtor intended to defraud, defeat or delay a creditor; or</w:t>
      </w:r>
    </w:p>
    <w:p w14:paraId="5DF47A97" w14:textId="77777777" w:rsidR="000C4436" w:rsidRPr="009226CF" w:rsidRDefault="000C4436" w:rsidP="000C4436">
      <w:pPr>
        <w:pStyle w:val="Citation-AltC"/>
        <w:ind w:left="1714"/>
        <w:rPr>
          <w:bCs/>
        </w:rPr>
      </w:pPr>
    </w:p>
    <w:p w14:paraId="070FD251" w14:textId="77777777" w:rsidR="000C4436" w:rsidRPr="00732116" w:rsidRDefault="000C4436" w:rsidP="000C4436">
      <w:pPr>
        <w:pStyle w:val="Citation-AltC"/>
        <w:ind w:left="1440"/>
      </w:pPr>
      <w:r w:rsidRPr="00732116">
        <w:rPr>
          <w:b/>
          <w:bCs/>
        </w:rPr>
        <w:t>(b)</w:t>
      </w:r>
      <w:r w:rsidRPr="00732116">
        <w:t> </w:t>
      </w:r>
      <w:proofErr w:type="gramStart"/>
      <w:r w:rsidRPr="00732116">
        <w:t>the</w:t>
      </w:r>
      <w:proofErr w:type="gramEnd"/>
      <w:r w:rsidRPr="00732116">
        <w:t xml:space="preserve"> party was not dealing at arm’s length with the debtor and</w:t>
      </w:r>
    </w:p>
    <w:p w14:paraId="050430A4" w14:textId="77777777" w:rsidR="000C4436" w:rsidRPr="009226CF" w:rsidRDefault="000C4436" w:rsidP="000C4436">
      <w:pPr>
        <w:pStyle w:val="Citation-AltC"/>
        <w:rPr>
          <w:bCs/>
        </w:rPr>
      </w:pPr>
    </w:p>
    <w:p w14:paraId="0CCAB46F" w14:textId="77777777" w:rsidR="000C4436" w:rsidRPr="00732116" w:rsidRDefault="000C4436" w:rsidP="000C4436">
      <w:pPr>
        <w:pStyle w:val="Citation-AltC"/>
        <w:ind w:left="1714"/>
      </w:pPr>
      <w:r w:rsidRPr="00732116">
        <w:rPr>
          <w:b/>
          <w:bCs/>
        </w:rPr>
        <w:t>(i)</w:t>
      </w:r>
      <w:r w:rsidRPr="00732116">
        <w:t> the transfer occurred during the period that begins on the day that is one year before the date of the initial bankruptcy event and ends on the date of the bankruptcy, or</w:t>
      </w:r>
    </w:p>
    <w:p w14:paraId="5778CA48" w14:textId="77777777" w:rsidR="000C4436" w:rsidRPr="00732116" w:rsidRDefault="000C4436" w:rsidP="000C4436">
      <w:pPr>
        <w:pStyle w:val="Citation-AltC"/>
        <w:ind w:left="1440"/>
      </w:pPr>
    </w:p>
    <w:p w14:paraId="4FF522B1" w14:textId="77777777" w:rsidR="000C4436" w:rsidRPr="00732116" w:rsidRDefault="000C4436" w:rsidP="000C4436">
      <w:pPr>
        <w:pStyle w:val="Citation-AltC"/>
        <w:ind w:left="1714"/>
      </w:pPr>
      <w:r w:rsidRPr="00732116">
        <w:rPr>
          <w:b/>
          <w:bCs/>
        </w:rPr>
        <w:t>(ii)</w:t>
      </w:r>
      <w:r w:rsidRPr="00732116">
        <w:t> the transfer occurred during the period that begins on the day that is five years before the date of the initial bankruptcy event and ends on the day before the day on which the period referred to in subparagraph (i) begins and</w:t>
      </w:r>
    </w:p>
    <w:p w14:paraId="0A40C7C8" w14:textId="77777777" w:rsidR="000C4436" w:rsidRPr="009226CF" w:rsidRDefault="000C4436" w:rsidP="000C4436">
      <w:pPr>
        <w:pStyle w:val="Citation-AltC"/>
        <w:ind w:left="1440"/>
        <w:rPr>
          <w:bCs/>
        </w:rPr>
      </w:pPr>
    </w:p>
    <w:p w14:paraId="723CF136" w14:textId="77777777" w:rsidR="000C4436" w:rsidRPr="00732116" w:rsidRDefault="000C4436" w:rsidP="000C4436">
      <w:pPr>
        <w:pStyle w:val="Citation-AltC"/>
        <w:ind w:left="2160"/>
      </w:pPr>
      <w:r w:rsidRPr="00732116">
        <w:rPr>
          <w:b/>
          <w:bCs/>
        </w:rPr>
        <w:t>(A)</w:t>
      </w:r>
      <w:r w:rsidRPr="00732116">
        <w:t> </w:t>
      </w:r>
      <w:proofErr w:type="gramStart"/>
      <w:r w:rsidRPr="00732116">
        <w:t>the</w:t>
      </w:r>
      <w:proofErr w:type="gramEnd"/>
      <w:r w:rsidRPr="00732116">
        <w:t xml:space="preserve"> debtor was insolvent at the time of the transfer or was rendered insolvent by it, or</w:t>
      </w:r>
    </w:p>
    <w:p w14:paraId="26FE8F3E" w14:textId="77777777" w:rsidR="000C4436" w:rsidRPr="009226CF" w:rsidRDefault="000C4436" w:rsidP="000C4436">
      <w:pPr>
        <w:pStyle w:val="Citation-AltC"/>
        <w:ind w:left="2160"/>
        <w:rPr>
          <w:bCs/>
        </w:rPr>
      </w:pPr>
    </w:p>
    <w:p w14:paraId="0ECA0349" w14:textId="77777777" w:rsidR="000C4436" w:rsidRPr="00732116" w:rsidRDefault="000C4436" w:rsidP="000C4436">
      <w:pPr>
        <w:pStyle w:val="Citation-AltC"/>
        <w:ind w:left="2160"/>
      </w:pPr>
      <w:r w:rsidRPr="00732116">
        <w:rPr>
          <w:b/>
          <w:bCs/>
        </w:rPr>
        <w:t>(B)</w:t>
      </w:r>
      <w:r w:rsidRPr="00732116">
        <w:t> </w:t>
      </w:r>
      <w:proofErr w:type="gramStart"/>
      <w:r w:rsidRPr="00732116">
        <w:t>the</w:t>
      </w:r>
      <w:proofErr w:type="gramEnd"/>
      <w:r w:rsidRPr="00732116">
        <w:t xml:space="preserve"> debtor intended to defraud, defeat or delay a creditor.</w:t>
      </w:r>
    </w:p>
    <w:p w14:paraId="76ECBF1D" w14:textId="77777777" w:rsidR="000C4436" w:rsidRPr="00732116" w:rsidRDefault="000C4436" w:rsidP="000C4436">
      <w:pPr>
        <w:pStyle w:val="Citation-AltC"/>
      </w:pPr>
    </w:p>
    <w:p w14:paraId="736CB331" w14:textId="77777777" w:rsidR="000C4436" w:rsidRPr="00732116" w:rsidRDefault="000C4436" w:rsidP="000C4436">
      <w:pPr>
        <w:pStyle w:val="Citation-AltC"/>
        <w:rPr>
          <w:b/>
        </w:rPr>
      </w:pPr>
      <w:r w:rsidRPr="00732116">
        <w:rPr>
          <w:b/>
          <w:bCs/>
        </w:rPr>
        <w:t>(2)</w:t>
      </w:r>
      <w:r w:rsidRPr="00732116">
        <w:t> In making the application referred to in this section, the trustee shall state what, in the trustee’s opinion, was the fair market value of the property or services and what, in the trustee’s opinion, was the value of the actual consideration given or received by the debtor, and the values on which the court makes any finding under this section are, in the absence of evidence to the contrary, the values stated by the trustee.</w:t>
      </w:r>
    </w:p>
    <w:p w14:paraId="2C236227" w14:textId="77777777" w:rsidR="000C4436" w:rsidRPr="00732116" w:rsidRDefault="000C4436" w:rsidP="000C4436">
      <w:pPr>
        <w:pStyle w:val="Citation-AltC"/>
      </w:pPr>
    </w:p>
    <w:p w14:paraId="647935AD" w14:textId="77777777" w:rsidR="000C4436" w:rsidRPr="00732116" w:rsidRDefault="000C4436" w:rsidP="000C4436">
      <w:pPr>
        <w:pStyle w:val="Citation-AltC"/>
        <w:rPr>
          <w:lang w:val="en-US"/>
        </w:rPr>
      </w:pPr>
      <w:r w:rsidRPr="00732116">
        <w:rPr>
          <w:b/>
          <w:bCs/>
        </w:rPr>
        <w:t>(3)</w:t>
      </w:r>
      <w:r w:rsidRPr="00732116">
        <w:t> In this section, a </w:t>
      </w:r>
      <w:r w:rsidRPr="00732116">
        <w:rPr>
          <w:rFonts w:eastAsiaTheme="minorHAnsi"/>
          <w:b/>
          <w:bCs/>
          <w:i/>
        </w:rPr>
        <w:t>person who is privy</w:t>
      </w:r>
      <w:r w:rsidRPr="00732116">
        <w:t> means a person who is not dealing at arm’s length with a party to a transfer and, by reason of the transfer, directly or indirectly, receives a benefit or causes a benefit to be received by another person.</w:t>
      </w:r>
    </w:p>
    <w:p w14:paraId="190D20F1" w14:textId="77777777" w:rsidR="000C4436" w:rsidRPr="00732116" w:rsidRDefault="000C4436" w:rsidP="000C4436">
      <w:pPr>
        <w:pStyle w:val="ParaNoNdepar-AltN"/>
        <w:rPr>
          <w:rFonts w:cs="Times New Roman"/>
        </w:rPr>
      </w:pPr>
      <w:r w:rsidRPr="00732116">
        <w:rPr>
          <w:rFonts w:cs="Times New Roman"/>
        </w:rPr>
        <w:t xml:space="preserve">Section 36.1 of the </w:t>
      </w:r>
      <w:r w:rsidRPr="00732116">
        <w:rPr>
          <w:rFonts w:cs="Times New Roman"/>
          <w:i/>
        </w:rPr>
        <w:t>CCAA</w:t>
      </w:r>
      <w:r w:rsidRPr="00732116">
        <w:rPr>
          <w:rFonts w:cs="Times New Roman"/>
        </w:rPr>
        <w:t xml:space="preserve"> applies the </w:t>
      </w:r>
      <w:r w:rsidRPr="00732116">
        <w:rPr>
          <w:rFonts w:cs="Times New Roman"/>
          <w:i/>
        </w:rPr>
        <w:t>BIA</w:t>
      </w:r>
      <w:r w:rsidRPr="00732116">
        <w:rPr>
          <w:rFonts w:cs="Times New Roman"/>
        </w:rPr>
        <w:t xml:space="preserve">’s provisions on transfers at undervalue to the </w:t>
      </w:r>
      <w:r w:rsidRPr="00732116">
        <w:rPr>
          <w:rFonts w:cs="Times New Roman"/>
          <w:i/>
        </w:rPr>
        <w:t>CCAA</w:t>
      </w:r>
      <w:r w:rsidRPr="00732116">
        <w:rPr>
          <w:rFonts w:cs="Times New Roman"/>
        </w:rPr>
        <w:t xml:space="preserve"> “with any modifications that the circumstances require”:</w:t>
      </w:r>
    </w:p>
    <w:p w14:paraId="27B57107" w14:textId="77777777" w:rsidR="000C4436" w:rsidRPr="00732116" w:rsidRDefault="000C4436" w:rsidP="000C4436">
      <w:pPr>
        <w:pStyle w:val="Citation-AltC"/>
        <w:rPr>
          <w:lang w:val="en-US" w:eastAsia="en-US"/>
        </w:rPr>
      </w:pPr>
      <w:r w:rsidRPr="00732116">
        <w:rPr>
          <w:b/>
          <w:bCs/>
          <w:lang w:val="en-US" w:eastAsia="en-US"/>
        </w:rPr>
        <w:t>36.1 (1)</w:t>
      </w:r>
      <w:r w:rsidRPr="00732116">
        <w:rPr>
          <w:lang w:val="en-US" w:eastAsia="en-US"/>
        </w:rPr>
        <w:t> Sections 38 and 95 to 101 of the </w:t>
      </w:r>
      <w:r w:rsidRPr="00732116">
        <w:rPr>
          <w:i/>
          <w:lang w:val="en-US" w:eastAsia="en-US"/>
        </w:rPr>
        <w:t>Bankruptcy and Insolvency Act</w:t>
      </w:r>
      <w:r w:rsidRPr="00732116">
        <w:rPr>
          <w:lang w:val="en-US" w:eastAsia="en-US"/>
        </w:rPr>
        <w:t xml:space="preserve"> apply, with any modifications that the circumstances require, in respect of a compromise or arrangement unless the compromise or arrangement provides otherwise.</w:t>
      </w:r>
    </w:p>
    <w:p w14:paraId="76BDEB36" w14:textId="77777777" w:rsidR="000C4436" w:rsidRPr="009226CF" w:rsidRDefault="000C4436" w:rsidP="000C4436">
      <w:pPr>
        <w:pStyle w:val="Citation-AltC"/>
        <w:rPr>
          <w:bCs/>
          <w:lang w:val="en-US" w:eastAsia="en-US"/>
        </w:rPr>
      </w:pPr>
    </w:p>
    <w:p w14:paraId="6EF5765E" w14:textId="77777777" w:rsidR="000C4436" w:rsidRPr="00732116" w:rsidRDefault="000C4436" w:rsidP="000C4436">
      <w:pPr>
        <w:pStyle w:val="Citation-AltC"/>
        <w:rPr>
          <w:lang w:val="en-US" w:eastAsia="en-US"/>
        </w:rPr>
      </w:pPr>
      <w:r w:rsidRPr="00732116">
        <w:rPr>
          <w:b/>
          <w:bCs/>
          <w:lang w:val="en-US" w:eastAsia="en-US"/>
        </w:rPr>
        <w:t>(2)</w:t>
      </w:r>
      <w:r w:rsidRPr="00732116">
        <w:rPr>
          <w:lang w:val="en-US" w:eastAsia="en-US"/>
        </w:rPr>
        <w:t> For the purposes of subsection (1), a reference in sections 38 and 95 to 101 of the </w:t>
      </w:r>
      <w:r w:rsidRPr="00732116">
        <w:rPr>
          <w:i/>
          <w:lang w:val="en-US" w:eastAsia="en-US"/>
        </w:rPr>
        <w:t>Bankruptcy and Insolvency Act</w:t>
      </w:r>
    </w:p>
    <w:p w14:paraId="59CAE8CF" w14:textId="77777777" w:rsidR="000C4436" w:rsidRPr="009226CF" w:rsidRDefault="000C4436" w:rsidP="000C4436">
      <w:pPr>
        <w:pStyle w:val="Citation-AltC"/>
        <w:rPr>
          <w:bCs/>
          <w:lang w:val="en-US" w:eastAsia="en-US"/>
        </w:rPr>
      </w:pPr>
    </w:p>
    <w:p w14:paraId="5852465B" w14:textId="77777777" w:rsidR="000C4436" w:rsidRPr="00732116" w:rsidRDefault="000C4436" w:rsidP="000C4436">
      <w:pPr>
        <w:pStyle w:val="Citation-AltC"/>
        <w:ind w:left="1440"/>
        <w:rPr>
          <w:lang w:val="en-US" w:eastAsia="en-US"/>
        </w:rPr>
      </w:pPr>
      <w:r w:rsidRPr="00732116">
        <w:rPr>
          <w:b/>
          <w:bCs/>
          <w:lang w:val="en-US" w:eastAsia="en-US"/>
        </w:rPr>
        <w:t>(a)</w:t>
      </w:r>
      <w:r w:rsidRPr="00732116">
        <w:rPr>
          <w:lang w:val="en-US" w:eastAsia="en-US"/>
        </w:rPr>
        <w:t> </w:t>
      </w:r>
      <w:proofErr w:type="gramStart"/>
      <w:r w:rsidRPr="00732116">
        <w:rPr>
          <w:lang w:val="en-US" w:eastAsia="en-US"/>
        </w:rPr>
        <w:t>to</w:t>
      </w:r>
      <w:proofErr w:type="gramEnd"/>
      <w:r w:rsidRPr="00732116">
        <w:rPr>
          <w:lang w:val="en-US" w:eastAsia="en-US"/>
        </w:rPr>
        <w:t xml:space="preserve"> “date of the bankruptcy” is to be read as a reference to “day on which proceedings commence under this Act”;</w:t>
      </w:r>
    </w:p>
    <w:p w14:paraId="6762063F" w14:textId="77777777" w:rsidR="000C4436" w:rsidRPr="009226CF" w:rsidRDefault="000C4436" w:rsidP="000C4436">
      <w:pPr>
        <w:pStyle w:val="Citation-AltC"/>
        <w:ind w:left="1440"/>
        <w:rPr>
          <w:bCs/>
          <w:lang w:val="en-US" w:eastAsia="en-US"/>
        </w:rPr>
      </w:pPr>
    </w:p>
    <w:p w14:paraId="36967C06" w14:textId="77777777" w:rsidR="000C4436" w:rsidRPr="00732116" w:rsidRDefault="000C4436" w:rsidP="000C4436">
      <w:pPr>
        <w:pStyle w:val="Citation-AltC"/>
        <w:ind w:left="1440"/>
        <w:rPr>
          <w:lang w:val="en-US" w:eastAsia="en-US"/>
        </w:rPr>
      </w:pPr>
      <w:r w:rsidRPr="00732116">
        <w:rPr>
          <w:b/>
          <w:bCs/>
          <w:lang w:val="en-US" w:eastAsia="en-US"/>
        </w:rPr>
        <w:t>(b)</w:t>
      </w:r>
      <w:r w:rsidRPr="00732116">
        <w:rPr>
          <w:lang w:val="en-US" w:eastAsia="en-US"/>
        </w:rPr>
        <w:t> </w:t>
      </w:r>
      <w:proofErr w:type="gramStart"/>
      <w:r w:rsidRPr="00732116">
        <w:rPr>
          <w:lang w:val="en-US" w:eastAsia="en-US"/>
        </w:rPr>
        <w:t>to</w:t>
      </w:r>
      <w:proofErr w:type="gramEnd"/>
      <w:r w:rsidRPr="00732116">
        <w:rPr>
          <w:lang w:val="en-US" w:eastAsia="en-US"/>
        </w:rPr>
        <w:t xml:space="preserve"> “trustee” is to be read as a reference to “monitor”; and</w:t>
      </w:r>
    </w:p>
    <w:p w14:paraId="4620C38D" w14:textId="77777777" w:rsidR="000C4436" w:rsidRPr="00732116" w:rsidRDefault="000C4436" w:rsidP="000C4436">
      <w:pPr>
        <w:pStyle w:val="Citation-AltC"/>
        <w:ind w:left="1440"/>
        <w:rPr>
          <w:b/>
          <w:bCs/>
          <w:lang w:val="en-US" w:eastAsia="en-US"/>
        </w:rPr>
      </w:pPr>
    </w:p>
    <w:p w14:paraId="71FADC19" w14:textId="77777777" w:rsidR="000C4436" w:rsidRPr="00732116" w:rsidRDefault="000C4436" w:rsidP="000C4436">
      <w:pPr>
        <w:pStyle w:val="Citation-AltC"/>
        <w:ind w:left="1440"/>
        <w:rPr>
          <w:sz w:val="19"/>
          <w:szCs w:val="19"/>
          <w:lang w:val="en-US" w:eastAsia="en-US"/>
        </w:rPr>
      </w:pPr>
      <w:r w:rsidRPr="00732116">
        <w:rPr>
          <w:b/>
          <w:bCs/>
          <w:lang w:val="en-US" w:eastAsia="en-US"/>
        </w:rPr>
        <w:t>(c)</w:t>
      </w:r>
      <w:r w:rsidRPr="00732116">
        <w:rPr>
          <w:lang w:val="en-US" w:eastAsia="en-US"/>
        </w:rPr>
        <w:t> </w:t>
      </w:r>
      <w:proofErr w:type="gramStart"/>
      <w:r w:rsidRPr="00732116">
        <w:rPr>
          <w:lang w:val="en-US" w:eastAsia="en-US"/>
        </w:rPr>
        <w:t>to</w:t>
      </w:r>
      <w:proofErr w:type="gramEnd"/>
      <w:r w:rsidRPr="00732116">
        <w:rPr>
          <w:lang w:val="en-US" w:eastAsia="en-US"/>
        </w:rPr>
        <w:t xml:space="preserve"> “bankrupt”, “insolvent person” or “debtor” is to be read as a reference to “debtor company”.</w:t>
      </w:r>
    </w:p>
    <w:p w14:paraId="3FDAB028" w14:textId="77777777" w:rsidR="000C4436" w:rsidRPr="00732116" w:rsidRDefault="000C4436" w:rsidP="000C4436">
      <w:pPr>
        <w:pStyle w:val="Title1LevelTitre1Niveau-AltL"/>
        <w:numPr>
          <w:ilvl w:val="0"/>
          <w:numId w:val="8"/>
        </w:numPr>
        <w:rPr>
          <w:rFonts w:cs="Times New Roman"/>
        </w:rPr>
      </w:pPr>
      <w:bookmarkStart w:id="5" w:name="_Toc160194668"/>
      <w:r w:rsidRPr="00732116">
        <w:rPr>
          <w:rFonts w:cs="Times New Roman"/>
        </w:rPr>
        <w:t>Issues</w:t>
      </w:r>
      <w:bookmarkEnd w:id="5"/>
    </w:p>
    <w:p w14:paraId="43A4B8C9" w14:textId="4237465A" w:rsidR="000C4436" w:rsidRPr="00732116" w:rsidRDefault="000C4436" w:rsidP="000C4436">
      <w:pPr>
        <w:pStyle w:val="ParaNoNdepar-AltN"/>
        <w:rPr>
          <w:rFonts w:cs="Times New Roman"/>
        </w:rPr>
      </w:pPr>
      <w:r w:rsidRPr="00732116">
        <w:rPr>
          <w:rFonts w:cs="Times New Roman"/>
        </w:rPr>
        <w:t xml:space="preserve">This appeal raises two issues: </w:t>
      </w:r>
    </w:p>
    <w:p w14:paraId="2151D116" w14:textId="39B0156E" w:rsidR="000C4436" w:rsidRPr="00732116" w:rsidRDefault="00EF1EA5" w:rsidP="00EF1EA5">
      <w:pPr>
        <w:pStyle w:val="Citation-AltC"/>
        <w:spacing w:line="480" w:lineRule="auto"/>
        <w:ind w:left="1710" w:hanging="540"/>
      </w:pPr>
      <w:bookmarkStart w:id="6" w:name="_Toc160194669"/>
      <w:r>
        <w:t>(1)</w:t>
      </w:r>
      <w:r>
        <w:tab/>
      </w:r>
      <w:r w:rsidR="000C4436" w:rsidRPr="00732116">
        <w:t xml:space="preserve">Is a debtor’s financial condition relevant or determinative in establishing the debtor’s intent to defraud, defeat, or delay a creditor under s. 96(1)(b)(ii)(B) of the </w:t>
      </w:r>
      <w:r w:rsidR="000C4436" w:rsidRPr="00732116">
        <w:rPr>
          <w:i/>
        </w:rPr>
        <w:t>BIA</w:t>
      </w:r>
      <w:r w:rsidR="000C4436" w:rsidRPr="00732116">
        <w:t>?</w:t>
      </w:r>
      <w:bookmarkEnd w:id="6"/>
    </w:p>
    <w:p w14:paraId="29CBBAD4" w14:textId="77777777" w:rsidR="00EF1EA5" w:rsidRDefault="00EF1EA5" w:rsidP="00EF1EA5">
      <w:pPr>
        <w:pStyle w:val="Citation-AltC"/>
        <w:spacing w:line="480" w:lineRule="auto"/>
        <w:ind w:left="1710" w:hanging="540"/>
      </w:pPr>
      <w:bookmarkStart w:id="7" w:name="_Toc160194670"/>
      <w:bookmarkStart w:id="8" w:name="_Hlk163059655"/>
    </w:p>
    <w:p w14:paraId="5ACEF934" w14:textId="15F097D5" w:rsidR="000C4436" w:rsidRPr="00B53572" w:rsidRDefault="00EF1EA5" w:rsidP="00EF1EA5">
      <w:pPr>
        <w:pStyle w:val="Citation-AltC"/>
        <w:spacing w:line="480" w:lineRule="auto"/>
        <w:ind w:left="1710" w:hanging="540"/>
      </w:pPr>
      <w:r>
        <w:t>(2)</w:t>
      </w:r>
      <w:r>
        <w:tab/>
      </w:r>
      <w:r w:rsidR="000C4436" w:rsidRPr="00B53572">
        <w:t>When can the intent of the directing mind of a corporation to defraud, defeat, or delay a creditor be attributed to the corporate debtor under s. 96(1</w:t>
      </w:r>
      <w:proofErr w:type="gramStart"/>
      <w:r w:rsidR="000C4436" w:rsidRPr="00B53572">
        <w:t>)(</w:t>
      </w:r>
      <w:proofErr w:type="gramEnd"/>
      <w:r w:rsidR="000C4436" w:rsidRPr="00B53572">
        <w:t xml:space="preserve">b)(ii)(B) of the </w:t>
      </w:r>
      <w:r w:rsidR="000C4436" w:rsidRPr="00B53572">
        <w:rPr>
          <w:i/>
        </w:rPr>
        <w:t>BIA</w:t>
      </w:r>
      <w:r w:rsidR="000C4436" w:rsidRPr="00B53572">
        <w:t>?</w:t>
      </w:r>
      <w:bookmarkEnd w:id="7"/>
    </w:p>
    <w:p w14:paraId="513B3348" w14:textId="77777777" w:rsidR="000C4436" w:rsidRPr="00732116" w:rsidRDefault="000C4436" w:rsidP="000C4436">
      <w:pPr>
        <w:pStyle w:val="Title1LevelTitre1Niveau-AltL"/>
        <w:numPr>
          <w:ilvl w:val="0"/>
          <w:numId w:val="8"/>
        </w:numPr>
        <w:rPr>
          <w:rFonts w:cs="Times New Roman"/>
        </w:rPr>
      </w:pPr>
      <w:bookmarkStart w:id="9" w:name="_Toc160194671"/>
      <w:bookmarkEnd w:id="8"/>
      <w:r w:rsidRPr="00732116">
        <w:rPr>
          <w:rFonts w:cs="Times New Roman"/>
        </w:rPr>
        <w:t>Analysis</w:t>
      </w:r>
      <w:bookmarkStart w:id="10" w:name="_GoBack"/>
      <w:bookmarkEnd w:id="9"/>
      <w:bookmarkEnd w:id="10"/>
    </w:p>
    <w:p w14:paraId="672B2081" w14:textId="77777777" w:rsidR="000C4436" w:rsidRPr="00732116" w:rsidRDefault="000C4436" w:rsidP="000C4436">
      <w:pPr>
        <w:pStyle w:val="ParaNoNdepar-AltN"/>
        <w:rPr>
          <w:rFonts w:cs="Times New Roman"/>
        </w:rPr>
      </w:pPr>
      <w:r w:rsidRPr="00732116">
        <w:rPr>
          <w:rFonts w:cs="Times New Roman"/>
        </w:rPr>
        <w:t>The key question in this appeal is whether the trustee and monitor established Bondfield and Forma-Con’s intent to defraud, defeat, or delay a creditor under s. 96(1</w:t>
      </w:r>
      <w:proofErr w:type="gramStart"/>
      <w:r w:rsidRPr="00732116">
        <w:rPr>
          <w:rFonts w:cs="Times New Roman"/>
        </w:rPr>
        <w:t>)(</w:t>
      </w:r>
      <w:proofErr w:type="gramEnd"/>
      <w:r w:rsidRPr="00732116">
        <w:rPr>
          <w:rFonts w:cs="Times New Roman"/>
        </w:rPr>
        <w:t>b)(ii)(B). When the debtor is a corporation, the court must determine whether the corporate debtor’s directing mind intended to defraud, defeat, or delay a creditor having regard to the transactions completed by the corporation, and then consider whether the directing mind’s intent can be attributed to the corporation. Thus, the Court must first determine whether the evidence established Mr. Aquino’s intent to defraud, defeat, or delay a creditor, and then determine whether his intent should have been attributed to Bondfield and Forma-Con. The appellants claim that the courts below erred on both points.</w:t>
      </w:r>
    </w:p>
    <w:p w14:paraId="7C8ADC69" w14:textId="77777777" w:rsidR="000C4436" w:rsidRPr="00732116" w:rsidRDefault="000C4436" w:rsidP="000C4436">
      <w:pPr>
        <w:pStyle w:val="Title2LevelTitre2Niveau"/>
        <w:numPr>
          <w:ilvl w:val="1"/>
          <w:numId w:val="8"/>
        </w:numPr>
        <w:rPr>
          <w:rFonts w:cs="Times New Roman"/>
        </w:rPr>
      </w:pPr>
      <w:bookmarkStart w:id="11" w:name="_Toc160194672"/>
      <w:r w:rsidRPr="00732116">
        <w:rPr>
          <w:rFonts w:cs="Times New Roman"/>
        </w:rPr>
        <w:t>Is a Debtor’s Financial Condition Relevant or Determinative in Establishing the Debtor’s Intent to Defraud, Defeat, or Delay a Creditor Under Section 96(1</w:t>
      </w:r>
      <w:proofErr w:type="gramStart"/>
      <w:r w:rsidRPr="00732116">
        <w:rPr>
          <w:rFonts w:cs="Times New Roman"/>
        </w:rPr>
        <w:t>)(</w:t>
      </w:r>
      <w:proofErr w:type="gramEnd"/>
      <w:r w:rsidRPr="00732116">
        <w:rPr>
          <w:rFonts w:cs="Times New Roman"/>
        </w:rPr>
        <w:t>b)(ii)(B) of the BIA?</w:t>
      </w:r>
    </w:p>
    <w:p w14:paraId="7636A965" w14:textId="77777777" w:rsidR="000C4436" w:rsidRPr="00732116" w:rsidRDefault="000C4436" w:rsidP="000C4436">
      <w:pPr>
        <w:pStyle w:val="ParaNoNdepar-AltN"/>
        <w:rPr>
          <w:rFonts w:cs="Times New Roman"/>
        </w:rPr>
      </w:pPr>
      <w:r w:rsidRPr="00732116">
        <w:rPr>
          <w:rFonts w:cs="Times New Roman"/>
        </w:rPr>
        <w:t>The appellants assert that the application judge made an extricable error of law by concluding that Bondfield and Forma-Con intended to defraud, defeat, or delay a creditor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xml:space="preserve"> because the companies were paying their creditors in full and on time and because the court found that it could not determine the companies’ financial condition at the time of the transfers at undervalue. The appellants say that the application judge could not make an order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xml:space="preserve"> without first determining the companies’ financial condition at the time of the impugned transactions.</w:t>
      </w:r>
    </w:p>
    <w:p w14:paraId="2A0D6E45" w14:textId="77777777" w:rsidR="000C4436" w:rsidRPr="00732116" w:rsidRDefault="000C4436" w:rsidP="000C4436">
      <w:pPr>
        <w:pStyle w:val="ParaNoNdepar-AltN"/>
        <w:rPr>
          <w:rFonts w:cs="Times New Roman"/>
        </w:rPr>
      </w:pPr>
      <w:r w:rsidRPr="00732116">
        <w:rPr>
          <w:rFonts w:cs="Times New Roman"/>
        </w:rPr>
        <w:t xml:space="preserve">I do not accept this submission. I will first review the legal framework for transfers at undervalue under s. 96 of the </w:t>
      </w:r>
      <w:r w:rsidRPr="00732116">
        <w:rPr>
          <w:rFonts w:cs="Times New Roman"/>
          <w:i/>
        </w:rPr>
        <w:t>BIA</w:t>
      </w:r>
      <w:r w:rsidRPr="00732116">
        <w:rPr>
          <w:rFonts w:cs="Times New Roman"/>
        </w:rPr>
        <w:t xml:space="preserve"> and address how a debtor’s intent to defraud, defeat, or delay a creditor can be proved through the evidentiary shortcut of “badges of fraud”. I will then explain why I see no reviewable error in the application judge’s conclusion that the requisite intent under s. 96(1</w:t>
      </w:r>
      <w:proofErr w:type="gramStart"/>
      <w:r w:rsidRPr="00732116">
        <w:rPr>
          <w:rFonts w:cs="Times New Roman"/>
        </w:rPr>
        <w:t>)(</w:t>
      </w:r>
      <w:proofErr w:type="gramEnd"/>
      <w:r w:rsidRPr="00732116">
        <w:rPr>
          <w:rFonts w:cs="Times New Roman"/>
        </w:rPr>
        <w:t>b)(ii)(B) was established.</w:t>
      </w:r>
    </w:p>
    <w:p w14:paraId="604C1A2A" w14:textId="77777777" w:rsidR="000C4436" w:rsidRPr="00732116" w:rsidRDefault="000C4436" w:rsidP="000C4436">
      <w:pPr>
        <w:pStyle w:val="Title3LevelTitre3Niveau"/>
        <w:rPr>
          <w:rFonts w:cs="Times New Roman"/>
        </w:rPr>
      </w:pPr>
      <w:r w:rsidRPr="00732116">
        <w:rPr>
          <w:rFonts w:cs="Times New Roman"/>
        </w:rPr>
        <w:t xml:space="preserve">Transfers at Undervalue Under the </w:t>
      </w:r>
      <w:r w:rsidRPr="00732116">
        <w:rPr>
          <w:rFonts w:cs="Times New Roman"/>
          <w:i/>
        </w:rPr>
        <w:t>BIA</w:t>
      </w:r>
      <w:bookmarkEnd w:id="11"/>
    </w:p>
    <w:p w14:paraId="6294B9F0" w14:textId="77777777" w:rsidR="000C4436" w:rsidRPr="00732116" w:rsidRDefault="000C4436" w:rsidP="000C4436">
      <w:pPr>
        <w:pStyle w:val="Title4LevelTitre4Niveau"/>
        <w:rPr>
          <w:rFonts w:cs="Times New Roman"/>
        </w:rPr>
      </w:pPr>
      <w:bookmarkStart w:id="12" w:name="_Hlk160101182"/>
      <w:r w:rsidRPr="00732116">
        <w:rPr>
          <w:rFonts w:cs="Times New Roman"/>
        </w:rPr>
        <w:t>General Principles</w:t>
      </w:r>
    </w:p>
    <w:p w14:paraId="7EAE0F9D" w14:textId="77777777" w:rsidR="000C4436" w:rsidRPr="00732116" w:rsidRDefault="000C4436" w:rsidP="000C4436">
      <w:pPr>
        <w:pStyle w:val="ParaNoNdepar-AltN"/>
        <w:rPr>
          <w:rFonts w:cs="Times New Roman"/>
        </w:rPr>
      </w:pPr>
      <w:r w:rsidRPr="00732116">
        <w:rPr>
          <w:rFonts w:cs="Times New Roman"/>
        </w:rPr>
        <w:t xml:space="preserve">A “transfer at undervalue” is defined under s. 2 of the </w:t>
      </w:r>
      <w:r w:rsidRPr="00732116">
        <w:rPr>
          <w:rFonts w:cs="Times New Roman"/>
          <w:i/>
        </w:rPr>
        <w:t>BIA</w:t>
      </w:r>
      <w:r w:rsidRPr="00732116">
        <w:rPr>
          <w:rFonts w:cs="Times New Roman"/>
        </w:rPr>
        <w:t xml:space="preserve"> as “a disposition of property or provision of services for which no consideration is received by the debtor or for which the consideration received by the debtor is conspicuously less than the fair market value of the consideration given by the debtor”</w:t>
      </w:r>
      <w:r w:rsidRPr="00732116">
        <w:rPr>
          <w:rFonts w:cs="Times New Roman"/>
          <w:lang w:bidi="en-US"/>
        </w:rPr>
        <w:t>.</w:t>
      </w:r>
      <w:r w:rsidRPr="00732116">
        <w:rPr>
          <w:rFonts w:cs="Times New Roman"/>
        </w:rPr>
        <w:t xml:space="preserve"> </w:t>
      </w:r>
      <w:r w:rsidRPr="00732116">
        <w:rPr>
          <w:rFonts w:cs="Times New Roman"/>
          <w:lang w:bidi="en-US"/>
        </w:rPr>
        <w:t>T</w:t>
      </w:r>
      <w:r w:rsidRPr="00732116">
        <w:rPr>
          <w:rFonts w:cs="Times New Roman"/>
        </w:rPr>
        <w:t>ransfers at undervalue reduce the value of the debtor’s estate and diminish the value of the creditors’ realizable claims (</w:t>
      </w:r>
      <w:r w:rsidRPr="00732116">
        <w:rPr>
          <w:rFonts w:cs="Times New Roman"/>
          <w:lang w:val="en-US"/>
        </w:rPr>
        <w:t xml:space="preserve">A. Duggan and T. G. W. Telfer, “Gifts and Transfers at Undervalue”, in S. Ben-Ishai and A. Duggan, eds., </w:t>
      </w:r>
      <w:r w:rsidRPr="00732116">
        <w:rPr>
          <w:rFonts w:cs="Times New Roman"/>
          <w:i/>
          <w:lang w:val="en-US"/>
        </w:rPr>
        <w:t xml:space="preserve">Canadian Bankruptcy and Insolvency Law: Bill C-55, Statute c. 47 and Beyond </w:t>
      </w:r>
      <w:r w:rsidRPr="00732116">
        <w:rPr>
          <w:rFonts w:cs="Times New Roman"/>
          <w:lang w:val="en-US"/>
        </w:rPr>
        <w:t>(2007), 175, at p. 191</w:t>
      </w:r>
      <w:r w:rsidRPr="00732116">
        <w:rPr>
          <w:rFonts w:cs="Times New Roman"/>
        </w:rPr>
        <w:t>).</w:t>
      </w:r>
    </w:p>
    <w:p w14:paraId="7699FBA8" w14:textId="77777777" w:rsidR="000C4436" w:rsidRPr="00732116" w:rsidRDefault="000C4436" w:rsidP="000C4436">
      <w:pPr>
        <w:pStyle w:val="ParaNoNdepar-AltN"/>
        <w:rPr>
          <w:rFonts w:cs="Times New Roman"/>
        </w:rPr>
      </w:pPr>
      <w:r w:rsidRPr="00732116">
        <w:rPr>
          <w:rFonts w:cs="Times New Roman"/>
        </w:rPr>
        <w:t xml:space="preserve">Section 96 has been described as “a tool to address </w:t>
      </w:r>
      <w:r w:rsidRPr="00732116">
        <w:rPr>
          <w:rFonts w:cs="Times New Roman"/>
          <w:lang w:val="en-US"/>
        </w:rPr>
        <w:t>‘asset stripping’ by a debtor” (</w:t>
      </w:r>
      <w:r w:rsidRPr="00732116">
        <w:rPr>
          <w:rFonts w:cs="Times New Roman"/>
          <w:i/>
        </w:rPr>
        <w:t>Urbancorp Toronto Management Inc. (Re)</w:t>
      </w:r>
      <w:r w:rsidRPr="00732116">
        <w:rPr>
          <w:rFonts w:cs="Times New Roman"/>
        </w:rPr>
        <w:t>, 2019 ONCA 757, 74 C.B.R. (6th) 23</w:t>
      </w:r>
      <w:r w:rsidRPr="00732116">
        <w:rPr>
          <w:rFonts w:cs="Times New Roman"/>
          <w:lang w:val="en-US"/>
        </w:rPr>
        <w:t xml:space="preserve">, at para. 40; see also </w:t>
      </w:r>
      <w:r w:rsidRPr="00732116">
        <w:rPr>
          <w:rFonts w:cs="Times New Roman"/>
          <w:i/>
          <w:lang w:val="en-US"/>
        </w:rPr>
        <w:t>Peoples Department Stores Inc. (Trustee of) v. Wise</w:t>
      </w:r>
      <w:r w:rsidRPr="00732116">
        <w:rPr>
          <w:rFonts w:cs="Times New Roman"/>
          <w:lang w:val="en-US"/>
        </w:rPr>
        <w:t xml:space="preserve">, 2004 SCC 68, [2004] 3 S.C.R. 461, at para. 91, on the predecessor provision, s. 100 of the </w:t>
      </w:r>
      <w:r w:rsidRPr="00732116">
        <w:rPr>
          <w:rFonts w:cs="Times New Roman"/>
          <w:i/>
          <w:lang w:val="en-US"/>
        </w:rPr>
        <w:t>BIA</w:t>
      </w:r>
      <w:r w:rsidRPr="00732116">
        <w:rPr>
          <w:rFonts w:cs="Times New Roman"/>
          <w:lang w:val="en-US"/>
        </w:rPr>
        <w:t xml:space="preserve">). </w:t>
      </w:r>
      <w:r w:rsidRPr="00732116">
        <w:rPr>
          <w:rFonts w:cs="Times New Roman"/>
        </w:rPr>
        <w:t xml:space="preserve">Section 96 of the </w:t>
      </w:r>
      <w:r w:rsidRPr="00732116">
        <w:rPr>
          <w:rFonts w:cs="Times New Roman"/>
          <w:i/>
        </w:rPr>
        <w:t>BIA</w:t>
      </w:r>
      <w:r w:rsidRPr="00732116">
        <w:rPr>
          <w:rFonts w:cs="Times New Roman"/>
        </w:rPr>
        <w:t xml:space="preserve"> provides a remedy to reverse transfers at undervalue that occurred within a specified period of time before the date of bankruptcy (</w:t>
      </w:r>
      <w:r w:rsidRPr="00732116">
        <w:rPr>
          <w:rFonts w:cs="Times New Roman"/>
          <w:i/>
        </w:rPr>
        <w:t>Urbancorp</w:t>
      </w:r>
      <w:r w:rsidRPr="00732116">
        <w:rPr>
          <w:rFonts w:cs="Times New Roman"/>
        </w:rPr>
        <w:t xml:space="preserve">, at para. 48; </w:t>
      </w:r>
      <w:r w:rsidRPr="00732116">
        <w:rPr>
          <w:rFonts w:cs="Times New Roman"/>
          <w:i/>
        </w:rPr>
        <w:t>Estate of Gavin v. Gavin</w:t>
      </w:r>
      <w:r w:rsidRPr="00732116">
        <w:rPr>
          <w:rFonts w:cs="Times New Roman"/>
        </w:rPr>
        <w:t xml:space="preserve">, 2023 PECA 8, 10 C.B.R. (7th) 30, at paras. 14 and 142; </w:t>
      </w:r>
      <w:proofErr w:type="spellStart"/>
      <w:r w:rsidRPr="00732116">
        <w:rPr>
          <w:rFonts w:cs="Times New Roman"/>
          <w:i/>
          <w:lang w:bidi="en-US"/>
        </w:rPr>
        <w:t>Pitblado</w:t>
      </w:r>
      <w:proofErr w:type="spellEnd"/>
      <w:r w:rsidRPr="00732116">
        <w:rPr>
          <w:rFonts w:cs="Times New Roman"/>
          <w:i/>
          <w:lang w:bidi="en-US"/>
        </w:rPr>
        <w:t xml:space="preserve"> LLP v. </w:t>
      </w:r>
      <w:proofErr w:type="spellStart"/>
      <w:r w:rsidRPr="00732116">
        <w:rPr>
          <w:rFonts w:cs="Times New Roman"/>
          <w:i/>
          <w:lang w:bidi="en-US"/>
        </w:rPr>
        <w:t>Houde</w:t>
      </w:r>
      <w:proofErr w:type="spellEnd"/>
      <w:r w:rsidRPr="00732116">
        <w:rPr>
          <w:rFonts w:cs="Times New Roman"/>
          <w:lang w:bidi="en-US"/>
        </w:rPr>
        <w:t xml:space="preserve">, 2015 </w:t>
      </w:r>
      <w:proofErr w:type="spellStart"/>
      <w:r w:rsidRPr="00732116">
        <w:rPr>
          <w:rFonts w:cs="Times New Roman"/>
          <w:lang w:bidi="en-US"/>
        </w:rPr>
        <w:t>MBQB</w:t>
      </w:r>
      <w:proofErr w:type="spellEnd"/>
      <w:r w:rsidRPr="00732116">
        <w:rPr>
          <w:rFonts w:cs="Times New Roman"/>
          <w:lang w:bidi="en-US"/>
        </w:rPr>
        <w:t xml:space="preserve"> 85, 318 Man. R. (2d) 39, at para. 35). </w:t>
      </w:r>
    </w:p>
    <w:p w14:paraId="0C586587" w14:textId="77777777" w:rsidR="000C4436" w:rsidRPr="00732116" w:rsidRDefault="000C4436" w:rsidP="000C4436">
      <w:pPr>
        <w:pStyle w:val="ParaNoNdepar-AltN"/>
        <w:rPr>
          <w:rFonts w:cs="Times New Roman"/>
        </w:rPr>
      </w:pPr>
      <w:r w:rsidRPr="00732116">
        <w:rPr>
          <w:rFonts w:cs="Times New Roman"/>
        </w:rPr>
        <w:t xml:space="preserve">Section 96 of the </w:t>
      </w:r>
      <w:r w:rsidRPr="00732116">
        <w:rPr>
          <w:rFonts w:cs="Times New Roman"/>
          <w:i/>
        </w:rPr>
        <w:t>BIA</w:t>
      </w:r>
      <w:r w:rsidRPr="00732116">
        <w:rPr>
          <w:rFonts w:cs="Times New Roman"/>
        </w:rPr>
        <w:t xml:space="preserve"> allows a trustee in bankruptcy </w:t>
      </w:r>
      <w:r w:rsidRPr="00732116">
        <w:rPr>
          <w:rFonts w:cs="Times New Roman"/>
          <w:lang w:val="en-US"/>
        </w:rPr>
        <w:t xml:space="preserve">to ask a court to review a suspected transfer at undervalue. When the conditions of s. 96 are met, the court may declare the transfer void as against the trustee or grant judgment against the parties or privies to the transfer for the amount of the difference between the consideration given by the debtor and the consideration received. Section 36.1 of the </w:t>
      </w:r>
      <w:r w:rsidRPr="00732116">
        <w:rPr>
          <w:rFonts w:cs="Times New Roman"/>
          <w:i/>
          <w:lang w:val="en-US"/>
        </w:rPr>
        <w:t>CCAA</w:t>
      </w:r>
      <w:r w:rsidRPr="00732116">
        <w:rPr>
          <w:rFonts w:cs="Times New Roman"/>
          <w:lang w:val="en-US"/>
        </w:rPr>
        <w:t xml:space="preserve"> incorporates s. 96 of the </w:t>
      </w:r>
      <w:r w:rsidRPr="00732116">
        <w:rPr>
          <w:rFonts w:cs="Times New Roman"/>
          <w:i/>
          <w:lang w:val="en-US"/>
        </w:rPr>
        <w:t>BIA</w:t>
      </w:r>
      <w:r w:rsidRPr="00732116">
        <w:rPr>
          <w:rFonts w:cs="Times New Roman"/>
          <w:lang w:val="en-US"/>
        </w:rPr>
        <w:t xml:space="preserve"> by reference and allows a monitor to impugn a transfer at undervalue in a corporate restructuring.</w:t>
      </w:r>
    </w:p>
    <w:p w14:paraId="363BAB82" w14:textId="77777777" w:rsidR="000C4436" w:rsidRPr="00732116" w:rsidRDefault="000C4436" w:rsidP="000C4436">
      <w:pPr>
        <w:pStyle w:val="ParaNoNdepar-AltN"/>
        <w:rPr>
          <w:rFonts w:cs="Times New Roman"/>
        </w:rPr>
      </w:pPr>
      <w:r w:rsidRPr="00732116">
        <w:rPr>
          <w:rFonts w:cs="Times New Roman"/>
        </w:rPr>
        <w:t>Because the purpose of s. 96 is to protect creditors rather than to punish debtors, the remedy is directed against the person who received the transfer of property from the debtor and others who were privy to the transfer (</w:t>
      </w:r>
      <w:r w:rsidRPr="00732116">
        <w:rPr>
          <w:rFonts w:cs="Times New Roman"/>
          <w:lang w:val="en-US"/>
        </w:rPr>
        <w:t xml:space="preserve">R. J. Wood, </w:t>
      </w:r>
      <w:r w:rsidRPr="00732116">
        <w:rPr>
          <w:rFonts w:cs="Times New Roman"/>
          <w:i/>
          <w:lang w:val="en-US"/>
        </w:rPr>
        <w:t>Bankruptcy and Insolvency Law</w:t>
      </w:r>
      <w:r w:rsidRPr="00732116">
        <w:rPr>
          <w:rFonts w:cs="Times New Roman"/>
          <w:lang w:val="en-US"/>
        </w:rPr>
        <w:t xml:space="preserve"> (2nd ed. 2015), at p. 191).</w:t>
      </w:r>
      <w:r w:rsidRPr="00732116">
        <w:rPr>
          <w:rFonts w:cs="Times New Roman"/>
        </w:rPr>
        <w:t xml:space="preserve"> A “person who is privy” to the transfer is defined under the </w:t>
      </w:r>
      <w:r w:rsidRPr="00732116">
        <w:rPr>
          <w:rFonts w:cs="Times New Roman"/>
          <w:i/>
        </w:rPr>
        <w:t>BIA</w:t>
      </w:r>
      <w:r w:rsidRPr="00732116">
        <w:rPr>
          <w:rFonts w:cs="Times New Roman"/>
        </w:rPr>
        <w:t xml:space="preserve"> as “a person who is not dealing at arm’s length with a party to a transfer and, by reason of the transfer, directly or indirectly, receives a benefit or causes a benefit to be received by another person” (s. 96(3)).</w:t>
      </w:r>
    </w:p>
    <w:p w14:paraId="2A2F6E4C" w14:textId="77777777" w:rsidR="000C4436" w:rsidRPr="00732116" w:rsidRDefault="000C4436" w:rsidP="000C4436">
      <w:pPr>
        <w:pStyle w:val="Title4LevelTitre4Niveau"/>
        <w:rPr>
          <w:rFonts w:cs="Times New Roman"/>
        </w:rPr>
      </w:pPr>
      <w:r w:rsidRPr="00732116">
        <w:rPr>
          <w:rFonts w:cs="Times New Roman"/>
        </w:rPr>
        <w:t>Transfers at Undervalue Undermine the Integrity of the Bankruptcy Process</w:t>
      </w:r>
    </w:p>
    <w:p w14:paraId="78A72BCD" w14:textId="77777777" w:rsidR="000C4436" w:rsidRPr="00732116" w:rsidRDefault="000C4436" w:rsidP="000C4436">
      <w:pPr>
        <w:pStyle w:val="ParaNoNdepar-AltN"/>
        <w:rPr>
          <w:rFonts w:cs="Times New Roman"/>
        </w:rPr>
      </w:pPr>
      <w:r w:rsidRPr="00732116">
        <w:rPr>
          <w:rFonts w:cs="Times New Roman"/>
        </w:rPr>
        <w:t xml:space="preserve">The two main purposes of the </w:t>
      </w:r>
      <w:r w:rsidRPr="00732116">
        <w:rPr>
          <w:rFonts w:cs="Times New Roman"/>
          <w:i/>
        </w:rPr>
        <w:t xml:space="preserve">BIA </w:t>
      </w:r>
      <w:r w:rsidRPr="00732116">
        <w:rPr>
          <w:rFonts w:cs="Times New Roman"/>
        </w:rPr>
        <w:t>are the “equitable</w:t>
      </w:r>
      <w:r w:rsidRPr="00732116">
        <w:rPr>
          <w:rFonts w:cs="Times New Roman"/>
          <w:lang w:bidi="en-US"/>
        </w:rPr>
        <w:t xml:space="preserve"> distribution of the bankrupt’s assets among his or her creditors and </w:t>
      </w:r>
      <w:r w:rsidRPr="00732116">
        <w:rPr>
          <w:rFonts w:cs="Times New Roman"/>
        </w:rPr>
        <w:t xml:space="preserve">the bankrupt’s financial rehabilitation” </w:t>
      </w:r>
      <w:r w:rsidRPr="00732116">
        <w:rPr>
          <w:rFonts w:cs="Times New Roman"/>
          <w:lang w:bidi="en-US"/>
        </w:rPr>
        <w:t>(</w:t>
      </w:r>
      <w:r w:rsidRPr="00732116">
        <w:rPr>
          <w:rFonts w:cs="Times New Roman"/>
          <w:bCs/>
          <w:i/>
          <w:iCs/>
          <w:lang w:bidi="en-US"/>
        </w:rPr>
        <w:t>Orphan Well Association v. Grant Thornton Ltd.</w:t>
      </w:r>
      <w:r w:rsidRPr="00732116">
        <w:rPr>
          <w:rFonts w:cs="Times New Roman"/>
          <w:bCs/>
          <w:iCs/>
          <w:lang w:bidi="en-US"/>
        </w:rPr>
        <w:t>,</w:t>
      </w:r>
      <w:r w:rsidRPr="00732116">
        <w:rPr>
          <w:rFonts w:cs="Times New Roman"/>
          <w:bCs/>
          <w:i/>
          <w:iCs/>
          <w:lang w:bidi="en-US"/>
        </w:rPr>
        <w:t xml:space="preserve"> </w:t>
      </w:r>
      <w:r w:rsidRPr="00732116">
        <w:rPr>
          <w:rFonts w:cs="Times New Roman"/>
          <w:bCs/>
          <w:iCs/>
          <w:lang w:bidi="en-US"/>
        </w:rPr>
        <w:t xml:space="preserve">2019 SCC 5, [2019] 1 S.C.R. 150, at para. 67, quoting </w:t>
      </w:r>
      <w:r w:rsidRPr="00732116">
        <w:rPr>
          <w:rFonts w:cs="Times New Roman"/>
          <w:i/>
        </w:rPr>
        <w:t>A</w:t>
      </w:r>
      <w:r w:rsidRPr="00732116">
        <w:rPr>
          <w:rFonts w:cs="Times New Roman"/>
          <w:i/>
          <w:lang w:val="en-US"/>
        </w:rPr>
        <w:t>lberta (Attorney General) v. Moloney</w:t>
      </w:r>
      <w:r w:rsidRPr="00732116">
        <w:rPr>
          <w:rFonts w:cs="Times New Roman"/>
          <w:lang w:val="en-US"/>
        </w:rPr>
        <w:t xml:space="preserve">, 2015 SCC 51, [2015] 3 S.C.R. 327, at para. 32, citing </w:t>
      </w:r>
      <w:r w:rsidRPr="00732116">
        <w:rPr>
          <w:rFonts w:cs="Times New Roman"/>
          <w:i/>
          <w:lang w:val="en-US"/>
        </w:rPr>
        <w:t>Husky Oil Operations Ltd. v. Minister of National Revenue</w:t>
      </w:r>
      <w:r w:rsidRPr="00732116">
        <w:rPr>
          <w:rFonts w:cs="Times New Roman"/>
          <w:lang w:val="en-US"/>
        </w:rPr>
        <w:t xml:space="preserve">, [1995] 3 S.C.R. 453, at para. 7; see also </w:t>
      </w:r>
      <w:r w:rsidRPr="00732116">
        <w:rPr>
          <w:rFonts w:cs="Times New Roman"/>
          <w:i/>
          <w:lang w:val="en-US"/>
        </w:rPr>
        <w:t>Poonian v. British Columbia (Securities Commission)</w:t>
      </w:r>
      <w:r w:rsidRPr="00732116">
        <w:rPr>
          <w:rFonts w:cs="Times New Roman"/>
          <w:lang w:val="en-US"/>
        </w:rPr>
        <w:t xml:space="preserve">, 2024 SCC 28, at para. 1). A bankrupt’s financial rehabilitation involves allowing “honest but unfortunate debtors to obtain a discharge of their debts and have a ‘fresh start’, free of debt” (F. Bennett, </w:t>
      </w:r>
      <w:r w:rsidRPr="00732116">
        <w:rPr>
          <w:rFonts w:cs="Times New Roman"/>
          <w:i/>
          <w:lang w:val="en-US"/>
        </w:rPr>
        <w:t>Bennett on Bankruptcy</w:t>
      </w:r>
      <w:r w:rsidRPr="00732116">
        <w:rPr>
          <w:rFonts w:cs="Times New Roman"/>
          <w:lang w:val="en-US"/>
        </w:rPr>
        <w:t xml:space="preserve"> (26th ed. 2024), at p. 37). </w:t>
      </w:r>
      <w:r w:rsidRPr="00732116">
        <w:rPr>
          <w:rFonts w:cs="Times New Roman"/>
        </w:rPr>
        <w:t>Other objectives of the bankruptcy system include preserving and maximizing the value of a debtor’s assets and protecting the public interest (</w:t>
      </w:r>
      <w:r w:rsidRPr="00732116">
        <w:rPr>
          <w:rFonts w:cs="Times New Roman"/>
          <w:bCs/>
          <w:i/>
          <w:iCs/>
        </w:rPr>
        <w:t>9354-9186 Québec inc. v. Callidus Capital Corp.</w:t>
      </w:r>
      <w:r w:rsidRPr="00732116">
        <w:rPr>
          <w:rFonts w:cs="Times New Roman"/>
          <w:bCs/>
          <w:iCs/>
        </w:rPr>
        <w:t>,</w:t>
      </w:r>
      <w:r w:rsidRPr="00732116">
        <w:rPr>
          <w:rFonts w:cs="Times New Roman"/>
          <w:bCs/>
          <w:i/>
          <w:iCs/>
        </w:rPr>
        <w:t xml:space="preserve"> </w:t>
      </w:r>
      <w:r w:rsidRPr="00732116">
        <w:rPr>
          <w:rFonts w:cs="Times New Roman"/>
          <w:bCs/>
          <w:iCs/>
        </w:rPr>
        <w:t>2020 SCC 10, [2020] 1 S.C.R. 521, at para. 40).</w:t>
      </w:r>
      <w:r w:rsidRPr="00732116">
        <w:rPr>
          <w:rFonts w:cs="Times New Roman"/>
        </w:rPr>
        <w:t xml:space="preserve"> </w:t>
      </w:r>
    </w:p>
    <w:p w14:paraId="404861A4" w14:textId="77777777" w:rsidR="000C4436" w:rsidRPr="00732116" w:rsidRDefault="000C4436" w:rsidP="000C4436">
      <w:pPr>
        <w:pStyle w:val="ParaNoNdepar-AltN"/>
        <w:rPr>
          <w:rFonts w:cs="Times New Roman"/>
        </w:rPr>
      </w:pPr>
      <w:r w:rsidRPr="00732116">
        <w:rPr>
          <w:rFonts w:cs="Times New Roman"/>
        </w:rPr>
        <w:t xml:space="preserve">Transfers at undervalue frustrate the purposes of the </w:t>
      </w:r>
      <w:r w:rsidRPr="00732116">
        <w:rPr>
          <w:rFonts w:cs="Times New Roman"/>
          <w:i/>
        </w:rPr>
        <w:t>BIA</w:t>
      </w:r>
      <w:r w:rsidRPr="00732116">
        <w:rPr>
          <w:rFonts w:cs="Times New Roman"/>
        </w:rPr>
        <w:t xml:space="preserve">. They prejudice </w:t>
      </w:r>
      <w:r w:rsidRPr="00732116">
        <w:rPr>
          <w:rFonts w:cs="Times New Roman"/>
          <w:lang w:val="en-US"/>
        </w:rPr>
        <w:t xml:space="preserve">creditors by diminishing the value of a debtor’s estate and reducing the funds available for distribution. They can also involve fraudulent debtors abusing the bankruptcy process by seeking a fresh start after trying to place assets beyond the reach of creditors, thereby undermining the integrity of the bankruptcy process (see, generally, Wood (2015), at pp. 188 and 190-91; L. W. Houlden, G. B. Morawetz and J. Sarra, </w:t>
      </w:r>
      <w:r w:rsidRPr="00732116">
        <w:rPr>
          <w:rFonts w:cs="Times New Roman"/>
          <w:i/>
          <w:lang w:val="en-US"/>
        </w:rPr>
        <w:t>Bankruptcy and Insolvency Law of Canada</w:t>
      </w:r>
      <w:r w:rsidRPr="00732116">
        <w:rPr>
          <w:rFonts w:cs="Times New Roman"/>
          <w:lang w:val="en-US"/>
        </w:rPr>
        <w:t xml:space="preserve"> (4th ed. rev. (loose-leaf)), vol. 2, at p. 5-959; J. D. Honsberger and V. W. DaRe, </w:t>
      </w:r>
      <w:r w:rsidRPr="00732116">
        <w:rPr>
          <w:rFonts w:cs="Times New Roman"/>
          <w:i/>
          <w:lang w:val="en-US"/>
        </w:rPr>
        <w:t xml:space="preserve">Honsberger’s Bankruptcy in Canada </w:t>
      </w:r>
      <w:r w:rsidRPr="00732116">
        <w:rPr>
          <w:rFonts w:cs="Times New Roman"/>
          <w:lang w:val="en-US"/>
        </w:rPr>
        <w:t>(5th ed. 2017), at pp. 8-9)</w:t>
      </w:r>
      <w:r w:rsidRPr="00732116">
        <w:rPr>
          <w:rFonts w:cs="Times New Roman"/>
        </w:rPr>
        <w:t>.</w:t>
      </w:r>
    </w:p>
    <w:bookmarkEnd w:id="12"/>
    <w:p w14:paraId="33D6A852" w14:textId="77777777" w:rsidR="000C4436" w:rsidRPr="00732116" w:rsidRDefault="000C4436" w:rsidP="000C4436">
      <w:pPr>
        <w:pStyle w:val="Title4LevelTitre4Niveau"/>
        <w:rPr>
          <w:rFonts w:cs="Times New Roman"/>
        </w:rPr>
      </w:pPr>
      <w:r w:rsidRPr="00732116">
        <w:rPr>
          <w:rFonts w:cs="Times New Roman"/>
        </w:rPr>
        <w:t>Section 96 of the BIA Establishes Three Classes of Impeachable Transactions</w:t>
      </w:r>
    </w:p>
    <w:p w14:paraId="4D04202A" w14:textId="77777777" w:rsidR="000C4436" w:rsidRPr="00732116" w:rsidRDefault="000C4436" w:rsidP="000C4436">
      <w:pPr>
        <w:pStyle w:val="ParaNoNdepar-AltN"/>
        <w:rPr>
          <w:rFonts w:cs="Times New Roman"/>
        </w:rPr>
      </w:pPr>
      <w:r w:rsidRPr="00732116">
        <w:rPr>
          <w:rFonts w:cs="Times New Roman"/>
        </w:rPr>
        <w:t xml:space="preserve">Section 96 of the </w:t>
      </w:r>
      <w:r w:rsidRPr="00732116">
        <w:rPr>
          <w:rFonts w:cs="Times New Roman"/>
          <w:i/>
        </w:rPr>
        <w:t>BIA</w:t>
      </w:r>
      <w:r w:rsidRPr="00732116">
        <w:rPr>
          <w:rFonts w:cs="Times New Roman"/>
        </w:rPr>
        <w:t xml:space="preserve"> establishes three classes of impeachable transactions (R. J. Wood, “Transfers at Undervalue: New Wine in Old Wineskins?”, in J. P. Sarra and B. Romaine, eds., </w:t>
      </w:r>
      <w:r w:rsidRPr="00732116">
        <w:rPr>
          <w:rFonts w:cs="Times New Roman"/>
          <w:i/>
        </w:rPr>
        <w:t xml:space="preserve">Annual Review of Insolvency Law 2017 </w:t>
      </w:r>
      <w:r w:rsidRPr="00732116">
        <w:rPr>
          <w:rFonts w:cs="Times New Roman"/>
        </w:rPr>
        <w:t>(2018), 1, at p. 4).</w:t>
      </w:r>
    </w:p>
    <w:p w14:paraId="3252C4F3" w14:textId="77777777" w:rsidR="000C4436" w:rsidRPr="00732116" w:rsidRDefault="000C4436" w:rsidP="000C4436">
      <w:pPr>
        <w:pStyle w:val="ParaNoNdepar-AltN"/>
        <w:rPr>
          <w:rFonts w:cs="Times New Roman"/>
        </w:rPr>
      </w:pPr>
      <w:r w:rsidRPr="00732116">
        <w:rPr>
          <w:rFonts w:cs="Times New Roman"/>
        </w:rPr>
        <w:t>The first class of impeachable transaction involves arm’s length dealing between the debtor and a party or privy to the transfer (s. 96(1</w:t>
      </w:r>
      <w:proofErr w:type="gramStart"/>
      <w:r w:rsidRPr="00732116">
        <w:rPr>
          <w:rFonts w:cs="Times New Roman"/>
        </w:rPr>
        <w:t>)(</w:t>
      </w:r>
      <w:proofErr w:type="gramEnd"/>
      <w:r w:rsidRPr="00732116">
        <w:rPr>
          <w:rFonts w:cs="Times New Roman"/>
        </w:rPr>
        <w:t>a)). This class of transaction has the most stringent requirements to reverse a transfer. The trustee must show that the transfer at undervalue occurred within one year of the bankruptcy, the debtor was insolvent at the time of the transfer or was rendered insolvent by it, and the debtor intended to defraud, defeat, or delay a creditor.</w:t>
      </w:r>
    </w:p>
    <w:p w14:paraId="2C5A6204" w14:textId="77777777" w:rsidR="000C4436" w:rsidRPr="00732116" w:rsidRDefault="000C4436" w:rsidP="000C4436">
      <w:pPr>
        <w:pStyle w:val="ParaNoNdepar-AltN"/>
        <w:rPr>
          <w:rFonts w:cs="Times New Roman"/>
        </w:rPr>
      </w:pPr>
      <w:r w:rsidRPr="00732116">
        <w:rPr>
          <w:rFonts w:cs="Times New Roman"/>
        </w:rPr>
        <w:t>The second class of impeachable transaction involves a transfer at undervalue to a party who was not dealing at arm’s length with the debtor and which occurred within one year of the bankruptcy (s. 96(1)(b)(i)). In this context, “the concept of a non-arm’s length relationship is one in which there is no incentive for the transferor to maximize the consideration for the property being transferred in negotiations with the transferee” (</w:t>
      </w:r>
      <w:r w:rsidRPr="00732116">
        <w:rPr>
          <w:rFonts w:cs="Times New Roman"/>
          <w:lang w:val="en-US"/>
        </w:rPr>
        <w:t xml:space="preserve">Houlden, Morawetz and Sarra, at p. 5-966; see also Wood (2015), at p. 204; </w:t>
      </w:r>
      <w:r w:rsidRPr="00732116">
        <w:rPr>
          <w:rFonts w:cs="Times New Roman"/>
          <w:i/>
          <w:lang w:val="en-US"/>
        </w:rPr>
        <w:t>BIA</w:t>
      </w:r>
      <w:r w:rsidRPr="00732116">
        <w:rPr>
          <w:rFonts w:cs="Times New Roman"/>
          <w:lang w:val="en-US"/>
        </w:rPr>
        <w:t>, s. 4).</w:t>
      </w:r>
      <w:r w:rsidRPr="00732116">
        <w:rPr>
          <w:rFonts w:cs="Times New Roman"/>
        </w:rPr>
        <w:t xml:space="preserve"> The trustee need not show that the debtor was insolvent at the time of the transfer or that the debtor intended to defraud, defeat, or delay a creditor.</w:t>
      </w:r>
    </w:p>
    <w:p w14:paraId="226EEEB9" w14:textId="77777777" w:rsidR="000C4436" w:rsidRPr="00732116" w:rsidRDefault="000C4436" w:rsidP="000C4436">
      <w:pPr>
        <w:pStyle w:val="ParaNoNdepar-AltN"/>
        <w:rPr>
          <w:rFonts w:cs="Times New Roman"/>
        </w:rPr>
      </w:pPr>
      <w:r w:rsidRPr="00732116">
        <w:rPr>
          <w:rFonts w:cs="Times New Roman"/>
        </w:rPr>
        <w:t>The third class of impeachable transaction involves a transfer at undervalue to a party who was not dealing at arm’s length with the debtor, which occurred more than one year but less than five years before the bankruptcy (s. 96(1)(b)(ii)). In this class, the trustee may obtain a remedy by proving that the debtor was insolvent at the time of the transfer or was rendered insolvent by it (s. 96(1)(b)(ii)(A)), or by proving that the debtor intended to defraud, defeat, or delay a creditor (s. 96(1)(b)(ii)(B)).</w:t>
      </w:r>
    </w:p>
    <w:p w14:paraId="14C8FCB0" w14:textId="77777777" w:rsidR="000C4436" w:rsidRPr="00732116" w:rsidRDefault="000C4436" w:rsidP="000C4436">
      <w:pPr>
        <w:pStyle w:val="ParaNoNdepar-AltN"/>
        <w:rPr>
          <w:rFonts w:cs="Times New Roman"/>
        </w:rPr>
      </w:pPr>
      <w:r w:rsidRPr="00732116">
        <w:rPr>
          <w:rFonts w:cs="Times New Roman"/>
        </w:rPr>
        <w:t>This appeal involves the third class of transaction,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w:t>
      </w:r>
    </w:p>
    <w:p w14:paraId="7D92985E" w14:textId="77777777" w:rsidR="000C4436" w:rsidRPr="00732116" w:rsidRDefault="000C4436" w:rsidP="000C4436">
      <w:pPr>
        <w:pStyle w:val="Title4LevelTitre4Niveau"/>
        <w:rPr>
          <w:rFonts w:cs="Times New Roman"/>
        </w:rPr>
      </w:pPr>
      <w:bookmarkStart w:id="13" w:name="_Toc160194673"/>
      <w:r w:rsidRPr="00732116">
        <w:rPr>
          <w:rFonts w:cs="Times New Roman"/>
        </w:rPr>
        <w:t>The Debtor’s Intent to Defraud, Defeat, or Delay a Creditor</w:t>
      </w:r>
      <w:bookmarkEnd w:id="13"/>
      <w:r w:rsidRPr="00732116">
        <w:rPr>
          <w:rFonts w:cs="Times New Roman"/>
        </w:rPr>
        <w:t xml:space="preserve"> Can Be Proved Through Badges of Fraud</w:t>
      </w:r>
    </w:p>
    <w:p w14:paraId="7BEC4355" w14:textId="77777777" w:rsidR="000C4436" w:rsidRPr="00732116" w:rsidRDefault="000C4436" w:rsidP="000C4436">
      <w:pPr>
        <w:pStyle w:val="ParaNoNdepar-AltN"/>
        <w:rPr>
          <w:rFonts w:cs="Times New Roman"/>
          <w:lang w:val="en-US"/>
        </w:rPr>
      </w:pPr>
      <w:r w:rsidRPr="00732116">
        <w:rPr>
          <w:rFonts w:cs="Times New Roman"/>
        </w:rPr>
        <w:t>Section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xml:space="preserve"> requires the party seeking to reverse a transfer at undervalue to prove the debtor’s intent </w:t>
      </w:r>
      <w:bookmarkStart w:id="14" w:name="_Hlk163133972"/>
      <w:r w:rsidRPr="00732116">
        <w:rPr>
          <w:rFonts w:cs="Times New Roman"/>
        </w:rPr>
        <w:t>to defraud, defeat, or delay a creditor</w:t>
      </w:r>
      <w:bookmarkEnd w:id="14"/>
      <w:r w:rsidRPr="00732116">
        <w:rPr>
          <w:rFonts w:cs="Times New Roman"/>
        </w:rPr>
        <w:t>. This is a question of fact to be decided based on all the circumstances that existed at the time of the transfer (</w:t>
      </w:r>
      <w:r w:rsidRPr="00732116">
        <w:rPr>
          <w:rFonts w:cs="Times New Roman"/>
          <w:i/>
        </w:rPr>
        <w:t>Urbancorp</w:t>
      </w:r>
      <w:r w:rsidRPr="00732116">
        <w:rPr>
          <w:rFonts w:cs="Times New Roman"/>
        </w:rPr>
        <w:t xml:space="preserve">, at para. 53; </w:t>
      </w:r>
      <w:r w:rsidRPr="00732116">
        <w:rPr>
          <w:rFonts w:cs="Times New Roman"/>
          <w:i/>
        </w:rPr>
        <w:t>Montor Business Corp. (Trustee of) v. Goldfinger</w:t>
      </w:r>
      <w:r w:rsidRPr="00732116">
        <w:rPr>
          <w:rFonts w:cs="Times New Roman"/>
        </w:rPr>
        <w:t>, 2016 ONCA 406, 36 C.B.R. (6th) 169 (“</w:t>
      </w:r>
      <w:r w:rsidRPr="00732116">
        <w:rPr>
          <w:rFonts w:cs="Times New Roman"/>
          <w:i/>
        </w:rPr>
        <w:t>Montor CA</w:t>
      </w:r>
      <w:r w:rsidRPr="00732116">
        <w:rPr>
          <w:rFonts w:cs="Times New Roman"/>
        </w:rPr>
        <w:t>”), at para. 72).</w:t>
      </w:r>
    </w:p>
    <w:p w14:paraId="31E01761" w14:textId="77777777" w:rsidR="000C4436" w:rsidRPr="00732116" w:rsidRDefault="000C4436" w:rsidP="000C4436">
      <w:pPr>
        <w:pStyle w:val="ParaNoNdepar-AltN"/>
        <w:rPr>
          <w:rFonts w:cs="Times New Roman"/>
          <w:lang w:val="en-US"/>
        </w:rPr>
      </w:pPr>
      <w:r w:rsidRPr="00732116">
        <w:rPr>
          <w:rFonts w:cs="Times New Roman"/>
        </w:rPr>
        <w:t>Because it is often difficult to adduce evidence of a debtor’s subjective intent, the intent requirement is often proved through the evidentiary shortcut of badges of fraud. Badges of fraud are suspicious circumstances from which a court may infer the debtor’s intent to defraud, defeat, or delay a creditor (</w:t>
      </w:r>
      <w:r w:rsidRPr="00732116">
        <w:rPr>
          <w:rFonts w:cs="Times New Roman"/>
          <w:i/>
          <w:lang w:val="en-US"/>
        </w:rPr>
        <w:t>Urbancorp</w:t>
      </w:r>
      <w:r w:rsidRPr="00732116">
        <w:rPr>
          <w:rFonts w:cs="Times New Roman"/>
          <w:lang w:val="en-US"/>
        </w:rPr>
        <w:t xml:space="preserve">, at para. 52; </w:t>
      </w:r>
      <w:r w:rsidRPr="00732116">
        <w:rPr>
          <w:rFonts w:cs="Times New Roman"/>
          <w:i/>
        </w:rPr>
        <w:t>Montor CA</w:t>
      </w:r>
      <w:r w:rsidRPr="00732116">
        <w:rPr>
          <w:rFonts w:cs="Times New Roman"/>
        </w:rPr>
        <w:t>, at para. 72; Wood (2018), at p. 24).</w:t>
      </w:r>
      <w:r w:rsidRPr="00732116">
        <w:rPr>
          <w:rFonts w:cs="Times New Roman"/>
          <w:lang w:val="en-US"/>
        </w:rPr>
        <w:t xml:space="preserve"> The badges of fraud approach to inferring a debtor’s intent to defraud creditors is of ancient vintage, dating back to </w:t>
      </w:r>
      <w:r w:rsidRPr="00732116">
        <w:rPr>
          <w:rFonts w:cs="Times New Roman"/>
          <w:i/>
          <w:lang w:val="en-US"/>
        </w:rPr>
        <w:t>Twyne’s Case</w:t>
      </w:r>
      <w:r w:rsidRPr="00732116">
        <w:rPr>
          <w:rFonts w:cs="Times New Roman"/>
          <w:lang w:val="en-US"/>
        </w:rPr>
        <w:t xml:space="preserve"> in 1601 (Wood (2018)</w:t>
      </w:r>
      <w:r w:rsidRPr="00732116">
        <w:rPr>
          <w:rFonts w:cs="Times New Roman"/>
        </w:rPr>
        <w:t xml:space="preserve">, at p. 24; </w:t>
      </w:r>
      <w:r w:rsidRPr="00732116">
        <w:rPr>
          <w:rFonts w:cs="Times New Roman"/>
          <w:i/>
        </w:rPr>
        <w:t>Twyne’s Case</w:t>
      </w:r>
      <w:r w:rsidRPr="00732116">
        <w:rPr>
          <w:rFonts w:cs="Times New Roman"/>
        </w:rPr>
        <w:t xml:space="preserve"> (1601), 3 Co. Rep. 80b, 76 E.R. 809).</w:t>
      </w:r>
    </w:p>
    <w:p w14:paraId="7CEDB5AF" w14:textId="77777777" w:rsidR="000C4436" w:rsidRPr="00732116" w:rsidRDefault="000C4436" w:rsidP="000C4436">
      <w:pPr>
        <w:pStyle w:val="ParaNoNdepar-AltN"/>
        <w:rPr>
          <w:rFonts w:cs="Times New Roman"/>
          <w:lang w:val="en-US"/>
        </w:rPr>
      </w:pPr>
      <w:r w:rsidRPr="00732116">
        <w:rPr>
          <w:rFonts w:cs="Times New Roman"/>
          <w:lang w:val="en-US"/>
        </w:rPr>
        <w:t xml:space="preserve">Case law has recognized the following non-exhaustive examples of </w:t>
      </w:r>
      <w:r w:rsidRPr="00732116">
        <w:rPr>
          <w:rFonts w:cs="Times New Roman"/>
        </w:rPr>
        <w:t>badges of fraud: (a) the debtor had few remaining assets after the transfer;</w:t>
      </w:r>
      <w:r w:rsidRPr="00732116">
        <w:rPr>
          <w:rFonts w:cs="Times New Roman"/>
          <w:lang w:val="en-US"/>
        </w:rPr>
        <w:t xml:space="preserve"> (b) </w:t>
      </w:r>
      <w:r w:rsidRPr="00732116">
        <w:rPr>
          <w:rFonts w:eastAsia="Times New Roman" w:cs="Times New Roman"/>
        </w:rPr>
        <w:t xml:space="preserve">the transfer </w:t>
      </w:r>
      <w:r w:rsidRPr="00732116">
        <w:rPr>
          <w:rFonts w:cs="Times New Roman"/>
        </w:rPr>
        <w:t xml:space="preserve">was made to a non-arm’s length party; (c) </w:t>
      </w:r>
      <w:r w:rsidRPr="00732116">
        <w:rPr>
          <w:rFonts w:eastAsia="Times New Roman" w:cs="Times New Roman"/>
        </w:rPr>
        <w:t xml:space="preserve">the debtor </w:t>
      </w:r>
      <w:r w:rsidRPr="00732116">
        <w:rPr>
          <w:rFonts w:cs="Times New Roman"/>
        </w:rPr>
        <w:t>was facing actual or potential liabilities, was insolvent, or was about to enter a risky undertaking; (d) the consideration for the transaction was grossly inadequate; (e) the debtor remained in possession of the property for their own use after the transfer; (f) the deed of transfer had a self-serving and unusual provision; (g) the transfer was secret; (h) the transfer was made with unusual haste; and (i) the transaction was made despite an outstanding judgment against the debtor (</w:t>
      </w:r>
      <w:r w:rsidRPr="00732116">
        <w:rPr>
          <w:rFonts w:cs="Times New Roman"/>
          <w:i/>
        </w:rPr>
        <w:t>Montor CA</w:t>
      </w:r>
      <w:r w:rsidRPr="00732116">
        <w:rPr>
          <w:rFonts w:cs="Times New Roman"/>
        </w:rPr>
        <w:t xml:space="preserve">, at para. 73; see also </w:t>
      </w:r>
      <w:r w:rsidRPr="00732116">
        <w:rPr>
          <w:rFonts w:cs="Times New Roman"/>
          <w:lang w:val="en-US"/>
        </w:rPr>
        <w:t>Wood (2018)</w:t>
      </w:r>
      <w:r w:rsidRPr="00732116">
        <w:rPr>
          <w:rFonts w:cs="Times New Roman"/>
        </w:rPr>
        <w:t>, at p. 24; Wood (2015), at pp. 223-25 (in the fraudulent conveyance context)).</w:t>
      </w:r>
    </w:p>
    <w:p w14:paraId="465FE56C" w14:textId="77777777" w:rsidR="000C4436" w:rsidRPr="00732116" w:rsidRDefault="000C4436" w:rsidP="000C4436">
      <w:pPr>
        <w:pStyle w:val="ParaNoNdepar-AltN"/>
        <w:rPr>
          <w:rFonts w:cs="Times New Roman"/>
        </w:rPr>
      </w:pPr>
      <w:r w:rsidRPr="00732116">
        <w:rPr>
          <w:rFonts w:cs="Times New Roman"/>
        </w:rPr>
        <w:t>A badge of fraud must be considered in the context of the surrounding circumstances and in relation to the question of the debtor’s intention at the time of the transfer (</w:t>
      </w:r>
      <w:r w:rsidRPr="00732116">
        <w:rPr>
          <w:rFonts w:cs="Times New Roman"/>
          <w:i/>
          <w:lang w:val="en-US"/>
        </w:rPr>
        <w:t>Urbancorp</w:t>
      </w:r>
      <w:r w:rsidRPr="00732116">
        <w:rPr>
          <w:rFonts w:cs="Times New Roman"/>
          <w:lang w:val="en-US"/>
        </w:rPr>
        <w:t>, at para. 65).</w:t>
      </w:r>
      <w:r w:rsidRPr="00732116">
        <w:rPr>
          <w:rFonts w:cs="Times New Roman"/>
        </w:rPr>
        <w:t xml:space="preserve"> A court must avoid analyzing the debtor’s actions with the benefit of hindsight; it “must resist the temptation to inject back into the circumstances surrounding the impugned transaction knowledge about how events unfolded after that time” (</w:t>
      </w:r>
      <w:r w:rsidRPr="00732116">
        <w:rPr>
          <w:rFonts w:cs="Times New Roman"/>
          <w:i/>
        </w:rPr>
        <w:t>Montor Business Corp. (Trustee of)</w:t>
      </w:r>
      <w:r w:rsidRPr="00732116">
        <w:rPr>
          <w:rFonts w:cs="Times New Roman"/>
          <w:i/>
          <w:lang w:val="en-US"/>
        </w:rPr>
        <w:t xml:space="preserve"> v. Goldfinger</w:t>
      </w:r>
      <w:r w:rsidRPr="00732116">
        <w:rPr>
          <w:rFonts w:cs="Times New Roman"/>
          <w:lang w:val="en-US"/>
        </w:rPr>
        <w:t>, 2013 ONSC 6635, 8 C.B.R. (6th) 200, at</w:t>
      </w:r>
      <w:r w:rsidRPr="00732116">
        <w:rPr>
          <w:rFonts w:cs="Times New Roman"/>
        </w:rPr>
        <w:t xml:space="preserve"> </w:t>
      </w:r>
      <w:r w:rsidRPr="00732116">
        <w:rPr>
          <w:rFonts w:cs="Times New Roman"/>
          <w:lang w:val="en-US"/>
        </w:rPr>
        <w:t>para. 272</w:t>
      </w:r>
      <w:r w:rsidRPr="00732116">
        <w:rPr>
          <w:rFonts w:cs="Times New Roman"/>
        </w:rPr>
        <w:t xml:space="preserve">, aff’d 2016 ONCA 406, 36 C.B.R. (6th) 169). The presence of one or more badges of fraud does not require the court to infer an intent to defraud, defeat, or delay a creditor, nor does the absence of a particular badge of fraud prevent the court from inferring this intent </w:t>
      </w:r>
      <w:r w:rsidRPr="00732116">
        <w:rPr>
          <w:rFonts w:cs="Times New Roman"/>
          <w:lang w:val="en-US"/>
        </w:rPr>
        <w:t>(</w:t>
      </w:r>
      <w:r w:rsidRPr="00732116">
        <w:rPr>
          <w:rFonts w:cs="Times New Roman"/>
          <w:i/>
          <w:lang w:val="en-US"/>
        </w:rPr>
        <w:t>Urbancorp</w:t>
      </w:r>
      <w:r w:rsidRPr="00732116">
        <w:rPr>
          <w:rFonts w:cs="Times New Roman"/>
          <w:lang w:val="en-US"/>
        </w:rPr>
        <w:t xml:space="preserve">, at paras. 53 and 55; </w:t>
      </w:r>
      <w:r w:rsidRPr="00732116">
        <w:rPr>
          <w:rFonts w:cs="Times New Roman"/>
          <w:i/>
        </w:rPr>
        <w:t>Montor CA</w:t>
      </w:r>
      <w:r w:rsidRPr="00732116">
        <w:rPr>
          <w:rFonts w:cs="Times New Roman"/>
        </w:rPr>
        <w:t xml:space="preserve">, at para. 72; see also Wood (2018), at pp. 24-25). </w:t>
      </w:r>
    </w:p>
    <w:p w14:paraId="67F13AF8" w14:textId="77777777" w:rsidR="000C4436" w:rsidRPr="00732116" w:rsidRDefault="000C4436" w:rsidP="000C4436">
      <w:pPr>
        <w:pStyle w:val="Title3LevelTitre3Niveau"/>
        <w:rPr>
          <w:rFonts w:cs="Times New Roman"/>
        </w:rPr>
      </w:pPr>
      <w:r w:rsidRPr="00732116">
        <w:rPr>
          <w:rFonts w:cs="Times New Roman"/>
        </w:rPr>
        <w:t>Application to This Case</w:t>
      </w:r>
    </w:p>
    <w:p w14:paraId="2C703B06" w14:textId="77777777" w:rsidR="000C4436" w:rsidRPr="00732116" w:rsidRDefault="000C4436" w:rsidP="000C4436">
      <w:pPr>
        <w:pStyle w:val="ParaNoNdepar-AltN"/>
        <w:rPr>
          <w:rFonts w:cs="Times New Roman"/>
        </w:rPr>
      </w:pPr>
      <w:r w:rsidRPr="00732116">
        <w:rPr>
          <w:rFonts w:cs="Times New Roman"/>
        </w:rPr>
        <w:t xml:space="preserve">The application judge found that Bondfield and Forma-Con’s payments under the false invoicing scheme involved several badges of fraud: the transfers were made between non-arm’s length parties; Bondfield and Forma-Con received no value; the truth about the transfers was hidden behind phony invoices describing services that were never provided; the transfers were made with unusual haste when compared to Bondfield and Forma-Con’s usual billing cycle; and at the time of the transfers the companies had significant long-term and off-balance sheet liabilities and potential liabilities as guarantors for other companies (paras. 157-58). </w:t>
      </w:r>
    </w:p>
    <w:p w14:paraId="6895237A" w14:textId="77777777" w:rsidR="000C4436" w:rsidRPr="00732116" w:rsidRDefault="000C4436" w:rsidP="000C4436">
      <w:pPr>
        <w:pStyle w:val="ParaNoNdepar-AltN"/>
        <w:rPr>
          <w:rFonts w:cs="Times New Roman"/>
        </w:rPr>
      </w:pPr>
      <w:r w:rsidRPr="00732116">
        <w:rPr>
          <w:rFonts w:cs="Times New Roman"/>
        </w:rPr>
        <w:t>Based on these badges of fraud, the application judge found that the evidence as a whole provided “a firm basis for finding that John Aquino, as principal and directing mind of [Bondfield] and Forma-Con, had fraudulent intent — an intent to defraud, defeat or delay creditors” (para. 160). She found that “[i]t was in no way reasonable for him to believe that, throughout the period of the impugned transactions, [Bondfield] and Forma-Con did not have long-term creditors, like lenders, . . . who would not be defeated or delayed by the draining of tens of millions of dollars from [Bondfield] and Forma-Con through the false invoicing schemes” (para. 160).</w:t>
      </w:r>
    </w:p>
    <w:p w14:paraId="3C7EF868" w14:textId="77777777" w:rsidR="000C4436" w:rsidRPr="00732116" w:rsidRDefault="000C4436" w:rsidP="000C4436">
      <w:pPr>
        <w:pStyle w:val="ParaNoNdepar-AltN"/>
        <w:rPr>
          <w:rFonts w:cs="Times New Roman"/>
        </w:rPr>
      </w:pPr>
      <w:r w:rsidRPr="00732116">
        <w:rPr>
          <w:rFonts w:cs="Times New Roman"/>
          <w:lang w:val="en-US"/>
        </w:rPr>
        <w:t xml:space="preserve">Faced with these findings, the appellants contend that the application judge made an extricable error of law by concluding that </w:t>
      </w:r>
      <w:r w:rsidRPr="00732116">
        <w:rPr>
          <w:rFonts w:cs="Times New Roman"/>
        </w:rPr>
        <w:t xml:space="preserve">Mr. </w:t>
      </w:r>
      <w:r w:rsidRPr="00732116">
        <w:rPr>
          <w:rFonts w:cs="Times New Roman"/>
          <w:lang w:val="en-US"/>
        </w:rPr>
        <w:t>Aquino intended to defraud, defeat, or delay Bondfield and Forma-Con’s creditors when the record before the court did not allow it to determine the companies’ true financial condition at the time of the transfers. They argue that a corporation’s financial condition can be determinative on the question of intent, even in the presence of other badges of fraud, if there were enough assets remaining to pay creditors after the transfers at undervalue.</w:t>
      </w:r>
      <w:r w:rsidRPr="00732116">
        <w:rPr>
          <w:rFonts w:cs="Times New Roman"/>
        </w:rPr>
        <w:t xml:space="preserve"> </w:t>
      </w:r>
      <w:r w:rsidRPr="00732116">
        <w:rPr>
          <w:rFonts w:cs="Times New Roman"/>
          <w:lang w:val="en-US"/>
        </w:rPr>
        <w:t xml:space="preserve">The appellants note that Bondfield and Forma-Con “were paying their creditors in full and on time for most of the applicable review periods” (A.F., at para. 77). </w:t>
      </w:r>
      <w:r w:rsidRPr="00732116">
        <w:rPr>
          <w:rFonts w:cs="Times New Roman"/>
        </w:rPr>
        <w:t>They ask this Court to remit the case to the application judge with instructions to determine the companies’ financial condition at the time of the transfers.</w:t>
      </w:r>
    </w:p>
    <w:p w14:paraId="6E0C75A3" w14:textId="77777777" w:rsidR="000C4436" w:rsidRPr="00732116" w:rsidRDefault="000C4436" w:rsidP="000C4436">
      <w:pPr>
        <w:pStyle w:val="ParaNoNdepar-AltN"/>
        <w:rPr>
          <w:rFonts w:cs="Times New Roman"/>
        </w:rPr>
      </w:pPr>
      <w:r w:rsidRPr="00732116">
        <w:rPr>
          <w:rFonts w:cs="Times New Roman"/>
        </w:rPr>
        <w:t>I would not give effect to this submission. The application judge did not misapply the badges of fraud approach to inferring fraudulent intent. It is no answer to an application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 xml:space="preserve"> to say that the debtor was not insolvent and was paying its creditors in full and on time at the time of the transfers. The </w:t>
      </w:r>
      <w:r w:rsidRPr="00732116">
        <w:rPr>
          <w:rFonts w:cs="Times New Roman"/>
          <w:i/>
        </w:rPr>
        <w:t xml:space="preserve">BIA </w:t>
      </w:r>
      <w:r w:rsidRPr="00732116">
        <w:rPr>
          <w:rFonts w:cs="Times New Roman"/>
        </w:rPr>
        <w:t>is clear that insolvency is not a prerequisite to finding a debtor intended to defraud, defeat, or delay a creditor. Section 96(1</w:t>
      </w:r>
      <w:proofErr w:type="gramStart"/>
      <w:r w:rsidRPr="00732116">
        <w:rPr>
          <w:rFonts w:cs="Times New Roman"/>
        </w:rPr>
        <w:t>)(</w:t>
      </w:r>
      <w:proofErr w:type="gramEnd"/>
      <w:r w:rsidRPr="00732116">
        <w:rPr>
          <w:rFonts w:cs="Times New Roman"/>
        </w:rPr>
        <w:t xml:space="preserve">b)(ii) is disjunctive: the debtor must </w:t>
      </w:r>
      <w:r w:rsidRPr="00732116">
        <w:rPr>
          <w:rFonts w:cs="Times New Roman"/>
          <w:i/>
        </w:rPr>
        <w:t>either</w:t>
      </w:r>
      <w:r w:rsidRPr="00732116">
        <w:rPr>
          <w:rFonts w:cs="Times New Roman"/>
        </w:rPr>
        <w:t xml:space="preserve"> be insolvent at the time of the transfer (s. 96(1)(b)(ii)(A)) </w:t>
      </w:r>
      <w:r w:rsidRPr="00732116">
        <w:rPr>
          <w:rFonts w:cs="Times New Roman"/>
          <w:i/>
        </w:rPr>
        <w:t xml:space="preserve">or </w:t>
      </w:r>
      <w:r w:rsidRPr="00732116">
        <w:rPr>
          <w:rFonts w:cs="Times New Roman"/>
        </w:rPr>
        <w:t>intend to defraud, defeat, or delay a creditor (s. 96(1)(b)(ii)(B)). The appellants’ argument would effectively introduce an insolvency requirement into the latter provision, contrary to Parliament’s decision not to do so.</w:t>
      </w:r>
    </w:p>
    <w:p w14:paraId="6F09CF78" w14:textId="77777777" w:rsidR="000C4436" w:rsidRPr="00732116" w:rsidRDefault="000C4436" w:rsidP="000C4436">
      <w:pPr>
        <w:pStyle w:val="ParaNoNdepar-AltN"/>
        <w:rPr>
          <w:rFonts w:cs="Times New Roman"/>
        </w:rPr>
      </w:pPr>
      <w:r w:rsidRPr="00732116">
        <w:rPr>
          <w:rFonts w:cs="Times New Roman"/>
        </w:rPr>
        <w:t xml:space="preserve">The appellants’ argument would also give a potentially determinative role to one factor, namely, the debtor’s financial condition at the time of the transfer. Although the debtor’s financial condition at the time of the transfer is one badge of fraud that may be relevant in inferring an intent to defraud, defeat, or delay a creditor </w:t>
      </w:r>
      <w:r w:rsidRPr="00732116">
        <w:rPr>
          <w:rFonts w:cs="Times New Roman"/>
          <w:lang w:val="en-US"/>
        </w:rPr>
        <w:t>(</w:t>
      </w:r>
      <w:r w:rsidRPr="00732116">
        <w:rPr>
          <w:rFonts w:cs="Times New Roman"/>
          <w:i/>
          <w:lang w:val="en-US"/>
        </w:rPr>
        <w:t>Urbancorp</w:t>
      </w:r>
      <w:r w:rsidRPr="00732116">
        <w:rPr>
          <w:rFonts w:cs="Times New Roman"/>
          <w:lang w:val="en-US"/>
        </w:rPr>
        <w:t xml:space="preserve">, at para. 64), </w:t>
      </w:r>
      <w:r w:rsidRPr="00732116">
        <w:rPr>
          <w:rFonts w:cs="Times New Roman"/>
        </w:rPr>
        <w:t xml:space="preserve">whether that intent exists must be determined based on all the circumstances. Again, the presence of a particular badge of fraud does not require a court to infer an intent to defraud, defeat, or delay a creditor, nor does the absence of a particular badge of fraud require the court to refrain from inferring that intent </w:t>
      </w:r>
      <w:r w:rsidRPr="00732116">
        <w:rPr>
          <w:rFonts w:cs="Times New Roman"/>
          <w:lang w:val="en-US"/>
        </w:rPr>
        <w:t>(</w:t>
      </w:r>
      <w:r w:rsidRPr="00732116">
        <w:rPr>
          <w:rFonts w:cs="Times New Roman"/>
          <w:i/>
          <w:lang w:val="en-US"/>
        </w:rPr>
        <w:t>Urbancorp</w:t>
      </w:r>
      <w:r w:rsidRPr="00732116">
        <w:rPr>
          <w:rFonts w:cs="Times New Roman"/>
          <w:lang w:val="en-US"/>
        </w:rPr>
        <w:t xml:space="preserve">, at paras. 53 and 55; </w:t>
      </w:r>
      <w:r w:rsidRPr="00732116">
        <w:rPr>
          <w:rFonts w:cs="Times New Roman"/>
          <w:i/>
        </w:rPr>
        <w:t>Montor CA</w:t>
      </w:r>
      <w:r w:rsidRPr="00732116">
        <w:rPr>
          <w:rFonts w:cs="Times New Roman"/>
        </w:rPr>
        <w:t>, at para. 72).</w:t>
      </w:r>
      <w:r w:rsidRPr="00732116">
        <w:rPr>
          <w:rFonts w:cs="Times New Roman"/>
          <w:lang w:val="en-US"/>
        </w:rPr>
        <w:t xml:space="preserve"> A court may find that a debtor intended to defraud, defeat, or delay a creditor under s. </w:t>
      </w:r>
      <w:r w:rsidRPr="00732116">
        <w:rPr>
          <w:rFonts w:cs="Times New Roman"/>
        </w:rPr>
        <w:t>96(1)(b)(ii)(B) even if the debtor was not insolvent at the time of the transfer at undervalue.</w:t>
      </w:r>
    </w:p>
    <w:p w14:paraId="6669261A" w14:textId="77777777" w:rsidR="000C4436" w:rsidRPr="00732116" w:rsidRDefault="000C4436" w:rsidP="000C4436">
      <w:pPr>
        <w:pStyle w:val="ParaNoNdepar-AltN"/>
        <w:rPr>
          <w:rFonts w:cs="Times New Roman"/>
        </w:rPr>
      </w:pPr>
      <w:r w:rsidRPr="00732116">
        <w:rPr>
          <w:rFonts w:cs="Times New Roman"/>
        </w:rPr>
        <w:t xml:space="preserve">The application judge considered the financial condition of the debtor companies and rejected the appellants’ argument that Mr. Aquino did not intend to defraud, defeat, or delay a creditor just because the transfers were made when Bondfield and Forma-Con could meet their liabilities as they became due. She found that Bondfield was already in a precarious financial position at the time of the transfers and noted Mr. Aquino’s admission that he and another stakeholder routinely injected capital into Bondfield to mislead stakeholders about the company’s financial condition (paras. 191-93). The application judge could not determine the companies’ true financial condition because the companies’ financial records contained deceptive accounting and were unreliable (para. 193). Ultimately, after considering the companies’ financial condition and numerous other badges of fraud, the application judge saw “no innocent explanation for a false invoicing scheme” (para. 162). In these circumstances, the appellants cannot now reproach the court for being unable to draw precise conclusions about the companies’ financial condition. </w:t>
      </w:r>
    </w:p>
    <w:p w14:paraId="6AE7A8DB" w14:textId="77777777" w:rsidR="000C4436" w:rsidRPr="00732116" w:rsidRDefault="000C4436" w:rsidP="000C4436">
      <w:pPr>
        <w:pStyle w:val="ParaNoNdepar-AltN"/>
        <w:rPr>
          <w:rFonts w:cs="Times New Roman"/>
        </w:rPr>
      </w:pPr>
      <w:r w:rsidRPr="00732116">
        <w:rPr>
          <w:rFonts w:cs="Times New Roman"/>
        </w:rPr>
        <w:t>I therefore see no basis to interfere with the application judge’s conclusion that Mr. Aquino intended to defraud, defeat, or delay a creditor under the false invoicing scheme.</w:t>
      </w:r>
    </w:p>
    <w:p w14:paraId="5445CB99" w14:textId="77777777" w:rsidR="000C4436" w:rsidRPr="00732116" w:rsidRDefault="000C4436" w:rsidP="000C4436">
      <w:pPr>
        <w:pStyle w:val="ParaNoNdepar-AltN"/>
        <w:rPr>
          <w:rFonts w:cs="Times New Roman"/>
        </w:rPr>
      </w:pPr>
      <w:r w:rsidRPr="00732116">
        <w:rPr>
          <w:rFonts w:cs="Times New Roman"/>
        </w:rPr>
        <w:t>Here, however, the debtors are Bondfield and Forma-Con, not Mr. Aquino. To satisfy s. 96(1</w:t>
      </w:r>
      <w:proofErr w:type="gramStart"/>
      <w:r w:rsidRPr="00732116">
        <w:rPr>
          <w:rFonts w:cs="Times New Roman"/>
        </w:rPr>
        <w:t>)(</w:t>
      </w:r>
      <w:proofErr w:type="gramEnd"/>
      <w:r w:rsidRPr="00732116">
        <w:rPr>
          <w:rFonts w:cs="Times New Roman"/>
        </w:rPr>
        <w:t>b)(ii)(B), the trustee and monitor must show that Bondfield and Forma-Con intended to defraud, defeat, or delay a creditor. This requires showing that it is appropriate to attribute Mr. Aquino’s fraudulent intent to Bondfield and Forma-Con. I address that issue next.</w:t>
      </w:r>
    </w:p>
    <w:p w14:paraId="14A0981B" w14:textId="77777777" w:rsidR="000C4436" w:rsidRPr="00732116" w:rsidRDefault="000C4436" w:rsidP="000C4436">
      <w:pPr>
        <w:pStyle w:val="Title2LevelTitre2Niveau"/>
        <w:rPr>
          <w:rFonts w:cs="Times New Roman"/>
        </w:rPr>
      </w:pPr>
      <w:bookmarkStart w:id="15" w:name="_Toc320021609"/>
      <w:r w:rsidRPr="00732116">
        <w:rPr>
          <w:rFonts w:cs="Times New Roman"/>
        </w:rPr>
        <w:t>When Can the Intent of the Directing Mind of a Corporation to Defraud, Defeat, or Delay a Creditor Be Attributed to the Corporate Debtor Under Section 96 of the BIA?</w:t>
      </w:r>
    </w:p>
    <w:p w14:paraId="6FF81062" w14:textId="77777777" w:rsidR="000C4436" w:rsidRPr="00732116" w:rsidRDefault="000C4436" w:rsidP="000C4436">
      <w:pPr>
        <w:pStyle w:val="ParaNoNdepar-AltN"/>
        <w:rPr>
          <w:rFonts w:cs="Times New Roman"/>
        </w:rPr>
      </w:pPr>
      <w:r w:rsidRPr="00732116">
        <w:rPr>
          <w:rFonts w:cs="Times New Roman"/>
        </w:rPr>
        <w:t xml:space="preserve">The appellants contend that even if Mr. Aquino intended to defraud, defeat, or delay a creditor, his intent cannot be attributed to Bondfield and Forma-Con under the corporate attribution doctrine. They invoke the fraud and no benefit exceptions to corporate attribution recognized in this Court’s decisions in </w:t>
      </w:r>
      <w:r w:rsidRPr="00732116">
        <w:rPr>
          <w:rFonts w:cs="Times New Roman"/>
          <w:i/>
        </w:rPr>
        <w:t>Canadian Dredge</w:t>
      </w:r>
      <w:r w:rsidRPr="00732116">
        <w:rPr>
          <w:rFonts w:cs="Times New Roman"/>
        </w:rPr>
        <w:t xml:space="preserve">, </w:t>
      </w:r>
      <w:r w:rsidRPr="00732116">
        <w:rPr>
          <w:rFonts w:cs="Times New Roman"/>
          <w:i/>
        </w:rPr>
        <w:t>Livent</w:t>
      </w:r>
      <w:r w:rsidRPr="00732116">
        <w:rPr>
          <w:rFonts w:cs="Times New Roman"/>
        </w:rPr>
        <w:t xml:space="preserve">, and </w:t>
      </w:r>
      <w:r w:rsidRPr="00732116">
        <w:rPr>
          <w:rFonts w:cs="Times New Roman"/>
          <w:i/>
        </w:rPr>
        <w:t>DeJong</w:t>
      </w:r>
      <w:r w:rsidRPr="00732116">
        <w:rPr>
          <w:rFonts w:cs="Times New Roman"/>
        </w:rPr>
        <w:t>, and they note that the application judge found that Mr. Aquino intended to defraud both companies and the companies did not benefit from his fraud. The appellants say that this Court’s jurisprudence imposes minimal criteria for corporate attribution that must be met in every case, regardless of the context, and that the courts below erred by reframing the corporate attribution doctrine to allow for attribution in this case.</w:t>
      </w:r>
    </w:p>
    <w:p w14:paraId="1A9971DF" w14:textId="77777777" w:rsidR="000C4436" w:rsidRPr="00732116" w:rsidRDefault="000C4436" w:rsidP="000C4436">
      <w:pPr>
        <w:pStyle w:val="ParaNoNdepar-AltN"/>
        <w:rPr>
          <w:rFonts w:cs="Times New Roman"/>
        </w:rPr>
      </w:pPr>
      <w:r w:rsidRPr="00732116">
        <w:rPr>
          <w:rFonts w:cs="Times New Roman"/>
        </w:rPr>
        <w:t xml:space="preserve">I do not accept this submission. As I will explain, the corporate attribution doctrine does not prescribe rigid rules to be applied regardless of the legal context. Instead, this Court has directed that the doctrine must be applied purposively, contextually, and pragmatically to promote the purpose of the law under which attribution is sought. The fraud and no benefit exceptions to corporate attribution should not apply to a transfer at undervalue claim under s. 96 of the </w:t>
      </w:r>
      <w:r w:rsidRPr="00732116">
        <w:rPr>
          <w:rFonts w:cs="Times New Roman"/>
          <w:i/>
        </w:rPr>
        <w:t>BIA</w:t>
      </w:r>
      <w:r w:rsidRPr="00732116">
        <w:rPr>
          <w:rFonts w:cs="Times New Roman"/>
        </w:rPr>
        <w:t xml:space="preserve"> because these exceptions would undermine the purpose of this provision. Consequently, Mr. Aquino’s fraudulent intent should be attributed to Bondfield and Forma-Con.</w:t>
      </w:r>
    </w:p>
    <w:bookmarkEnd w:id="15"/>
    <w:p w14:paraId="0BB22BA4" w14:textId="77777777" w:rsidR="000C4436" w:rsidRPr="00732116" w:rsidRDefault="000C4436" w:rsidP="000C4436">
      <w:pPr>
        <w:pStyle w:val="Title3LevelTitre3Niveau"/>
        <w:rPr>
          <w:rFonts w:cs="Times New Roman"/>
        </w:rPr>
      </w:pPr>
      <w:r w:rsidRPr="00732116">
        <w:rPr>
          <w:rFonts w:cs="Times New Roman"/>
        </w:rPr>
        <w:t>The Need for Rules of Corporate Attribution</w:t>
      </w:r>
    </w:p>
    <w:p w14:paraId="4D40EBD3" w14:textId="77777777" w:rsidR="000C4436" w:rsidRPr="00732116" w:rsidRDefault="000C4436" w:rsidP="000C4436">
      <w:pPr>
        <w:pStyle w:val="ParaNoNdepar-AltN"/>
        <w:rPr>
          <w:rFonts w:cs="Times New Roman"/>
        </w:rPr>
      </w:pPr>
      <w:r w:rsidRPr="00732116">
        <w:rPr>
          <w:rFonts w:cs="Times New Roman"/>
        </w:rPr>
        <w:t xml:space="preserve">A corporation is a separate legal person distinct from its founders, shareholders, and directors. The separate legal personality of a corporation has been a “bedrock principle of law” since the House of Lords’ seminal decision in </w:t>
      </w:r>
      <w:r w:rsidRPr="00732116">
        <w:rPr>
          <w:rFonts w:cs="Times New Roman"/>
          <w:i/>
        </w:rPr>
        <w:t>Salomon v. Salomon &amp; Co.</w:t>
      </w:r>
      <w:r w:rsidRPr="00732116">
        <w:rPr>
          <w:rFonts w:cs="Times New Roman"/>
        </w:rPr>
        <w:t>, [1897] A.C. 22 (</w:t>
      </w:r>
      <w:r w:rsidRPr="00732116">
        <w:rPr>
          <w:rFonts w:cs="Times New Roman"/>
          <w:i/>
        </w:rPr>
        <w:t>Chevron Corp. v. Yaiguaje</w:t>
      </w:r>
      <w:r w:rsidRPr="00732116">
        <w:rPr>
          <w:rFonts w:cs="Times New Roman"/>
        </w:rPr>
        <w:t>, 2015 SCC 42, [2015] 3 S.C.R. 69, at para. 80; see also S. Rappos, “A Reframing of the Corporate Attribution Doctrine in the Bankruptcy and Insolvency Context”,</w:t>
      </w:r>
      <w:r w:rsidRPr="00732116">
        <w:rPr>
          <w:rFonts w:cs="Times New Roman"/>
          <w:lang w:val="en-US"/>
        </w:rPr>
        <w:t xml:space="preserve"> in J. Corraini and D. B. Nixon, eds.,</w:t>
      </w:r>
      <w:r w:rsidRPr="00732116">
        <w:rPr>
          <w:rFonts w:cs="Times New Roman"/>
        </w:rPr>
        <w:t xml:space="preserve"> </w:t>
      </w:r>
      <w:r w:rsidRPr="00732116">
        <w:rPr>
          <w:rFonts w:cs="Times New Roman"/>
          <w:i/>
        </w:rPr>
        <w:t xml:space="preserve">Annual Review of Insolvency Law 2022 </w:t>
      </w:r>
      <w:r w:rsidRPr="00732116">
        <w:rPr>
          <w:rFonts w:cs="Times New Roman"/>
        </w:rPr>
        <w:t xml:space="preserve">(2023), 1, at p. 1). </w:t>
      </w:r>
    </w:p>
    <w:p w14:paraId="4EA3CECD" w14:textId="77777777" w:rsidR="000C4436" w:rsidRPr="00732116" w:rsidRDefault="000C4436" w:rsidP="000C4436">
      <w:pPr>
        <w:pStyle w:val="ParaNoNdepar-AltN"/>
        <w:rPr>
          <w:rFonts w:cs="Times New Roman"/>
        </w:rPr>
      </w:pPr>
      <w:r w:rsidRPr="00732116">
        <w:rPr>
          <w:rFonts w:cs="Times New Roman"/>
        </w:rPr>
        <w:t xml:space="preserve">The separate legal personality of a corporation is recognized by business corporation statutes across Canada, which provide that a corporation has the capacity, rights, powers, and privileges of a natural person (see </w:t>
      </w:r>
      <w:r w:rsidRPr="00732116">
        <w:rPr>
          <w:rFonts w:cs="Times New Roman"/>
          <w:i/>
        </w:rPr>
        <w:t>Canada Business Corporations Act</w:t>
      </w:r>
      <w:r w:rsidRPr="00732116">
        <w:rPr>
          <w:rFonts w:cs="Times New Roman"/>
        </w:rPr>
        <w:t xml:space="preserve">, R.S.C. 1985, c. C-44, s. 15; </w:t>
      </w:r>
      <w:r w:rsidRPr="00732116">
        <w:rPr>
          <w:rFonts w:cs="Times New Roman"/>
          <w:i/>
        </w:rPr>
        <w:t>Business Corporations Act</w:t>
      </w:r>
      <w:r w:rsidRPr="00732116">
        <w:rPr>
          <w:rFonts w:cs="Times New Roman"/>
        </w:rPr>
        <w:t xml:space="preserve">, R.S.O. 1990, c. B.16, s. 15; </w:t>
      </w:r>
      <w:r w:rsidRPr="00732116">
        <w:rPr>
          <w:rFonts w:cs="Times New Roman"/>
          <w:i/>
        </w:rPr>
        <w:t>Business Corporations Act</w:t>
      </w:r>
      <w:r w:rsidRPr="00732116">
        <w:rPr>
          <w:rFonts w:cs="Times New Roman"/>
        </w:rPr>
        <w:t xml:space="preserve">, CQLR, c. S-31.1, s. 10; </w:t>
      </w:r>
      <w:r w:rsidRPr="00732116">
        <w:rPr>
          <w:rFonts w:cs="Times New Roman"/>
          <w:i/>
        </w:rPr>
        <w:t>Business Corporations Act</w:t>
      </w:r>
      <w:r w:rsidRPr="00732116">
        <w:rPr>
          <w:rFonts w:cs="Times New Roman"/>
        </w:rPr>
        <w:t xml:space="preserve">, R.S.A. 2000, c. B-9, s. 16(1); </w:t>
      </w:r>
      <w:r w:rsidRPr="00732116">
        <w:rPr>
          <w:rFonts w:cs="Times New Roman"/>
          <w:i/>
        </w:rPr>
        <w:t>Business Corporations Act</w:t>
      </w:r>
      <w:r w:rsidRPr="00732116">
        <w:rPr>
          <w:rFonts w:cs="Times New Roman"/>
        </w:rPr>
        <w:t xml:space="preserve">, S.B.C. 2002, c. 57, s. 30; </w:t>
      </w:r>
      <w:r w:rsidRPr="00732116">
        <w:rPr>
          <w:rFonts w:cs="Times New Roman"/>
          <w:i/>
        </w:rPr>
        <w:t>The Business Corporations Act, 2021</w:t>
      </w:r>
      <w:r w:rsidRPr="00732116">
        <w:rPr>
          <w:rFonts w:cs="Times New Roman"/>
        </w:rPr>
        <w:t>,</w:t>
      </w:r>
      <w:r w:rsidRPr="00732116">
        <w:rPr>
          <w:rFonts w:cs="Times New Roman"/>
          <w:i/>
        </w:rPr>
        <w:t xml:space="preserve"> </w:t>
      </w:r>
      <w:r w:rsidRPr="00732116">
        <w:rPr>
          <w:rFonts w:cs="Times New Roman"/>
        </w:rPr>
        <w:t xml:space="preserve">S.S. 2021, c. 6, s. 3-1(1); </w:t>
      </w:r>
      <w:r w:rsidRPr="00732116">
        <w:rPr>
          <w:rFonts w:cs="Times New Roman"/>
          <w:i/>
        </w:rPr>
        <w:t>The Corporations Act</w:t>
      </w:r>
      <w:r w:rsidRPr="00732116">
        <w:rPr>
          <w:rFonts w:cs="Times New Roman"/>
        </w:rPr>
        <w:t xml:space="preserve">, C.C.S.M., c. C225, s. 15(1); </w:t>
      </w:r>
      <w:r w:rsidRPr="00732116">
        <w:rPr>
          <w:rFonts w:cs="Times New Roman"/>
          <w:i/>
        </w:rPr>
        <w:t>Business Corporations Act</w:t>
      </w:r>
      <w:r w:rsidRPr="00732116">
        <w:rPr>
          <w:rFonts w:cs="Times New Roman"/>
        </w:rPr>
        <w:t xml:space="preserve">, S.N.B. 1981, c. B-9.1, s. 13(1); </w:t>
      </w:r>
      <w:r w:rsidRPr="00732116">
        <w:rPr>
          <w:rFonts w:cs="Times New Roman"/>
          <w:i/>
        </w:rPr>
        <w:t>Companies Act</w:t>
      </w:r>
      <w:r w:rsidRPr="00732116">
        <w:rPr>
          <w:rFonts w:cs="Times New Roman"/>
        </w:rPr>
        <w:t xml:space="preserve">, R.S.N.S. 1989, c. 81, s. 26(8); </w:t>
      </w:r>
      <w:r w:rsidRPr="00732116">
        <w:rPr>
          <w:rFonts w:cs="Times New Roman"/>
          <w:i/>
        </w:rPr>
        <w:t>Business Corporations Act</w:t>
      </w:r>
      <w:r w:rsidRPr="00732116">
        <w:rPr>
          <w:rFonts w:cs="Times New Roman"/>
        </w:rPr>
        <w:t xml:space="preserve">, R.S.P.E.I. 1988, c. B-6.01, s. 22(1); </w:t>
      </w:r>
      <w:r w:rsidRPr="00732116">
        <w:rPr>
          <w:rFonts w:cs="Times New Roman"/>
          <w:i/>
        </w:rPr>
        <w:t>Corporations Act</w:t>
      </w:r>
      <w:r w:rsidRPr="00732116">
        <w:rPr>
          <w:rFonts w:cs="Times New Roman"/>
        </w:rPr>
        <w:t xml:space="preserve">, R.S.N.L. 1990, c. C-36, s. 27(1); </w:t>
      </w:r>
      <w:r w:rsidRPr="00732116">
        <w:rPr>
          <w:rFonts w:cs="Times New Roman"/>
          <w:i/>
        </w:rPr>
        <w:t>Business Corporations Act</w:t>
      </w:r>
      <w:r w:rsidRPr="00732116">
        <w:rPr>
          <w:rFonts w:cs="Times New Roman"/>
        </w:rPr>
        <w:t xml:space="preserve">, R.S.Y. 2002, c. 20, s. 18(1); </w:t>
      </w:r>
      <w:r w:rsidRPr="00732116">
        <w:rPr>
          <w:rFonts w:cs="Times New Roman"/>
          <w:i/>
        </w:rPr>
        <w:t>Business Corporations Act</w:t>
      </w:r>
      <w:r w:rsidRPr="00732116">
        <w:rPr>
          <w:rFonts w:cs="Times New Roman"/>
        </w:rPr>
        <w:t>, S.N.W.T. 1996, c. 19, s. 15(1)).</w:t>
      </w:r>
    </w:p>
    <w:p w14:paraId="7D415D72" w14:textId="77777777" w:rsidR="000C4436" w:rsidRPr="00732116" w:rsidRDefault="000C4436" w:rsidP="000C4436">
      <w:pPr>
        <w:pStyle w:val="ParaNoNdepar-AltN"/>
        <w:rPr>
          <w:rFonts w:cs="Times New Roman"/>
        </w:rPr>
      </w:pPr>
      <w:r w:rsidRPr="00732116">
        <w:rPr>
          <w:rFonts w:cs="Times New Roman"/>
        </w:rPr>
        <w:t>Although a corporation is a separate legal person, it has no mind or will of its own. As explained by Kevin P. McGuinness and Maurice Coombs, “[e]very single act that involves a corporation, and every decision not to act, is the action or inaction of human beings and only human beings” (</w:t>
      </w:r>
      <w:r w:rsidRPr="00732116">
        <w:rPr>
          <w:rFonts w:cs="Times New Roman"/>
          <w:i/>
        </w:rPr>
        <w:t>Canadian Business Corporations Law</w:t>
      </w:r>
      <w:r w:rsidRPr="00732116">
        <w:rPr>
          <w:rFonts w:cs="Times New Roman"/>
        </w:rPr>
        <w:t xml:space="preserve"> (4th ed. 2023), vol. 1, at ¶9-11). This has long been recognized by the jurisprudence. In </w:t>
      </w:r>
      <w:r w:rsidRPr="00732116">
        <w:rPr>
          <w:rFonts w:cs="Times New Roman"/>
          <w:i/>
        </w:rPr>
        <w:t>Canadian Dredge</w:t>
      </w:r>
      <w:r w:rsidRPr="00732116">
        <w:rPr>
          <w:rFonts w:cs="Times New Roman"/>
        </w:rPr>
        <w:t xml:space="preserve">, for example, this Court said that “a corporation may only act through agents” (p. 675). The Court cited Viscount Haldane L.C.’s speech in </w:t>
      </w:r>
      <w:r w:rsidRPr="00732116">
        <w:rPr>
          <w:rFonts w:cs="Times New Roman"/>
          <w:i/>
        </w:rPr>
        <w:t>Lennard’s Carrying Co. v. Asiatic Petroleum Co.</w:t>
      </w:r>
      <w:r w:rsidRPr="00732116">
        <w:rPr>
          <w:rFonts w:cs="Times New Roman"/>
        </w:rPr>
        <w:t>, [1915] A.C. 705 (H.L.), at pp. 713-14, which explained the need to identify a directing mind because a corporation can only act through a human agent:</w:t>
      </w:r>
    </w:p>
    <w:p w14:paraId="4FAAC97C" w14:textId="77777777" w:rsidR="000C4436" w:rsidRPr="00732116" w:rsidRDefault="000C4436" w:rsidP="000C4436">
      <w:pPr>
        <w:pStyle w:val="Citation-AltC"/>
      </w:pPr>
      <w:r w:rsidRPr="00732116">
        <w:t xml:space="preserve">. . . </w:t>
      </w:r>
      <w:proofErr w:type="gramStart"/>
      <w:r w:rsidRPr="00732116">
        <w:t>a</w:t>
      </w:r>
      <w:proofErr w:type="gramEnd"/>
      <w:r w:rsidRPr="00732116">
        <w:t xml:space="preserve"> corporation is an abstraction. It has no mind of its own any more than it has a body of its own; its active and directing will may consequently be sought in the person of somebody who for some purposes may be called an agent, but who is really the directing mind and will of the corporation, the very ego and centre of the personality of the corporation. [pp. 678-79]</w:t>
      </w:r>
    </w:p>
    <w:p w14:paraId="6600899D" w14:textId="77777777" w:rsidR="000C4436" w:rsidRPr="00732116" w:rsidRDefault="000C4436" w:rsidP="000C4436">
      <w:pPr>
        <w:pStyle w:val="ParaNoNdepar-AltN"/>
        <w:rPr>
          <w:rFonts w:cs="Times New Roman"/>
        </w:rPr>
      </w:pPr>
      <w:r w:rsidRPr="00732116">
        <w:rPr>
          <w:rFonts w:cs="Times New Roman"/>
        </w:rPr>
        <w:t>Professor Darcy L. MacPherson notes that “[t]</w:t>
      </w:r>
      <w:proofErr w:type="gramStart"/>
      <w:r w:rsidRPr="00732116">
        <w:rPr>
          <w:rFonts w:cs="Times New Roman"/>
        </w:rPr>
        <w:t>he</w:t>
      </w:r>
      <w:proofErr w:type="gramEnd"/>
      <w:r w:rsidRPr="00732116">
        <w:rPr>
          <w:rFonts w:cs="Times New Roman"/>
        </w:rPr>
        <w:t xml:space="preserve"> attribution of personhood to a corporation in turn necessitates a mechanism to give that person a mental state. . . . Since so many areas of our law depend on mental states, the law must therefore attribute a mental state to the corporation” (“The Civil and Criminal Applications of the Identification Doctrine: Arguments for Harmonization” (2007), 45 </w:t>
      </w:r>
      <w:r w:rsidRPr="00732116">
        <w:rPr>
          <w:rFonts w:cs="Times New Roman"/>
          <w:i/>
        </w:rPr>
        <w:t>Alta. L. Rev.</w:t>
      </w:r>
      <w:r w:rsidRPr="00732116">
        <w:rPr>
          <w:rFonts w:cs="Times New Roman"/>
        </w:rPr>
        <w:t xml:space="preserve"> 171, at p. 186; see also E. Ferran, “Corporate Attribution and the Directing Mind and Will” (2011), 127 </w:t>
      </w:r>
      <w:r w:rsidRPr="00732116">
        <w:rPr>
          <w:rFonts w:cs="Times New Roman"/>
          <w:i/>
        </w:rPr>
        <w:t>Law Q. Rev.</w:t>
      </w:r>
      <w:r w:rsidRPr="00732116">
        <w:rPr>
          <w:rFonts w:cs="Times New Roman"/>
        </w:rPr>
        <w:t xml:space="preserve"> 239, at p. 241).</w:t>
      </w:r>
    </w:p>
    <w:p w14:paraId="3DAC37A2" w14:textId="77777777" w:rsidR="000C4436" w:rsidRPr="00732116" w:rsidRDefault="000C4436" w:rsidP="000C4436">
      <w:pPr>
        <w:pStyle w:val="ParaNoNdepar-AltN"/>
        <w:rPr>
          <w:rFonts w:cs="Times New Roman"/>
        </w:rPr>
      </w:pPr>
      <w:r w:rsidRPr="00732116">
        <w:rPr>
          <w:rFonts w:cs="Times New Roman"/>
        </w:rPr>
        <w:t xml:space="preserve">In </w:t>
      </w:r>
      <w:r w:rsidRPr="00732116">
        <w:rPr>
          <w:rFonts w:cs="Times New Roman"/>
          <w:i/>
        </w:rPr>
        <w:t>Meridian Global Funds Management Asia Ltd. v. Securities Commission</w:t>
      </w:r>
      <w:r w:rsidRPr="00732116">
        <w:rPr>
          <w:rFonts w:cs="Times New Roman"/>
        </w:rPr>
        <w:t>, [1995] 2 A.C. 500 (P.C.), widely considered to be the leading United Kingdom decision on corporate attribution, Lord Hoffman discussed the need for rules of attribution this way:</w:t>
      </w:r>
    </w:p>
    <w:p w14:paraId="12DF1566" w14:textId="77777777" w:rsidR="000C4436" w:rsidRPr="00732116" w:rsidRDefault="000C4436" w:rsidP="000C4436">
      <w:pPr>
        <w:pStyle w:val="Citation-AltC"/>
        <w:ind w:firstLine="274"/>
      </w:pPr>
      <w:r w:rsidRPr="00732116">
        <w:t>Any proposition about a company necessarily involves reference to a set of rules. A company exists because there is a rule (usually in a statute) which says that a persona ficta shall be deemed to exist and to have certain of the powers, rights and duties of a natural person. But there would be little sense in deeming such a persona ficta to exist unless there were also rules to tell one what acts were to count as acts of the company. It is therefore a necessary part of corporate personality that there should be rules by which acts are attributed to the company. These may be called “the rules of attribution”. [p. 506]</w:t>
      </w:r>
    </w:p>
    <w:p w14:paraId="1344B1D7" w14:textId="77777777" w:rsidR="000C4436" w:rsidRPr="00732116" w:rsidRDefault="000C4436" w:rsidP="000C4436">
      <w:pPr>
        <w:pStyle w:val="ParaNoNdepar-AltN"/>
        <w:rPr>
          <w:rFonts w:cs="Times New Roman"/>
        </w:rPr>
      </w:pPr>
      <w:r w:rsidRPr="00732116">
        <w:rPr>
          <w:rFonts w:cs="Times New Roman"/>
        </w:rPr>
        <w:t xml:space="preserve">The rules of attribution, Lord Hoffman elaborated, can arise from three sources: (1) </w:t>
      </w:r>
      <w:r w:rsidRPr="00732116">
        <w:rPr>
          <w:rFonts w:cs="Times New Roman"/>
          <w:i/>
        </w:rPr>
        <w:t>primary rules of attribution</w:t>
      </w:r>
      <w:r w:rsidRPr="00732116">
        <w:rPr>
          <w:rFonts w:cs="Times New Roman"/>
        </w:rPr>
        <w:t xml:space="preserve">, contained in a corporation’s statutes or constitution, or general company law, stipulating when decisions taken by shareholders or the board of directors are to be treated as decisions of the corporation; (2) </w:t>
      </w:r>
      <w:r w:rsidRPr="00732116">
        <w:rPr>
          <w:rFonts w:cs="Times New Roman"/>
          <w:i/>
        </w:rPr>
        <w:t>general rules of attribution</w:t>
      </w:r>
      <w:r w:rsidRPr="00732116">
        <w:rPr>
          <w:rFonts w:cs="Times New Roman"/>
        </w:rPr>
        <w:t xml:space="preserve">, such as under the law of agency or vicarious liability, which also apply to natural persons; and (3) </w:t>
      </w:r>
      <w:r w:rsidRPr="00732116">
        <w:rPr>
          <w:rFonts w:cs="Times New Roman"/>
          <w:i/>
        </w:rPr>
        <w:t>the common law of corporate attribution</w:t>
      </w:r>
      <w:r w:rsidRPr="00732116">
        <w:rPr>
          <w:rFonts w:cs="Times New Roman"/>
        </w:rPr>
        <w:t>, which requires the court to fashion and apply a special rule of attribution for the particular context in which the question arises (</w:t>
      </w:r>
      <w:r w:rsidRPr="00732116">
        <w:rPr>
          <w:rFonts w:cs="Times New Roman"/>
          <w:i/>
        </w:rPr>
        <w:t>Meridian</w:t>
      </w:r>
      <w:r w:rsidRPr="00732116">
        <w:rPr>
          <w:rFonts w:cs="Times New Roman"/>
        </w:rPr>
        <w:t xml:space="preserve">, at p. 507; see also </w:t>
      </w:r>
      <w:r w:rsidRPr="00732116">
        <w:rPr>
          <w:rFonts w:cs="Times New Roman"/>
          <w:i/>
        </w:rPr>
        <w:t>Bilta (UK) Ltd. v. Nazir</w:t>
      </w:r>
      <w:r w:rsidRPr="00732116">
        <w:rPr>
          <w:rFonts w:cs="Times New Roman"/>
        </w:rPr>
        <w:t xml:space="preserve">, [2015] UKSC 23, [2016] A.C. 1, at para. 190, per Lords Toulson and Hodge; </w:t>
      </w:r>
      <w:r w:rsidRPr="00732116">
        <w:rPr>
          <w:rFonts w:cs="Times New Roman"/>
          <w:i/>
        </w:rPr>
        <w:t>Singularis Holdings Ltd. v. Daiwa Capital Markets Ltd.</w:t>
      </w:r>
      <w:r w:rsidRPr="00732116">
        <w:rPr>
          <w:rFonts w:cs="Times New Roman"/>
        </w:rPr>
        <w:t xml:space="preserve">, [2019] UKSC 50, [2020] A.C. 1189, at para. 28, per Lady Hale). The last of these three sources, the common law of corporate attribution, is sometimes known as the identification doctrine because it supplies rules for when a corporation may be identified with the actions or intent of its directing mind (see </w:t>
      </w:r>
      <w:r w:rsidRPr="00732116">
        <w:rPr>
          <w:rFonts w:cs="Times New Roman"/>
          <w:i/>
        </w:rPr>
        <w:t>Canadian Dredge</w:t>
      </w:r>
      <w:r w:rsidRPr="00732116">
        <w:rPr>
          <w:rFonts w:cs="Times New Roman"/>
        </w:rPr>
        <w:t>, at pp. 670, 673, 682-83 and 692-93; MacPherson, at p. 172).</w:t>
      </w:r>
    </w:p>
    <w:p w14:paraId="4D673908" w14:textId="77777777" w:rsidR="000C4436" w:rsidRPr="00732116" w:rsidRDefault="000C4436" w:rsidP="000C4436">
      <w:pPr>
        <w:pStyle w:val="Title3LevelTitre3Niveau"/>
        <w:rPr>
          <w:rFonts w:cs="Times New Roman"/>
        </w:rPr>
      </w:pPr>
      <w:r w:rsidRPr="00732116">
        <w:rPr>
          <w:rFonts w:cs="Times New Roman"/>
        </w:rPr>
        <w:t>This Court’s Corporate Attribution Jurisprudence</w:t>
      </w:r>
    </w:p>
    <w:p w14:paraId="0C03BD07" w14:textId="77777777" w:rsidR="000C4436" w:rsidRPr="00732116" w:rsidRDefault="000C4436" w:rsidP="000C4436">
      <w:pPr>
        <w:pStyle w:val="ParaNoNdepar-AltN"/>
        <w:rPr>
          <w:rFonts w:cs="Times New Roman"/>
        </w:rPr>
      </w:pPr>
      <w:r w:rsidRPr="00732116">
        <w:rPr>
          <w:rFonts w:cs="Times New Roman"/>
        </w:rPr>
        <w:t xml:space="preserve">This Court has addressed the corporate attribution doctrine in three decisions over the last 40 years: </w:t>
      </w:r>
      <w:r w:rsidRPr="00732116">
        <w:rPr>
          <w:rFonts w:cs="Times New Roman"/>
          <w:i/>
        </w:rPr>
        <w:t>Canadian Dredge</w:t>
      </w:r>
      <w:r w:rsidRPr="00732116">
        <w:rPr>
          <w:rFonts w:cs="Times New Roman"/>
        </w:rPr>
        <w:t xml:space="preserve"> in 1985, in the context of corporate criminal liability for wrongdoing by directing minds; </w:t>
      </w:r>
      <w:r w:rsidRPr="00732116">
        <w:rPr>
          <w:rFonts w:cs="Times New Roman"/>
          <w:i/>
        </w:rPr>
        <w:t>Livent</w:t>
      </w:r>
      <w:r w:rsidRPr="00732116">
        <w:rPr>
          <w:rFonts w:cs="Times New Roman"/>
        </w:rPr>
        <w:t xml:space="preserve"> in 2017, in the context of an auditor’s civil liability to a company’s creditors for failing to detect fraud by the company’s directing minds; and </w:t>
      </w:r>
      <w:r w:rsidRPr="00732116">
        <w:rPr>
          <w:rFonts w:cs="Times New Roman"/>
          <w:i/>
        </w:rPr>
        <w:t>DeJong</w:t>
      </w:r>
      <w:r w:rsidRPr="00732116">
        <w:rPr>
          <w:rFonts w:cs="Times New Roman"/>
        </w:rPr>
        <w:t xml:space="preserve"> in 2019, in the context of a civil claim for knowing assistance and knowing receipt in relation to a breach of fiduciary duty.</w:t>
      </w:r>
    </w:p>
    <w:p w14:paraId="06777636" w14:textId="77777777" w:rsidR="000C4436" w:rsidRPr="00732116" w:rsidRDefault="000C4436" w:rsidP="000C4436">
      <w:pPr>
        <w:pStyle w:val="ParaNoNdepar-AltN"/>
        <w:rPr>
          <w:rFonts w:cs="Times New Roman"/>
        </w:rPr>
      </w:pPr>
      <w:r w:rsidRPr="00732116">
        <w:rPr>
          <w:rFonts w:cs="Times New Roman"/>
        </w:rPr>
        <w:t xml:space="preserve">This Court’s jurisprudence, like the jurisprudence in the United Kingdom, highlights that there is no uniform rule of corporate attribution. Because the attribution doctrine is rooted in public policy, courts must take a </w:t>
      </w:r>
      <w:bookmarkStart w:id="16" w:name="_Hlk163369315"/>
      <w:r w:rsidRPr="00732116">
        <w:rPr>
          <w:rFonts w:cs="Times New Roman"/>
        </w:rPr>
        <w:t xml:space="preserve">purposive, contextual, and pragmatic approach to questions of </w:t>
      </w:r>
      <w:bookmarkEnd w:id="16"/>
      <w:r w:rsidRPr="00732116">
        <w:rPr>
          <w:rFonts w:cs="Times New Roman"/>
        </w:rPr>
        <w:t>attribution consistent with the purpose of the law under which attribution is sought.</w:t>
      </w:r>
    </w:p>
    <w:p w14:paraId="2FFE9FBA" w14:textId="77777777" w:rsidR="000C4436" w:rsidRPr="00732116" w:rsidRDefault="000C4436" w:rsidP="000C4436">
      <w:pPr>
        <w:pStyle w:val="Title4LevelTitre4Niveau"/>
        <w:rPr>
          <w:rFonts w:cs="Times New Roman"/>
        </w:rPr>
      </w:pPr>
      <w:r w:rsidRPr="00732116">
        <w:rPr>
          <w:rFonts w:cs="Times New Roman"/>
        </w:rPr>
        <w:t>Canadian Dredge</w:t>
      </w:r>
      <w:r w:rsidRPr="00732116">
        <w:rPr>
          <w:rFonts w:cs="Times New Roman"/>
          <w:i w:val="0"/>
        </w:rPr>
        <w:t xml:space="preserve"> </w:t>
      </w:r>
      <w:r w:rsidRPr="00732116">
        <w:rPr>
          <w:rFonts w:cs="Times New Roman"/>
        </w:rPr>
        <w:t>(1985)</w:t>
      </w:r>
    </w:p>
    <w:p w14:paraId="56427F8E" w14:textId="77777777" w:rsidR="000C4436" w:rsidRPr="00732116" w:rsidRDefault="000C4436" w:rsidP="000C4436">
      <w:pPr>
        <w:pStyle w:val="ParaNoNdepar-AltN"/>
        <w:rPr>
          <w:rFonts w:cs="Times New Roman"/>
        </w:rPr>
      </w:pPr>
      <w:r w:rsidRPr="00732116">
        <w:rPr>
          <w:rFonts w:cs="Times New Roman"/>
        </w:rPr>
        <w:t xml:space="preserve">In </w:t>
      </w:r>
      <w:r w:rsidRPr="00732116">
        <w:rPr>
          <w:rFonts w:cs="Times New Roman"/>
          <w:i/>
        </w:rPr>
        <w:t>Canadian Dredge</w:t>
      </w:r>
      <w:r w:rsidRPr="00732116">
        <w:rPr>
          <w:rFonts w:cs="Times New Roman"/>
        </w:rPr>
        <w:t xml:space="preserve">, this Court applied the corporate attribution doctrine in the criminal context. Four corporations were found criminally liable for the </w:t>
      </w:r>
      <w:r w:rsidRPr="00732116">
        <w:rPr>
          <w:rFonts w:cs="Times New Roman"/>
          <w:i/>
        </w:rPr>
        <w:t>mens rea</w:t>
      </w:r>
      <w:r w:rsidRPr="00732116">
        <w:rPr>
          <w:rFonts w:cs="Times New Roman"/>
        </w:rPr>
        <w:t xml:space="preserve"> offence of bid-rigging under the </w:t>
      </w:r>
      <w:r w:rsidRPr="00732116">
        <w:rPr>
          <w:rFonts w:cs="Times New Roman"/>
          <w:i/>
        </w:rPr>
        <w:t>Criminal Code</w:t>
      </w:r>
      <w:r w:rsidRPr="00732116">
        <w:rPr>
          <w:rFonts w:cs="Times New Roman"/>
        </w:rPr>
        <w:t xml:space="preserve">, R.S.C. 1985, </w:t>
      </w:r>
      <w:proofErr w:type="gramStart"/>
      <w:r w:rsidRPr="00732116">
        <w:rPr>
          <w:rFonts w:cs="Times New Roman"/>
        </w:rPr>
        <w:t>c</w:t>
      </w:r>
      <w:proofErr w:type="gramEnd"/>
      <w:r w:rsidRPr="00732116">
        <w:rPr>
          <w:rFonts w:cs="Times New Roman"/>
        </w:rPr>
        <w:t xml:space="preserve">. C-46. Each corporation had a manager or directing mind who conducted the corporation’s business. The corporations denied criminal liability because the managers had acted in fraud of the corporations, for their own benefit, and outside the scope of their employment. Justice Estey rejected these arguments. He found the corporations guilty because the directing minds had not acted wholly for their own benefit and the corporations had received some benefits. He formulated a common law rule for corporate attribution (at pp. 681-82 and 712-13), which this Court later distilled in </w:t>
      </w:r>
      <w:r w:rsidRPr="00732116">
        <w:rPr>
          <w:rFonts w:cs="Times New Roman"/>
          <w:i/>
        </w:rPr>
        <w:t>Livent</w:t>
      </w:r>
      <w:r w:rsidRPr="00732116">
        <w:rPr>
          <w:rFonts w:cs="Times New Roman"/>
        </w:rPr>
        <w:t>, at para. 100:</w:t>
      </w:r>
    </w:p>
    <w:p w14:paraId="50245462" w14:textId="77777777" w:rsidR="000C4436" w:rsidRPr="00732116" w:rsidRDefault="000C4436" w:rsidP="000C4436">
      <w:pPr>
        <w:pStyle w:val="Citation-AltC"/>
      </w:pPr>
      <w:r w:rsidRPr="00732116">
        <w:t>To attribute the fraudulent acts of an employee to its corporate employer, two conditions must be met: (1) the wrongdoer must be the directing mind of the corporation; and (2) the wrongful actions of the directing mind must have been done within the scope of his or her authority; that is, his or her actions must be performed within the sector of corporate operation assigned to him. For the purposes of this analysis, an individual will cease to be a directing mind unless the action (1) was not totally in fraud of the corporation; and (2) was by design or result partly for the benefit of the corporation. [Citation omitted.]</w:t>
      </w:r>
    </w:p>
    <w:p w14:paraId="1CC61FBA" w14:textId="77777777" w:rsidR="000C4436" w:rsidRPr="00732116" w:rsidRDefault="000C4436" w:rsidP="000C4436">
      <w:pPr>
        <w:pStyle w:val="ParaNoNdepar-AltN"/>
        <w:rPr>
          <w:rFonts w:cs="Times New Roman"/>
        </w:rPr>
      </w:pPr>
      <w:r w:rsidRPr="00732116">
        <w:rPr>
          <w:rFonts w:cs="Times New Roman"/>
        </w:rPr>
        <w:t>Justice Estey highlighted that the corporate attribution doctrine was developed “in order to find some pragmatic, acceptable middle ground which would see a corporation under the umbrella of the criminal law of the community but which would not saddle the corporation with the criminal wrongs of all of its employees and agents” (</w:t>
      </w:r>
      <w:r w:rsidRPr="00732116">
        <w:rPr>
          <w:rFonts w:cs="Times New Roman"/>
          <w:i/>
        </w:rPr>
        <w:t>Canadian Dredge</w:t>
      </w:r>
      <w:r w:rsidRPr="00732116">
        <w:rPr>
          <w:rFonts w:cs="Times New Roman"/>
        </w:rPr>
        <w:t>, at p. 701). He rejected a test for criminal liability based on total vicarious liability for the conduct of any corporate agents, whatever their level of employment and responsibility, because this would impose criminal liability when “there is neither moral turpitude nor negligence” (p. 691). This, in turn, would not serve the public policy goal of protecting the interests of the community and advancing law and order (pp. 691 and 707-8). Justice Estey also rejected a test for criminal liability that would find a corporation liable only when it commits a criminal act on the express instructions of its board of directors, because this would allow corporations to absolve themselves from criminal consequences “by the simple device of adopting and communicating to its staff a general instruction prohibiting illegal conduct and directing conformity at all times with the law” (p. 699).</w:t>
      </w:r>
    </w:p>
    <w:p w14:paraId="77BBDA2A" w14:textId="77777777" w:rsidR="000C4436" w:rsidRPr="00732116" w:rsidRDefault="000C4436" w:rsidP="000C4436">
      <w:pPr>
        <w:pStyle w:val="ParaNoNdepar-AltN"/>
        <w:rPr>
          <w:rFonts w:cs="Times New Roman"/>
        </w:rPr>
      </w:pPr>
      <w:r w:rsidRPr="00732116">
        <w:rPr>
          <w:rFonts w:cs="Times New Roman"/>
        </w:rPr>
        <w:t>To respond to these policy concerns, Estey J. formulated the “fraud” and “no benefit” exceptions as public policy-based exceptions to the general principle that a directing mind’s knowledge should be attributed to a corporation to establish corporate criminal liability. The exceptions were justified, Estey J. stated, because in both situations “no social purpose is served by convicting a corporation” (</w:t>
      </w:r>
      <w:r w:rsidRPr="00732116">
        <w:rPr>
          <w:rFonts w:cs="Times New Roman"/>
          <w:i/>
        </w:rPr>
        <w:t>Canadian Dredge</w:t>
      </w:r>
      <w:r w:rsidRPr="00732116">
        <w:rPr>
          <w:rFonts w:cs="Times New Roman"/>
        </w:rPr>
        <w:t>, at p. 704; see also pp. 707-8). Imposing criminal liability would be unjust if the corporation is totally defrauded by, or does not benefit from, the wrongdoing of its directing mind. As Estey J. explained:</w:t>
      </w:r>
    </w:p>
    <w:p w14:paraId="7CAD74EA" w14:textId="77777777" w:rsidR="000C4436" w:rsidRPr="00732116" w:rsidRDefault="000C4436" w:rsidP="000C4436">
      <w:pPr>
        <w:pStyle w:val="Citation-AltC"/>
      </w:pPr>
      <w:r w:rsidRPr="00732116">
        <w:t xml:space="preserve">The identification </w:t>
      </w:r>
      <w:proofErr w:type="gramStart"/>
      <w:r w:rsidRPr="00732116">
        <w:t>theory .</w:t>
      </w:r>
      <w:proofErr w:type="gramEnd"/>
      <w:r w:rsidRPr="00732116">
        <w:t> . . loses its basis in rationality when it is applied to condemn a corporation under the criminal law for the conduct of its manager when that manager is acting not in any real sense as its directing mind but rather as its arch enemy. . . .</w:t>
      </w:r>
      <w:r w:rsidRPr="00732116" w:rsidDel="00234B6E">
        <w:t xml:space="preserve"> </w:t>
      </w:r>
      <w:r w:rsidRPr="00732116">
        <w:t xml:space="preserve">In my view, the very pragmatic origins of the identification rule militate against its extension to the situation which would have existed here had one or more of the directing minds acted entirely for his own benefit and directed his principal efforts to defrauding the company. Where the corporation benefited or was intended to be benefited from the fraudulent and criminal activities of the directing mind, the </w:t>
      </w:r>
      <w:r w:rsidRPr="00732116">
        <w:rPr>
          <w:i/>
        </w:rPr>
        <w:t>rationale</w:t>
      </w:r>
      <w:r w:rsidRPr="00732116">
        <w:t xml:space="preserve"> of the identification rule holds. Where the delegate of the corporation has turned against his principal, the </w:t>
      </w:r>
      <w:r w:rsidRPr="00732116">
        <w:rPr>
          <w:i/>
        </w:rPr>
        <w:t xml:space="preserve">rationale </w:t>
      </w:r>
      <w:r w:rsidRPr="00732116">
        <w:t>fades away. [Emphasis in original; p. 719.]</w:t>
      </w:r>
    </w:p>
    <w:p w14:paraId="256B385C" w14:textId="77777777" w:rsidR="000C4436" w:rsidRPr="00732116" w:rsidRDefault="000C4436" w:rsidP="000C4436">
      <w:pPr>
        <w:pStyle w:val="Title4LevelTitre4Niveau"/>
        <w:rPr>
          <w:rFonts w:cs="Times New Roman"/>
        </w:rPr>
      </w:pPr>
      <w:r w:rsidRPr="00732116">
        <w:rPr>
          <w:rFonts w:cs="Times New Roman"/>
        </w:rPr>
        <w:t>Livent</w:t>
      </w:r>
      <w:r w:rsidRPr="00732116">
        <w:rPr>
          <w:rFonts w:cs="Times New Roman"/>
          <w:i w:val="0"/>
        </w:rPr>
        <w:t xml:space="preserve"> </w:t>
      </w:r>
      <w:r w:rsidRPr="00732116">
        <w:rPr>
          <w:rFonts w:cs="Times New Roman"/>
        </w:rPr>
        <w:t>(2017)</w:t>
      </w:r>
    </w:p>
    <w:p w14:paraId="1D5DE4EF" w14:textId="77777777" w:rsidR="000C4436" w:rsidRPr="00732116" w:rsidRDefault="000C4436" w:rsidP="000C4436">
      <w:pPr>
        <w:pStyle w:val="ParaNoNdepar-AltN"/>
        <w:rPr>
          <w:rFonts w:cs="Times New Roman"/>
        </w:rPr>
      </w:pPr>
      <w:r w:rsidRPr="00732116">
        <w:rPr>
          <w:rFonts w:cs="Times New Roman"/>
        </w:rPr>
        <w:t xml:space="preserve">In </w:t>
      </w:r>
      <w:r w:rsidRPr="00732116">
        <w:rPr>
          <w:rFonts w:cs="Times New Roman"/>
          <w:i/>
        </w:rPr>
        <w:t>Livent</w:t>
      </w:r>
      <w:r w:rsidRPr="00732116">
        <w:rPr>
          <w:rFonts w:cs="Times New Roman"/>
        </w:rPr>
        <w:t xml:space="preserve">, this Court adapted the principles enunciated in </w:t>
      </w:r>
      <w:r w:rsidRPr="00732116">
        <w:rPr>
          <w:rFonts w:cs="Times New Roman"/>
          <w:i/>
        </w:rPr>
        <w:t>Canadian Dredge</w:t>
      </w:r>
      <w:r w:rsidRPr="00732116">
        <w:rPr>
          <w:rFonts w:cs="Times New Roman"/>
        </w:rPr>
        <w:t xml:space="preserve"> to the civil context. An auditor had invoked the corporate attribution doctrine to defend against a claim brought by a corporation’s receiver for the auditor’s negligence in failing to uncover fraud by the corporation’s directing minds. The auditor argued that the fraud of the directing minds should be attributed to the corporation to give the auditor a defence of illegality to avoid civil liability to the corporation.</w:t>
      </w:r>
    </w:p>
    <w:p w14:paraId="3624718D" w14:textId="77777777" w:rsidR="000C4436" w:rsidRPr="00732116" w:rsidRDefault="000C4436" w:rsidP="000C4436">
      <w:pPr>
        <w:pStyle w:val="ParaNoNdepar-AltN"/>
        <w:rPr>
          <w:rFonts w:cs="Times New Roman"/>
        </w:rPr>
      </w:pPr>
      <w:r w:rsidRPr="00732116">
        <w:rPr>
          <w:rFonts w:cs="Times New Roman"/>
        </w:rPr>
        <w:t xml:space="preserve">Writing for the majority of the Court, Gascon and Brown JJ. noted that although the criteria in </w:t>
      </w:r>
      <w:r w:rsidRPr="00732116">
        <w:rPr>
          <w:rFonts w:cs="Times New Roman"/>
          <w:i/>
        </w:rPr>
        <w:t>Canadian Dredge</w:t>
      </w:r>
      <w:r w:rsidRPr="00732116">
        <w:rPr>
          <w:rFonts w:cs="Times New Roman"/>
        </w:rPr>
        <w:t xml:space="preserve"> seemed “[a]t first glance” to be satisfied because the fraud was intended to benefit the corporation by giving it an “artificial extension of its life” (para. 101), they declined to attribute the directing minds’ wrongdoing to the corporation. They highlighted that the </w:t>
      </w:r>
      <w:r w:rsidRPr="00732116">
        <w:rPr>
          <w:rFonts w:cs="Times New Roman"/>
          <w:i/>
        </w:rPr>
        <w:t>Canadian Dredge</w:t>
      </w:r>
      <w:r w:rsidRPr="00732116">
        <w:rPr>
          <w:rFonts w:cs="Times New Roman"/>
        </w:rPr>
        <w:t xml:space="preserve"> test was “</w:t>
      </w:r>
      <w:proofErr w:type="gramStart"/>
      <w:r w:rsidRPr="00732116">
        <w:rPr>
          <w:rFonts w:cs="Times New Roman"/>
        </w:rPr>
        <w:t>not .</w:t>
      </w:r>
      <w:proofErr w:type="gramEnd"/>
      <w:r w:rsidRPr="00732116">
        <w:rPr>
          <w:rFonts w:cs="Times New Roman"/>
        </w:rPr>
        <w:t xml:space="preserve"> . . a standalone principle”, but rather “a means by which acts may be attributed to a corporation </w:t>
      </w:r>
      <w:r w:rsidRPr="00732116">
        <w:rPr>
          <w:rFonts w:cs="Times New Roman"/>
          <w:u w:val="single"/>
        </w:rPr>
        <w:t>for the particular purpose or defence at issue</w:t>
      </w:r>
      <w:r w:rsidRPr="00732116">
        <w:rPr>
          <w:rFonts w:cs="Times New Roman"/>
        </w:rPr>
        <w:t xml:space="preserve">” (para. 97 (emphasis added)). They emphasized that “corporate identification must be analyzed independently for each defence” (para. 97). Continuing the purposive, contextual, and pragmatic approach developed in </w:t>
      </w:r>
      <w:r w:rsidRPr="00732116">
        <w:rPr>
          <w:rFonts w:cs="Times New Roman"/>
          <w:i/>
        </w:rPr>
        <w:t>Canadian Dredge</w:t>
      </w:r>
      <w:r w:rsidRPr="00732116">
        <w:rPr>
          <w:rFonts w:cs="Times New Roman"/>
        </w:rPr>
        <w:t>, Gascon and Brown JJ. noted that the “public policy and judicial necessity” principles that justify attributing the actions of the directing mind to the corporation in the criminal context do not apply in the context of an auditor’s negligent preparation of a statutory audit:</w:t>
      </w:r>
    </w:p>
    <w:p w14:paraId="2F250810" w14:textId="77777777" w:rsidR="000C4436" w:rsidRPr="00732116" w:rsidRDefault="000C4436" w:rsidP="000C4436">
      <w:pPr>
        <w:pStyle w:val="Citation-AltC"/>
      </w:pPr>
      <w:r w:rsidRPr="00732116">
        <w:t xml:space="preserve">. . . </w:t>
      </w:r>
      <w:proofErr w:type="gramStart"/>
      <w:r w:rsidRPr="00732116">
        <w:t>the</w:t>
      </w:r>
      <w:proofErr w:type="gramEnd"/>
      <w:r w:rsidRPr="00732116">
        <w:t xml:space="preserve"> very purpose of a statutory audit is to provide a means by which fraud and wrongdoing may be discovered. It follows that denying liability on the basis that an individual within the corporation has engaged in the very action that the auditor was enlisted to protect against would render the statutory audit </w:t>
      </w:r>
      <w:proofErr w:type="gramStart"/>
      <w:r w:rsidRPr="00732116">
        <w:t>meaningless .</w:t>
      </w:r>
      <w:proofErr w:type="gramEnd"/>
      <w:r w:rsidRPr="00732116">
        <w:t> . . . [I]t would be perverse to deny auditor’s liability for negligently failing to detect fraud “where the harm [to the corporation] is likely to occur and likely to be most serious</w:t>
      </w:r>
      <w:proofErr w:type="gramStart"/>
      <w:r w:rsidRPr="00732116">
        <w:t>” .</w:t>
      </w:r>
      <w:proofErr w:type="gramEnd"/>
      <w:r w:rsidRPr="00732116">
        <w:t> . . . [Citations omitted; para. 103.]</w:t>
      </w:r>
    </w:p>
    <w:p w14:paraId="3AB31F7C" w14:textId="77777777" w:rsidR="000C4436" w:rsidRPr="00732116" w:rsidRDefault="000C4436" w:rsidP="000C4436">
      <w:pPr>
        <w:pStyle w:val="ParaNoNdepar-AltN"/>
        <w:rPr>
          <w:rFonts w:cs="Times New Roman"/>
        </w:rPr>
      </w:pPr>
      <w:r w:rsidRPr="00732116">
        <w:rPr>
          <w:rFonts w:cs="Times New Roman"/>
        </w:rPr>
        <w:t xml:space="preserve">This Court in </w:t>
      </w:r>
      <w:r w:rsidRPr="00732116">
        <w:rPr>
          <w:rFonts w:cs="Times New Roman"/>
          <w:i/>
        </w:rPr>
        <w:t>Livent</w:t>
      </w:r>
      <w:r w:rsidRPr="00732116">
        <w:rPr>
          <w:rFonts w:cs="Times New Roman"/>
        </w:rPr>
        <w:t xml:space="preserve"> added an important qualification to the “authoritative test” for corporate attribution set out in </w:t>
      </w:r>
      <w:r w:rsidRPr="00732116">
        <w:rPr>
          <w:rFonts w:cs="Times New Roman"/>
          <w:i/>
        </w:rPr>
        <w:t xml:space="preserve">Canadian Dredge </w:t>
      </w:r>
      <w:r w:rsidRPr="00732116">
        <w:rPr>
          <w:rFonts w:cs="Times New Roman"/>
        </w:rPr>
        <w:t>(para. 104). The Court recognized a judicial discretion not to attribute a directing mind’s actions or intent to a corporation when, in the circumstances of the case, declining attribution would be in the public interest (para. 104). The discretion reflects the rationale of the fraud and no benefit exceptions, that attribution should promote the policy of the law under which attribution is sought. Justices Gascon and Brown stated that when attribution “would render meaningless the very purpose for which a duty of care was recognized, such application [of the corporate attribution doctrine] will rarely be in the public interest” (para. 104).</w:t>
      </w:r>
    </w:p>
    <w:p w14:paraId="04CBB171" w14:textId="77777777" w:rsidR="000C4436" w:rsidRPr="00732116" w:rsidRDefault="000C4436" w:rsidP="000C4436">
      <w:pPr>
        <w:pStyle w:val="Title4LevelTitre4Niveau"/>
        <w:rPr>
          <w:rFonts w:cs="Times New Roman"/>
          <w:i w:val="0"/>
        </w:rPr>
      </w:pPr>
      <w:r w:rsidRPr="00732116">
        <w:rPr>
          <w:rFonts w:cs="Times New Roman"/>
        </w:rPr>
        <w:t>DeJong (2019)</w:t>
      </w:r>
    </w:p>
    <w:p w14:paraId="1562E3EA" w14:textId="77777777" w:rsidR="000C4436" w:rsidRPr="00732116" w:rsidRDefault="000C4436" w:rsidP="000C4436">
      <w:pPr>
        <w:pStyle w:val="ParaNoNdepar-AltN"/>
        <w:rPr>
          <w:rFonts w:cs="Times New Roman"/>
        </w:rPr>
      </w:pPr>
      <w:r w:rsidRPr="00732116">
        <w:rPr>
          <w:rFonts w:cs="Times New Roman"/>
          <w:i/>
        </w:rPr>
        <w:t>DeJong</w:t>
      </w:r>
      <w:r w:rsidRPr="00732116">
        <w:rPr>
          <w:rFonts w:cs="Times New Roman"/>
        </w:rPr>
        <w:t xml:space="preserve"> involved a large and complex multimillion-dollar real estate fraud involving two groups of companies that were victims of the fraud. The first group of companies sued the second group, claiming that the latter had knowingly assisted the fraudsters to commit the fraud and seeking to attribute the fraudsters’ conduct to them. A majority of the Court of Appeal for Ontario accepted the argument for attribution, reasoning that the corporate attribution doctrine “may be approached in a less demanding fashion” in the civil context than in the criminal context of a </w:t>
      </w:r>
      <w:r w:rsidRPr="00732116">
        <w:rPr>
          <w:rFonts w:cs="Times New Roman"/>
          <w:i/>
        </w:rPr>
        <w:t>mens rea</w:t>
      </w:r>
      <w:r w:rsidRPr="00732116">
        <w:rPr>
          <w:rFonts w:cs="Times New Roman"/>
        </w:rPr>
        <w:t xml:space="preserve"> offence (</w:t>
      </w:r>
      <w:r w:rsidRPr="00732116">
        <w:rPr>
          <w:rFonts w:cs="Times New Roman"/>
          <w:i/>
        </w:rPr>
        <w:t>DBDC Spadina Ltd. v. Walton</w:t>
      </w:r>
      <w:r w:rsidRPr="00732116">
        <w:rPr>
          <w:rFonts w:cs="Times New Roman"/>
        </w:rPr>
        <w:t xml:space="preserve">, 2018 ONCA 60, 78 B.L.R. (5th) 183, at para. 70). In dissent, van Rensburg J.A. would have declined to relax the approach to corporate attribution, saying that she saw “no justification in the circumstances of this case to lessen the requirement for knowledge before one victim of a fraud is tagged with the conduct of a fraudster” (para. 237). </w:t>
      </w:r>
    </w:p>
    <w:p w14:paraId="0DCE53C4" w14:textId="77777777" w:rsidR="000C4436" w:rsidRPr="00732116" w:rsidRDefault="000C4436" w:rsidP="000C4436">
      <w:pPr>
        <w:pStyle w:val="ParaNoNdepar-AltN"/>
        <w:rPr>
          <w:rFonts w:cs="Times New Roman"/>
        </w:rPr>
      </w:pPr>
      <w:r w:rsidRPr="00732116">
        <w:rPr>
          <w:rFonts w:cs="Times New Roman"/>
        </w:rPr>
        <w:t xml:space="preserve">Speaking for this Court, Brown J. allowed the appeal in brief oral reasons that adopted the dissenting reasons of van Rensburg J.A. Justice Brown observed that “while the presence of public interest concerns may </w:t>
      </w:r>
      <w:r w:rsidRPr="00732116">
        <w:rPr>
          <w:rFonts w:cs="Times New Roman"/>
          <w:i/>
        </w:rPr>
        <w:t>heighten</w:t>
      </w:r>
      <w:r w:rsidRPr="00732116">
        <w:rPr>
          <w:rFonts w:cs="Times New Roman"/>
        </w:rPr>
        <w:t xml:space="preserve"> the burden on the party seeking to have the actions of a directing mind attributed to a corporation, </w:t>
      </w:r>
      <w:r w:rsidRPr="00732116">
        <w:rPr>
          <w:rFonts w:cs="Times New Roman"/>
          <w:i/>
        </w:rPr>
        <w:t>Canadian Dredge</w:t>
      </w:r>
      <w:r w:rsidRPr="00732116">
        <w:rPr>
          <w:rFonts w:cs="Times New Roman"/>
        </w:rPr>
        <w:t xml:space="preserve"> states </w:t>
      </w:r>
      <w:r w:rsidRPr="00732116">
        <w:rPr>
          <w:rFonts w:cs="Times New Roman"/>
          <w:i/>
        </w:rPr>
        <w:t>minimal</w:t>
      </w:r>
      <w:r w:rsidRPr="00732116">
        <w:rPr>
          <w:rFonts w:cs="Times New Roman"/>
        </w:rPr>
        <w:t xml:space="preserve"> criteria that must always be met” (</w:t>
      </w:r>
      <w:r w:rsidRPr="00732116">
        <w:rPr>
          <w:rFonts w:cs="Times New Roman"/>
          <w:i/>
        </w:rPr>
        <w:t>DeJong</w:t>
      </w:r>
      <w:r w:rsidRPr="00732116">
        <w:rPr>
          <w:rFonts w:cs="Times New Roman"/>
        </w:rPr>
        <w:t>, at para. 2 (emphasis in original)).</w:t>
      </w:r>
    </w:p>
    <w:p w14:paraId="3F702BD1" w14:textId="77777777" w:rsidR="000C4436" w:rsidRPr="00732116" w:rsidRDefault="000C4436" w:rsidP="000C4436">
      <w:pPr>
        <w:pStyle w:val="ParaNoNdepar-AltN"/>
        <w:rPr>
          <w:rFonts w:cs="Times New Roman"/>
        </w:rPr>
      </w:pPr>
      <w:r w:rsidRPr="00732116">
        <w:rPr>
          <w:rFonts w:cs="Times New Roman"/>
        </w:rPr>
        <w:t>The appellants interpret Brown J.’s statement that “</w:t>
      </w:r>
      <w:r w:rsidRPr="00732116">
        <w:rPr>
          <w:rFonts w:cs="Times New Roman"/>
          <w:i/>
        </w:rPr>
        <w:t>Canadian Dredge</w:t>
      </w:r>
      <w:r w:rsidRPr="00732116">
        <w:rPr>
          <w:rFonts w:cs="Times New Roman"/>
        </w:rPr>
        <w:t xml:space="preserve"> states </w:t>
      </w:r>
      <w:r w:rsidRPr="00732116">
        <w:rPr>
          <w:rFonts w:cs="Times New Roman"/>
          <w:i/>
        </w:rPr>
        <w:t>minimal</w:t>
      </w:r>
      <w:r w:rsidRPr="00732116">
        <w:rPr>
          <w:rFonts w:cs="Times New Roman"/>
        </w:rPr>
        <w:t xml:space="preserve"> criteria that must always be met” as effectively endorsing a mechanical rather than a purposive, contextual, and pragmatic application of the corporate attribution doctrine. They submit that a court cannot attribute the intent or acts of a fraudulent directing mind to a corporation when either the fraud or no benefit exception applies, regardless of the legal context. </w:t>
      </w:r>
      <w:bookmarkStart w:id="17" w:name="_Hlk172300989"/>
    </w:p>
    <w:p w14:paraId="4D4DD1CF" w14:textId="77777777" w:rsidR="000C4436" w:rsidRPr="00732116" w:rsidRDefault="000C4436" w:rsidP="000C4436">
      <w:pPr>
        <w:pStyle w:val="ParaNoNdepar-AltN"/>
        <w:rPr>
          <w:rFonts w:cs="Times New Roman"/>
        </w:rPr>
      </w:pPr>
      <w:r w:rsidRPr="00732116">
        <w:rPr>
          <w:rFonts w:cs="Times New Roman"/>
        </w:rPr>
        <w:t xml:space="preserve">I would clarify the seemingly inflexible statement in this Court’s brief oral reasons in </w:t>
      </w:r>
      <w:r w:rsidRPr="00732116">
        <w:rPr>
          <w:rFonts w:cs="Times New Roman"/>
          <w:i/>
        </w:rPr>
        <w:t>DeJong</w:t>
      </w:r>
      <w:r w:rsidRPr="00732116">
        <w:rPr>
          <w:rFonts w:cs="Times New Roman"/>
        </w:rPr>
        <w:t xml:space="preserve">. I respectfully disagree with any suggestion that the criteria in </w:t>
      </w:r>
      <w:r w:rsidRPr="00732116">
        <w:rPr>
          <w:rFonts w:cs="Times New Roman"/>
          <w:i/>
        </w:rPr>
        <w:t>Canadian Dredge</w:t>
      </w:r>
      <w:r w:rsidRPr="00732116">
        <w:rPr>
          <w:rFonts w:cs="Times New Roman"/>
        </w:rPr>
        <w:t xml:space="preserve"> should be applied mechanically in every case, even if they would be inconsistent with the purpose of the law under which attribution is sought. The Court’s principal concern in </w:t>
      </w:r>
      <w:r w:rsidRPr="00732116">
        <w:rPr>
          <w:rFonts w:cs="Times New Roman"/>
          <w:i/>
        </w:rPr>
        <w:t>DeJong</w:t>
      </w:r>
      <w:r w:rsidRPr="00732116">
        <w:rPr>
          <w:rFonts w:cs="Times New Roman"/>
        </w:rPr>
        <w:t xml:space="preserve"> was to reject the suggestion that courts have an unfettered judicial discretion to relax the approach to corporate attribution based on the factual circumstances of a case. In my view, </w:t>
      </w:r>
      <w:r w:rsidRPr="00732116">
        <w:rPr>
          <w:rFonts w:cs="Times New Roman"/>
          <w:i/>
        </w:rPr>
        <w:t>DeJong</w:t>
      </w:r>
      <w:r w:rsidRPr="00732116">
        <w:rPr>
          <w:rFonts w:cs="Times New Roman"/>
        </w:rPr>
        <w:t xml:space="preserve"> should not be read as departing from the longstanding purposive, contextual, and pragmatic approach to corporate attribution recognized in </w:t>
      </w:r>
      <w:r w:rsidRPr="00732116">
        <w:rPr>
          <w:rFonts w:cs="Times New Roman"/>
          <w:i/>
        </w:rPr>
        <w:t>Canadian Dredge</w:t>
      </w:r>
      <w:r w:rsidRPr="00732116">
        <w:rPr>
          <w:rFonts w:cs="Times New Roman"/>
        </w:rPr>
        <w:t xml:space="preserve"> and </w:t>
      </w:r>
      <w:r w:rsidRPr="00732116">
        <w:rPr>
          <w:rFonts w:cs="Times New Roman"/>
          <w:i/>
        </w:rPr>
        <w:t>Livent</w:t>
      </w:r>
      <w:r w:rsidRPr="00732116">
        <w:rPr>
          <w:rFonts w:cs="Times New Roman"/>
        </w:rPr>
        <w:t>.</w:t>
      </w:r>
    </w:p>
    <w:bookmarkEnd w:id="17"/>
    <w:p w14:paraId="3D76C6B8" w14:textId="77777777" w:rsidR="000C4436" w:rsidRPr="00732116" w:rsidRDefault="000C4436" w:rsidP="000C4436">
      <w:pPr>
        <w:pStyle w:val="Title3LevelTitre3Niveau"/>
        <w:rPr>
          <w:rFonts w:cs="Times New Roman"/>
        </w:rPr>
      </w:pPr>
      <w:r w:rsidRPr="00732116">
        <w:rPr>
          <w:rFonts w:cs="Times New Roman"/>
        </w:rPr>
        <w:t>Guidance From United Kingdom Jurisprudence</w:t>
      </w:r>
    </w:p>
    <w:p w14:paraId="10B2567D" w14:textId="77777777" w:rsidR="000C4436" w:rsidRPr="00732116" w:rsidRDefault="000C4436" w:rsidP="000C4436">
      <w:pPr>
        <w:pStyle w:val="ParaNoNdepar-AltN"/>
        <w:rPr>
          <w:rFonts w:cs="Times New Roman"/>
        </w:rPr>
      </w:pPr>
      <w:r w:rsidRPr="00732116">
        <w:rPr>
          <w:rFonts w:cs="Times New Roman"/>
        </w:rPr>
        <w:t xml:space="preserve">In recent years, courts in the United Kingdom have similarly applied the corporate attribution doctrine in a purposive, contextual, and pragmatic manner. </w:t>
      </w:r>
    </w:p>
    <w:p w14:paraId="24ACC47E" w14:textId="77777777" w:rsidR="000C4436" w:rsidRPr="00732116" w:rsidRDefault="000C4436" w:rsidP="000C4436">
      <w:pPr>
        <w:pStyle w:val="ParaNoNdepar-AltN"/>
        <w:rPr>
          <w:rFonts w:cs="Times New Roman"/>
        </w:rPr>
      </w:pPr>
      <w:r w:rsidRPr="00732116">
        <w:rPr>
          <w:rFonts w:cs="Times New Roman"/>
        </w:rPr>
        <w:t xml:space="preserve">The modern history of the corporate attribution doctrine in the United Kingdom must begin with </w:t>
      </w:r>
      <w:r w:rsidRPr="00732116">
        <w:rPr>
          <w:rFonts w:cs="Times New Roman"/>
          <w:i/>
        </w:rPr>
        <w:t>Meridian</w:t>
      </w:r>
      <w:r w:rsidRPr="00732116">
        <w:rPr>
          <w:rFonts w:cs="Times New Roman"/>
        </w:rPr>
        <w:t>. There, Lord Hoffman explained on behalf of the Privy Council that rules of corporate attribution must be tailored for “the particular substantive rule” under which attribution is sought (p. 507). Lord Hoffman wrote:</w:t>
      </w:r>
    </w:p>
    <w:p w14:paraId="12FAC967" w14:textId="77777777" w:rsidR="000C4436" w:rsidRPr="00732116" w:rsidRDefault="000C4436" w:rsidP="000C4436">
      <w:pPr>
        <w:pStyle w:val="Citation-AltC"/>
      </w:pPr>
      <w:r w:rsidRPr="00732116">
        <w:t xml:space="preserve">This is always a matter of interpretation: given that it was intended to apply to a company, how was it intended to apply? Whose act (or knowledge, or state of mind) was </w:t>
      </w:r>
      <w:r w:rsidRPr="00732116">
        <w:rPr>
          <w:i/>
        </w:rPr>
        <w:t>for this purpose</w:t>
      </w:r>
      <w:r w:rsidRPr="00732116">
        <w:t xml:space="preserve"> intended to count as the act etc. of the company? One finds the answer to this question by applying the usual canons of interpretation, taking into account the language of the rule (if it is a statute) and its content and policy. [Emphasis in original; p. 507.]</w:t>
      </w:r>
    </w:p>
    <w:p w14:paraId="3A0D2DAA" w14:textId="77777777" w:rsidR="000C4436" w:rsidRPr="00732116" w:rsidRDefault="000C4436" w:rsidP="000C4436">
      <w:pPr>
        <w:pStyle w:val="ParaNoNdepar-AltN"/>
        <w:rPr>
          <w:rFonts w:cs="Times New Roman"/>
        </w:rPr>
      </w:pPr>
      <w:r w:rsidRPr="00732116">
        <w:rPr>
          <w:rFonts w:cs="Times New Roman"/>
        </w:rPr>
        <w:t>Lord Hoffman added that “[o]</w:t>
      </w:r>
      <w:proofErr w:type="spellStart"/>
      <w:r w:rsidRPr="00732116">
        <w:rPr>
          <w:rFonts w:cs="Times New Roman"/>
        </w:rPr>
        <w:t>nce</w:t>
      </w:r>
      <w:proofErr w:type="spellEnd"/>
      <w:r w:rsidRPr="00732116">
        <w:rPr>
          <w:rFonts w:cs="Times New Roman"/>
        </w:rPr>
        <w:t xml:space="preserve"> it is appreciated that the question is one of construction rather than metaphysics” (p. 511), questions of corporate attribution become straightforward. The courts must always apply “an attribution rule for a particular purpose, tailored as it always must be to the terms and policies of the substantive rule” under which attribution is sought (p. 512). </w:t>
      </w:r>
    </w:p>
    <w:p w14:paraId="269DA3E8" w14:textId="77777777" w:rsidR="000C4436" w:rsidRPr="00732116" w:rsidRDefault="000C4436" w:rsidP="000C4436">
      <w:pPr>
        <w:pStyle w:val="ParaNoNdepar-AltN"/>
        <w:rPr>
          <w:rFonts w:cs="Times New Roman"/>
        </w:rPr>
      </w:pPr>
      <w:r w:rsidRPr="00732116">
        <w:rPr>
          <w:rFonts w:cs="Times New Roman"/>
        </w:rPr>
        <w:t xml:space="preserve">Lord Hoffman applied these principles in </w:t>
      </w:r>
      <w:r w:rsidRPr="00732116">
        <w:rPr>
          <w:rFonts w:cs="Times New Roman"/>
          <w:i/>
        </w:rPr>
        <w:t>Meridian</w:t>
      </w:r>
      <w:r w:rsidRPr="00732116">
        <w:rPr>
          <w:rFonts w:cs="Times New Roman"/>
        </w:rPr>
        <w:t xml:space="preserve"> to conclude that a publicly traded corporation breached disclosure obligations under New Zealand securities legislation. He attributed to the corporation the knowledge of a lower level executive who had been responsible for obtaining a substantial interest in publicly traded securities on the corporation’s behalf. “Otherwise”, Lord Hoffman said, “the policy of the Act would be defeated”:</w:t>
      </w:r>
    </w:p>
    <w:p w14:paraId="08A5CA42" w14:textId="77777777" w:rsidR="000C4436" w:rsidRPr="00732116" w:rsidRDefault="000C4436" w:rsidP="000C4436">
      <w:pPr>
        <w:pStyle w:val="Citation-AltC"/>
      </w:pPr>
      <w:r w:rsidRPr="00732116">
        <w:t>Companies would be able to allow employees to acquire interests on their behalf which made them substantial security holders but would not have to report them until the board or someone else in senior management got to know about it. This would put a premium on the board paying as little attention as possible to what its investment managers were doing. [p. 511]</w:t>
      </w:r>
    </w:p>
    <w:p w14:paraId="5B4D0AAF" w14:textId="77777777" w:rsidR="000C4436" w:rsidRPr="00732116" w:rsidRDefault="000C4436" w:rsidP="000C4436">
      <w:pPr>
        <w:pStyle w:val="ParaNoNdepar-AltN"/>
        <w:rPr>
          <w:rFonts w:cs="Times New Roman"/>
        </w:rPr>
      </w:pPr>
      <w:r w:rsidRPr="00732116">
        <w:rPr>
          <w:rFonts w:cs="Times New Roman"/>
        </w:rPr>
        <w:t xml:space="preserve">Professor Jennifer Payne highlights two important lessons from </w:t>
      </w:r>
      <w:r w:rsidRPr="00732116">
        <w:rPr>
          <w:rFonts w:cs="Times New Roman"/>
          <w:i/>
        </w:rPr>
        <w:t>Meridian</w:t>
      </w:r>
      <w:r w:rsidRPr="00732116">
        <w:rPr>
          <w:rFonts w:cs="Times New Roman"/>
        </w:rPr>
        <w:t xml:space="preserve">. The first lesson is that the special rules of attribution under the common law doctrine “do not mean that a company itself has done something or had a particular state of mind” (“Corporate Attribution and the Lessons of </w:t>
      </w:r>
      <w:r w:rsidRPr="00732116">
        <w:rPr>
          <w:rFonts w:cs="Times New Roman"/>
          <w:i/>
        </w:rPr>
        <w:t>Meridian</w:t>
      </w:r>
      <w:r w:rsidRPr="00732116">
        <w:rPr>
          <w:rFonts w:cs="Times New Roman"/>
        </w:rPr>
        <w:t xml:space="preserve">”, in P. S. Davies and J. Pila, </w:t>
      </w:r>
      <w:r w:rsidRPr="00732116">
        <w:rPr>
          <w:rFonts w:cs="Times New Roman"/>
          <w:i/>
        </w:rPr>
        <w:t>The Jurisprudence of Lord Hoffman: A Festschrift in Honour of Lord Leonard Hoffman</w:t>
      </w:r>
      <w:r w:rsidRPr="00732116">
        <w:rPr>
          <w:rFonts w:cs="Times New Roman"/>
        </w:rPr>
        <w:t xml:space="preserve"> (2015), 357, at p. 375). She observes that </w:t>
      </w:r>
      <w:r w:rsidRPr="00732116">
        <w:rPr>
          <w:rFonts w:cs="Times New Roman"/>
          <w:i/>
        </w:rPr>
        <w:t>Meridian</w:t>
      </w:r>
      <w:r w:rsidRPr="00732116">
        <w:rPr>
          <w:rFonts w:cs="Times New Roman"/>
        </w:rPr>
        <w:t xml:space="preserve"> helpfully “moved away from the anthropomorphic ‘metaphysical’ approach to company attribution towards a more context-driven approach” (p. 363). The second and related lesson is that “the issue of attribution depends on the context. It is always necessary to ask whether an act or state of mind of a particular individual should be attributed to the company for </w:t>
      </w:r>
      <w:r w:rsidRPr="00732116">
        <w:rPr>
          <w:rFonts w:cs="Times New Roman"/>
          <w:i/>
        </w:rPr>
        <w:t>this particular purpose</w:t>
      </w:r>
      <w:r w:rsidRPr="00732116">
        <w:rPr>
          <w:rFonts w:cs="Times New Roman"/>
        </w:rPr>
        <w:t>” (p. 375 (emphasis in original)). Professor Eilís Ferran agrees that “contextualization, rather than anthropomorphic inquiry into corporate personality, is the key to answering these questions” of corporate attribution (p. 239).</w:t>
      </w:r>
    </w:p>
    <w:p w14:paraId="359FCB12" w14:textId="77777777" w:rsidR="000C4436" w:rsidRPr="00732116" w:rsidRDefault="000C4436" w:rsidP="000C4436">
      <w:pPr>
        <w:pStyle w:val="ParaNoNdepar-AltN"/>
        <w:tabs>
          <w:tab w:val="clear" w:pos="1152"/>
          <w:tab w:val="left" w:pos="1166"/>
        </w:tabs>
        <w:rPr>
          <w:rFonts w:cs="Times New Roman"/>
        </w:rPr>
      </w:pPr>
      <w:bookmarkStart w:id="18" w:name="_Hlk169009650"/>
      <w:r w:rsidRPr="00732116">
        <w:rPr>
          <w:rFonts w:cs="Times New Roman"/>
        </w:rPr>
        <w:t xml:space="preserve">Recent decisions of the Supreme Court of the United Kingdom have affirmed the approach in </w:t>
      </w:r>
      <w:r w:rsidRPr="00732116">
        <w:rPr>
          <w:rFonts w:cs="Times New Roman"/>
          <w:i/>
        </w:rPr>
        <w:t>Meridian</w:t>
      </w:r>
      <w:r w:rsidRPr="00732116">
        <w:rPr>
          <w:rFonts w:cs="Times New Roman"/>
        </w:rPr>
        <w:t xml:space="preserve"> by applying the corporate attribution doctrine based on the context and purpose of the relevant law under which attribution is sought (see </w:t>
      </w:r>
      <w:r w:rsidRPr="00732116">
        <w:rPr>
          <w:rFonts w:cs="Times New Roman"/>
          <w:i/>
        </w:rPr>
        <w:t>Bilta</w:t>
      </w:r>
      <w:r w:rsidRPr="00732116">
        <w:rPr>
          <w:rFonts w:cs="Times New Roman"/>
        </w:rPr>
        <w:t xml:space="preserve">, at para. 9, per Lord Neuberger, at paras. 41-42, per Lord Mance, at para. 92, per Lord Sumption, and at para. 181, per Lords Toulson and Hodge). As Lady Hale stated succinctly in </w:t>
      </w:r>
      <w:r w:rsidRPr="00732116">
        <w:rPr>
          <w:rFonts w:cs="Times New Roman"/>
          <w:i/>
        </w:rPr>
        <w:t>Singularis</w:t>
      </w:r>
      <w:r w:rsidRPr="00732116">
        <w:rPr>
          <w:rFonts w:cs="Times New Roman"/>
        </w:rPr>
        <w:t xml:space="preserve">, “the key to any question of attribution [is] always to be found in considerations of the context and the purpose for which the attribution [is] relevant” (para. 30). </w:t>
      </w:r>
    </w:p>
    <w:p w14:paraId="4E3E2FCE" w14:textId="77777777" w:rsidR="000C4436" w:rsidRPr="00732116" w:rsidRDefault="000C4436" w:rsidP="000C4436">
      <w:pPr>
        <w:pStyle w:val="ParaNoNdepar-AltN"/>
        <w:tabs>
          <w:tab w:val="clear" w:pos="1152"/>
          <w:tab w:val="left" w:pos="1166"/>
        </w:tabs>
        <w:rPr>
          <w:rFonts w:cs="Times New Roman"/>
        </w:rPr>
      </w:pPr>
      <w:r w:rsidRPr="00732116">
        <w:rPr>
          <w:rFonts w:cs="Times New Roman"/>
        </w:rPr>
        <w:t>The Supreme Court of the United Kingdom has also highlighted that because the corporate attribution doctrine must be applied purposively and contextually, a company or the court “can rely on attribution for one purpose, but disclaim attribution for another” (</w:t>
      </w:r>
      <w:r w:rsidRPr="00732116">
        <w:rPr>
          <w:rFonts w:cs="Times New Roman"/>
          <w:i/>
        </w:rPr>
        <w:t>Bilta</w:t>
      </w:r>
      <w:r w:rsidRPr="00732116">
        <w:rPr>
          <w:rFonts w:cs="Times New Roman"/>
        </w:rPr>
        <w:t xml:space="preserve">, at para. 43, per Lord Mance). As a result, attribution may be inappropriate in a claim by a corporation against its directors for breach of their duties to the corporation, but may be appropriate when determining the corporation’s liability to a third party or for breach of a statutory provision (see </w:t>
      </w:r>
      <w:r w:rsidRPr="00732116">
        <w:rPr>
          <w:rFonts w:cs="Times New Roman"/>
          <w:i/>
        </w:rPr>
        <w:t>Bilta</w:t>
      </w:r>
      <w:r w:rsidRPr="00732116">
        <w:rPr>
          <w:rFonts w:cs="Times New Roman"/>
        </w:rPr>
        <w:t>, at para. 7, per Lord Neuberger, at para. 43, per Lord Mance, at paras. 67 and 92, per Lord Sumption, and at paras. 208-9, per Lords Toulson and Hodge; Payne, at p. 376).</w:t>
      </w:r>
    </w:p>
    <w:bookmarkEnd w:id="18"/>
    <w:p w14:paraId="42BCC981" w14:textId="77777777" w:rsidR="000C4436" w:rsidRPr="00732116" w:rsidRDefault="000C4436" w:rsidP="000C4436">
      <w:pPr>
        <w:pStyle w:val="Title3LevelTitre3Niveau"/>
        <w:rPr>
          <w:rFonts w:cs="Times New Roman"/>
        </w:rPr>
      </w:pPr>
      <w:r w:rsidRPr="00732116">
        <w:rPr>
          <w:rFonts w:cs="Times New Roman"/>
        </w:rPr>
        <w:t>Summary</w:t>
      </w:r>
    </w:p>
    <w:p w14:paraId="5F8B2145" w14:textId="77777777" w:rsidR="000C4436" w:rsidRPr="00732116" w:rsidRDefault="000C4436" w:rsidP="000C4436">
      <w:pPr>
        <w:pStyle w:val="ParaNoNdepar-AltN"/>
        <w:rPr>
          <w:rFonts w:cs="Times New Roman"/>
        </w:rPr>
      </w:pPr>
      <w:r w:rsidRPr="00732116">
        <w:rPr>
          <w:rFonts w:cs="Times New Roman"/>
        </w:rPr>
        <w:t>The guiding principles for the common law doctrine of corporate attribution under Canadian law can be summarized as follows:</w:t>
      </w:r>
    </w:p>
    <w:p w14:paraId="778831E0" w14:textId="77777777" w:rsidR="000C4436" w:rsidRPr="00732116" w:rsidRDefault="000C4436" w:rsidP="000C4436">
      <w:pPr>
        <w:pStyle w:val="ParaNoNdepar-AltN"/>
        <w:numPr>
          <w:ilvl w:val="0"/>
          <w:numId w:val="24"/>
        </w:numPr>
        <w:ind w:left="1728" w:hanging="576"/>
        <w:rPr>
          <w:rFonts w:cs="Times New Roman"/>
        </w:rPr>
      </w:pPr>
      <w:r w:rsidRPr="00732116">
        <w:rPr>
          <w:rFonts w:cs="Times New Roman"/>
        </w:rPr>
        <w:t>As a general rule, a person’s fraudulent acts may be attributed to a corporation if two conditions are met: (1) the wrongdoer was the directing mind of the corporation at the relevant times; and (2) the wrongful actions of the directing mind were performed within the sector of corporate responsibility assigned to them (</w:t>
      </w:r>
      <w:r w:rsidRPr="00732116">
        <w:rPr>
          <w:rFonts w:cs="Times New Roman"/>
          <w:i/>
        </w:rPr>
        <w:t>Canadian Dredge</w:t>
      </w:r>
      <w:r w:rsidRPr="00732116">
        <w:rPr>
          <w:rFonts w:cs="Times New Roman"/>
        </w:rPr>
        <w:t xml:space="preserve">, at pp. 681-82; </w:t>
      </w:r>
      <w:r w:rsidRPr="00732116">
        <w:rPr>
          <w:rFonts w:cs="Times New Roman"/>
          <w:i/>
        </w:rPr>
        <w:t>Livent</w:t>
      </w:r>
      <w:r w:rsidRPr="00732116">
        <w:rPr>
          <w:rFonts w:cs="Times New Roman"/>
        </w:rPr>
        <w:t xml:space="preserve">, at para. 100). </w:t>
      </w:r>
    </w:p>
    <w:p w14:paraId="3EEE4819" w14:textId="77777777" w:rsidR="000C4436" w:rsidRPr="00732116" w:rsidRDefault="000C4436" w:rsidP="000C4436">
      <w:pPr>
        <w:pStyle w:val="ParaNoNdepar-AltN"/>
        <w:numPr>
          <w:ilvl w:val="0"/>
          <w:numId w:val="24"/>
        </w:numPr>
        <w:ind w:left="1728" w:hanging="576"/>
        <w:rPr>
          <w:rFonts w:cs="Times New Roman"/>
        </w:rPr>
      </w:pPr>
      <w:r w:rsidRPr="00732116">
        <w:rPr>
          <w:rFonts w:cs="Times New Roman"/>
        </w:rPr>
        <w:t>Attribution will generally be inappropriate when: (1) the directing mind acted totally in fraud of the corporation (the fraud exception); or (2) the directing mind’s actions were not by design or result partly for the benefit of the corporation (the no benefit exception) (</w:t>
      </w:r>
      <w:r w:rsidRPr="00732116">
        <w:rPr>
          <w:rFonts w:cs="Times New Roman"/>
          <w:i/>
        </w:rPr>
        <w:t>Canadian Dredge</w:t>
      </w:r>
      <w:r w:rsidRPr="00732116">
        <w:rPr>
          <w:rFonts w:cs="Times New Roman"/>
        </w:rPr>
        <w:t xml:space="preserve">, at pp. 712-13; </w:t>
      </w:r>
      <w:r w:rsidRPr="00732116">
        <w:rPr>
          <w:rFonts w:cs="Times New Roman"/>
          <w:i/>
        </w:rPr>
        <w:t>Livent</w:t>
      </w:r>
      <w:r w:rsidRPr="00732116">
        <w:rPr>
          <w:rFonts w:cs="Times New Roman"/>
        </w:rPr>
        <w:t>, at para. 100).</w:t>
      </w:r>
    </w:p>
    <w:p w14:paraId="5650CC4F" w14:textId="77777777" w:rsidR="000C4436" w:rsidRPr="00732116" w:rsidRDefault="000C4436" w:rsidP="000C4436">
      <w:pPr>
        <w:pStyle w:val="ParaNoNdepar-AltN"/>
        <w:numPr>
          <w:ilvl w:val="0"/>
          <w:numId w:val="24"/>
        </w:numPr>
        <w:ind w:left="1728" w:hanging="576"/>
        <w:rPr>
          <w:rFonts w:cs="Times New Roman"/>
        </w:rPr>
      </w:pPr>
      <w:r w:rsidRPr="00732116">
        <w:rPr>
          <w:rFonts w:cs="Times New Roman"/>
        </w:rPr>
        <w:t>In addition to the fraud and no benefit exceptions, courts have discretion to refrain from attributing the actions, knowledge, state of mind, or intent of the directing mind to the corporation when this would be in the public interest, in the sense that it would promote the purpose of the law under which attribution is sought (</w:t>
      </w:r>
      <w:r w:rsidRPr="00732116">
        <w:rPr>
          <w:rFonts w:cs="Times New Roman"/>
          <w:i/>
        </w:rPr>
        <w:t>Livent</w:t>
      </w:r>
      <w:r w:rsidRPr="00732116">
        <w:rPr>
          <w:rFonts w:cs="Times New Roman"/>
        </w:rPr>
        <w:t xml:space="preserve">, at para. 104; </w:t>
      </w:r>
      <w:r w:rsidRPr="00732116">
        <w:rPr>
          <w:rFonts w:cs="Times New Roman"/>
          <w:i/>
        </w:rPr>
        <w:t>DeJong</w:t>
      </w:r>
      <w:r w:rsidRPr="00732116">
        <w:rPr>
          <w:rFonts w:cs="Times New Roman"/>
        </w:rPr>
        <w:t xml:space="preserve">, at para. 2). </w:t>
      </w:r>
    </w:p>
    <w:p w14:paraId="74BADBBF" w14:textId="77777777" w:rsidR="000C4436" w:rsidRPr="00732116" w:rsidRDefault="000C4436" w:rsidP="000C4436">
      <w:pPr>
        <w:pStyle w:val="ParaNoNdepar-AltN"/>
        <w:numPr>
          <w:ilvl w:val="0"/>
          <w:numId w:val="24"/>
        </w:numPr>
        <w:ind w:left="1728" w:hanging="576"/>
        <w:rPr>
          <w:rFonts w:cs="Times New Roman"/>
        </w:rPr>
      </w:pPr>
      <w:r w:rsidRPr="00732116">
        <w:rPr>
          <w:rFonts w:cs="Times New Roman"/>
        </w:rPr>
        <w:t>In all cases, courts must apply the common law corporate attribution doctrine purposively, contextually, and pragmatically. The corporate attribution doctrine is not a “standalone principle” (</w:t>
      </w:r>
      <w:r w:rsidRPr="00732116">
        <w:rPr>
          <w:rFonts w:cs="Times New Roman"/>
          <w:i/>
        </w:rPr>
        <w:t>Livent</w:t>
      </w:r>
      <w:r w:rsidRPr="00732116">
        <w:rPr>
          <w:rFonts w:cs="Times New Roman"/>
        </w:rPr>
        <w:t>, at para. 97); there is no one-size-fits-all approach. The court must always determine whether the actions, knowledge, state of mind, or intent of a person should be treated as those of the corporation for the purpose of the law under which attribution is sought (</w:t>
      </w:r>
      <w:r w:rsidRPr="00732116">
        <w:rPr>
          <w:rFonts w:cs="Times New Roman"/>
          <w:i/>
        </w:rPr>
        <w:t>Livent</w:t>
      </w:r>
      <w:r w:rsidRPr="00732116">
        <w:rPr>
          <w:rFonts w:cs="Times New Roman"/>
        </w:rPr>
        <w:t>, at paras. 102-3). This may require the court to tailor the general rule of attribution or its exceptions to the particular legal context. Attribution may be appropriate for one purpose in one context but may be inappropriate for another purpose in another context.</w:t>
      </w:r>
    </w:p>
    <w:p w14:paraId="3F8D218D" w14:textId="77777777" w:rsidR="000C4436" w:rsidRPr="00732116" w:rsidRDefault="000C4436" w:rsidP="000C4436">
      <w:pPr>
        <w:pStyle w:val="ParaNoNdepar-AltN"/>
        <w:rPr>
          <w:rFonts w:cs="Times New Roman"/>
        </w:rPr>
      </w:pPr>
      <w:r w:rsidRPr="00732116">
        <w:rPr>
          <w:rFonts w:cs="Times New Roman"/>
        </w:rPr>
        <w:t xml:space="preserve">With these guiding principles in mind, I now consider how the corporate attribution doctrine should be applied to transfers at undervalue under s. 96 of the </w:t>
      </w:r>
      <w:r w:rsidRPr="00732116">
        <w:rPr>
          <w:rFonts w:cs="Times New Roman"/>
          <w:i/>
        </w:rPr>
        <w:t>BIA</w:t>
      </w:r>
      <w:r w:rsidRPr="00732116">
        <w:rPr>
          <w:rFonts w:cs="Times New Roman"/>
        </w:rPr>
        <w:t>.</w:t>
      </w:r>
    </w:p>
    <w:p w14:paraId="244CFF1B" w14:textId="77777777" w:rsidR="000C4436" w:rsidRPr="00732116" w:rsidRDefault="000C4436" w:rsidP="000C4436">
      <w:pPr>
        <w:pStyle w:val="Title3LevelTitre3Niveau"/>
        <w:rPr>
          <w:rFonts w:cs="Times New Roman"/>
          <w:i/>
        </w:rPr>
      </w:pPr>
      <w:r w:rsidRPr="00732116">
        <w:rPr>
          <w:rFonts w:cs="Times New Roman"/>
        </w:rPr>
        <w:t xml:space="preserve">Applying the Corporate Attribution Doctrine in the Context of Section 96 of the </w:t>
      </w:r>
      <w:r w:rsidRPr="00732116">
        <w:rPr>
          <w:rFonts w:cs="Times New Roman"/>
          <w:i/>
        </w:rPr>
        <w:t>BIA</w:t>
      </w:r>
    </w:p>
    <w:p w14:paraId="38E38354" w14:textId="77777777" w:rsidR="000C4436" w:rsidRPr="00732116" w:rsidRDefault="000C4436" w:rsidP="000C4436">
      <w:pPr>
        <w:pStyle w:val="ParaNoNdepar-AltN"/>
        <w:rPr>
          <w:rFonts w:cs="Times New Roman"/>
        </w:rPr>
      </w:pPr>
      <w:r w:rsidRPr="00732116">
        <w:rPr>
          <w:rFonts w:cs="Times New Roman"/>
        </w:rPr>
        <w:t xml:space="preserve">The respondents urge this Court to apply the corporate attribution doctrine in the context of s. 96 of the </w:t>
      </w:r>
      <w:r w:rsidRPr="00732116">
        <w:rPr>
          <w:rFonts w:cs="Times New Roman"/>
          <w:i/>
        </w:rPr>
        <w:t>BIA</w:t>
      </w:r>
      <w:r w:rsidRPr="00732116">
        <w:rPr>
          <w:rFonts w:cs="Times New Roman"/>
        </w:rPr>
        <w:t xml:space="preserve"> purposively, contextually, and pragmatically, consistent with this Court’s precedents and the persuasive authority from the United Kingdom. They argue that the fraud and no benefit exceptions to corporate attribution should not apply in the context of a claim under s. 96 of the </w:t>
      </w:r>
      <w:r w:rsidRPr="00732116">
        <w:rPr>
          <w:rFonts w:cs="Times New Roman"/>
          <w:i/>
        </w:rPr>
        <w:t xml:space="preserve">BIA </w:t>
      </w:r>
      <w:r w:rsidRPr="00732116">
        <w:rPr>
          <w:rFonts w:cs="Times New Roman"/>
        </w:rPr>
        <w:t xml:space="preserve">for a transfer at undervalue because applying either exception would flout the purpose of s. 96. </w:t>
      </w:r>
    </w:p>
    <w:p w14:paraId="0B32032A" w14:textId="77777777" w:rsidR="000C4436" w:rsidRPr="00732116" w:rsidRDefault="000C4436" w:rsidP="000C4436">
      <w:pPr>
        <w:pStyle w:val="ParaNoNdepar-AltN"/>
        <w:rPr>
          <w:rFonts w:cs="Times New Roman"/>
        </w:rPr>
      </w:pPr>
      <w:r w:rsidRPr="00732116">
        <w:rPr>
          <w:rFonts w:cs="Times New Roman"/>
        </w:rPr>
        <w:t xml:space="preserve">I agree. Recall that s. 96 of the </w:t>
      </w:r>
      <w:r w:rsidRPr="00732116">
        <w:rPr>
          <w:rFonts w:cs="Times New Roman"/>
          <w:i/>
        </w:rPr>
        <w:t>BIA</w:t>
      </w:r>
      <w:r w:rsidRPr="00732116">
        <w:rPr>
          <w:rFonts w:cs="Times New Roman"/>
        </w:rPr>
        <w:t xml:space="preserve"> is a tool to remedy asset stripping by a debtor by clawing back assets that were improperly transferred to others before bankruptcy in order to protect the pool of assets available for creditors</w:t>
      </w:r>
      <w:r w:rsidRPr="00732116">
        <w:rPr>
          <w:rFonts w:cs="Times New Roman"/>
          <w:lang w:bidi="en-US"/>
        </w:rPr>
        <w:t xml:space="preserve">. </w:t>
      </w:r>
      <w:r w:rsidRPr="00732116">
        <w:rPr>
          <w:rFonts w:cs="Times New Roman"/>
        </w:rPr>
        <w:t>The issue is whether and when attributing the actions or intent of the corporation’s directing mind to a corporate debtor would promote the purpose of this provision.</w:t>
      </w:r>
    </w:p>
    <w:p w14:paraId="18B006FA" w14:textId="77777777" w:rsidR="000C4436" w:rsidRPr="00732116" w:rsidRDefault="000C4436" w:rsidP="000C4436">
      <w:pPr>
        <w:pStyle w:val="ParaNoNdepar-AltN"/>
        <w:rPr>
          <w:rFonts w:cs="Times New Roman"/>
        </w:rPr>
      </w:pPr>
      <w:r w:rsidRPr="00732116">
        <w:rPr>
          <w:rFonts w:cs="Times New Roman"/>
        </w:rPr>
        <w:t xml:space="preserve">The remedial purpose of s. 96 of the </w:t>
      </w:r>
      <w:r w:rsidRPr="00732116">
        <w:rPr>
          <w:rFonts w:cs="Times New Roman"/>
          <w:i/>
        </w:rPr>
        <w:t>BIA</w:t>
      </w:r>
      <w:r w:rsidRPr="00732116">
        <w:rPr>
          <w:rFonts w:cs="Times New Roman"/>
        </w:rPr>
        <w:t xml:space="preserve"> is served by attributing the actions, knowledge, state of mind, or intent of the directing mind to the corporation, even if the directing mind acted in fraud of the corporation, and even if the corporation did not benefit from the actions of the directing mind. Professor Roderick J. Wood has explained that the reason for this conclusion relates to the “highly distinctive nature of the rights at stake” </w:t>
      </w:r>
      <w:bookmarkStart w:id="19" w:name="_Hlk167714328"/>
      <w:r w:rsidRPr="00732116">
        <w:rPr>
          <w:rFonts w:cs="Times New Roman"/>
        </w:rPr>
        <w:t>(</w:t>
      </w:r>
      <w:r w:rsidRPr="00732116">
        <w:rPr>
          <w:rFonts w:cs="Times New Roman"/>
          <w:lang w:bidi="en-US"/>
        </w:rPr>
        <w:t>“</w:t>
      </w:r>
      <w:r w:rsidRPr="00732116">
        <w:rPr>
          <w:rFonts w:cs="Times New Roman"/>
          <w:i/>
          <w:lang w:bidi="en-US"/>
        </w:rPr>
        <w:t>Ernst &amp; Young Inc. v. Aquino</w:t>
      </w:r>
      <w:r w:rsidRPr="00732116">
        <w:rPr>
          <w:rFonts w:cs="Times New Roman"/>
          <w:lang w:bidi="en-US"/>
        </w:rPr>
        <w:t xml:space="preserve">: Attributing Fraudulent Intent to a Defrauded Corporation” (2022), 66 </w:t>
      </w:r>
      <w:r w:rsidRPr="00732116">
        <w:rPr>
          <w:rFonts w:cs="Times New Roman"/>
          <w:i/>
          <w:lang w:bidi="en-US"/>
        </w:rPr>
        <w:t>Can. Bus. L.J.</w:t>
      </w:r>
      <w:r w:rsidRPr="00732116">
        <w:rPr>
          <w:rFonts w:cs="Times New Roman"/>
          <w:lang w:bidi="en-US"/>
        </w:rPr>
        <w:t xml:space="preserve"> 250, at p. 259)</w:t>
      </w:r>
      <w:bookmarkEnd w:id="19"/>
      <w:r w:rsidRPr="00732116">
        <w:rPr>
          <w:rFonts w:cs="Times New Roman"/>
          <w:lang w:bidi="en-US"/>
        </w:rPr>
        <w:t xml:space="preserve">. As he notes, “[t]he underlying goal [of s. 96] is not to punish or deter the debtor or to award damages against the debtor, but rather to protect the interests of creditors” (p. 259). The “social purpose of the </w:t>
      </w:r>
      <w:proofErr w:type="gramStart"/>
      <w:r w:rsidRPr="00732116">
        <w:rPr>
          <w:rFonts w:cs="Times New Roman"/>
          <w:lang w:bidi="en-US"/>
        </w:rPr>
        <w:t>legislation .</w:t>
      </w:r>
      <w:proofErr w:type="gramEnd"/>
      <w:r w:rsidRPr="00732116">
        <w:rPr>
          <w:rFonts w:cs="Times New Roman"/>
          <w:lang w:bidi="en-US"/>
        </w:rPr>
        <w:t xml:space="preserve"> . . is served </w:t>
      </w:r>
      <w:r w:rsidRPr="00732116">
        <w:rPr>
          <w:rFonts w:cs="Times New Roman"/>
        </w:rPr>
        <w:t>whether or not the directing mind is acting in fraud of the corporation” (p. 259).</w:t>
      </w:r>
    </w:p>
    <w:p w14:paraId="34085872" w14:textId="77777777" w:rsidR="000C4436" w:rsidRPr="00732116" w:rsidRDefault="000C4436" w:rsidP="000C4436">
      <w:pPr>
        <w:pStyle w:val="ParaNoNdepar-AltN"/>
        <w:rPr>
          <w:rFonts w:cs="Times New Roman"/>
        </w:rPr>
      </w:pPr>
      <w:r w:rsidRPr="00732116">
        <w:rPr>
          <w:rFonts w:cs="Times New Roman"/>
        </w:rPr>
        <w:t>On the other hand, applying the fraud and no benefit exceptions under s. 96 would deny third-party creditors the benefit of a statutory remedy intended to protect them from asset stripping and would diminish the pool of assets available for their claims. This would undermine the purpose of s. 96.</w:t>
      </w:r>
    </w:p>
    <w:p w14:paraId="3F35ED06" w14:textId="77777777" w:rsidR="000C4436" w:rsidRPr="00732116" w:rsidRDefault="000C4436" w:rsidP="000C4436">
      <w:pPr>
        <w:pStyle w:val="ParaNoNdepar-AltN"/>
        <w:rPr>
          <w:rFonts w:cs="Times New Roman"/>
        </w:rPr>
      </w:pPr>
      <w:r w:rsidRPr="00732116">
        <w:rPr>
          <w:rFonts w:cs="Times New Roman"/>
        </w:rPr>
        <w:t xml:space="preserve">As in </w:t>
      </w:r>
      <w:r w:rsidRPr="00732116">
        <w:rPr>
          <w:rFonts w:cs="Times New Roman"/>
          <w:i/>
        </w:rPr>
        <w:t>Livent</w:t>
      </w:r>
      <w:r w:rsidRPr="00732116">
        <w:rPr>
          <w:rFonts w:cs="Times New Roman"/>
        </w:rPr>
        <w:t xml:space="preserve">, where this Court said that “denying liability on the basis that an individual within the corporation has engaged in the very action that the auditor was enlisted to protect against would render the statutory audit meaningless” (para. 103), applying the fraud and no benefit exceptions mechanically under s. 96 of the </w:t>
      </w:r>
      <w:r w:rsidRPr="00732116">
        <w:rPr>
          <w:rFonts w:cs="Times New Roman"/>
          <w:i/>
        </w:rPr>
        <w:t>BIA</w:t>
      </w:r>
      <w:r w:rsidRPr="00732116">
        <w:rPr>
          <w:rFonts w:cs="Times New Roman"/>
        </w:rPr>
        <w:t xml:space="preserve"> would render the transfer at undervalue remedy meaningless. The purpose of this statutory remedy is to protect creditors from the debtor transferring assets to others for little to no benefit. Applying the exceptions would undermine this purpose. It would result in denying liability on the basis that the corporation’s directing mind engaged in the very action that the provision targets. Such an approach would be perverse.</w:t>
      </w:r>
    </w:p>
    <w:p w14:paraId="12D2D055" w14:textId="77777777" w:rsidR="000C4436" w:rsidRPr="00732116" w:rsidRDefault="000C4436" w:rsidP="000C4436">
      <w:pPr>
        <w:pStyle w:val="ParaNoNdepar-AltN"/>
        <w:rPr>
          <w:rFonts w:cs="Times New Roman"/>
        </w:rPr>
      </w:pPr>
      <w:r w:rsidRPr="00732116">
        <w:rPr>
          <w:rFonts w:cs="Times New Roman"/>
        </w:rPr>
        <w:t xml:space="preserve">Consequently, the test for corporate attribution under s. 96 of the </w:t>
      </w:r>
      <w:r w:rsidRPr="00732116">
        <w:rPr>
          <w:rFonts w:cs="Times New Roman"/>
          <w:i/>
        </w:rPr>
        <w:t>BIA</w:t>
      </w:r>
      <w:r w:rsidRPr="00732116">
        <w:rPr>
          <w:rFonts w:cs="Times New Roman"/>
        </w:rPr>
        <w:t xml:space="preserve"> is simply whether </w:t>
      </w:r>
      <w:r w:rsidRPr="00732116">
        <w:rPr>
          <w:rFonts w:cs="Times New Roman"/>
          <w:lang w:bidi="en-US"/>
        </w:rPr>
        <w:t xml:space="preserve">the person was the directing mind and whether their actions were performed within the sector of corporate responsibility assigned to them. If these criteria are met, the actions, knowledge, state of mind, or intent of the directing mind should be attributed to the corporation, regardless of whether the fraud and no benefit exceptions are engaged (see </w:t>
      </w:r>
      <w:r w:rsidRPr="00732116">
        <w:rPr>
          <w:rFonts w:cs="Times New Roman"/>
        </w:rPr>
        <w:t>Wood (2022)</w:t>
      </w:r>
      <w:r w:rsidRPr="00732116">
        <w:rPr>
          <w:rFonts w:cs="Times New Roman"/>
          <w:lang w:bidi="en-US"/>
        </w:rPr>
        <w:t xml:space="preserve">, at pp. 260-61). </w:t>
      </w:r>
    </w:p>
    <w:p w14:paraId="3C8EF57E" w14:textId="77777777" w:rsidR="000C4436" w:rsidRPr="00732116" w:rsidRDefault="000C4436" w:rsidP="000C4436">
      <w:pPr>
        <w:pStyle w:val="ParaNoNdepar-AltN"/>
        <w:rPr>
          <w:rFonts w:cs="Times New Roman"/>
        </w:rPr>
      </w:pPr>
      <w:r w:rsidRPr="00732116">
        <w:rPr>
          <w:rFonts w:cs="Times New Roman"/>
        </w:rPr>
        <w:t xml:space="preserve">It follows that I do not accept the appellants’ submission that the principles of statutory interpretation require courts to apply the fraud and no benefit exceptions in this context. The appellants argue that because s. 96 of the </w:t>
      </w:r>
      <w:r w:rsidRPr="00732116">
        <w:rPr>
          <w:rFonts w:cs="Times New Roman"/>
          <w:i/>
        </w:rPr>
        <w:t>BIA</w:t>
      </w:r>
      <w:r w:rsidRPr="00732116">
        <w:rPr>
          <w:rFonts w:cs="Times New Roman"/>
        </w:rPr>
        <w:t xml:space="preserve"> does not clearly and unambiguously derogate from the common law of corporate attribution, the rules in </w:t>
      </w:r>
      <w:r w:rsidRPr="00732116">
        <w:rPr>
          <w:rFonts w:cs="Times New Roman"/>
          <w:i/>
        </w:rPr>
        <w:t>Canadian Dredge</w:t>
      </w:r>
      <w:r w:rsidRPr="00732116">
        <w:rPr>
          <w:rFonts w:cs="Times New Roman"/>
        </w:rPr>
        <w:t xml:space="preserve">, </w:t>
      </w:r>
      <w:r w:rsidRPr="00732116">
        <w:rPr>
          <w:rFonts w:cs="Times New Roman"/>
          <w:i/>
        </w:rPr>
        <w:t>Livent</w:t>
      </w:r>
      <w:r w:rsidRPr="00732116">
        <w:rPr>
          <w:rFonts w:cs="Times New Roman"/>
        </w:rPr>
        <w:t xml:space="preserve">, and </w:t>
      </w:r>
      <w:r w:rsidRPr="00732116">
        <w:rPr>
          <w:rFonts w:cs="Times New Roman"/>
          <w:i/>
        </w:rPr>
        <w:t>DeJong</w:t>
      </w:r>
      <w:r w:rsidRPr="00732116">
        <w:rPr>
          <w:rFonts w:cs="Times New Roman"/>
        </w:rPr>
        <w:t xml:space="preserve"> must be applied without modification, including the fraud and no benefit exceptions. The appellants’ submission presupposes that the common law rules of corporate attribution should be applied regardless of the context or purpose of the law under which attribution is sought, unless the legislature expressly derogates from those rules. But that is a false premise. The corporate attribution doctrine must </w:t>
      </w:r>
      <w:r w:rsidRPr="00732116">
        <w:rPr>
          <w:rFonts w:cs="Times New Roman"/>
          <w:i/>
        </w:rPr>
        <w:t xml:space="preserve">always </w:t>
      </w:r>
      <w:r w:rsidRPr="00732116">
        <w:rPr>
          <w:rFonts w:cs="Times New Roman"/>
        </w:rPr>
        <w:t xml:space="preserve">be applied having regard to the context and the purpose of the law under which attribution is sought. This approach has been integral to the Canadian common law of corporate attribution since </w:t>
      </w:r>
      <w:r w:rsidRPr="00732116">
        <w:rPr>
          <w:rFonts w:cs="Times New Roman"/>
          <w:i/>
        </w:rPr>
        <w:t>Canadian Dredge</w:t>
      </w:r>
      <w:r w:rsidRPr="00732116">
        <w:rPr>
          <w:rFonts w:cs="Times New Roman"/>
        </w:rPr>
        <w:t>.</w:t>
      </w:r>
    </w:p>
    <w:p w14:paraId="536CA77B" w14:textId="77777777" w:rsidR="000C4436" w:rsidRPr="00732116" w:rsidRDefault="000C4436" w:rsidP="000C4436">
      <w:pPr>
        <w:pStyle w:val="ParaNoNdepar-AltN"/>
        <w:rPr>
          <w:rFonts w:cs="Times New Roman"/>
        </w:rPr>
      </w:pPr>
      <w:r w:rsidRPr="00732116">
        <w:rPr>
          <w:rFonts w:cs="Times New Roman"/>
        </w:rPr>
        <w:t xml:space="preserve">I therefore agree with the conclusion of the Court of Appeal that attributing Mr. Aquino’s fraudulent intent to Bondfield and Forma-Con would advance the public policy underlying s. 96 of the </w:t>
      </w:r>
      <w:r w:rsidRPr="00732116">
        <w:rPr>
          <w:rFonts w:cs="Times New Roman"/>
          <w:i/>
        </w:rPr>
        <w:t>BIA</w:t>
      </w:r>
      <w:r w:rsidRPr="00732116">
        <w:rPr>
          <w:rFonts w:cs="Times New Roman"/>
        </w:rPr>
        <w:t>. Attribution would allow creditors to recover fraudulently transferred assets that unlawfully reduced the value of the estate available for distribution to creditors. I respectfully disagree, however, with two aspects of the Court of Appeal’s reasoning on this issue.</w:t>
      </w:r>
    </w:p>
    <w:p w14:paraId="0A62092E" w14:textId="77777777" w:rsidR="000C4436" w:rsidRPr="00732116" w:rsidRDefault="000C4436" w:rsidP="000C4436">
      <w:pPr>
        <w:pStyle w:val="ParaNoNdepar-AltN"/>
        <w:rPr>
          <w:rFonts w:cs="Times New Roman"/>
        </w:rPr>
      </w:pPr>
      <w:r w:rsidRPr="00732116">
        <w:rPr>
          <w:rFonts w:cs="Times New Roman"/>
        </w:rPr>
        <w:t xml:space="preserve">First, the Court of Appeal stated that attributing the directing mind’s knowledge or intent to the company itself “can hardly be said to unjustly prejudice the company in the bankruptcy context, when </w:t>
      </w:r>
      <w:bookmarkStart w:id="20" w:name="_Hlk167624318"/>
      <w:r w:rsidRPr="00732116">
        <w:rPr>
          <w:rFonts w:cs="Times New Roman"/>
        </w:rPr>
        <w:t>the company is no longer anything more than a bundle of assets to be liquidated with the proceeds distributed to creditors</w:t>
      </w:r>
      <w:bookmarkEnd w:id="20"/>
      <w:r w:rsidRPr="00732116">
        <w:rPr>
          <w:rFonts w:cs="Times New Roman"/>
        </w:rPr>
        <w:t xml:space="preserve">” (para. 77). The court added that “[a]n approach that would favour the interests of fraudsters over those of creditors seems counterintuitive and should not be quickly adopted” (para. 77). </w:t>
      </w:r>
    </w:p>
    <w:p w14:paraId="6E06E7F9" w14:textId="77777777" w:rsidR="000C4436" w:rsidRPr="00732116" w:rsidRDefault="000C4436" w:rsidP="000C4436">
      <w:pPr>
        <w:pStyle w:val="ParaNoNdepar-AltN"/>
        <w:rPr>
          <w:rFonts w:cs="Times New Roman"/>
        </w:rPr>
      </w:pPr>
      <w:r w:rsidRPr="00732116">
        <w:rPr>
          <w:rFonts w:cs="Times New Roman"/>
        </w:rPr>
        <w:t xml:space="preserve">With respect, however, the Court of Appeal’s rationale for attribution does not apply to transfers at undervalue in the restructuring context under the </w:t>
      </w:r>
      <w:r w:rsidRPr="00732116">
        <w:rPr>
          <w:rFonts w:cs="Times New Roman"/>
          <w:i/>
        </w:rPr>
        <w:t>CCAA</w:t>
      </w:r>
      <w:r w:rsidRPr="00732116">
        <w:rPr>
          <w:rFonts w:cs="Times New Roman"/>
        </w:rPr>
        <w:t xml:space="preserve">. As the appellants correctly explain, “[i]n a </w:t>
      </w:r>
      <w:r w:rsidRPr="00732116">
        <w:rPr>
          <w:rFonts w:cs="Times New Roman"/>
          <w:i/>
        </w:rPr>
        <w:t>CCAA</w:t>
      </w:r>
      <w:r w:rsidRPr="00732116">
        <w:rPr>
          <w:rFonts w:cs="Times New Roman"/>
        </w:rPr>
        <w:t xml:space="preserve"> monitorship, unlike a traditional bankruptcy, the possibility remains for the debtor company to be rehabilitated and to resume its normal operations at some future date” (A.F., at para. 47). As a result, in the restructuring context, it cannot be said that “the company is no longer anything more than a bundle of assets to be liquidated with the proceeds distributed to creditors” (para. 47).</w:t>
      </w:r>
    </w:p>
    <w:p w14:paraId="19FE397D" w14:textId="77777777" w:rsidR="000C4436" w:rsidRPr="00732116" w:rsidRDefault="000C4436" w:rsidP="000C4436">
      <w:pPr>
        <w:pStyle w:val="ParaNoNdepar-AltN"/>
        <w:rPr>
          <w:rFonts w:cs="Times New Roman"/>
        </w:rPr>
      </w:pPr>
      <w:r w:rsidRPr="00732116">
        <w:rPr>
          <w:rFonts w:cs="Times New Roman"/>
        </w:rPr>
        <w:t>Second, the Court of Appeal reframed the test for corporate attribution in the bankruptcy context by stating that “[t]he underlying question here is who should bear responsibility for the fraudulent acts of a company’s directing mind that are done within the scope of his or her authority — the fraudsters or the creditors?” (para. 78). Not surprisingly, the court answered this question in favour of the creditors and attributed Mr. Aquino’s fraudulent intent to Bondfield and Forma-Con. The court said that “[p]</w:t>
      </w:r>
      <w:proofErr w:type="spellStart"/>
      <w:r w:rsidRPr="00732116">
        <w:rPr>
          <w:rFonts w:cs="Times New Roman"/>
        </w:rPr>
        <w:t>ermitting</w:t>
      </w:r>
      <w:proofErr w:type="spellEnd"/>
      <w:r w:rsidRPr="00732116">
        <w:rPr>
          <w:rFonts w:cs="Times New Roman"/>
        </w:rPr>
        <w:t xml:space="preserve"> the fraudsters to get a benefit at the expense of creditors would be perverse” (para. 79).</w:t>
      </w:r>
    </w:p>
    <w:p w14:paraId="48F037F7" w14:textId="77777777" w:rsidR="000C4436" w:rsidRPr="00732116" w:rsidRDefault="000C4436" w:rsidP="000C4436">
      <w:pPr>
        <w:pStyle w:val="ParaNoNdepar-AltN"/>
        <w:rPr>
          <w:rFonts w:cs="Times New Roman"/>
        </w:rPr>
      </w:pPr>
      <w:r w:rsidRPr="00732116">
        <w:rPr>
          <w:rFonts w:cs="Times New Roman"/>
        </w:rPr>
        <w:t>The Court of Appeal’s framing of the question poses a contest between fraudsters and creditors. But as Professor Wood notes, this question is “misconceived” because transfers at undervalue can involve not just fraudsters, but also innocent recipients (Wood (2022), at p. 257). As he explains, the Court of Appeal’s question “misdirects the focus of analysis” because in such cases the “contest” is between the corporation’s creditors and the recipients of the transfer, who might be just as innocent (</w:t>
      </w:r>
      <w:bookmarkStart w:id="21" w:name="_Hlk163476069"/>
      <w:r w:rsidRPr="00732116">
        <w:rPr>
          <w:rFonts w:cs="Times New Roman"/>
        </w:rPr>
        <w:t>p. 257</w:t>
      </w:r>
      <w:bookmarkEnd w:id="21"/>
      <w:r w:rsidRPr="00732116">
        <w:rPr>
          <w:rFonts w:cs="Times New Roman"/>
        </w:rPr>
        <w:t xml:space="preserve">). Professor Wood gives the helpful example of the sale of a house at undervalue to an innocent purchaser, who would be prejudiced if the sale were to be successfully challenged under s. 96 of the </w:t>
      </w:r>
      <w:r w:rsidRPr="00732116">
        <w:rPr>
          <w:rFonts w:cs="Times New Roman"/>
          <w:i/>
        </w:rPr>
        <w:t>BIA</w:t>
      </w:r>
      <w:r w:rsidRPr="00732116">
        <w:rPr>
          <w:rFonts w:cs="Times New Roman"/>
        </w:rPr>
        <w:t>:</w:t>
      </w:r>
    </w:p>
    <w:p w14:paraId="429FEA7A" w14:textId="77777777" w:rsidR="000C4436" w:rsidRPr="00732116" w:rsidRDefault="000C4436" w:rsidP="000C4436">
      <w:pPr>
        <w:pStyle w:val="Citation-AltC"/>
        <w:ind w:firstLine="274"/>
      </w:pPr>
      <w:r w:rsidRPr="00732116">
        <w:t>Consider the case where a house is sold to an innocent buyer in an arm’s length dealing for a price that is conspicuously less than its market value. If the debtor intended to defeat creditors and was insolvent at the time of the transfer, the trustee will be able to set aside the sale or require the buyer to pay the difference in value under section 96(1</w:t>
      </w:r>
      <w:proofErr w:type="gramStart"/>
      <w:r w:rsidRPr="00732116">
        <w:t>)(</w:t>
      </w:r>
      <w:proofErr w:type="gramEnd"/>
      <w:r w:rsidRPr="00732116">
        <w:t xml:space="preserve">a) of the BIA. This holds true even though the buyer may have incurred considerable expense in moving into the house and may also not have the funds to pay the difference in value. Despite searching in the land registration system and finding nothing, the innocent buyer is placed in a precarious position. If fraud is involved it lies with the seller, but the buyer is the party who stands to lose to the seller’s creditors. </w:t>
      </w:r>
      <w:r w:rsidRPr="00732116">
        <w:rPr>
          <w:u w:val="single"/>
        </w:rPr>
        <w:t>This is not a contest between fraudsters and creditors so an allocation of responsibility on the basis suggested by the [c]ourt is misconceived.</w:t>
      </w:r>
      <w:r w:rsidRPr="00732116">
        <w:t xml:space="preserve"> [Emphasis added; footnote omitted; p. 257.]</w:t>
      </w:r>
    </w:p>
    <w:p w14:paraId="0BF32BCE" w14:textId="77777777" w:rsidR="000C4436" w:rsidRPr="00732116" w:rsidRDefault="000C4436" w:rsidP="000C4436">
      <w:pPr>
        <w:pStyle w:val="ParaNoNdepar-AltN"/>
        <w:rPr>
          <w:rFonts w:cs="Times New Roman"/>
        </w:rPr>
      </w:pPr>
      <w:r w:rsidRPr="00732116">
        <w:rPr>
          <w:rFonts w:cs="Times New Roman"/>
        </w:rPr>
        <w:t xml:space="preserve">As a result, I agree with the Court of Appeal’s conclusion that the fraud and no benefit exceptions to corporate attribution do not apply under s. 96 of the </w:t>
      </w:r>
      <w:r w:rsidRPr="00732116">
        <w:rPr>
          <w:rFonts w:cs="Times New Roman"/>
          <w:i/>
        </w:rPr>
        <w:t>BIA</w:t>
      </w:r>
      <w:r w:rsidRPr="00732116">
        <w:rPr>
          <w:rFonts w:cs="Times New Roman"/>
        </w:rPr>
        <w:t xml:space="preserve">, but I respectfully disagree with some of the court’s reasoning. </w:t>
      </w:r>
    </w:p>
    <w:p w14:paraId="0AE43D61" w14:textId="77777777" w:rsidR="000C4436" w:rsidRPr="00732116" w:rsidRDefault="000C4436" w:rsidP="000C4436">
      <w:pPr>
        <w:pStyle w:val="ParaNoNdepar-AltN"/>
        <w:rPr>
          <w:rFonts w:cs="Times New Roman"/>
        </w:rPr>
      </w:pPr>
      <w:r w:rsidRPr="00732116">
        <w:rPr>
          <w:rFonts w:cs="Times New Roman"/>
        </w:rPr>
        <w:t xml:space="preserve">In sum, the fraud and no benefit exceptions are inappropriate and inapplicable in the context of transfers at undervalue under s. 96 because these exceptions would undermine the creditor protection purpose of this </w:t>
      </w:r>
      <w:proofErr w:type="gramStart"/>
      <w:r w:rsidRPr="00732116">
        <w:rPr>
          <w:rFonts w:cs="Times New Roman"/>
        </w:rPr>
        <w:t>provision.</w:t>
      </w:r>
      <w:proofErr w:type="gramEnd"/>
    </w:p>
    <w:p w14:paraId="711366E9" w14:textId="77777777" w:rsidR="000C4436" w:rsidRPr="00732116" w:rsidRDefault="000C4436" w:rsidP="000C4436">
      <w:pPr>
        <w:pStyle w:val="Title3LevelTitre3Niveau"/>
        <w:rPr>
          <w:rFonts w:cs="Times New Roman"/>
        </w:rPr>
      </w:pPr>
      <w:r w:rsidRPr="00732116">
        <w:rPr>
          <w:rFonts w:cs="Times New Roman"/>
        </w:rPr>
        <w:t>Application to This Case</w:t>
      </w:r>
    </w:p>
    <w:p w14:paraId="105FED16" w14:textId="77777777" w:rsidR="000C4436" w:rsidRPr="00732116" w:rsidRDefault="000C4436" w:rsidP="000C4436">
      <w:pPr>
        <w:pStyle w:val="ParaNoNdepar-AltN"/>
        <w:rPr>
          <w:rFonts w:cs="Times New Roman"/>
        </w:rPr>
      </w:pPr>
      <w:r w:rsidRPr="00732116">
        <w:rPr>
          <w:rFonts w:cs="Times New Roman"/>
        </w:rPr>
        <w:t>Mr. Aquino, as the directing mind of Bondfield and Forma-Con, intended to defraud, defeat, or delay creditors of Bondfield and Forma-Con through the false invoicing scheme. In conducting the false invoicing scheme, he acted in his assigned sector of corporate responsibility of engaging with suppliers and overseeing the provision of services and materials. His intent should therefore be attributed or imputed to Bondfield and Forma-Con under s. 96(1</w:t>
      </w:r>
      <w:proofErr w:type="gramStart"/>
      <w:r w:rsidRPr="00732116">
        <w:rPr>
          <w:rFonts w:cs="Times New Roman"/>
        </w:rPr>
        <w:t>)(</w:t>
      </w:r>
      <w:proofErr w:type="gramEnd"/>
      <w:r w:rsidRPr="00732116">
        <w:rPr>
          <w:rFonts w:cs="Times New Roman"/>
        </w:rPr>
        <w:t xml:space="preserve">b)(ii)(B) of the </w:t>
      </w:r>
      <w:r w:rsidRPr="00732116">
        <w:rPr>
          <w:rFonts w:cs="Times New Roman"/>
          <w:i/>
        </w:rPr>
        <w:t>BIA</w:t>
      </w:r>
      <w:r w:rsidRPr="00732116">
        <w:rPr>
          <w:rFonts w:cs="Times New Roman"/>
        </w:rPr>
        <w:t>.</w:t>
      </w:r>
    </w:p>
    <w:p w14:paraId="4B1722F5" w14:textId="77777777" w:rsidR="000C4436" w:rsidRPr="00732116" w:rsidRDefault="000C4436" w:rsidP="000C4436">
      <w:pPr>
        <w:pStyle w:val="ParaNoNdepar-AltN"/>
        <w:rPr>
          <w:rFonts w:cs="Times New Roman"/>
        </w:rPr>
      </w:pPr>
      <w:r w:rsidRPr="00732116">
        <w:rPr>
          <w:rFonts w:cs="Times New Roman"/>
        </w:rPr>
        <w:t>Consequently, I would affirm the application judge’s order regarding the appellants’ liability for the transfers at undervalue.</w:t>
      </w:r>
    </w:p>
    <w:p w14:paraId="51A4F329" w14:textId="77777777" w:rsidR="000C4436" w:rsidRPr="00732116" w:rsidRDefault="000C4436" w:rsidP="000C4436">
      <w:pPr>
        <w:pStyle w:val="Title1LevelTitre1Niveau-AltL"/>
        <w:numPr>
          <w:ilvl w:val="0"/>
          <w:numId w:val="8"/>
        </w:numPr>
        <w:rPr>
          <w:rFonts w:cs="Times New Roman"/>
        </w:rPr>
      </w:pPr>
      <w:bookmarkStart w:id="22" w:name="_Toc320021611"/>
      <w:bookmarkStart w:id="23" w:name="_Toc160194683"/>
      <w:r w:rsidRPr="00732116">
        <w:rPr>
          <w:rFonts w:cs="Times New Roman"/>
        </w:rPr>
        <w:t>Disposition</w:t>
      </w:r>
      <w:bookmarkEnd w:id="22"/>
      <w:bookmarkEnd w:id="23"/>
    </w:p>
    <w:p w14:paraId="401143C9" w14:textId="77777777" w:rsidR="000C4436" w:rsidRPr="00732116" w:rsidRDefault="000C4436" w:rsidP="000C4436">
      <w:pPr>
        <w:pStyle w:val="ParaNoNdepar-AltN"/>
        <w:rPr>
          <w:rFonts w:cs="Times New Roman"/>
        </w:rPr>
      </w:pPr>
      <w:r w:rsidRPr="00732116">
        <w:rPr>
          <w:rFonts w:cs="Times New Roman"/>
        </w:rPr>
        <w:t>I would dismiss the appeal with costs.</w:t>
      </w:r>
    </w:p>
    <w:p w14:paraId="0573AC22" w14:textId="59096B07" w:rsidR="009B57B3" w:rsidRPr="00732116" w:rsidRDefault="009B57B3" w:rsidP="00B83B4C">
      <w:pPr>
        <w:pStyle w:val="SCCNormalDoubleSpacing"/>
        <w:spacing w:after="480"/>
      </w:pPr>
      <w:r w:rsidRPr="00732116">
        <w:tab/>
      </w:r>
      <w:r w:rsidR="00656313" w:rsidRPr="00732116">
        <w:rPr>
          <w:i/>
        </w:rPr>
        <w:t>Appeal</w:t>
      </w:r>
      <w:r w:rsidR="006C14E5" w:rsidRPr="00732116">
        <w:rPr>
          <w:i/>
        </w:rPr>
        <w:t xml:space="preserve"> dismissed with cost</w:t>
      </w:r>
      <w:r w:rsidR="00106877" w:rsidRPr="00732116">
        <w:rPr>
          <w:i/>
        </w:rPr>
        <w:t>s.</w:t>
      </w:r>
    </w:p>
    <w:p w14:paraId="185F4D00" w14:textId="0C273AE9" w:rsidR="00F47BF2" w:rsidRPr="00732116" w:rsidRDefault="002253F1" w:rsidP="00B83B4C">
      <w:pPr>
        <w:pStyle w:val="SCCLawFirm"/>
        <w:spacing w:after="480"/>
      </w:pPr>
      <w:r w:rsidRPr="00732116">
        <w:tab/>
        <w:t>Solicitor</w:t>
      </w:r>
      <w:r w:rsidR="003E469F" w:rsidRPr="00732116">
        <w:t>s for the appellant: Law Office of Terry Corsianos, Richmond Hill</w:t>
      </w:r>
      <w:r w:rsidR="00930619" w:rsidRPr="00732116">
        <w:t>, Ont.</w:t>
      </w:r>
      <w:r w:rsidR="003474EF" w:rsidRPr="00732116">
        <w:t xml:space="preserve">; Corsianos Lee, </w:t>
      </w:r>
      <w:r w:rsidR="006C14E5" w:rsidRPr="00732116">
        <w:t>Vaughan</w:t>
      </w:r>
      <w:r w:rsidR="003474EF" w:rsidRPr="00732116">
        <w:t>, Ont.</w:t>
      </w:r>
    </w:p>
    <w:p w14:paraId="53DE3AFE" w14:textId="6019BCB9" w:rsidR="00F47BF2" w:rsidRPr="00732116" w:rsidRDefault="003E469F" w:rsidP="00B83B4C">
      <w:pPr>
        <w:pStyle w:val="SCCLawFirm"/>
        <w:spacing w:after="480"/>
      </w:pPr>
      <w:r w:rsidRPr="00732116">
        <w:tab/>
        <w:t>Solicitors for the respondent</w:t>
      </w:r>
      <w:r w:rsidR="00FD0F1A" w:rsidRPr="00732116">
        <w:t xml:space="preserve"> </w:t>
      </w:r>
      <w:r w:rsidR="00FD0F1A" w:rsidRPr="00732116">
        <w:rPr>
          <w:rStyle w:val="SCCCounselPartyRoleChar"/>
        </w:rPr>
        <w:t>Ernst &amp; Young Inc., in its capacity as court-appointed monitor of Bondfield Construction Company Limited</w:t>
      </w:r>
      <w:r w:rsidRPr="00732116">
        <w:t>: Cassels Brock &amp; Blackwell</w:t>
      </w:r>
      <w:r w:rsidR="008A5E2E" w:rsidRPr="00732116">
        <w:t>, Toronto; Norton Rose Fulbright Canada, Toronto.</w:t>
      </w:r>
    </w:p>
    <w:p w14:paraId="1183E4D1" w14:textId="4FA78804" w:rsidR="00FD0F1A" w:rsidRPr="00732116" w:rsidRDefault="00FD0F1A" w:rsidP="00B83B4C">
      <w:pPr>
        <w:pStyle w:val="SCCLawFirm"/>
        <w:spacing w:after="480"/>
      </w:pPr>
      <w:r w:rsidRPr="00732116">
        <w:tab/>
        <w:t>Solicitors</w:t>
      </w:r>
      <w:r w:rsidR="003E469F" w:rsidRPr="00732116">
        <w:t xml:space="preserve"> for the respondent</w:t>
      </w:r>
      <w:r w:rsidRPr="00732116">
        <w:rPr>
          <w:rStyle w:val="SCCCounselPartyRoleChar"/>
        </w:rPr>
        <w:t xml:space="preserve"> KSV Kofman Inc., in its capacity as Trustee in Bankruptcy of 1033803 Ontario Inc. and 1087507 Ontario Limited</w:t>
      </w:r>
      <w:r w:rsidR="003E469F" w:rsidRPr="00732116">
        <w:t>: Torys, Toronto.</w:t>
      </w:r>
    </w:p>
    <w:p w14:paraId="021B9DFF" w14:textId="2FE66B33" w:rsidR="00F47BF2" w:rsidRPr="00732116" w:rsidRDefault="00F61E1C" w:rsidP="00B83B4C">
      <w:pPr>
        <w:pStyle w:val="SCCLawFirm"/>
        <w:spacing w:after="480"/>
      </w:pPr>
      <w:r w:rsidRPr="00732116">
        <w:tab/>
        <w:t>Solicitor</w:t>
      </w:r>
      <w:r w:rsidR="003E469F" w:rsidRPr="00732116">
        <w:t xml:space="preserve"> for the intervener </w:t>
      </w:r>
      <w:r w:rsidRPr="00732116">
        <w:t xml:space="preserve">the </w:t>
      </w:r>
      <w:r w:rsidR="003E469F" w:rsidRPr="00732116">
        <w:t xml:space="preserve">Attorney General of Ontario: </w:t>
      </w:r>
      <w:r w:rsidR="00796582" w:rsidRPr="00732116">
        <w:rPr>
          <w:iCs/>
        </w:rPr>
        <w:t>Min</w:t>
      </w:r>
      <w:r w:rsidR="00B83B4C" w:rsidRPr="00732116">
        <w:rPr>
          <w:iCs/>
        </w:rPr>
        <w:t xml:space="preserve">istry of the Attorney General — </w:t>
      </w:r>
      <w:r w:rsidR="00796582" w:rsidRPr="00732116">
        <w:rPr>
          <w:iCs/>
        </w:rPr>
        <w:t>Crown Law Office — Civil</w:t>
      </w:r>
      <w:r w:rsidR="003E469F" w:rsidRPr="00732116">
        <w:t>, Toronto.</w:t>
      </w:r>
    </w:p>
    <w:p w14:paraId="47C8182F" w14:textId="562C4B71" w:rsidR="009B57B3" w:rsidRPr="002253F1" w:rsidRDefault="00F61E1C" w:rsidP="00B83B4C">
      <w:pPr>
        <w:pStyle w:val="SCCLawFirm"/>
        <w:spacing w:after="480"/>
        <w:rPr>
          <w:lang w:val="en-US"/>
        </w:rPr>
      </w:pPr>
      <w:r w:rsidRPr="00732116">
        <w:tab/>
        <w:t>Solicitors</w:t>
      </w:r>
      <w:r w:rsidR="003E469F" w:rsidRPr="00732116">
        <w:t xml:space="preserve"> for the intervener</w:t>
      </w:r>
      <w:r w:rsidRPr="00732116">
        <w:t xml:space="preserve"> the</w:t>
      </w:r>
      <w:r w:rsidR="003E469F" w:rsidRPr="00732116">
        <w:t xml:space="preserve"> Insolvency Institute of Canada: Davies Ward Phillips &amp; Vineberg, Toronto.</w:t>
      </w:r>
      <w:r w:rsidR="007B23EC" w:rsidRPr="002253F1">
        <w:rPr>
          <w:lang w:val="en-US"/>
        </w:rPr>
        <w:t xml:space="preserve"> </w:t>
      </w:r>
    </w:p>
    <w:sectPr w:rsidR="009B57B3" w:rsidRPr="002253F1"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D52CC" w16cid:durableId="2947900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0D6E5" w14:textId="77777777" w:rsidR="00A85151" w:rsidRDefault="00A85151">
      <w:r>
        <w:separator/>
      </w:r>
    </w:p>
  </w:endnote>
  <w:endnote w:type="continuationSeparator" w:id="0">
    <w:p w14:paraId="44DEF641" w14:textId="77777777" w:rsidR="00A85151" w:rsidRDefault="00A8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7C9D0" w14:textId="77777777" w:rsidR="00BF7A9A" w:rsidRDefault="00BF7A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783DA" w14:textId="77777777" w:rsidR="00BF7A9A" w:rsidRDefault="00BF7A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F079B" w14:textId="77777777" w:rsidR="00BF7A9A" w:rsidRDefault="00BF7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FF3DD" w14:textId="77777777" w:rsidR="00A85151" w:rsidRDefault="00A85151">
      <w:r>
        <w:separator/>
      </w:r>
    </w:p>
  </w:footnote>
  <w:footnote w:type="continuationSeparator" w:id="0">
    <w:p w14:paraId="2E9817B1" w14:textId="77777777" w:rsidR="00A85151" w:rsidRDefault="00A85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4EAE0" w14:textId="77777777" w:rsidR="00BF7A9A" w:rsidRDefault="00BF7A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BFA09"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1AC3" w14:textId="77777777" w:rsidR="00BF7A9A" w:rsidRDefault="00BF7A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4179"/>
    <w:multiLevelType w:val="multilevel"/>
    <w:tmpl w:val="DC22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6528"/>
    <w:multiLevelType w:val="hybridMultilevel"/>
    <w:tmpl w:val="CDD63FAE"/>
    <w:lvl w:ilvl="0" w:tplc="79C29A88">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725898"/>
    <w:multiLevelType w:val="hybridMultilevel"/>
    <w:tmpl w:val="16E6E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766547"/>
    <w:multiLevelType w:val="hybridMultilevel"/>
    <w:tmpl w:val="EC3C66C0"/>
    <w:lvl w:ilvl="0" w:tplc="285E2A88">
      <w:numFmt w:val="bullet"/>
      <w:lvlText w:val="-"/>
      <w:lvlJc w:val="left"/>
      <w:pPr>
        <w:ind w:left="360" w:hanging="360"/>
      </w:pPr>
      <w:rPr>
        <w:rFonts w:ascii="Times New Roman" w:eastAsiaTheme="minorEastAsia"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9EB79E8"/>
    <w:multiLevelType w:val="hybridMultilevel"/>
    <w:tmpl w:val="A0CE652C"/>
    <w:lvl w:ilvl="0" w:tplc="018CBD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2D5942"/>
    <w:multiLevelType w:val="multilevel"/>
    <w:tmpl w:val="F7841FD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E32CEF"/>
    <w:multiLevelType w:val="multilevel"/>
    <w:tmpl w:val="FECA2F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BF10231"/>
    <w:multiLevelType w:val="multilevel"/>
    <w:tmpl w:val="A01A7540"/>
    <w:lvl w:ilvl="0">
      <w:start w:val="36"/>
      <w:numFmt w:val="decimal"/>
      <w:lvlText w:val="%1"/>
      <w:lvlJc w:val="left"/>
      <w:pPr>
        <w:ind w:left="420" w:hanging="420"/>
      </w:pPr>
      <w:rPr>
        <w:rFonts w:hint="default"/>
        <w:b/>
        <w:color w:val="000000"/>
      </w:rPr>
    </w:lvl>
    <w:lvl w:ilvl="1">
      <w:start w:val="1"/>
      <w:numFmt w:val="decimal"/>
      <w:lvlText w:val="%1.%2"/>
      <w:lvlJc w:val="left"/>
      <w:pPr>
        <w:ind w:left="1586" w:hanging="420"/>
      </w:pPr>
      <w:rPr>
        <w:rFonts w:hint="default"/>
        <w:b/>
        <w:color w:val="000000"/>
      </w:rPr>
    </w:lvl>
    <w:lvl w:ilvl="2">
      <w:start w:val="1"/>
      <w:numFmt w:val="decimal"/>
      <w:lvlText w:val="%1.%2.%3"/>
      <w:lvlJc w:val="left"/>
      <w:pPr>
        <w:ind w:left="3052" w:hanging="720"/>
      </w:pPr>
      <w:rPr>
        <w:rFonts w:hint="default"/>
        <w:b/>
        <w:color w:val="000000"/>
      </w:rPr>
    </w:lvl>
    <w:lvl w:ilvl="3">
      <w:start w:val="1"/>
      <w:numFmt w:val="decimal"/>
      <w:lvlText w:val="%1.%2.%3.%4"/>
      <w:lvlJc w:val="left"/>
      <w:pPr>
        <w:ind w:left="4218" w:hanging="720"/>
      </w:pPr>
      <w:rPr>
        <w:rFonts w:hint="default"/>
        <w:b/>
        <w:color w:val="000000"/>
      </w:rPr>
    </w:lvl>
    <w:lvl w:ilvl="4">
      <w:start w:val="1"/>
      <w:numFmt w:val="decimal"/>
      <w:lvlText w:val="%1.%2.%3.%4.%5"/>
      <w:lvlJc w:val="left"/>
      <w:pPr>
        <w:ind w:left="5744" w:hanging="1080"/>
      </w:pPr>
      <w:rPr>
        <w:rFonts w:hint="default"/>
        <w:b/>
        <w:color w:val="000000"/>
      </w:rPr>
    </w:lvl>
    <w:lvl w:ilvl="5">
      <w:start w:val="1"/>
      <w:numFmt w:val="decimal"/>
      <w:lvlText w:val="%1.%2.%3.%4.%5.%6"/>
      <w:lvlJc w:val="left"/>
      <w:pPr>
        <w:ind w:left="6910" w:hanging="1080"/>
      </w:pPr>
      <w:rPr>
        <w:rFonts w:hint="default"/>
        <w:b/>
        <w:color w:val="000000"/>
      </w:rPr>
    </w:lvl>
    <w:lvl w:ilvl="6">
      <w:start w:val="1"/>
      <w:numFmt w:val="decimal"/>
      <w:lvlText w:val="%1.%2.%3.%4.%5.%6.%7"/>
      <w:lvlJc w:val="left"/>
      <w:pPr>
        <w:ind w:left="8436" w:hanging="1440"/>
      </w:pPr>
      <w:rPr>
        <w:rFonts w:hint="default"/>
        <w:b/>
        <w:color w:val="000000"/>
      </w:rPr>
    </w:lvl>
    <w:lvl w:ilvl="7">
      <w:start w:val="1"/>
      <w:numFmt w:val="decimal"/>
      <w:lvlText w:val="%1.%2.%3.%4.%5.%6.%7.%8"/>
      <w:lvlJc w:val="left"/>
      <w:pPr>
        <w:ind w:left="9602" w:hanging="1440"/>
      </w:pPr>
      <w:rPr>
        <w:rFonts w:hint="default"/>
        <w:b/>
        <w:color w:val="000000"/>
      </w:rPr>
    </w:lvl>
    <w:lvl w:ilvl="8">
      <w:start w:val="1"/>
      <w:numFmt w:val="decimal"/>
      <w:lvlText w:val="%1.%2.%3.%4.%5.%6.%7.%8.%9"/>
      <w:lvlJc w:val="left"/>
      <w:pPr>
        <w:ind w:left="11128" w:hanging="1800"/>
      </w:pPr>
      <w:rPr>
        <w:rFonts w:hint="default"/>
        <w:b/>
        <w:color w:val="000000"/>
      </w:rPr>
    </w:lvl>
  </w:abstractNum>
  <w:abstractNum w:abstractNumId="10" w15:restartNumberingAfterBreak="0">
    <w:nsid w:val="30D75B9A"/>
    <w:multiLevelType w:val="hybridMultilevel"/>
    <w:tmpl w:val="D9BC8400"/>
    <w:lvl w:ilvl="0" w:tplc="D2EC206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2"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3"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1FF6C54"/>
    <w:multiLevelType w:val="hybridMultilevel"/>
    <w:tmpl w:val="E86629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4283EE8"/>
    <w:multiLevelType w:val="multilevel"/>
    <w:tmpl w:val="656A1144"/>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0740E52"/>
    <w:multiLevelType w:val="hybridMultilevel"/>
    <w:tmpl w:val="C5B4FC82"/>
    <w:lvl w:ilvl="0" w:tplc="47D291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D2EBE"/>
    <w:multiLevelType w:val="hybridMultilevel"/>
    <w:tmpl w:val="407ADC58"/>
    <w:lvl w:ilvl="0" w:tplc="C44E8C0C">
      <w:start w:val="1"/>
      <w:numFmt w:val="bullet"/>
      <w:lvlText w:val=""/>
      <w:lvlJc w:val="left"/>
      <w:pPr>
        <w:ind w:left="360" w:hanging="360"/>
      </w:pPr>
      <w:rPr>
        <w:rFonts w:ascii="Symbol" w:hAnsi="Symbol" w:hint="default"/>
        <w:b w:val="0"/>
        <w:strike w:val="0"/>
        <w:dstrike w:val="0"/>
        <w:color w:val="auto"/>
        <w:u w:val="none"/>
        <w:effect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436147A"/>
    <w:multiLevelType w:val="hybridMultilevel"/>
    <w:tmpl w:val="7FDC7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73E82"/>
    <w:multiLevelType w:val="multilevel"/>
    <w:tmpl w:val="688C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7778B"/>
    <w:multiLevelType w:val="hybridMultilevel"/>
    <w:tmpl w:val="E2C40C00"/>
    <w:lvl w:ilvl="0" w:tplc="BD6EAEB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7"/>
  </w:num>
  <w:num w:numId="3">
    <w:abstractNumId w:val="2"/>
  </w:num>
  <w:num w:numId="4">
    <w:abstractNumId w:val="12"/>
  </w:num>
  <w:num w:numId="5">
    <w:abstractNumId w:val="13"/>
  </w:num>
  <w:num w:numId="6">
    <w:abstractNumId w:val="15"/>
  </w:num>
  <w:num w:numId="7">
    <w:abstractNumId w:val="11"/>
  </w:num>
  <w:num w:numId="8">
    <w:abstractNumId w:val="1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
  </w:num>
  <w:num w:numId="10">
    <w:abstractNumId w:val="3"/>
  </w:num>
  <w:num w:numId="11">
    <w:abstractNumId w:val="16"/>
  </w:num>
  <w:num w:numId="12">
    <w:abstractNumId w:val="4"/>
  </w:num>
  <w:num w:numId="13">
    <w:abstractNumId w:val="21"/>
  </w:num>
  <w:num w:numId="14">
    <w:abstractNumId w:val="17"/>
  </w:num>
  <w:num w:numId="15">
    <w:abstractNumId w:val="6"/>
  </w:num>
  <w:num w:numId="16">
    <w:abstractNumId w:val="19"/>
  </w:num>
  <w:num w:numId="17">
    <w:abstractNumId w:val="8"/>
  </w:num>
  <w:num w:numId="18">
    <w:abstractNumId w:val="20"/>
  </w:num>
  <w:num w:numId="19">
    <w:abstractNumId w:val="0"/>
  </w:num>
  <w:num w:numId="20">
    <w:abstractNumId w:val="9"/>
  </w:num>
  <w:num w:numId="21">
    <w:abstractNumId w:val="1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2">
    <w:abstractNumId w:val="5"/>
  </w:num>
  <w:num w:numId="23">
    <w:abstractNumId w:val="14"/>
  </w:num>
  <w:num w:numId="24">
    <w:abstractNumId w:val="10"/>
  </w:num>
  <w:num w:numId="25">
    <w:abstractNumId w:val="11"/>
    <w:lvlOverride w:ilvl="0">
      <w:startOverride w:val="5"/>
      <w:lvl w:ilvl="0">
        <w:start w:val="5"/>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2"/>
      <w:lvl w:ilvl="2">
        <w:start w:val="2"/>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6BE5"/>
    <w:rsid w:val="00025198"/>
    <w:rsid w:val="00033C8D"/>
    <w:rsid w:val="0005517E"/>
    <w:rsid w:val="000578A3"/>
    <w:rsid w:val="000648CC"/>
    <w:rsid w:val="00080CE3"/>
    <w:rsid w:val="000C3ED3"/>
    <w:rsid w:val="000C4436"/>
    <w:rsid w:val="000C59B8"/>
    <w:rsid w:val="000C6AF0"/>
    <w:rsid w:val="000E028B"/>
    <w:rsid w:val="000F332E"/>
    <w:rsid w:val="00104F33"/>
    <w:rsid w:val="00106877"/>
    <w:rsid w:val="00106BFE"/>
    <w:rsid w:val="00111DE2"/>
    <w:rsid w:val="0011444F"/>
    <w:rsid w:val="00116B38"/>
    <w:rsid w:val="00135406"/>
    <w:rsid w:val="00135972"/>
    <w:rsid w:val="001426A9"/>
    <w:rsid w:val="00144206"/>
    <w:rsid w:val="001473AF"/>
    <w:rsid w:val="00154D7C"/>
    <w:rsid w:val="001570B0"/>
    <w:rsid w:val="0015752C"/>
    <w:rsid w:val="00157737"/>
    <w:rsid w:val="00162A41"/>
    <w:rsid w:val="00165277"/>
    <w:rsid w:val="00170592"/>
    <w:rsid w:val="00176FB2"/>
    <w:rsid w:val="00186351"/>
    <w:rsid w:val="00195D83"/>
    <w:rsid w:val="001A00C1"/>
    <w:rsid w:val="001B33E0"/>
    <w:rsid w:val="001B4573"/>
    <w:rsid w:val="001C779F"/>
    <w:rsid w:val="001D2AC1"/>
    <w:rsid w:val="001D3DF5"/>
    <w:rsid w:val="001D4E88"/>
    <w:rsid w:val="001E01FE"/>
    <w:rsid w:val="001F45E6"/>
    <w:rsid w:val="0020778D"/>
    <w:rsid w:val="00220FC2"/>
    <w:rsid w:val="002222F4"/>
    <w:rsid w:val="00224FC0"/>
    <w:rsid w:val="002253F1"/>
    <w:rsid w:val="00225EA4"/>
    <w:rsid w:val="00226EAF"/>
    <w:rsid w:val="00231F3A"/>
    <w:rsid w:val="00234199"/>
    <w:rsid w:val="002406EE"/>
    <w:rsid w:val="00243EC8"/>
    <w:rsid w:val="00252285"/>
    <w:rsid w:val="00261620"/>
    <w:rsid w:val="00270D93"/>
    <w:rsid w:val="00271919"/>
    <w:rsid w:val="002745CC"/>
    <w:rsid w:val="002B7924"/>
    <w:rsid w:val="002C6B60"/>
    <w:rsid w:val="002D28C3"/>
    <w:rsid w:val="002D39A4"/>
    <w:rsid w:val="002E64B0"/>
    <w:rsid w:val="002E6705"/>
    <w:rsid w:val="00301D08"/>
    <w:rsid w:val="00303247"/>
    <w:rsid w:val="0030329A"/>
    <w:rsid w:val="0031086F"/>
    <w:rsid w:val="0031414C"/>
    <w:rsid w:val="00314E01"/>
    <w:rsid w:val="0032089D"/>
    <w:rsid w:val="003310DE"/>
    <w:rsid w:val="003323B0"/>
    <w:rsid w:val="003474EF"/>
    <w:rsid w:val="0035169A"/>
    <w:rsid w:val="0035259D"/>
    <w:rsid w:val="00364B18"/>
    <w:rsid w:val="00390EB2"/>
    <w:rsid w:val="003A125D"/>
    <w:rsid w:val="003A4C70"/>
    <w:rsid w:val="003B215F"/>
    <w:rsid w:val="003C799C"/>
    <w:rsid w:val="003D0399"/>
    <w:rsid w:val="003D579E"/>
    <w:rsid w:val="003E1C71"/>
    <w:rsid w:val="003E469F"/>
    <w:rsid w:val="003F327B"/>
    <w:rsid w:val="00406166"/>
    <w:rsid w:val="0040704B"/>
    <w:rsid w:val="00410A55"/>
    <w:rsid w:val="00411300"/>
    <w:rsid w:val="00415417"/>
    <w:rsid w:val="00417B73"/>
    <w:rsid w:val="004232F5"/>
    <w:rsid w:val="00426659"/>
    <w:rsid w:val="00442136"/>
    <w:rsid w:val="00450352"/>
    <w:rsid w:val="00454BDB"/>
    <w:rsid w:val="00464800"/>
    <w:rsid w:val="00465132"/>
    <w:rsid w:val="00480C90"/>
    <w:rsid w:val="0048396F"/>
    <w:rsid w:val="00485E4B"/>
    <w:rsid w:val="00493C18"/>
    <w:rsid w:val="004A600C"/>
    <w:rsid w:val="004A6118"/>
    <w:rsid w:val="004C478D"/>
    <w:rsid w:val="004E2C26"/>
    <w:rsid w:val="004F2C02"/>
    <w:rsid w:val="004F36FF"/>
    <w:rsid w:val="005125A8"/>
    <w:rsid w:val="00521AE8"/>
    <w:rsid w:val="00527180"/>
    <w:rsid w:val="0054201E"/>
    <w:rsid w:val="00555291"/>
    <w:rsid w:val="00566AD1"/>
    <w:rsid w:val="00583EDE"/>
    <w:rsid w:val="005A6079"/>
    <w:rsid w:val="005A7500"/>
    <w:rsid w:val="005E186A"/>
    <w:rsid w:val="005E4698"/>
    <w:rsid w:val="00601A19"/>
    <w:rsid w:val="00610539"/>
    <w:rsid w:val="00613969"/>
    <w:rsid w:val="0061643D"/>
    <w:rsid w:val="00625C35"/>
    <w:rsid w:val="00656313"/>
    <w:rsid w:val="006565F4"/>
    <w:rsid w:val="00663658"/>
    <w:rsid w:val="0066700B"/>
    <w:rsid w:val="00684EEA"/>
    <w:rsid w:val="00695232"/>
    <w:rsid w:val="0069689B"/>
    <w:rsid w:val="006A1551"/>
    <w:rsid w:val="006B4A21"/>
    <w:rsid w:val="006B5FF5"/>
    <w:rsid w:val="006C14E5"/>
    <w:rsid w:val="006C619F"/>
    <w:rsid w:val="006D6594"/>
    <w:rsid w:val="006E4C75"/>
    <w:rsid w:val="006F30AF"/>
    <w:rsid w:val="00701759"/>
    <w:rsid w:val="00705C15"/>
    <w:rsid w:val="0071600E"/>
    <w:rsid w:val="007208D1"/>
    <w:rsid w:val="00732116"/>
    <w:rsid w:val="007418DC"/>
    <w:rsid w:val="00747288"/>
    <w:rsid w:val="00747DD3"/>
    <w:rsid w:val="007549C8"/>
    <w:rsid w:val="00754A0B"/>
    <w:rsid w:val="0076169C"/>
    <w:rsid w:val="00766D14"/>
    <w:rsid w:val="00767A0F"/>
    <w:rsid w:val="007839F6"/>
    <w:rsid w:val="0079439D"/>
    <w:rsid w:val="00794ABF"/>
    <w:rsid w:val="00796582"/>
    <w:rsid w:val="007A05F6"/>
    <w:rsid w:val="007B23EC"/>
    <w:rsid w:val="007B3CAF"/>
    <w:rsid w:val="007B3DB0"/>
    <w:rsid w:val="007B493C"/>
    <w:rsid w:val="007B6F4A"/>
    <w:rsid w:val="007E1C47"/>
    <w:rsid w:val="007E337A"/>
    <w:rsid w:val="007E5C70"/>
    <w:rsid w:val="007F2FF5"/>
    <w:rsid w:val="007F3F08"/>
    <w:rsid w:val="00804CC6"/>
    <w:rsid w:val="00817190"/>
    <w:rsid w:val="00817305"/>
    <w:rsid w:val="00820EE5"/>
    <w:rsid w:val="008260E2"/>
    <w:rsid w:val="008322BD"/>
    <w:rsid w:val="00832F64"/>
    <w:rsid w:val="00833E0A"/>
    <w:rsid w:val="00834F73"/>
    <w:rsid w:val="00864CF8"/>
    <w:rsid w:val="00872819"/>
    <w:rsid w:val="00874914"/>
    <w:rsid w:val="00881633"/>
    <w:rsid w:val="00891422"/>
    <w:rsid w:val="00892E1A"/>
    <w:rsid w:val="008A3F29"/>
    <w:rsid w:val="008A5E2E"/>
    <w:rsid w:val="008B660A"/>
    <w:rsid w:val="008C01DA"/>
    <w:rsid w:val="008C47FE"/>
    <w:rsid w:val="008C4E78"/>
    <w:rsid w:val="008F78E9"/>
    <w:rsid w:val="00911989"/>
    <w:rsid w:val="009179F9"/>
    <w:rsid w:val="009226CF"/>
    <w:rsid w:val="00930619"/>
    <w:rsid w:val="00933E5E"/>
    <w:rsid w:val="00935218"/>
    <w:rsid w:val="009403F3"/>
    <w:rsid w:val="00941828"/>
    <w:rsid w:val="009555B7"/>
    <w:rsid w:val="009557A2"/>
    <w:rsid w:val="009567AA"/>
    <w:rsid w:val="00967374"/>
    <w:rsid w:val="00991C68"/>
    <w:rsid w:val="009A343A"/>
    <w:rsid w:val="009B2F23"/>
    <w:rsid w:val="009B423E"/>
    <w:rsid w:val="009B57B3"/>
    <w:rsid w:val="009C5B92"/>
    <w:rsid w:val="009D2920"/>
    <w:rsid w:val="009D5AEB"/>
    <w:rsid w:val="009F0E33"/>
    <w:rsid w:val="00A0271D"/>
    <w:rsid w:val="00A030CE"/>
    <w:rsid w:val="00A149DF"/>
    <w:rsid w:val="00A1755C"/>
    <w:rsid w:val="00A21B90"/>
    <w:rsid w:val="00A2469B"/>
    <w:rsid w:val="00A30674"/>
    <w:rsid w:val="00A41805"/>
    <w:rsid w:val="00A42DCD"/>
    <w:rsid w:val="00A46F79"/>
    <w:rsid w:val="00A47B7A"/>
    <w:rsid w:val="00A52AFB"/>
    <w:rsid w:val="00A54369"/>
    <w:rsid w:val="00A548CB"/>
    <w:rsid w:val="00A5521C"/>
    <w:rsid w:val="00A643E7"/>
    <w:rsid w:val="00A73C38"/>
    <w:rsid w:val="00A85151"/>
    <w:rsid w:val="00AA0E31"/>
    <w:rsid w:val="00AB670D"/>
    <w:rsid w:val="00AE4535"/>
    <w:rsid w:val="00AF03C5"/>
    <w:rsid w:val="00B000D8"/>
    <w:rsid w:val="00B00F75"/>
    <w:rsid w:val="00B145B6"/>
    <w:rsid w:val="00B279EB"/>
    <w:rsid w:val="00B47FD3"/>
    <w:rsid w:val="00B50C81"/>
    <w:rsid w:val="00B53572"/>
    <w:rsid w:val="00B53FA3"/>
    <w:rsid w:val="00B557F8"/>
    <w:rsid w:val="00B72158"/>
    <w:rsid w:val="00B815FC"/>
    <w:rsid w:val="00B83B4C"/>
    <w:rsid w:val="00B93FBC"/>
    <w:rsid w:val="00BA7DA0"/>
    <w:rsid w:val="00BB258A"/>
    <w:rsid w:val="00BB2EE4"/>
    <w:rsid w:val="00BC2108"/>
    <w:rsid w:val="00BD0E9E"/>
    <w:rsid w:val="00BD1BEC"/>
    <w:rsid w:val="00BD32FF"/>
    <w:rsid w:val="00BF7A9A"/>
    <w:rsid w:val="00C02092"/>
    <w:rsid w:val="00C12402"/>
    <w:rsid w:val="00C24D91"/>
    <w:rsid w:val="00C363A6"/>
    <w:rsid w:val="00C41522"/>
    <w:rsid w:val="00C53F14"/>
    <w:rsid w:val="00C57BF4"/>
    <w:rsid w:val="00C600CF"/>
    <w:rsid w:val="00C6084F"/>
    <w:rsid w:val="00C61E2D"/>
    <w:rsid w:val="00C62A66"/>
    <w:rsid w:val="00C71458"/>
    <w:rsid w:val="00C77613"/>
    <w:rsid w:val="00C828E7"/>
    <w:rsid w:val="00C86719"/>
    <w:rsid w:val="00C921DD"/>
    <w:rsid w:val="00CA6391"/>
    <w:rsid w:val="00CC12B5"/>
    <w:rsid w:val="00CC34BD"/>
    <w:rsid w:val="00CC659D"/>
    <w:rsid w:val="00CD4C0B"/>
    <w:rsid w:val="00CE161A"/>
    <w:rsid w:val="00CE3171"/>
    <w:rsid w:val="00CF1601"/>
    <w:rsid w:val="00CF4744"/>
    <w:rsid w:val="00D0172F"/>
    <w:rsid w:val="00D068A7"/>
    <w:rsid w:val="00D17476"/>
    <w:rsid w:val="00D32086"/>
    <w:rsid w:val="00D37A3F"/>
    <w:rsid w:val="00D4431D"/>
    <w:rsid w:val="00D4667A"/>
    <w:rsid w:val="00D63A1C"/>
    <w:rsid w:val="00D7516F"/>
    <w:rsid w:val="00D8579F"/>
    <w:rsid w:val="00D95F8E"/>
    <w:rsid w:val="00DA0590"/>
    <w:rsid w:val="00DB0A05"/>
    <w:rsid w:val="00DB7BEA"/>
    <w:rsid w:val="00DC1739"/>
    <w:rsid w:val="00DC1788"/>
    <w:rsid w:val="00DC63F1"/>
    <w:rsid w:val="00DE319C"/>
    <w:rsid w:val="00DE5461"/>
    <w:rsid w:val="00DF0CA8"/>
    <w:rsid w:val="00DF2B48"/>
    <w:rsid w:val="00DF49A7"/>
    <w:rsid w:val="00E07EE2"/>
    <w:rsid w:val="00E07FD1"/>
    <w:rsid w:val="00E176D8"/>
    <w:rsid w:val="00E24573"/>
    <w:rsid w:val="00E25E1E"/>
    <w:rsid w:val="00E27EE7"/>
    <w:rsid w:val="00E35404"/>
    <w:rsid w:val="00E43B92"/>
    <w:rsid w:val="00E4403D"/>
    <w:rsid w:val="00E45109"/>
    <w:rsid w:val="00E47B7A"/>
    <w:rsid w:val="00E56A44"/>
    <w:rsid w:val="00E60269"/>
    <w:rsid w:val="00E60E2D"/>
    <w:rsid w:val="00E64B42"/>
    <w:rsid w:val="00E77932"/>
    <w:rsid w:val="00E965F3"/>
    <w:rsid w:val="00E97830"/>
    <w:rsid w:val="00EC09D3"/>
    <w:rsid w:val="00EE643C"/>
    <w:rsid w:val="00EF0683"/>
    <w:rsid w:val="00EF1EA5"/>
    <w:rsid w:val="00EF69D2"/>
    <w:rsid w:val="00EF766E"/>
    <w:rsid w:val="00F0070C"/>
    <w:rsid w:val="00F00EB7"/>
    <w:rsid w:val="00F36AB6"/>
    <w:rsid w:val="00F37A09"/>
    <w:rsid w:val="00F409CE"/>
    <w:rsid w:val="00F4379D"/>
    <w:rsid w:val="00F471DF"/>
    <w:rsid w:val="00F47BF2"/>
    <w:rsid w:val="00F50D2D"/>
    <w:rsid w:val="00F56C8B"/>
    <w:rsid w:val="00F57FAA"/>
    <w:rsid w:val="00F61E1C"/>
    <w:rsid w:val="00F66810"/>
    <w:rsid w:val="00F8388B"/>
    <w:rsid w:val="00F846D9"/>
    <w:rsid w:val="00F84DF4"/>
    <w:rsid w:val="00F85C97"/>
    <w:rsid w:val="00FB37D2"/>
    <w:rsid w:val="00FC0633"/>
    <w:rsid w:val="00FC4EFB"/>
    <w:rsid w:val="00FC60F6"/>
    <w:rsid w:val="00FD068D"/>
    <w:rsid w:val="00FD0F1A"/>
    <w:rsid w:val="00FD4F28"/>
    <w:rsid w:val="00FE2D13"/>
    <w:rsid w:val="00FE6784"/>
    <w:rsid w:val="00FF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DB8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436"/>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0C4436"/>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0C4436"/>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0C4436"/>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0C4436"/>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0C4436"/>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0C4436"/>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2C6B60"/>
    <w:rPr>
      <w:sz w:val="16"/>
      <w:szCs w:val="16"/>
    </w:rPr>
  </w:style>
  <w:style w:type="paragraph" w:styleId="CommentText">
    <w:name w:val="annotation text"/>
    <w:basedOn w:val="Normal"/>
    <w:link w:val="CommentTextChar"/>
    <w:uiPriority w:val="99"/>
    <w:unhideWhenUsed/>
    <w:rsid w:val="002C6B60"/>
    <w:rPr>
      <w:sz w:val="20"/>
    </w:rPr>
  </w:style>
  <w:style w:type="character" w:customStyle="1" w:styleId="CommentTextChar">
    <w:name w:val="Comment Text Char"/>
    <w:basedOn w:val="DefaultParagraphFont"/>
    <w:link w:val="CommentText"/>
    <w:uiPriority w:val="99"/>
    <w:rsid w:val="002C6B60"/>
  </w:style>
  <w:style w:type="paragraph" w:styleId="CommentSubject">
    <w:name w:val="annotation subject"/>
    <w:basedOn w:val="CommentText"/>
    <w:next w:val="CommentText"/>
    <w:link w:val="CommentSubjectChar"/>
    <w:uiPriority w:val="99"/>
    <w:semiHidden/>
    <w:unhideWhenUsed/>
    <w:rsid w:val="002C6B60"/>
    <w:rPr>
      <w:b/>
      <w:bCs/>
    </w:rPr>
  </w:style>
  <w:style w:type="character" w:customStyle="1" w:styleId="CommentSubjectChar">
    <w:name w:val="Comment Subject Char"/>
    <w:basedOn w:val="CommentTextChar"/>
    <w:link w:val="CommentSubject"/>
    <w:uiPriority w:val="99"/>
    <w:semiHidden/>
    <w:rsid w:val="002C6B60"/>
    <w:rPr>
      <w:b/>
      <w:bCs/>
    </w:rPr>
  </w:style>
  <w:style w:type="character" w:styleId="Hyperlink">
    <w:name w:val="Hyperlink"/>
    <w:basedOn w:val="DefaultParagraphFont"/>
    <w:uiPriority w:val="99"/>
    <w:unhideWhenUsed/>
    <w:rsid w:val="007839F6"/>
    <w:rPr>
      <w:color w:val="660000"/>
      <w:u w:val="none"/>
    </w:rPr>
  </w:style>
  <w:style w:type="character" w:customStyle="1" w:styleId="solexhl">
    <w:name w:val="solexhl"/>
    <w:basedOn w:val="DefaultParagraphFont"/>
    <w:rsid w:val="007418DC"/>
  </w:style>
  <w:style w:type="character" w:customStyle="1" w:styleId="Heading3Char">
    <w:name w:val="Heading 3 Char"/>
    <w:basedOn w:val="DefaultParagraphFont"/>
    <w:link w:val="Heading3"/>
    <w:uiPriority w:val="9"/>
    <w:rsid w:val="000C4436"/>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0C4436"/>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0C4436"/>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0C4436"/>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0C4436"/>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0C4436"/>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0C4436"/>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0C4436"/>
    <w:pPr>
      <w:spacing w:after="480"/>
    </w:pPr>
    <w:rPr>
      <w:rFonts w:eastAsiaTheme="minorHAnsi" w:cstheme="minorBidi"/>
      <w:szCs w:val="22"/>
      <w:lang w:eastAsia="en-US"/>
    </w:rPr>
  </w:style>
  <w:style w:type="paragraph" w:customStyle="1" w:styleId="SCCCoram">
    <w:name w:val="SCC.Coram"/>
    <w:basedOn w:val="Normal"/>
    <w:next w:val="Normal"/>
    <w:link w:val="SCCCoramChar"/>
    <w:rsid w:val="000C4436"/>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0C4436"/>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0C4436"/>
    <w:rPr>
      <w:rFonts w:eastAsiaTheme="minorHAnsi" w:cstheme="minorBidi"/>
      <w:sz w:val="24"/>
      <w:szCs w:val="22"/>
      <w:lang w:eastAsia="en-US"/>
    </w:rPr>
  </w:style>
  <w:style w:type="character" w:customStyle="1" w:styleId="SCCBanSummaryChar">
    <w:name w:val="SCC.BanSummary Char"/>
    <w:basedOn w:val="DefaultParagraphFont"/>
    <w:link w:val="SCCBanSummary"/>
    <w:rsid w:val="000C4436"/>
    <w:rPr>
      <w:b/>
      <w:sz w:val="24"/>
    </w:rPr>
  </w:style>
  <w:style w:type="table" w:styleId="TableGrid">
    <w:name w:val="Table Grid"/>
    <w:basedOn w:val="TableNormal"/>
    <w:uiPriority w:val="59"/>
    <w:rsid w:val="000C4436"/>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C4436"/>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0C4436"/>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0C4436"/>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0C4436"/>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0C4436"/>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C443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C4436"/>
    <w:pPr>
      <w:numPr>
        <w:ilvl w:val="2"/>
      </w:numPr>
      <w:outlineLvl w:val="2"/>
    </w:pPr>
  </w:style>
  <w:style w:type="paragraph" w:customStyle="1" w:styleId="Title4LevelTitre4Niveau">
    <w:name w:val="Title 4 Level / Titre 4 Niveau"/>
    <w:basedOn w:val="Title3LevelTitre3Niveau"/>
    <w:next w:val="ParaNoNdepar-AltN"/>
    <w:uiPriority w:val="4"/>
    <w:qFormat/>
    <w:rsid w:val="000C4436"/>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C4436"/>
    <w:pPr>
      <w:numPr>
        <w:ilvl w:val="4"/>
      </w:numPr>
      <w:outlineLvl w:val="4"/>
    </w:pPr>
  </w:style>
  <w:style w:type="paragraph" w:styleId="TOC1">
    <w:name w:val="toc 1"/>
    <w:basedOn w:val="Normal"/>
    <w:next w:val="Normal"/>
    <w:autoRedefine/>
    <w:uiPriority w:val="39"/>
    <w:unhideWhenUsed/>
    <w:rsid w:val="000C4436"/>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0C4436"/>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0C4436"/>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0C4436"/>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0C4436"/>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0C4436"/>
    <w:pPr>
      <w:tabs>
        <w:tab w:val="left" w:pos="2160"/>
        <w:tab w:val="right" w:leader="dot" w:pos="8270"/>
      </w:tabs>
      <w:spacing w:after="100"/>
      <w:ind w:left="1800"/>
    </w:pPr>
    <w:rPr>
      <w:noProof/>
    </w:rPr>
  </w:style>
  <w:style w:type="table" w:customStyle="1" w:styleId="TableGrid1">
    <w:name w:val="Table Grid1"/>
    <w:basedOn w:val="TableNormal"/>
    <w:uiPriority w:val="59"/>
    <w:rsid w:val="000C443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0C443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C4436"/>
    <w:pPr>
      <w:numPr>
        <w:ilvl w:val="5"/>
      </w:numPr>
      <w:outlineLvl w:val="5"/>
    </w:pPr>
    <w:rPr>
      <w:i/>
      <w:u w:val="none"/>
    </w:rPr>
  </w:style>
  <w:style w:type="paragraph" w:styleId="FootnoteText">
    <w:name w:val="footnote text"/>
    <w:basedOn w:val="Normal"/>
    <w:link w:val="FootnoteTextChar"/>
    <w:uiPriority w:val="99"/>
    <w:unhideWhenUsed/>
    <w:rsid w:val="000C4436"/>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C4436"/>
  </w:style>
  <w:style w:type="paragraph" w:styleId="TOCHeading">
    <w:name w:val="TOC Heading"/>
    <w:basedOn w:val="Heading1"/>
    <w:next w:val="Normal"/>
    <w:uiPriority w:val="39"/>
    <w:unhideWhenUsed/>
    <w:qFormat/>
    <w:rsid w:val="000C4436"/>
    <w:pPr>
      <w:spacing w:before="240" w:after="0"/>
      <w:ind w:left="0" w:firstLine="0"/>
      <w:outlineLvl w:val="9"/>
    </w:pPr>
    <w:rPr>
      <w:b w:val="0"/>
      <w:bCs w:val="0"/>
      <w:sz w:val="32"/>
      <w:szCs w:val="32"/>
    </w:rPr>
  </w:style>
  <w:style w:type="numbering" w:customStyle="1" w:styleId="MemoTOCList">
    <w:name w:val="Memo TOC List"/>
    <w:basedOn w:val="NoList"/>
    <w:uiPriority w:val="99"/>
    <w:rsid w:val="000C4436"/>
  </w:style>
  <w:style w:type="paragraph" w:styleId="Title">
    <w:name w:val="Title"/>
    <w:basedOn w:val="Normal"/>
    <w:next w:val="Normal"/>
    <w:link w:val="TitleChar"/>
    <w:uiPriority w:val="10"/>
    <w:rsid w:val="000C44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0C4436"/>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0C4436"/>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0C4436"/>
    <w:rPr>
      <w:rFonts w:asciiTheme="majorHAnsi" w:eastAsiaTheme="majorEastAsia" w:hAnsiTheme="majorHAnsi" w:cstheme="majorBidi"/>
      <w:i/>
      <w:iCs/>
      <w:color w:val="4F81BD" w:themeColor="accent1"/>
      <w:spacing w:val="15"/>
      <w:sz w:val="24"/>
      <w:szCs w:val="24"/>
      <w:lang w:val="en-US" w:eastAsia="en-US" w:bidi="en-US"/>
    </w:rPr>
  </w:style>
  <w:style w:type="paragraph" w:styleId="NoSpacing">
    <w:name w:val="No Spacing"/>
    <w:uiPriority w:val="1"/>
    <w:rsid w:val="000C4436"/>
    <w:rPr>
      <w:rFonts w:eastAsiaTheme="minorHAnsi" w:cstheme="minorBidi"/>
      <w:sz w:val="24"/>
      <w:szCs w:val="22"/>
      <w:lang w:val="en-US" w:eastAsia="en-US" w:bidi="en-US"/>
    </w:rPr>
  </w:style>
  <w:style w:type="paragraph" w:styleId="ListParagraph">
    <w:name w:val="List Paragraph"/>
    <w:basedOn w:val="Normal"/>
    <w:uiPriority w:val="34"/>
    <w:qFormat/>
    <w:rsid w:val="000C4436"/>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0C4436"/>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0C4436"/>
    <w:rPr>
      <w:rFonts w:eastAsiaTheme="minorHAnsi" w:cstheme="minorBidi"/>
      <w:b/>
      <w:bCs/>
      <w:i/>
      <w:iCs/>
      <w:color w:val="4F81BD" w:themeColor="accent1"/>
      <w:sz w:val="24"/>
      <w:szCs w:val="22"/>
      <w:lang w:val="en-US" w:eastAsia="en-US" w:bidi="en-US"/>
    </w:rPr>
  </w:style>
  <w:style w:type="paragraph" w:styleId="Caption">
    <w:name w:val="caption"/>
    <w:basedOn w:val="Normal"/>
    <w:next w:val="Normal"/>
    <w:uiPriority w:val="35"/>
    <w:semiHidden/>
    <w:unhideWhenUsed/>
    <w:qFormat/>
    <w:rsid w:val="000C4436"/>
    <w:rPr>
      <w:rFonts w:eastAsiaTheme="minorHAnsi" w:cstheme="minorBidi"/>
      <w:b/>
      <w:bCs/>
      <w:color w:val="4F81BD" w:themeColor="accent1"/>
      <w:sz w:val="18"/>
      <w:szCs w:val="18"/>
      <w:lang w:val="en-US" w:eastAsia="en-US" w:bidi="en-US"/>
    </w:rPr>
  </w:style>
  <w:style w:type="character" w:customStyle="1" w:styleId="JudgeJugeChar">
    <w:name w:val="Judge / Juge Char"/>
    <w:basedOn w:val="DefaultParagraphFont"/>
    <w:link w:val="JudgeJuge"/>
    <w:uiPriority w:val="3"/>
    <w:rsid w:val="000C4436"/>
    <w:rPr>
      <w:smallCaps/>
      <w:sz w:val="24"/>
      <w:szCs w:val="24"/>
    </w:rPr>
  </w:style>
  <w:style w:type="paragraph" w:customStyle="1" w:styleId="subsection">
    <w:name w:val="subsection"/>
    <w:basedOn w:val="Normal"/>
    <w:rsid w:val="000C4436"/>
    <w:pPr>
      <w:spacing w:before="100" w:beforeAutospacing="1" w:after="100" w:afterAutospacing="1"/>
    </w:pPr>
    <w:rPr>
      <w:szCs w:val="24"/>
      <w:lang w:val="en-US" w:eastAsia="en-US"/>
    </w:rPr>
  </w:style>
  <w:style w:type="paragraph" w:customStyle="1" w:styleId="paragraph">
    <w:name w:val="paragraph"/>
    <w:basedOn w:val="Normal"/>
    <w:rsid w:val="000C4436"/>
    <w:pPr>
      <w:spacing w:before="100" w:beforeAutospacing="1" w:after="100" w:afterAutospacing="1"/>
    </w:pPr>
    <w:rPr>
      <w:szCs w:val="24"/>
      <w:lang w:val="en-US" w:eastAsia="en-US"/>
    </w:rPr>
  </w:style>
  <w:style w:type="paragraph" w:customStyle="1" w:styleId="subparagraph">
    <w:name w:val="subparagraph"/>
    <w:basedOn w:val="Normal"/>
    <w:rsid w:val="000C4436"/>
    <w:pPr>
      <w:spacing w:before="100" w:beforeAutospacing="1" w:after="100" w:afterAutospacing="1"/>
    </w:pPr>
    <w:rPr>
      <w:szCs w:val="24"/>
      <w:lang w:val="en-US" w:eastAsia="en-US"/>
    </w:rPr>
  </w:style>
  <w:style w:type="paragraph" w:customStyle="1" w:styleId="clause">
    <w:name w:val="clause"/>
    <w:basedOn w:val="Normal"/>
    <w:rsid w:val="000C4436"/>
    <w:pPr>
      <w:spacing w:before="100" w:beforeAutospacing="1" w:after="100" w:afterAutospacing="1"/>
    </w:pPr>
    <w:rPr>
      <w:szCs w:val="24"/>
      <w:lang w:val="en-US" w:eastAsia="en-US"/>
    </w:rPr>
  </w:style>
  <w:style w:type="paragraph" w:styleId="ListBullet">
    <w:name w:val="List Bullet"/>
    <w:basedOn w:val="Normal"/>
    <w:uiPriority w:val="99"/>
    <w:semiHidden/>
    <w:unhideWhenUsed/>
    <w:rsid w:val="000C4436"/>
    <w:pPr>
      <w:spacing w:before="100" w:beforeAutospacing="1" w:after="100" w:afterAutospacing="1"/>
    </w:pPr>
    <w:rPr>
      <w:szCs w:val="24"/>
      <w:lang w:val="en-US" w:eastAsia="en-US"/>
    </w:rPr>
  </w:style>
  <w:style w:type="character" w:customStyle="1" w:styleId="ParaNoNdepar-AltNChar">
    <w:name w:val="Para. No. / Nº de par. - Alt N Char"/>
    <w:basedOn w:val="DefaultParagraphFont"/>
    <w:link w:val="ParaNoNdepar-AltN"/>
    <w:rsid w:val="000C4436"/>
    <w:rPr>
      <w:rFonts w:eastAsiaTheme="minorEastAsia" w:cstheme="minorBidi"/>
      <w:sz w:val="24"/>
      <w:szCs w:val="22"/>
      <w:lang w:eastAsia="en-US"/>
    </w:rPr>
  </w:style>
  <w:style w:type="paragraph" w:customStyle="1" w:styleId="Default">
    <w:name w:val="Default"/>
    <w:rsid w:val="000C4436"/>
    <w:pPr>
      <w:autoSpaceDE w:val="0"/>
      <w:autoSpaceDN w:val="0"/>
      <w:adjustRightInd w:val="0"/>
    </w:pPr>
    <w:rPr>
      <w:rFonts w:eastAsiaTheme="minorEastAsia"/>
      <w:color w:val="000000"/>
      <w:sz w:val="24"/>
      <w:szCs w:val="24"/>
      <w:lang w:eastAsia="en-US"/>
    </w:rPr>
  </w:style>
  <w:style w:type="paragraph" w:customStyle="1" w:styleId="marginalnote">
    <w:name w:val="marginalnote"/>
    <w:basedOn w:val="Normal"/>
    <w:rsid w:val="000C4436"/>
    <w:pPr>
      <w:spacing w:before="100" w:beforeAutospacing="1" w:after="100" w:afterAutospacing="1"/>
    </w:pPr>
    <w:rPr>
      <w:szCs w:val="24"/>
      <w:lang w:val="en-US" w:eastAsia="en-US"/>
    </w:rPr>
  </w:style>
  <w:style w:type="paragraph" w:customStyle="1" w:styleId="marginalnotedefinedterm">
    <w:name w:val="marginalnotedefinedterm"/>
    <w:basedOn w:val="Normal"/>
    <w:rsid w:val="000C4436"/>
    <w:pPr>
      <w:spacing w:before="100" w:beforeAutospacing="1" w:after="100" w:afterAutospacing="1"/>
    </w:pPr>
    <w:rPr>
      <w:szCs w:val="24"/>
      <w:lang w:val="en-US" w:eastAsia="en-US"/>
    </w:rPr>
  </w:style>
  <w:style w:type="paragraph" w:styleId="Revision">
    <w:name w:val="Revision"/>
    <w:hidden/>
    <w:uiPriority w:val="99"/>
    <w:semiHidden/>
    <w:rsid w:val="000C4436"/>
    <w:rPr>
      <w:sz w:val="24"/>
      <w:szCs w:val="24"/>
    </w:rPr>
  </w:style>
  <w:style w:type="table" w:customStyle="1" w:styleId="TableGrid2">
    <w:name w:val="Table Grid2"/>
    <w:basedOn w:val="TableNormal"/>
    <w:next w:val="TableGrid"/>
    <w:uiPriority w:val="59"/>
    <w:rsid w:val="000C443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oadecisions.ontariocourts.ca/coa/coa/en/20421/1/document.do"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B81F-BA2F-4F43-9FD5-270EE648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14468</Words>
  <Characters>74777</Characters>
  <Application>Microsoft Office Word</Application>
  <DocSecurity>0</DocSecurity>
  <Lines>623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2024-10-11T10:30:00Z</dcterms:created>
  <dcterms:modified xsi:type="dcterms:W3CDTF">2024-10-11T16:12:00Z</dcterms:modified>
</cp:coreProperties>
</file>