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DB7512" w:rsidRPr="00DB7512" w14:paraId="7C355944" w14:textId="77777777" w:rsidTr="009E5EF7">
        <w:trPr>
          <w:trHeight w:val="2103"/>
        </w:trPr>
        <w:tc>
          <w:tcPr>
            <w:tcW w:w="5000" w:type="pct"/>
            <w:gridSpan w:val="4"/>
          </w:tcPr>
          <w:p w14:paraId="4C1999AB" w14:textId="77777777" w:rsidR="00DB7512" w:rsidRPr="00DB7512" w:rsidRDefault="00DB7512" w:rsidP="00DB7512">
            <w:pPr>
              <w:jc w:val="center"/>
              <w:rPr>
                <w:b/>
              </w:rPr>
            </w:pPr>
            <w:r w:rsidRPr="00DB7512">
              <w:rPr>
                <w:b/>
                <w:noProof/>
                <w:lang w:val="fr-CA" w:eastAsia="fr-CA"/>
              </w:rPr>
              <w:drawing>
                <wp:inline distT="0" distB="0" distL="0" distR="0" wp14:anchorId="16A05B0C" wp14:editId="20D19548">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0D2915C8" w14:textId="77777777" w:rsidR="00DB7512" w:rsidRPr="00DB7512" w:rsidRDefault="00DB7512" w:rsidP="00DB7512">
            <w:pPr>
              <w:spacing w:before="120" w:after="100" w:afterAutospacing="1"/>
              <w:jc w:val="center"/>
            </w:pPr>
            <w:r w:rsidRPr="00DB7512">
              <w:rPr>
                <w:b/>
              </w:rPr>
              <w:t>SUPREME COURT OF CANADA</w:t>
            </w:r>
          </w:p>
        </w:tc>
      </w:tr>
      <w:tr w:rsidR="00DB7512" w:rsidRPr="00DB7512" w14:paraId="5E40620E" w14:textId="77777777" w:rsidTr="009E5EF7">
        <w:tblPrEx>
          <w:tblCellMar>
            <w:top w:w="58" w:type="dxa"/>
            <w:left w:w="58" w:type="dxa"/>
            <w:bottom w:w="58" w:type="dxa"/>
            <w:right w:w="58" w:type="dxa"/>
          </w:tblCellMar>
        </w:tblPrEx>
        <w:trPr>
          <w:cantSplit/>
        </w:trPr>
        <w:tc>
          <w:tcPr>
            <w:tcW w:w="2078" w:type="pct"/>
            <w:gridSpan w:val="2"/>
          </w:tcPr>
          <w:p w14:paraId="25AE8E13" w14:textId="77777777" w:rsidR="00DB7512" w:rsidRPr="00DB7512" w:rsidRDefault="00DB7512" w:rsidP="00DB7512">
            <w:pPr>
              <w:rPr>
                <w:b/>
                <w:smallCaps/>
                <w:lang w:val="fr-CA"/>
              </w:rPr>
            </w:pPr>
          </w:p>
          <w:p w14:paraId="348D38DC" w14:textId="77777777" w:rsidR="00DB7512" w:rsidRPr="00DB7512" w:rsidRDefault="00DB7512" w:rsidP="00DB7512">
            <w:pPr>
              <w:rPr>
                <w:b/>
                <w:smallCaps/>
                <w:lang w:val="fr-CA"/>
              </w:rPr>
            </w:pPr>
            <w:r w:rsidRPr="00DB7512">
              <w:rPr>
                <w:b/>
                <w:smallCaps/>
                <w:lang w:val="fr-CA"/>
              </w:rPr>
              <w:t>Citation:</w:t>
            </w:r>
            <w:r w:rsidRPr="00DB7512">
              <w:rPr>
                <w:lang w:val="fr-CA"/>
              </w:rPr>
              <w:t xml:space="preserve"> Auer </w:t>
            </w:r>
            <w:r w:rsidRPr="00DB7512">
              <w:rPr>
                <w:i/>
                <w:lang w:val="fr-CA"/>
              </w:rPr>
              <w:t>v.</w:t>
            </w:r>
            <w:r w:rsidRPr="00DB7512">
              <w:rPr>
                <w:lang w:val="fr-CA"/>
              </w:rPr>
              <w:t xml:space="preserve"> Auer, 2024 SCC 36</w:t>
            </w:r>
          </w:p>
        </w:tc>
        <w:tc>
          <w:tcPr>
            <w:tcW w:w="781" w:type="pct"/>
          </w:tcPr>
          <w:p w14:paraId="28CB0E1D" w14:textId="77777777" w:rsidR="00DB7512" w:rsidRPr="00DB7512" w:rsidRDefault="00DB7512" w:rsidP="00DB7512">
            <w:pPr>
              <w:rPr>
                <w:lang w:val="fr-CA"/>
              </w:rPr>
            </w:pPr>
          </w:p>
        </w:tc>
        <w:tc>
          <w:tcPr>
            <w:tcW w:w="2141" w:type="pct"/>
          </w:tcPr>
          <w:p w14:paraId="10E93F3C" w14:textId="77777777" w:rsidR="00DB7512" w:rsidRPr="00DB7512" w:rsidRDefault="00DB7512" w:rsidP="00DB7512">
            <w:pPr>
              <w:rPr>
                <w:b/>
                <w:smallCaps/>
                <w:lang w:val="fr-CA"/>
              </w:rPr>
            </w:pPr>
          </w:p>
          <w:p w14:paraId="5F2BAC53" w14:textId="77777777" w:rsidR="00DB7512" w:rsidRPr="00DB7512" w:rsidRDefault="00DB7512" w:rsidP="00DB7512">
            <w:pPr>
              <w:jc w:val="both"/>
            </w:pPr>
            <w:r w:rsidRPr="00DB7512">
              <w:rPr>
                <w:b/>
                <w:smallCaps/>
              </w:rPr>
              <w:t>Appeal Heard:</w:t>
            </w:r>
            <w:r w:rsidRPr="00DB7512">
              <w:t xml:space="preserve"> April 25, 2024</w:t>
            </w:r>
          </w:p>
          <w:p w14:paraId="297EC997" w14:textId="77777777" w:rsidR="00DB7512" w:rsidRPr="00DB7512" w:rsidRDefault="00DB7512" w:rsidP="00DB7512">
            <w:r w:rsidRPr="00DB7512">
              <w:rPr>
                <w:b/>
                <w:smallCaps/>
              </w:rPr>
              <w:t>Judgment Rendered:</w:t>
            </w:r>
            <w:r w:rsidRPr="00DB7512">
              <w:t xml:space="preserve"> November 8, 2024</w:t>
            </w:r>
          </w:p>
          <w:p w14:paraId="00086CBE" w14:textId="77777777" w:rsidR="00DB7512" w:rsidRPr="00DB7512" w:rsidRDefault="00DB7512" w:rsidP="00DB7512">
            <w:r w:rsidRPr="00DB7512">
              <w:rPr>
                <w:b/>
                <w:smallCaps/>
              </w:rPr>
              <w:t>Docket:</w:t>
            </w:r>
            <w:r w:rsidRPr="00DB7512">
              <w:t xml:space="preserve"> 40582</w:t>
            </w:r>
          </w:p>
        </w:tc>
      </w:tr>
      <w:tr w:rsidR="00DB7512" w:rsidRPr="00DB7512" w14:paraId="4987EBFC" w14:textId="77777777" w:rsidTr="009E5EF7">
        <w:tblPrEx>
          <w:tblCellMar>
            <w:top w:w="58" w:type="dxa"/>
            <w:left w:w="58" w:type="dxa"/>
            <w:bottom w:w="58" w:type="dxa"/>
            <w:right w:w="58" w:type="dxa"/>
          </w:tblCellMar>
        </w:tblPrEx>
        <w:tc>
          <w:tcPr>
            <w:tcW w:w="5000" w:type="pct"/>
            <w:gridSpan w:val="4"/>
          </w:tcPr>
          <w:p w14:paraId="66FE934B" w14:textId="77777777" w:rsidR="00DB7512" w:rsidRPr="00DB7512" w:rsidRDefault="00DB7512" w:rsidP="00DB7512"/>
          <w:p w14:paraId="4F65946A" w14:textId="77777777" w:rsidR="00DB7512" w:rsidRPr="00DB7512" w:rsidRDefault="00DB7512" w:rsidP="00DB7512">
            <w:pPr>
              <w:rPr>
                <w:b/>
                <w:smallCaps/>
              </w:rPr>
            </w:pPr>
            <w:r w:rsidRPr="00DB7512">
              <w:rPr>
                <w:b/>
                <w:smallCaps/>
              </w:rPr>
              <w:t>Between:</w:t>
            </w:r>
          </w:p>
          <w:p w14:paraId="06FB7D21" w14:textId="77777777" w:rsidR="00DB7512" w:rsidRPr="00DB7512" w:rsidRDefault="00DB7512" w:rsidP="00DB7512"/>
          <w:p w14:paraId="78FC0D90" w14:textId="77777777" w:rsidR="00DB7512" w:rsidRPr="00DB7512" w:rsidRDefault="00DB7512" w:rsidP="00DB7512">
            <w:pPr>
              <w:jc w:val="center"/>
              <w:rPr>
                <w:b/>
              </w:rPr>
            </w:pPr>
            <w:r w:rsidRPr="00DB7512">
              <w:rPr>
                <w:b/>
              </w:rPr>
              <w:t>Roland Nikolaus Auer</w:t>
            </w:r>
          </w:p>
          <w:p w14:paraId="78A13E73" w14:textId="77777777" w:rsidR="00DB7512" w:rsidRPr="00DB7512" w:rsidRDefault="00DB7512" w:rsidP="00DB7512">
            <w:pPr>
              <w:jc w:val="center"/>
            </w:pPr>
            <w:r w:rsidRPr="00DB7512">
              <w:t>Appellant</w:t>
            </w:r>
          </w:p>
          <w:p w14:paraId="5CE5CCC5" w14:textId="77777777" w:rsidR="00DB7512" w:rsidRPr="00DB7512" w:rsidRDefault="00DB7512" w:rsidP="00DB7512"/>
          <w:p w14:paraId="76ED794E" w14:textId="77777777" w:rsidR="00DB7512" w:rsidRPr="00DB7512" w:rsidRDefault="00DB7512" w:rsidP="00DB7512">
            <w:pPr>
              <w:jc w:val="center"/>
            </w:pPr>
            <w:r w:rsidRPr="00DB7512">
              <w:t>and</w:t>
            </w:r>
          </w:p>
          <w:p w14:paraId="0F539A14" w14:textId="77777777" w:rsidR="00DB7512" w:rsidRPr="00DB7512" w:rsidRDefault="00DB7512" w:rsidP="00DB7512"/>
          <w:p w14:paraId="5CD2AA85" w14:textId="77777777" w:rsidR="000B4570" w:rsidRDefault="00DB7512" w:rsidP="00DB7512">
            <w:pPr>
              <w:jc w:val="center"/>
              <w:rPr>
                <w:b/>
              </w:rPr>
            </w:pPr>
            <w:r w:rsidRPr="00DB7512">
              <w:rPr>
                <w:b/>
              </w:rPr>
              <w:t xml:space="preserve">Aysel Igorevna Auer and </w:t>
            </w:r>
          </w:p>
          <w:p w14:paraId="154AA4BF" w14:textId="18E488CF" w:rsidR="00DB7512" w:rsidRPr="00DB7512" w:rsidRDefault="00DB7512" w:rsidP="00DB7512">
            <w:pPr>
              <w:jc w:val="center"/>
              <w:rPr>
                <w:b/>
              </w:rPr>
            </w:pPr>
            <w:r w:rsidRPr="00DB7512">
              <w:rPr>
                <w:b/>
              </w:rPr>
              <w:t>Attorney General of Canada</w:t>
            </w:r>
          </w:p>
          <w:p w14:paraId="6B9EDEB1" w14:textId="77777777" w:rsidR="00DB7512" w:rsidRPr="00DB7512" w:rsidRDefault="00DB7512" w:rsidP="00DB7512">
            <w:pPr>
              <w:jc w:val="center"/>
            </w:pPr>
            <w:r w:rsidRPr="00DB7512">
              <w:t>Respondents</w:t>
            </w:r>
          </w:p>
          <w:p w14:paraId="48D22C0E" w14:textId="77777777" w:rsidR="00DB7512" w:rsidRPr="00DB7512" w:rsidRDefault="00DB7512" w:rsidP="00DB7512"/>
          <w:p w14:paraId="41F0E363" w14:textId="77777777" w:rsidR="00DB7512" w:rsidRPr="00DB7512" w:rsidRDefault="00DB7512" w:rsidP="00DB7512">
            <w:pPr>
              <w:jc w:val="center"/>
            </w:pPr>
            <w:r w:rsidRPr="00DB7512">
              <w:t>- and -</w:t>
            </w:r>
          </w:p>
          <w:p w14:paraId="51501FAF" w14:textId="77777777" w:rsidR="00DB7512" w:rsidRPr="00DB7512" w:rsidRDefault="00DB7512" w:rsidP="00DB7512"/>
          <w:p w14:paraId="4682E4DC" w14:textId="77777777" w:rsidR="005F1AFB" w:rsidRDefault="00DB7512" w:rsidP="00DB7512">
            <w:pPr>
              <w:jc w:val="center"/>
              <w:rPr>
                <w:b/>
              </w:rPr>
            </w:pPr>
            <w:r w:rsidRPr="00DB7512">
              <w:rPr>
                <w:b/>
              </w:rPr>
              <w:t xml:space="preserve">Attorney General of Ontario, </w:t>
            </w:r>
          </w:p>
          <w:p w14:paraId="09DC6ACC" w14:textId="26929C79" w:rsidR="00DB7512" w:rsidRPr="00DB7512" w:rsidRDefault="00DB7512" w:rsidP="00DB7512">
            <w:pPr>
              <w:jc w:val="center"/>
              <w:rPr>
                <w:b/>
              </w:rPr>
            </w:pPr>
            <w:r w:rsidRPr="00DB7512">
              <w:rPr>
                <w:b/>
              </w:rPr>
              <w:t>Attorney General of Quebec,</w:t>
            </w:r>
          </w:p>
          <w:p w14:paraId="61898B8C" w14:textId="77777777" w:rsidR="005F1AFB" w:rsidRDefault="00DB7512" w:rsidP="00DB7512">
            <w:pPr>
              <w:jc w:val="center"/>
              <w:rPr>
                <w:b/>
              </w:rPr>
            </w:pPr>
            <w:r w:rsidRPr="00DB7512">
              <w:rPr>
                <w:b/>
              </w:rPr>
              <w:t xml:space="preserve">Attorney General of British Columbia, </w:t>
            </w:r>
          </w:p>
          <w:p w14:paraId="67F9CF00" w14:textId="74BB5F89" w:rsidR="00DB7512" w:rsidRPr="00DB7512" w:rsidRDefault="00DB7512" w:rsidP="00DB7512">
            <w:pPr>
              <w:jc w:val="center"/>
              <w:rPr>
                <w:b/>
              </w:rPr>
            </w:pPr>
            <w:r w:rsidRPr="00DB7512">
              <w:rPr>
                <w:b/>
              </w:rPr>
              <w:t>Attorney General of Saskatchewan,</w:t>
            </w:r>
          </w:p>
          <w:p w14:paraId="534CF744" w14:textId="77777777" w:rsidR="005F1AFB" w:rsidRDefault="00DB7512" w:rsidP="00DB7512">
            <w:pPr>
              <w:jc w:val="center"/>
              <w:rPr>
                <w:b/>
              </w:rPr>
            </w:pPr>
            <w:r w:rsidRPr="00DB7512">
              <w:rPr>
                <w:b/>
              </w:rPr>
              <w:t xml:space="preserve">Trial Lawyers Association of British Columbia, </w:t>
            </w:r>
          </w:p>
          <w:p w14:paraId="60DC3622" w14:textId="77777777" w:rsidR="005F1AFB" w:rsidRDefault="00DB7512" w:rsidP="00DB7512">
            <w:pPr>
              <w:jc w:val="center"/>
              <w:rPr>
                <w:b/>
              </w:rPr>
            </w:pPr>
            <w:r w:rsidRPr="00DB7512">
              <w:rPr>
                <w:b/>
              </w:rPr>
              <w:t xml:space="preserve">HIV &amp; AIDS Legal Clinic Ontario, Health Justice Program, </w:t>
            </w:r>
          </w:p>
          <w:p w14:paraId="75872A5C" w14:textId="7B159522" w:rsidR="00DB7512" w:rsidRPr="00DB7512" w:rsidRDefault="00DB7512" w:rsidP="00DB7512">
            <w:pPr>
              <w:jc w:val="center"/>
              <w:rPr>
                <w:b/>
              </w:rPr>
            </w:pPr>
            <w:r w:rsidRPr="00DB7512">
              <w:rPr>
                <w:b/>
              </w:rPr>
              <w:t>Canadian Council for Refugees, City of Calgary,</w:t>
            </w:r>
          </w:p>
          <w:p w14:paraId="060730F1" w14:textId="77777777" w:rsidR="005F1AFB" w:rsidRDefault="00DB7512" w:rsidP="00DB7512">
            <w:pPr>
              <w:jc w:val="center"/>
              <w:rPr>
                <w:b/>
              </w:rPr>
            </w:pPr>
            <w:r w:rsidRPr="00DB7512">
              <w:rPr>
                <w:b/>
              </w:rPr>
              <w:t xml:space="preserve">Chicken Farmers of Canada, Egg Farmers of Canada, </w:t>
            </w:r>
          </w:p>
          <w:p w14:paraId="144F01F1" w14:textId="77777777" w:rsidR="005F1AFB" w:rsidRDefault="00DB7512" w:rsidP="00DB7512">
            <w:pPr>
              <w:jc w:val="center"/>
              <w:rPr>
                <w:b/>
              </w:rPr>
            </w:pPr>
            <w:r w:rsidRPr="00DB7512">
              <w:rPr>
                <w:b/>
              </w:rPr>
              <w:t xml:space="preserve">Turkey Farmers of Canada, Canadian Hatching Egg Producers, </w:t>
            </w:r>
          </w:p>
          <w:p w14:paraId="42E1AE31" w14:textId="77777777" w:rsidR="005F1AFB" w:rsidRDefault="00DB7512" w:rsidP="00DB7512">
            <w:pPr>
              <w:jc w:val="center"/>
              <w:rPr>
                <w:b/>
              </w:rPr>
            </w:pPr>
            <w:r w:rsidRPr="00DB7512">
              <w:rPr>
                <w:b/>
              </w:rPr>
              <w:t xml:space="preserve">National Association of Pharmacy Regulatory Authorities, </w:t>
            </w:r>
          </w:p>
          <w:p w14:paraId="7D3B011F" w14:textId="77777777" w:rsidR="00F271CD" w:rsidRDefault="00DB7512" w:rsidP="00DB7512">
            <w:pPr>
              <w:jc w:val="center"/>
              <w:rPr>
                <w:b/>
              </w:rPr>
            </w:pPr>
            <w:r w:rsidRPr="00DB7512">
              <w:rPr>
                <w:b/>
              </w:rPr>
              <w:t xml:space="preserve">Association québécoise des avocats et avocates en droit de </w:t>
            </w:r>
            <w:proofErr w:type="spellStart"/>
            <w:r w:rsidRPr="00DB7512">
              <w:rPr>
                <w:b/>
              </w:rPr>
              <w:t>l’immigration</w:t>
            </w:r>
            <w:proofErr w:type="spellEnd"/>
            <w:r w:rsidRPr="00DB7512">
              <w:rPr>
                <w:b/>
              </w:rPr>
              <w:t>,</w:t>
            </w:r>
          </w:p>
          <w:p w14:paraId="65BEB559" w14:textId="30EE22CA" w:rsidR="005F1AFB" w:rsidRDefault="00DB7512" w:rsidP="00DB7512">
            <w:pPr>
              <w:jc w:val="center"/>
              <w:rPr>
                <w:b/>
              </w:rPr>
            </w:pPr>
            <w:bookmarkStart w:id="0" w:name="_GoBack"/>
            <w:bookmarkEnd w:id="0"/>
            <w:r w:rsidRPr="00DB7512">
              <w:rPr>
                <w:b/>
              </w:rPr>
              <w:t xml:space="preserve">Workers’ Compensation Board of British Columbia, </w:t>
            </w:r>
          </w:p>
          <w:p w14:paraId="13C88BFB" w14:textId="77777777" w:rsidR="005F1AFB" w:rsidRDefault="00DB7512" w:rsidP="00DB7512">
            <w:pPr>
              <w:jc w:val="center"/>
              <w:rPr>
                <w:b/>
              </w:rPr>
            </w:pPr>
            <w:r w:rsidRPr="00DB7512">
              <w:rPr>
                <w:b/>
              </w:rPr>
              <w:t xml:space="preserve">Canadian Association of Refugee Lawyers, </w:t>
            </w:r>
          </w:p>
          <w:p w14:paraId="5D70F2D2" w14:textId="0FAEE458" w:rsidR="00DB7512" w:rsidRPr="00DB7512" w:rsidRDefault="00DB7512" w:rsidP="00DB7512">
            <w:pPr>
              <w:jc w:val="center"/>
              <w:rPr>
                <w:b/>
              </w:rPr>
            </w:pPr>
            <w:r w:rsidRPr="00DB7512">
              <w:rPr>
                <w:b/>
              </w:rPr>
              <w:t>Advocates for the Rule of Law and Ecojustice Canada Society</w:t>
            </w:r>
          </w:p>
          <w:p w14:paraId="5120559A" w14:textId="77777777" w:rsidR="00DB7512" w:rsidRPr="00DB7512" w:rsidRDefault="00DB7512" w:rsidP="00DB7512">
            <w:pPr>
              <w:jc w:val="center"/>
            </w:pPr>
            <w:r w:rsidRPr="00DB7512">
              <w:t>Interveners</w:t>
            </w:r>
          </w:p>
          <w:p w14:paraId="6080E3B0" w14:textId="77777777" w:rsidR="00DB7512" w:rsidRPr="00DB7512" w:rsidRDefault="00DB7512" w:rsidP="00DB7512"/>
          <w:p w14:paraId="4BABC29C" w14:textId="77777777" w:rsidR="00DB7512" w:rsidRPr="00DB7512" w:rsidRDefault="00DB7512" w:rsidP="00DB7512">
            <w:pPr>
              <w:jc w:val="center"/>
              <w:rPr>
                <w:b/>
                <w:smallCaps/>
              </w:rPr>
            </w:pPr>
          </w:p>
          <w:p w14:paraId="1755B530" w14:textId="77777777" w:rsidR="00DB7512" w:rsidRPr="00DB7512" w:rsidRDefault="00DB7512" w:rsidP="00DB7512"/>
          <w:p w14:paraId="4E14B619" w14:textId="77777777" w:rsidR="00DB7512" w:rsidRPr="00DB7512" w:rsidRDefault="00DB7512" w:rsidP="00DB7512">
            <w:r w:rsidRPr="00DB7512">
              <w:rPr>
                <w:b/>
                <w:smallCaps/>
              </w:rPr>
              <w:t>Coram:</w:t>
            </w:r>
            <w:r w:rsidRPr="00DB7512">
              <w:t xml:space="preserve"> Wagner C.J. and Karakatsanis, Côté, Rowe, Martin, Kasirer, Jamal, O’Bonsawin and Moreau JJ.</w:t>
            </w:r>
          </w:p>
          <w:p w14:paraId="0B9AB7C0" w14:textId="77777777" w:rsidR="00DB7512" w:rsidRPr="00DB7512" w:rsidRDefault="00DB7512" w:rsidP="00DB7512">
            <w:pPr>
              <w:rPr>
                <w:b/>
                <w:smallCaps/>
              </w:rPr>
            </w:pPr>
          </w:p>
        </w:tc>
      </w:tr>
      <w:tr w:rsidR="00DB7512" w:rsidRPr="00DB7512" w14:paraId="16BC5D55" w14:textId="77777777" w:rsidTr="009E5EF7">
        <w:tblPrEx>
          <w:tblCellMar>
            <w:top w:w="58" w:type="dxa"/>
            <w:left w:w="58" w:type="dxa"/>
            <w:bottom w:w="58" w:type="dxa"/>
            <w:right w:w="58" w:type="dxa"/>
          </w:tblCellMar>
        </w:tblPrEx>
        <w:trPr>
          <w:cantSplit/>
        </w:trPr>
        <w:tc>
          <w:tcPr>
            <w:tcW w:w="1231" w:type="pct"/>
          </w:tcPr>
          <w:p w14:paraId="7E74F4F7" w14:textId="77777777" w:rsidR="00DB7512" w:rsidRPr="00DB7512" w:rsidRDefault="00DB7512" w:rsidP="00DB7512">
            <w:pPr>
              <w:rPr>
                <w:smallCaps/>
              </w:rPr>
            </w:pPr>
            <w:r w:rsidRPr="0070034E">
              <w:rPr>
                <w:b/>
                <w:smallCaps/>
              </w:rPr>
              <w:lastRenderedPageBreak/>
              <w:t>Reasons for Judgment:</w:t>
            </w:r>
            <w:r w:rsidRPr="00DB7512">
              <w:rPr>
                <w:smallCaps/>
              </w:rPr>
              <w:t xml:space="preserve"> </w:t>
            </w:r>
          </w:p>
          <w:p w14:paraId="67E6A070" w14:textId="77777777" w:rsidR="00DB7512" w:rsidRPr="00DB7512" w:rsidRDefault="00DB7512" w:rsidP="00DB7512">
            <w:r w:rsidRPr="00DB7512">
              <w:t>(paras. 1 to 117)</w:t>
            </w:r>
          </w:p>
        </w:tc>
        <w:tc>
          <w:tcPr>
            <w:tcW w:w="3769" w:type="pct"/>
            <w:gridSpan w:val="3"/>
          </w:tcPr>
          <w:p w14:paraId="15A5DA82" w14:textId="77777777" w:rsidR="00DB7512" w:rsidRPr="00DB7512" w:rsidRDefault="00DB7512" w:rsidP="00DB7512">
            <w:r w:rsidRPr="00DB7512">
              <w:t>Côté J. (Wagner C.J. and Karakatsanis, Rowe, Martin, Kasirer, Jamal, O’Bonsawin and Moreau JJ. concurring)</w:t>
            </w:r>
          </w:p>
        </w:tc>
      </w:tr>
    </w:tbl>
    <w:p w14:paraId="535550E2" w14:textId="77777777" w:rsidR="00DB7512" w:rsidRPr="00DB7512" w:rsidRDefault="00DB7512" w:rsidP="00DB7512">
      <w:pPr>
        <w:rPr>
          <w:rFonts w:eastAsiaTheme="minorHAnsi" w:cstheme="minorBidi"/>
          <w:szCs w:val="24"/>
          <w:lang w:eastAsia="en-US"/>
        </w:rPr>
      </w:pPr>
    </w:p>
    <w:p w14:paraId="0B0CC120" w14:textId="77777777" w:rsidR="00DB7512" w:rsidRPr="00DB7512" w:rsidRDefault="00DB7512" w:rsidP="00DB7512">
      <w:pPr>
        <w:rPr>
          <w:rFonts w:eastAsiaTheme="minorHAnsi" w:cstheme="minorBidi"/>
          <w:szCs w:val="24"/>
          <w:lang w:eastAsia="en-US"/>
        </w:rPr>
      </w:pPr>
    </w:p>
    <w:p w14:paraId="0359A5FF" w14:textId="77777777" w:rsidR="00DB7512" w:rsidRPr="00DB7512" w:rsidRDefault="00DB7512" w:rsidP="00DB7512">
      <w:pPr>
        <w:rPr>
          <w:rFonts w:eastAsiaTheme="minorHAnsi" w:cstheme="minorBidi"/>
          <w:szCs w:val="24"/>
          <w:lang w:eastAsia="en-US"/>
        </w:rPr>
      </w:pPr>
      <w:r w:rsidRPr="00DB7512">
        <w:rPr>
          <w:rFonts w:eastAsiaTheme="minorHAnsi" w:cstheme="minorBidi"/>
          <w:b/>
          <w:smallCaps/>
          <w:szCs w:val="24"/>
          <w:lang w:eastAsia="en-US"/>
        </w:rPr>
        <w:t>Note:</w:t>
      </w:r>
      <w:r w:rsidRPr="00DB7512">
        <w:rPr>
          <w:rFonts w:eastAsiaTheme="minorHAnsi" w:cstheme="minorBidi"/>
          <w:b/>
          <w:szCs w:val="24"/>
          <w:lang w:eastAsia="en-US"/>
        </w:rPr>
        <w:t xml:space="preserve"> </w:t>
      </w:r>
      <w:r w:rsidRPr="00DB7512">
        <w:rPr>
          <w:rFonts w:eastAsiaTheme="minorHAnsi" w:cstheme="minorBidi"/>
          <w:szCs w:val="24"/>
          <w:lang w:eastAsia="en-US"/>
        </w:rPr>
        <w:t xml:space="preserve">This document is subject to editorial revision before its reproduction in final form in the </w:t>
      </w:r>
      <w:r w:rsidRPr="00DB7512">
        <w:rPr>
          <w:rFonts w:eastAsiaTheme="minorHAnsi" w:cstheme="minorBidi"/>
          <w:i/>
          <w:szCs w:val="24"/>
          <w:lang w:eastAsia="en-US"/>
        </w:rPr>
        <w:t>Canada Supreme Court Reports</w:t>
      </w:r>
      <w:r w:rsidRPr="00DB7512">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DB7512" w:rsidRPr="00DB7512" w14:paraId="557A42A1" w14:textId="77777777" w:rsidTr="009E5EF7">
        <w:tc>
          <w:tcPr>
            <w:tcW w:w="1500" w:type="pct"/>
            <w:tcMar>
              <w:top w:w="284" w:type="dxa"/>
            </w:tcMar>
          </w:tcPr>
          <w:p w14:paraId="2141D20C" w14:textId="77777777" w:rsidR="00DB7512" w:rsidRPr="00DB7512" w:rsidRDefault="00DB7512" w:rsidP="00DB7512"/>
        </w:tc>
        <w:tc>
          <w:tcPr>
            <w:tcW w:w="2000" w:type="pct"/>
            <w:tcBorders>
              <w:bottom w:val="single" w:sz="4" w:space="0" w:color="auto"/>
            </w:tcBorders>
            <w:tcMar>
              <w:top w:w="284" w:type="dxa"/>
            </w:tcMar>
          </w:tcPr>
          <w:p w14:paraId="7523E8DA" w14:textId="77777777" w:rsidR="00DB7512" w:rsidRPr="00DB7512" w:rsidRDefault="00DB7512" w:rsidP="00DB7512"/>
        </w:tc>
        <w:tc>
          <w:tcPr>
            <w:tcW w:w="1500" w:type="pct"/>
            <w:tcMar>
              <w:top w:w="284" w:type="dxa"/>
            </w:tcMar>
          </w:tcPr>
          <w:p w14:paraId="7DA8F2DF" w14:textId="77777777" w:rsidR="00DB7512" w:rsidRPr="00DB7512" w:rsidRDefault="00DB7512" w:rsidP="00DB7512"/>
        </w:tc>
      </w:tr>
    </w:tbl>
    <w:p w14:paraId="4E5B10CD" w14:textId="77777777" w:rsidR="00DB7512" w:rsidRPr="00DB7512" w:rsidRDefault="00DB7512" w:rsidP="00DB7512">
      <w:pPr>
        <w:rPr>
          <w:rFonts w:eastAsiaTheme="minorHAnsi" w:cstheme="minorBidi"/>
          <w:szCs w:val="24"/>
          <w:lang w:eastAsia="en-US"/>
        </w:rPr>
      </w:pPr>
    </w:p>
    <w:p w14:paraId="1E57078F" w14:textId="77777777" w:rsidR="00DB7512" w:rsidRPr="0070034E" w:rsidRDefault="00DB7512">
      <w:pPr>
        <w:rPr>
          <w:b/>
        </w:rPr>
      </w:pPr>
      <w:r w:rsidRPr="0070034E">
        <w:br w:type="page"/>
      </w:r>
    </w:p>
    <w:p w14:paraId="00F7D605" w14:textId="717B32C1" w:rsidR="003F2943" w:rsidRPr="0070034E" w:rsidRDefault="00D91B1D" w:rsidP="00C85B92">
      <w:pPr>
        <w:pStyle w:val="SCCLsocLastPartyInRole"/>
        <w:rPr>
          <w:lang w:val="fr-CA"/>
        </w:rPr>
      </w:pPr>
      <w:r w:rsidRPr="0070034E">
        <w:rPr>
          <w:lang w:val="fr-CA"/>
        </w:rPr>
        <w:t>Roland Nikolaus Auer</w:t>
      </w:r>
      <w:r w:rsidRPr="0070034E">
        <w:rPr>
          <w:rStyle w:val="SCCLsocPartyRole"/>
          <w:lang w:val="fr-CA"/>
        </w:rPr>
        <w:tab/>
        <w:t>Appellant</w:t>
      </w:r>
    </w:p>
    <w:p w14:paraId="3EDA3D0E" w14:textId="77777777" w:rsidR="003F2943" w:rsidRPr="0070034E" w:rsidRDefault="00D91B1D" w:rsidP="00C85B92">
      <w:pPr>
        <w:pStyle w:val="SCCLsocVersus"/>
        <w:rPr>
          <w:lang w:val="fr-CA"/>
        </w:rPr>
      </w:pPr>
      <w:r w:rsidRPr="0070034E">
        <w:rPr>
          <w:lang w:val="fr-CA"/>
        </w:rPr>
        <w:t>v.</w:t>
      </w:r>
    </w:p>
    <w:p w14:paraId="5565279D" w14:textId="77777777" w:rsidR="003F2943" w:rsidRPr="0070034E" w:rsidRDefault="0018477B">
      <w:pPr>
        <w:pStyle w:val="SCCLsocParty"/>
      </w:pPr>
      <w:r w:rsidRPr="0070034E">
        <w:t>Aysel Igorevna Auer and</w:t>
      </w:r>
    </w:p>
    <w:p w14:paraId="24AD9C10" w14:textId="77777777" w:rsidR="003F2943" w:rsidRPr="0070034E" w:rsidRDefault="00D91B1D" w:rsidP="00C85B92">
      <w:pPr>
        <w:pStyle w:val="SCCLsocLastPartyInRole"/>
      </w:pPr>
      <w:r w:rsidRPr="0070034E">
        <w:t>Attorney General of Canada</w:t>
      </w:r>
      <w:r w:rsidRPr="0070034E">
        <w:rPr>
          <w:rStyle w:val="SCCLsocPartyRole"/>
        </w:rPr>
        <w:tab/>
        <w:t>Respondents</w:t>
      </w:r>
    </w:p>
    <w:p w14:paraId="3348C61D" w14:textId="77777777" w:rsidR="003F2943" w:rsidRPr="0070034E" w:rsidRDefault="00D91B1D" w:rsidP="00C85B92">
      <w:pPr>
        <w:pStyle w:val="SCCLsocOtherPartySeparator"/>
      </w:pPr>
      <w:proofErr w:type="gramStart"/>
      <w:r w:rsidRPr="0070034E">
        <w:t>and</w:t>
      </w:r>
      <w:proofErr w:type="gramEnd"/>
    </w:p>
    <w:p w14:paraId="09E51823" w14:textId="77777777" w:rsidR="0018477B" w:rsidRPr="0070034E" w:rsidRDefault="0018477B" w:rsidP="0018477B">
      <w:pPr>
        <w:pStyle w:val="SCCLsocParty"/>
      </w:pPr>
      <w:r w:rsidRPr="0070034E">
        <w:t>Attorney General of Ontario,</w:t>
      </w:r>
    </w:p>
    <w:p w14:paraId="34DBA2C6" w14:textId="77777777" w:rsidR="0018477B" w:rsidRPr="0070034E" w:rsidRDefault="0018477B">
      <w:pPr>
        <w:pStyle w:val="SCCLsocParty"/>
      </w:pPr>
      <w:r w:rsidRPr="0070034E">
        <w:t>Attorney General of Quebec,</w:t>
      </w:r>
    </w:p>
    <w:p w14:paraId="69005846" w14:textId="77777777" w:rsidR="003F2943" w:rsidRPr="0070034E" w:rsidRDefault="00D91B1D">
      <w:pPr>
        <w:pStyle w:val="SCCLsocParty"/>
      </w:pPr>
      <w:r w:rsidRPr="0070034E">
        <w:t>Attorney General of British Columbia,</w:t>
      </w:r>
    </w:p>
    <w:p w14:paraId="4D47672C" w14:textId="77777777" w:rsidR="0018477B" w:rsidRPr="0070034E" w:rsidRDefault="0018477B" w:rsidP="0018477B">
      <w:pPr>
        <w:pStyle w:val="SCCLsocParty"/>
      </w:pPr>
      <w:r w:rsidRPr="0070034E">
        <w:t xml:space="preserve">Attorney General </w:t>
      </w:r>
      <w:r w:rsidR="00DE1FCB" w:rsidRPr="0070034E">
        <w:t>of</w:t>
      </w:r>
      <w:r w:rsidRPr="0070034E">
        <w:t xml:space="preserve"> Saskatchewan,</w:t>
      </w:r>
    </w:p>
    <w:p w14:paraId="474DD27C" w14:textId="77777777" w:rsidR="003F2943" w:rsidRPr="0070034E" w:rsidRDefault="00D91B1D">
      <w:pPr>
        <w:pStyle w:val="SCCLsocParty"/>
      </w:pPr>
      <w:r w:rsidRPr="0070034E">
        <w:t>Trial Lawyers Association of British Columbia,</w:t>
      </w:r>
    </w:p>
    <w:p w14:paraId="0F90AE2D" w14:textId="77777777" w:rsidR="003F2943" w:rsidRPr="0070034E" w:rsidRDefault="00D91B1D">
      <w:pPr>
        <w:pStyle w:val="SCCLsocParty"/>
      </w:pPr>
      <w:r w:rsidRPr="0070034E">
        <w:t>HIV</w:t>
      </w:r>
      <w:r w:rsidR="00B07818" w:rsidRPr="0070034E">
        <w:t xml:space="preserve"> &amp; AIDS Legal Clinic Ontario,</w:t>
      </w:r>
      <w:r w:rsidRPr="0070034E">
        <w:t xml:space="preserve"> Health Justice Program,</w:t>
      </w:r>
    </w:p>
    <w:p w14:paraId="63363089" w14:textId="77777777" w:rsidR="00C061C4" w:rsidRPr="0070034E" w:rsidRDefault="00D91B1D">
      <w:pPr>
        <w:pStyle w:val="SCCLsocParty"/>
      </w:pPr>
      <w:r w:rsidRPr="0070034E">
        <w:t>Canadian Council for Refugees,</w:t>
      </w:r>
      <w:r w:rsidR="00C061C4" w:rsidRPr="0070034E">
        <w:t xml:space="preserve"> </w:t>
      </w:r>
      <w:r w:rsidRPr="0070034E">
        <w:t>City of Calgary,</w:t>
      </w:r>
      <w:r w:rsidR="00C061C4" w:rsidRPr="0070034E">
        <w:t xml:space="preserve"> </w:t>
      </w:r>
    </w:p>
    <w:p w14:paraId="2C7EB7EC" w14:textId="30F0E23E" w:rsidR="000711CF" w:rsidRPr="0070034E" w:rsidRDefault="00D91B1D">
      <w:pPr>
        <w:pStyle w:val="SCCLsocParty"/>
      </w:pPr>
      <w:r w:rsidRPr="0070034E">
        <w:t>Chicken Farmers of Canada, Egg Farmers of Cana</w:t>
      </w:r>
      <w:r w:rsidR="0018477B" w:rsidRPr="0070034E">
        <w:t xml:space="preserve">da, </w:t>
      </w:r>
    </w:p>
    <w:p w14:paraId="63EA6309" w14:textId="14629F3F" w:rsidR="003F2943" w:rsidRPr="0070034E" w:rsidRDefault="0018477B">
      <w:pPr>
        <w:pStyle w:val="SCCLsocParty"/>
      </w:pPr>
      <w:r w:rsidRPr="0070034E">
        <w:t>Turkey Farmers of Canada,</w:t>
      </w:r>
      <w:r w:rsidR="00D91B1D" w:rsidRPr="0070034E">
        <w:t xml:space="preserve"> Canadian Hatching Egg Producers,</w:t>
      </w:r>
    </w:p>
    <w:p w14:paraId="31E64742" w14:textId="77777777" w:rsidR="003F2943" w:rsidRPr="0070034E" w:rsidRDefault="00D91B1D">
      <w:pPr>
        <w:pStyle w:val="SCCLsocParty"/>
      </w:pPr>
      <w:r w:rsidRPr="0070034E">
        <w:t>National Association of Pharmacy Regulatory Authorities,</w:t>
      </w:r>
    </w:p>
    <w:p w14:paraId="6A487389" w14:textId="77777777" w:rsidR="003F2943" w:rsidRPr="0070034E" w:rsidRDefault="00D91B1D">
      <w:pPr>
        <w:pStyle w:val="SCCLsocParty"/>
        <w:rPr>
          <w:lang w:val="fr-CA"/>
        </w:rPr>
      </w:pPr>
      <w:r w:rsidRPr="0070034E">
        <w:rPr>
          <w:lang w:val="fr-CA"/>
        </w:rPr>
        <w:t>Association québécoise des avocats et avocates en droit de l’immigration,</w:t>
      </w:r>
    </w:p>
    <w:p w14:paraId="78853053" w14:textId="77777777" w:rsidR="003F2943" w:rsidRPr="0070034E" w:rsidRDefault="00D91B1D">
      <w:pPr>
        <w:pStyle w:val="SCCLsocParty"/>
      </w:pPr>
      <w:r w:rsidRPr="0070034E">
        <w:t>Workers’ Compensation Board of British Columbia,</w:t>
      </w:r>
    </w:p>
    <w:p w14:paraId="289BCD06" w14:textId="77777777" w:rsidR="003F2943" w:rsidRPr="0070034E" w:rsidRDefault="00D91B1D">
      <w:pPr>
        <w:pStyle w:val="SCCLsocParty"/>
      </w:pPr>
      <w:r w:rsidRPr="0070034E">
        <w:t>Canadian Association of Refugee Lawyers,</w:t>
      </w:r>
    </w:p>
    <w:p w14:paraId="7C15362B" w14:textId="77777777" w:rsidR="003F2943" w:rsidRPr="0070034E" w:rsidRDefault="0018477B">
      <w:pPr>
        <w:pStyle w:val="SCCLsocParty"/>
      </w:pPr>
      <w:r w:rsidRPr="0070034E">
        <w:t>Advocates for the Rule of Law and</w:t>
      </w:r>
    </w:p>
    <w:p w14:paraId="54CC0B67" w14:textId="77777777" w:rsidR="003F2943" w:rsidRPr="0070034E" w:rsidRDefault="0018477B" w:rsidP="00C85B92">
      <w:pPr>
        <w:pStyle w:val="SCCLsocParty"/>
        <w:spacing w:after="720"/>
      </w:pPr>
      <w:r w:rsidRPr="0070034E">
        <w:t>Ecojustice Canada Society</w:t>
      </w:r>
      <w:r w:rsidR="00D91B1D" w:rsidRPr="0070034E">
        <w:rPr>
          <w:rStyle w:val="SCCLsocPartyRole"/>
        </w:rPr>
        <w:tab/>
        <w:t>Interveners</w:t>
      </w:r>
    </w:p>
    <w:p w14:paraId="1A197C31" w14:textId="77777777" w:rsidR="00426659" w:rsidRPr="0070034E" w:rsidRDefault="00426659" w:rsidP="00C85B92">
      <w:pPr>
        <w:spacing w:after="720"/>
        <w:jc w:val="both"/>
        <w:rPr>
          <w:b/>
        </w:rPr>
      </w:pPr>
      <w:r w:rsidRPr="0070034E">
        <w:rPr>
          <w:b/>
        </w:rPr>
        <w:t xml:space="preserve">Indexed as: </w:t>
      </w:r>
      <w:r w:rsidRPr="0070034E">
        <w:rPr>
          <w:rStyle w:val="SCCAppellantForIndexChar"/>
        </w:rPr>
        <w:t>Auer</w:t>
      </w:r>
      <w:r w:rsidRPr="0070034E">
        <w:rPr>
          <w:b/>
        </w:rPr>
        <w:t xml:space="preserve"> </w:t>
      </w:r>
      <w:r w:rsidRPr="0070034E">
        <w:rPr>
          <w:b/>
          <w:i/>
        </w:rPr>
        <w:t>v.</w:t>
      </w:r>
      <w:r w:rsidRPr="0070034E">
        <w:rPr>
          <w:b/>
        </w:rPr>
        <w:t xml:space="preserve"> </w:t>
      </w:r>
      <w:r w:rsidR="0091175D" w:rsidRPr="0070034E">
        <w:rPr>
          <w:rStyle w:val="SCCRespondentForIndexChar"/>
        </w:rPr>
        <w:t>Auer</w:t>
      </w:r>
    </w:p>
    <w:p w14:paraId="5FACCA0D" w14:textId="55ACB1EF" w:rsidR="00426659" w:rsidRPr="0070034E" w:rsidRDefault="00AE4535" w:rsidP="00C85B92">
      <w:pPr>
        <w:pStyle w:val="SCCSystemYear"/>
        <w:spacing w:after="720"/>
        <w:jc w:val="both"/>
      </w:pPr>
      <w:r w:rsidRPr="0070034E">
        <w:t>2024</w:t>
      </w:r>
      <w:r w:rsidR="003D0399" w:rsidRPr="0070034E">
        <w:t xml:space="preserve"> </w:t>
      </w:r>
      <w:r w:rsidR="00426659" w:rsidRPr="0070034E">
        <w:t>SCC </w:t>
      </w:r>
      <w:r w:rsidR="0043324C" w:rsidRPr="0070034E">
        <w:t>36</w:t>
      </w:r>
    </w:p>
    <w:p w14:paraId="0D80914F" w14:textId="77777777" w:rsidR="008322BD" w:rsidRPr="0070034E" w:rsidRDefault="009B57B3" w:rsidP="00C85B92">
      <w:pPr>
        <w:spacing w:after="720"/>
        <w:jc w:val="both"/>
      </w:pPr>
      <w:r w:rsidRPr="0070034E">
        <w:t>File No.: 40582.</w:t>
      </w:r>
    </w:p>
    <w:p w14:paraId="76D0F032" w14:textId="7112F367" w:rsidR="008322BD" w:rsidRPr="0070034E" w:rsidRDefault="00346E9B" w:rsidP="00C85B92">
      <w:pPr>
        <w:spacing w:after="720"/>
        <w:jc w:val="both"/>
      </w:pPr>
      <w:r w:rsidRPr="0070034E">
        <w:t>2024: April </w:t>
      </w:r>
      <w:r w:rsidR="00AE4535" w:rsidRPr="0070034E">
        <w:t>25</w:t>
      </w:r>
      <w:r w:rsidR="009B57B3" w:rsidRPr="0070034E">
        <w:t xml:space="preserve">; </w:t>
      </w:r>
      <w:r w:rsidR="00054708" w:rsidRPr="0070034E">
        <w:t>2024:</w:t>
      </w:r>
      <w:r w:rsidR="00A15A08" w:rsidRPr="0070034E">
        <w:t> </w:t>
      </w:r>
      <w:r w:rsidR="002A43BE" w:rsidRPr="0070034E">
        <w:t>November</w:t>
      </w:r>
      <w:r w:rsidR="00A15A08" w:rsidRPr="0070034E">
        <w:t> </w:t>
      </w:r>
      <w:r w:rsidR="002A43BE" w:rsidRPr="0070034E">
        <w:t>8</w:t>
      </w:r>
      <w:r w:rsidR="009B57B3" w:rsidRPr="0070034E">
        <w:t>.</w:t>
      </w:r>
    </w:p>
    <w:p w14:paraId="5F7F5CE2" w14:textId="19601557" w:rsidR="008322BD" w:rsidRPr="0070034E" w:rsidRDefault="009B57B3" w:rsidP="00C85B92">
      <w:pPr>
        <w:spacing w:after="720"/>
        <w:jc w:val="both"/>
      </w:pPr>
      <w:r w:rsidRPr="0070034E">
        <w:t xml:space="preserve">Present: </w:t>
      </w:r>
      <w:r w:rsidR="00346E9B" w:rsidRPr="0070034E">
        <w:t>Wagner </w:t>
      </w:r>
      <w:r w:rsidRPr="0070034E">
        <w:t>C.J. and Karakatsanis, Côté, Rowe, Martin, Kasire</w:t>
      </w:r>
      <w:r w:rsidR="00346E9B" w:rsidRPr="0070034E">
        <w:t>r, Jamal, O’Bonsawin and Moreau </w:t>
      </w:r>
      <w:r w:rsidRPr="0070034E">
        <w:t>JJ.</w:t>
      </w:r>
    </w:p>
    <w:p w14:paraId="4E4BA043" w14:textId="222870AB" w:rsidR="00610539" w:rsidRPr="0070034E" w:rsidRDefault="00656313" w:rsidP="00B87F2A">
      <w:pPr>
        <w:pStyle w:val="SCCLowerCourtNameLowercase"/>
        <w:spacing w:after="720" w:line="240" w:lineRule="auto"/>
      </w:pPr>
      <w:r w:rsidRPr="0070034E">
        <w:t>o</w:t>
      </w:r>
      <w:r w:rsidR="00170592" w:rsidRPr="0070034E">
        <w:t>n</w:t>
      </w:r>
      <w:r w:rsidR="00224FC0" w:rsidRPr="0070034E">
        <w:t xml:space="preserve"> </w:t>
      </w:r>
      <w:r w:rsidRPr="0070034E">
        <w:t>a</w:t>
      </w:r>
      <w:r w:rsidR="00170592" w:rsidRPr="0070034E">
        <w:t>ppeal</w:t>
      </w:r>
      <w:r w:rsidR="00224FC0" w:rsidRPr="0070034E">
        <w:t xml:space="preserve"> </w:t>
      </w:r>
      <w:r w:rsidR="00170592" w:rsidRPr="0070034E">
        <w:t>from</w:t>
      </w:r>
      <w:r w:rsidR="009567AA" w:rsidRPr="0070034E">
        <w:t xml:space="preserve"> the</w:t>
      </w:r>
      <w:r w:rsidR="00224FC0" w:rsidRPr="0070034E">
        <w:t xml:space="preserve"> </w:t>
      </w:r>
      <w:r w:rsidR="009B57B3" w:rsidRPr="0070034E">
        <w:t>court</w:t>
      </w:r>
      <w:r w:rsidR="009A5F9D" w:rsidRPr="0070034E">
        <w:t xml:space="preserve"> of appeal for</w:t>
      </w:r>
      <w:r w:rsidR="00054708" w:rsidRPr="0070034E">
        <w:t xml:space="preserve"> alberta</w:t>
      </w:r>
    </w:p>
    <w:p w14:paraId="701F9863" w14:textId="0A70952E" w:rsidR="00B87F2A" w:rsidRPr="0070034E" w:rsidRDefault="00A15A08" w:rsidP="00B87F2A">
      <w:pPr>
        <w:pStyle w:val="SCCNormalDoubleSpacing"/>
        <w:tabs>
          <w:tab w:val="clear" w:pos="1168"/>
          <w:tab w:val="left" w:pos="1170"/>
        </w:tabs>
        <w:spacing w:after="480"/>
        <w:rPr>
          <w:i/>
          <w:iCs/>
          <w:color w:val="000000"/>
        </w:rPr>
      </w:pPr>
      <w:bookmarkStart w:id="1" w:name="_Hlk181877168"/>
      <w:r w:rsidRPr="0070034E">
        <w:rPr>
          <w:i/>
        </w:rPr>
        <w:tab/>
      </w:r>
      <w:r w:rsidR="00B87F2A" w:rsidRPr="0070034E">
        <w:rPr>
          <w:i/>
        </w:rPr>
        <w:t>Administrative law — Judicial review — Standard of review — Subordinate legislation — Vires — Federal child support guidelines challenged as ultra vires Governor in Council — Standard of review applicable to review of vires of subordinate legislation — Whether child support guidelines within scope of authority delegated to Governor in Council by enabling statute — Divorce Act, R.S.C. 1985, c.</w:t>
      </w:r>
      <w:r w:rsidRPr="0070034E">
        <w:rPr>
          <w:i/>
        </w:rPr>
        <w:t> </w:t>
      </w:r>
      <w:r w:rsidR="00B87F2A" w:rsidRPr="0070034E">
        <w:rPr>
          <w:i/>
        </w:rPr>
        <w:t>3 (2nd Supp.), s.</w:t>
      </w:r>
      <w:r w:rsidRPr="0070034E">
        <w:rPr>
          <w:i/>
        </w:rPr>
        <w:t> </w:t>
      </w:r>
      <w:r w:rsidR="00B87F2A" w:rsidRPr="0070034E">
        <w:rPr>
          <w:i/>
        </w:rPr>
        <w:t>26.1 — Federal Child Support Guidelines, SOR/97</w:t>
      </w:r>
      <w:r w:rsidRPr="0070034E">
        <w:rPr>
          <w:i/>
        </w:rPr>
        <w:noBreakHyphen/>
      </w:r>
      <w:r w:rsidR="00B87F2A" w:rsidRPr="0070034E">
        <w:rPr>
          <w:i/>
        </w:rPr>
        <w:t>175.</w:t>
      </w:r>
    </w:p>
    <w:p w14:paraId="0726106B" w14:textId="6A3C270C" w:rsidR="00B87F2A" w:rsidRPr="0070034E" w:rsidRDefault="00B87F2A" w:rsidP="00B87F2A">
      <w:pPr>
        <w:pStyle w:val="SCCNormalDoubleSpacing"/>
        <w:tabs>
          <w:tab w:val="clear" w:pos="1168"/>
          <w:tab w:val="left" w:pos="1170"/>
        </w:tabs>
        <w:spacing w:after="480"/>
        <w:rPr>
          <w:szCs w:val="24"/>
        </w:rPr>
      </w:pPr>
      <w:r w:rsidRPr="0070034E">
        <w:rPr>
          <w:i/>
          <w:iCs/>
          <w:color w:val="000000"/>
        </w:rPr>
        <w:tab/>
      </w:r>
      <w:r w:rsidRPr="0070034E">
        <w:rPr>
          <w:iCs/>
          <w:color w:val="000000"/>
        </w:rPr>
        <w:t xml:space="preserve">The father and the mother were married in 2004, had one child together, and divorced in 2008. Their child resides with the mother. The father paid child support to the mother, but brought an application for judicial review challenging the </w:t>
      </w:r>
      <w:r w:rsidRPr="0070034E">
        <w:rPr>
          <w:i/>
          <w:iCs/>
          <w:color w:val="000000"/>
        </w:rPr>
        <w:t xml:space="preserve">vires </w:t>
      </w:r>
      <w:r w:rsidRPr="0070034E">
        <w:rPr>
          <w:iCs/>
          <w:color w:val="000000"/>
        </w:rPr>
        <w:t xml:space="preserve">of the </w:t>
      </w:r>
      <w:r w:rsidRPr="0070034E">
        <w:rPr>
          <w:i/>
          <w:iCs/>
          <w:szCs w:val="24"/>
        </w:rPr>
        <w:t xml:space="preserve">Federal Child Support Guidelines </w:t>
      </w:r>
      <w:r w:rsidRPr="0070034E">
        <w:rPr>
          <w:iCs/>
          <w:szCs w:val="24"/>
        </w:rPr>
        <w:t>(“</w:t>
      </w:r>
      <w:r w:rsidRPr="0070034E">
        <w:rPr>
          <w:i/>
          <w:iCs/>
          <w:szCs w:val="24"/>
        </w:rPr>
        <w:t>Guidelines</w:t>
      </w:r>
      <w:r w:rsidRPr="0070034E">
        <w:rPr>
          <w:iCs/>
          <w:szCs w:val="24"/>
        </w:rPr>
        <w:t>”)</w:t>
      </w:r>
      <w:r w:rsidRPr="0070034E">
        <w:rPr>
          <w:szCs w:val="24"/>
        </w:rPr>
        <w:t xml:space="preserve">, which determine the amount of child support to be paid in case of divorce. The father argued that the Governor in Council (“GIC”) exceeded its authority under s. 26.1(1) and (2) of the </w:t>
      </w:r>
      <w:r w:rsidRPr="0070034E">
        <w:rPr>
          <w:i/>
          <w:szCs w:val="24"/>
        </w:rPr>
        <w:t>Divorce Act</w:t>
      </w:r>
      <w:r w:rsidRPr="0070034E">
        <w:rPr>
          <w:szCs w:val="24"/>
        </w:rPr>
        <w:t xml:space="preserve"> when enacting the </w:t>
      </w:r>
      <w:r w:rsidRPr="0070034E">
        <w:rPr>
          <w:i/>
          <w:szCs w:val="24"/>
        </w:rPr>
        <w:t>Guidelines</w:t>
      </w:r>
      <w:r w:rsidRPr="0070034E">
        <w:rPr>
          <w:szCs w:val="24"/>
        </w:rPr>
        <w:t xml:space="preserve"> because they require a payer parent to pay a greater share of the child</w:t>
      </w:r>
      <w:r w:rsidR="00A15A08" w:rsidRPr="0070034E">
        <w:rPr>
          <w:szCs w:val="24"/>
        </w:rPr>
        <w:noBreakHyphen/>
      </w:r>
      <w:r w:rsidRPr="0070034E">
        <w:rPr>
          <w:szCs w:val="24"/>
        </w:rPr>
        <w:t xml:space="preserve">related costs than the recipient parent. </w:t>
      </w:r>
    </w:p>
    <w:p w14:paraId="5A50957D" w14:textId="44F0B54F" w:rsidR="00B87F2A" w:rsidRPr="0070034E" w:rsidRDefault="00B87F2A" w:rsidP="00B87F2A">
      <w:pPr>
        <w:pStyle w:val="SCCNormalDoubleSpacing"/>
        <w:tabs>
          <w:tab w:val="clear" w:pos="1168"/>
          <w:tab w:val="left" w:pos="1134"/>
        </w:tabs>
        <w:spacing w:after="480"/>
        <w:rPr>
          <w:iCs/>
          <w:color w:val="000000"/>
        </w:rPr>
      </w:pPr>
      <w:r w:rsidRPr="0070034E">
        <w:rPr>
          <w:iCs/>
          <w:color w:val="000000"/>
        </w:rPr>
        <w:tab/>
        <w:t xml:space="preserve">The chambers judge held that following </w:t>
      </w:r>
      <w:r w:rsidRPr="0070034E">
        <w:rPr>
          <w:i/>
          <w:iCs/>
          <w:color w:val="000000"/>
        </w:rPr>
        <w:t>Canada (Minister of Citizenship and Immigration) v. Vavilov</w:t>
      </w:r>
      <w:r w:rsidRPr="0070034E">
        <w:rPr>
          <w:iCs/>
          <w:color w:val="000000"/>
        </w:rPr>
        <w:t xml:space="preserve">, 2019 SCC 65, [2019] 4 S.C.R. 653, reasonableness is the presumptive standard of review for assessing the </w:t>
      </w:r>
      <w:r w:rsidRPr="0070034E">
        <w:rPr>
          <w:i/>
          <w:iCs/>
          <w:color w:val="000000"/>
        </w:rPr>
        <w:t xml:space="preserve">vires </w:t>
      </w:r>
      <w:r w:rsidRPr="0070034E">
        <w:rPr>
          <w:iCs/>
          <w:color w:val="000000"/>
        </w:rPr>
        <w:t xml:space="preserve">of subordinate legislation, but that reasonableness review should be informed by the principles outlined in </w:t>
      </w:r>
      <w:r w:rsidRPr="0070034E">
        <w:rPr>
          <w:i/>
          <w:iCs/>
          <w:color w:val="000000"/>
        </w:rPr>
        <w:t>Katz Group Canada Inc. v. Ontario (Health and Long-Term Care)</w:t>
      </w:r>
      <w:r w:rsidRPr="0070034E">
        <w:rPr>
          <w:iCs/>
          <w:color w:val="000000"/>
        </w:rPr>
        <w:t xml:space="preserve">, 2013 SCC 64. The chambers judge concluded that the </w:t>
      </w:r>
      <w:r w:rsidRPr="0070034E">
        <w:rPr>
          <w:i/>
          <w:iCs/>
          <w:color w:val="000000"/>
        </w:rPr>
        <w:t>Guidelines</w:t>
      </w:r>
      <w:r w:rsidRPr="0070034E">
        <w:rPr>
          <w:iCs/>
          <w:color w:val="000000"/>
        </w:rPr>
        <w:t xml:space="preserve"> are </w:t>
      </w:r>
      <w:r w:rsidRPr="0070034E">
        <w:rPr>
          <w:i/>
          <w:iCs/>
          <w:color w:val="000000"/>
        </w:rPr>
        <w:t xml:space="preserve">intra vires </w:t>
      </w:r>
      <w:r w:rsidRPr="0070034E">
        <w:rPr>
          <w:iCs/>
          <w:color w:val="000000"/>
        </w:rPr>
        <w:t>and dismissed the father’s application for judicial review.</w:t>
      </w:r>
    </w:p>
    <w:p w14:paraId="6083B439" w14:textId="3861E07D" w:rsidR="00B87F2A" w:rsidRPr="0070034E" w:rsidRDefault="00B87F2A" w:rsidP="00B87F2A">
      <w:pPr>
        <w:pStyle w:val="SCCNormalDoubleSpacing"/>
        <w:tabs>
          <w:tab w:val="clear" w:pos="1168"/>
          <w:tab w:val="left" w:pos="1134"/>
        </w:tabs>
        <w:spacing w:after="480"/>
      </w:pPr>
      <w:r w:rsidRPr="0070034E">
        <w:rPr>
          <w:iCs/>
          <w:color w:val="000000"/>
        </w:rPr>
        <w:tab/>
        <w:t xml:space="preserve">The Court of Appeal unanimously dismissed the father’s appeal but was divided on the applicable standard of review. The majority held that </w:t>
      </w:r>
      <w:r w:rsidRPr="0070034E">
        <w:rPr>
          <w:i/>
          <w:iCs/>
          <w:color w:val="000000"/>
        </w:rPr>
        <w:t xml:space="preserve">Vavilov </w:t>
      </w:r>
      <w:r w:rsidRPr="0070034E">
        <w:rPr>
          <w:iCs/>
          <w:color w:val="000000"/>
        </w:rPr>
        <w:t xml:space="preserve">did not overtake </w:t>
      </w:r>
      <w:r w:rsidRPr="0070034E">
        <w:rPr>
          <w:i/>
          <w:iCs/>
          <w:color w:val="000000"/>
        </w:rPr>
        <w:t>Katz Group</w:t>
      </w:r>
      <w:r w:rsidRPr="0070034E">
        <w:rPr>
          <w:iCs/>
          <w:color w:val="000000"/>
        </w:rPr>
        <w:t xml:space="preserve"> and that to be </w:t>
      </w:r>
      <w:r w:rsidRPr="0070034E">
        <w:rPr>
          <w:i/>
          <w:iCs/>
          <w:color w:val="000000"/>
        </w:rPr>
        <w:t xml:space="preserve">ultra vires </w:t>
      </w:r>
      <w:r w:rsidRPr="0070034E">
        <w:rPr>
          <w:iCs/>
          <w:color w:val="000000"/>
        </w:rPr>
        <w:t xml:space="preserve">for being inconsistent with the purpose of the enabling statute, true regulations such as those established by the GIC must be irrelevant, extraneous, or completely unrelated to that purpose. A concurring judge held that the reasonableness standard applies when reviewing the </w:t>
      </w:r>
      <w:r w:rsidRPr="0070034E">
        <w:rPr>
          <w:i/>
          <w:iCs/>
          <w:color w:val="000000"/>
        </w:rPr>
        <w:t xml:space="preserve">vires </w:t>
      </w:r>
      <w:r w:rsidRPr="0070034E">
        <w:rPr>
          <w:iCs/>
          <w:color w:val="000000"/>
        </w:rPr>
        <w:t xml:space="preserve">of the </w:t>
      </w:r>
      <w:r w:rsidRPr="0070034E">
        <w:rPr>
          <w:i/>
          <w:iCs/>
          <w:color w:val="000000"/>
        </w:rPr>
        <w:t>Guidelines</w:t>
      </w:r>
      <w:r w:rsidRPr="0070034E">
        <w:rPr>
          <w:iCs/>
          <w:color w:val="000000"/>
        </w:rPr>
        <w:t xml:space="preserve">, and that the criteria set out in </w:t>
      </w:r>
      <w:r w:rsidRPr="0070034E">
        <w:rPr>
          <w:i/>
          <w:iCs/>
          <w:color w:val="000000"/>
        </w:rPr>
        <w:t xml:space="preserve">Katz Group </w:t>
      </w:r>
      <w:r w:rsidRPr="0070034E">
        <w:rPr>
          <w:iCs/>
          <w:color w:val="000000"/>
        </w:rPr>
        <w:t>inform reasonableness review.</w:t>
      </w:r>
    </w:p>
    <w:p w14:paraId="37A5EA6A" w14:textId="093E0A1D" w:rsidR="00B87F2A" w:rsidRPr="0070034E" w:rsidRDefault="00B87F2A" w:rsidP="00A15A08">
      <w:pPr>
        <w:pStyle w:val="SCCNormalDoubleSpacing"/>
        <w:tabs>
          <w:tab w:val="clear" w:pos="1168"/>
          <w:tab w:val="left" w:pos="1134"/>
        </w:tabs>
        <w:spacing w:after="480"/>
      </w:pPr>
      <w:r w:rsidRPr="0070034E">
        <w:tab/>
      </w:r>
      <w:r w:rsidRPr="0070034E">
        <w:rPr>
          <w:i/>
        </w:rPr>
        <w:t>Held</w:t>
      </w:r>
      <w:r w:rsidRPr="0070034E">
        <w:t>:</w:t>
      </w:r>
      <w:r w:rsidR="00A15A08" w:rsidRPr="0070034E">
        <w:t> </w:t>
      </w:r>
      <w:r w:rsidRPr="0070034E">
        <w:t xml:space="preserve">The appeal </w:t>
      </w:r>
      <w:r w:rsidRPr="0070034E">
        <w:rPr>
          <w:iCs/>
          <w:color w:val="000000"/>
        </w:rPr>
        <w:t>should</w:t>
      </w:r>
      <w:r w:rsidRPr="0070034E">
        <w:t xml:space="preserve"> be dismissed.</w:t>
      </w:r>
    </w:p>
    <w:p w14:paraId="731EBA13" w14:textId="2C16B3B5" w:rsidR="00B87F2A" w:rsidRPr="0070034E" w:rsidRDefault="00B87F2A" w:rsidP="00A15A08">
      <w:pPr>
        <w:pStyle w:val="SCCNormalDoubleSpacing"/>
        <w:tabs>
          <w:tab w:val="clear" w:pos="1168"/>
          <w:tab w:val="left" w:pos="1134"/>
        </w:tabs>
        <w:spacing w:after="480"/>
        <w:rPr>
          <w:szCs w:val="24"/>
        </w:rPr>
      </w:pPr>
      <w:r w:rsidRPr="0070034E">
        <w:tab/>
      </w:r>
      <w:r w:rsidRPr="0070034E">
        <w:rPr>
          <w:i/>
        </w:rPr>
        <w:t>Vavilov</w:t>
      </w:r>
      <w:r w:rsidRPr="0070034E">
        <w:t xml:space="preserve">’s robust </w:t>
      </w:r>
      <w:r w:rsidRPr="0070034E">
        <w:rPr>
          <w:iCs/>
          <w:color w:val="000000"/>
        </w:rPr>
        <w:t>reasonableness</w:t>
      </w:r>
      <w:r w:rsidRPr="0070034E">
        <w:t xml:space="preserve"> standard is the presumptive standard for reviewing the </w:t>
      </w:r>
      <w:r w:rsidRPr="0070034E">
        <w:rPr>
          <w:i/>
        </w:rPr>
        <w:t xml:space="preserve">vires </w:t>
      </w:r>
      <w:r w:rsidRPr="0070034E">
        <w:t xml:space="preserve">of subordinate legislation. </w:t>
      </w:r>
      <w:r w:rsidRPr="0070034E">
        <w:rPr>
          <w:szCs w:val="24"/>
        </w:rPr>
        <w:t xml:space="preserve">In the instant case, the </w:t>
      </w:r>
      <w:r w:rsidRPr="0070034E">
        <w:rPr>
          <w:i/>
          <w:iCs/>
          <w:szCs w:val="24"/>
        </w:rPr>
        <w:t>Guidelines</w:t>
      </w:r>
      <w:r w:rsidRPr="0070034E">
        <w:rPr>
          <w:iCs/>
          <w:szCs w:val="24"/>
        </w:rPr>
        <w:t xml:space="preserve"> </w:t>
      </w:r>
      <w:r w:rsidRPr="0070034E">
        <w:rPr>
          <w:szCs w:val="24"/>
        </w:rPr>
        <w:t xml:space="preserve">fall reasonably within the GIC’s scope of authority under the </w:t>
      </w:r>
      <w:r w:rsidRPr="0070034E">
        <w:rPr>
          <w:i/>
          <w:iCs/>
          <w:szCs w:val="24"/>
        </w:rPr>
        <w:t>Divorce Act</w:t>
      </w:r>
      <w:r w:rsidRPr="0070034E">
        <w:rPr>
          <w:iCs/>
          <w:szCs w:val="24"/>
        </w:rPr>
        <w:t xml:space="preserve">, </w:t>
      </w:r>
      <w:r w:rsidRPr="0070034E">
        <w:rPr>
          <w:szCs w:val="24"/>
        </w:rPr>
        <w:t xml:space="preserve">having regard to the relevant constraints. Under s. 26.1(1), the GIC is granted extremely broad authority to establish guidelines respecting child support. Section 26.1(2) constrains this authority by requiring that the guidelines be based on the principle that spouses have a joint financial obligation to maintain the children of the marriage in accordance with their relative abilities to contribute. The </w:t>
      </w:r>
      <w:r w:rsidRPr="0070034E">
        <w:rPr>
          <w:i/>
          <w:iCs/>
          <w:szCs w:val="24"/>
        </w:rPr>
        <w:t xml:space="preserve">Guidelines </w:t>
      </w:r>
      <w:r w:rsidRPr="0070034E">
        <w:rPr>
          <w:szCs w:val="24"/>
        </w:rPr>
        <w:t>respect this constraint.</w:t>
      </w:r>
    </w:p>
    <w:p w14:paraId="7CD5555F" w14:textId="523FD3EB" w:rsidR="00B87F2A" w:rsidRPr="0070034E" w:rsidRDefault="00B87F2A" w:rsidP="00A15A08">
      <w:pPr>
        <w:pStyle w:val="SCCNormalDoubleSpacing"/>
        <w:tabs>
          <w:tab w:val="clear" w:pos="1168"/>
          <w:tab w:val="left" w:pos="1134"/>
        </w:tabs>
        <w:spacing w:after="480"/>
      </w:pPr>
      <w:r w:rsidRPr="0070034E">
        <w:tab/>
        <w:t xml:space="preserve">In </w:t>
      </w:r>
      <w:r w:rsidRPr="0070034E">
        <w:rPr>
          <w:i/>
        </w:rPr>
        <w:t>Vavilov</w:t>
      </w:r>
      <w:r w:rsidRPr="0070034E">
        <w:t>,</w:t>
      </w:r>
      <w:r w:rsidR="0043324C" w:rsidRPr="0070034E">
        <w:t xml:space="preserve"> </w:t>
      </w:r>
      <w:r w:rsidRPr="0070034E">
        <w:t xml:space="preserve">the Court set out a comprehensive framework for determining the standard of review that applies to any substantive review of an administrative decision and, in </w:t>
      </w:r>
      <w:r w:rsidRPr="0070034E">
        <w:rPr>
          <w:iCs/>
          <w:color w:val="000000"/>
        </w:rPr>
        <w:t>doing</w:t>
      </w:r>
      <w:r w:rsidRPr="0070034E">
        <w:t xml:space="preserve"> so, contemplated questions involving challenges to the </w:t>
      </w:r>
      <w:r w:rsidRPr="0070034E">
        <w:rPr>
          <w:i/>
        </w:rPr>
        <w:t>vires</w:t>
      </w:r>
      <w:r w:rsidRPr="0070034E">
        <w:t xml:space="preserve"> of subordinate legislation. </w:t>
      </w:r>
      <w:r w:rsidRPr="0070034E">
        <w:rPr>
          <w:i/>
        </w:rPr>
        <w:t>Vavilov</w:t>
      </w:r>
      <w:r w:rsidRPr="0070034E">
        <w:t xml:space="preserve">’s framework established a presumption of reasonableness review, subject to limited exceptions where the legislature has indicated that it intends a different standard to apply or where the rule of law requires that the correctness standard be applied. This framework applies to determining the standard for reviewing the </w:t>
      </w:r>
      <w:r w:rsidRPr="0070034E">
        <w:rPr>
          <w:i/>
        </w:rPr>
        <w:t>vires</w:t>
      </w:r>
      <w:r w:rsidRPr="0070034E">
        <w:t xml:space="preserve"> of subordinate legislation.</w:t>
      </w:r>
      <w:r w:rsidRPr="0070034E">
        <w:rPr>
          <w:szCs w:val="24"/>
        </w:rPr>
        <w:t xml:space="preserve"> Subordinate legislation derives its validity from the statute which creates the power, and not from the executive body by which it is made. Accordingly, the identity of the decision maker who enacted it does not determine the standard of review. Unless the legislature has indicated otherwise, or the rule of law requires otherwise, the </w:t>
      </w:r>
      <w:r w:rsidRPr="0070034E">
        <w:rPr>
          <w:i/>
          <w:szCs w:val="24"/>
        </w:rPr>
        <w:t xml:space="preserve">vires </w:t>
      </w:r>
      <w:r w:rsidRPr="0070034E">
        <w:rPr>
          <w:szCs w:val="24"/>
        </w:rPr>
        <w:t>of subordinate legislation are to be reviewed on the reasonableness standard regardless of the delegate who enacted it, their proximity to the legislative branch or the process by which the subordinate legislation was enacted. In the instant case,</w:t>
      </w:r>
      <w:r w:rsidR="0043324C" w:rsidRPr="0070034E">
        <w:rPr>
          <w:szCs w:val="24"/>
        </w:rPr>
        <w:t xml:space="preserve"> </w:t>
      </w:r>
      <w:r w:rsidRPr="0070034E">
        <w:t xml:space="preserve">the legislature has not indicated that the GIC’s decision to establish the </w:t>
      </w:r>
      <w:r w:rsidRPr="0070034E">
        <w:rPr>
          <w:i/>
        </w:rPr>
        <w:t>Guidelines</w:t>
      </w:r>
      <w:r w:rsidRPr="0070034E">
        <w:t xml:space="preserve"> must be reviewed on a standard other than reasonableness, nor does the rule of law require that questions of </w:t>
      </w:r>
      <w:r w:rsidRPr="0070034E">
        <w:rPr>
          <w:i/>
        </w:rPr>
        <w:t>vires</w:t>
      </w:r>
      <w:r w:rsidRPr="0070034E">
        <w:t>, in themselves, be reviewed for correctness. Accordingly, the presumptive standard of reasonableness applies.</w:t>
      </w:r>
    </w:p>
    <w:p w14:paraId="1F392210" w14:textId="5E339C75" w:rsidR="00B87F2A" w:rsidRPr="0070034E" w:rsidRDefault="00B87F2A" w:rsidP="00A15A08">
      <w:pPr>
        <w:pStyle w:val="SCCNormalDoubleSpacing"/>
        <w:tabs>
          <w:tab w:val="clear" w:pos="1168"/>
          <w:tab w:val="left" w:pos="1134"/>
        </w:tabs>
        <w:spacing w:after="480"/>
        <w:rPr>
          <w:szCs w:val="24"/>
        </w:rPr>
      </w:pPr>
      <w:r w:rsidRPr="0070034E">
        <w:tab/>
        <w:t xml:space="preserve">In conducting a reasonableness review, the reviewing court asks whether the decision bears the hallmarks of </w:t>
      </w:r>
      <w:r w:rsidRPr="0070034E">
        <w:rPr>
          <w:iCs/>
          <w:color w:val="000000"/>
        </w:rPr>
        <w:t>reasonableness</w:t>
      </w:r>
      <w:r w:rsidRPr="0070034E">
        <w:t xml:space="preserve"> — justification, transparency and intelligibility —</w:t>
      </w:r>
      <w:r w:rsidRPr="0070034E" w:rsidDel="001962B3">
        <w:t xml:space="preserve"> </w:t>
      </w:r>
      <w:r w:rsidRPr="0070034E">
        <w:t xml:space="preserve">and whether it is justified in relation to the relevant factual and legal constraints that bear on the decision. Many of the principles from the Court’s decision in </w:t>
      </w:r>
      <w:r w:rsidRPr="0070034E">
        <w:rPr>
          <w:i/>
        </w:rPr>
        <w:t xml:space="preserve">Katz Group </w:t>
      </w:r>
      <w:r w:rsidRPr="0070034E">
        <w:rPr>
          <w:szCs w:val="24"/>
        </w:rPr>
        <w:t xml:space="preserve">continue to inform reasonableness review of the </w:t>
      </w:r>
      <w:r w:rsidRPr="0070034E">
        <w:rPr>
          <w:i/>
          <w:szCs w:val="24"/>
        </w:rPr>
        <w:t xml:space="preserve">vires </w:t>
      </w:r>
      <w:r w:rsidRPr="0070034E">
        <w:rPr>
          <w:szCs w:val="24"/>
        </w:rPr>
        <w:t>of subordinate legislation and remain good law. Specifically: (1)</w:t>
      </w:r>
      <w:r w:rsidR="00A15A08" w:rsidRPr="0070034E">
        <w:rPr>
          <w:szCs w:val="24"/>
        </w:rPr>
        <w:t> </w:t>
      </w:r>
      <w:r w:rsidRPr="0070034E">
        <w:rPr>
          <w:szCs w:val="24"/>
        </w:rPr>
        <w:t>subordinate legislation must be consistent both with specific provisions of the enabling statute and with its overriding purpose or object; (2)</w:t>
      </w:r>
      <w:r w:rsidR="00A15A08" w:rsidRPr="0070034E">
        <w:rPr>
          <w:szCs w:val="24"/>
        </w:rPr>
        <w:t> </w:t>
      </w:r>
      <w:r w:rsidRPr="0070034E">
        <w:rPr>
          <w:szCs w:val="24"/>
        </w:rPr>
        <w:t>subordinate legislation benefits from a presumption of validity; (3)</w:t>
      </w:r>
      <w:r w:rsidR="00A15A08" w:rsidRPr="0070034E">
        <w:rPr>
          <w:szCs w:val="24"/>
        </w:rPr>
        <w:t> </w:t>
      </w:r>
      <w:r w:rsidRPr="0070034E">
        <w:rPr>
          <w:szCs w:val="24"/>
        </w:rPr>
        <w:t>the challenged subordinate legislation and the enabling statute should be interpreted using a broad and purposive approach to statutory interpretation; and (4)</w:t>
      </w:r>
      <w:r w:rsidR="00A15A08" w:rsidRPr="0070034E">
        <w:rPr>
          <w:szCs w:val="24"/>
        </w:rPr>
        <w:t> </w:t>
      </w:r>
      <w:r w:rsidRPr="0070034E">
        <w:rPr>
          <w:szCs w:val="24"/>
        </w:rPr>
        <w:t xml:space="preserve">a </w:t>
      </w:r>
      <w:r w:rsidRPr="0070034E">
        <w:rPr>
          <w:i/>
          <w:iCs/>
          <w:szCs w:val="24"/>
        </w:rPr>
        <w:t>vires</w:t>
      </w:r>
      <w:r w:rsidRPr="0070034E">
        <w:rPr>
          <w:szCs w:val="24"/>
        </w:rPr>
        <w:t xml:space="preserve"> review does not involve assessing the policy merits of the subordinate legislation to determine whether it is necessary, wise, or effective in practice.</w:t>
      </w:r>
    </w:p>
    <w:p w14:paraId="414DFD95" w14:textId="27E19560" w:rsidR="00A15A08" w:rsidRPr="0070034E" w:rsidRDefault="00B87F2A" w:rsidP="00A15A08">
      <w:pPr>
        <w:pStyle w:val="SCCNormalDoubleSpacing"/>
        <w:tabs>
          <w:tab w:val="clear" w:pos="1168"/>
          <w:tab w:val="left" w:pos="1134"/>
        </w:tabs>
        <w:spacing w:after="480"/>
        <w:rPr>
          <w:szCs w:val="24"/>
        </w:rPr>
      </w:pPr>
      <w:r w:rsidRPr="0070034E">
        <w:rPr>
          <w:szCs w:val="24"/>
        </w:rPr>
        <w:tab/>
      </w:r>
      <w:r w:rsidRPr="0070034E">
        <w:t xml:space="preserve">All of the above principles from </w:t>
      </w:r>
      <w:r w:rsidRPr="0070034E">
        <w:rPr>
          <w:i/>
        </w:rPr>
        <w:t>Katz Group</w:t>
      </w:r>
      <w:r w:rsidRPr="0070034E">
        <w:t>, including the principle that subordinate legislation benefits from a presumption of validity, have been repeatedly affirmed by the Court’s jurisprudence. The presumption of validity has two aspects: (1)</w:t>
      </w:r>
      <w:r w:rsidR="00A15A08" w:rsidRPr="0070034E">
        <w:t> </w:t>
      </w:r>
      <w:r w:rsidRPr="0070034E">
        <w:t xml:space="preserve">it places the burden on </w:t>
      </w:r>
      <w:r w:rsidRPr="0070034E">
        <w:rPr>
          <w:iCs/>
          <w:color w:val="000000"/>
        </w:rPr>
        <w:t>challengers</w:t>
      </w:r>
      <w:r w:rsidRPr="0070034E">
        <w:t xml:space="preserve"> to demonstrate the invalidity of subordinate legislation; and (2)</w:t>
      </w:r>
      <w:r w:rsidR="00A15A08" w:rsidRPr="0070034E">
        <w:t> </w:t>
      </w:r>
      <w:r w:rsidRPr="0070034E">
        <w:t xml:space="preserve">it favours an interpretive approach that reconciles the subordinate legislation with its enabling statute so that, where possible, the subordinate legislation is construed in a manner which renders it </w:t>
      </w:r>
      <w:r w:rsidRPr="0070034E">
        <w:rPr>
          <w:i/>
        </w:rPr>
        <w:t>intra vires</w:t>
      </w:r>
      <w:r w:rsidRPr="0070034E">
        <w:t xml:space="preserve">. When the reasonableness standard applies, challengers must demonstrate that the subordinate legislation does not fall within a reasonable interpretation of the delegate’s statutory authority to overcome the presumption of validity. </w:t>
      </w:r>
      <w:r w:rsidRPr="0070034E">
        <w:rPr>
          <w:szCs w:val="24"/>
        </w:rPr>
        <w:t xml:space="preserve">For subordinate legislation to be found </w:t>
      </w:r>
      <w:r w:rsidRPr="0070034E">
        <w:rPr>
          <w:i/>
          <w:szCs w:val="24"/>
        </w:rPr>
        <w:t>ultra vires</w:t>
      </w:r>
      <w:r w:rsidRPr="0070034E">
        <w:rPr>
          <w:szCs w:val="24"/>
        </w:rPr>
        <w:t xml:space="preserve"> on the basis that it is inconsistent with the purpose of the enabling statute, it no longer needs to be irrelevant, extraneous or completely unrelated to that statutory purpose </w:t>
      </w:r>
      <w:r w:rsidRPr="0070034E">
        <w:t>—</w:t>
      </w:r>
      <w:r w:rsidRPr="0070034E">
        <w:rPr>
          <w:szCs w:val="24"/>
        </w:rPr>
        <w:t xml:space="preserve"> maintaining this threshold from </w:t>
      </w:r>
      <w:r w:rsidRPr="0070034E">
        <w:rPr>
          <w:i/>
          <w:szCs w:val="24"/>
        </w:rPr>
        <w:t xml:space="preserve">Katz Group </w:t>
      </w:r>
      <w:r w:rsidRPr="0070034E">
        <w:rPr>
          <w:szCs w:val="24"/>
        </w:rPr>
        <w:t xml:space="preserve">in the face of the significant sea change brought about by </w:t>
      </w:r>
      <w:r w:rsidRPr="0070034E">
        <w:rPr>
          <w:i/>
          <w:szCs w:val="24"/>
        </w:rPr>
        <w:t xml:space="preserve">Vavilov </w:t>
      </w:r>
      <w:r w:rsidRPr="0070034E">
        <w:rPr>
          <w:szCs w:val="24"/>
        </w:rPr>
        <w:t xml:space="preserve">would perpetuate uncertainty in the law, would be inconsistent with the robust reasonableness review detailed in </w:t>
      </w:r>
      <w:r w:rsidRPr="0070034E">
        <w:rPr>
          <w:i/>
          <w:szCs w:val="24"/>
        </w:rPr>
        <w:t>Vavilov</w:t>
      </w:r>
      <w:r w:rsidRPr="0070034E">
        <w:rPr>
          <w:szCs w:val="24"/>
        </w:rPr>
        <w:t xml:space="preserve">, and would undermine </w:t>
      </w:r>
      <w:r w:rsidRPr="0070034E">
        <w:rPr>
          <w:i/>
          <w:szCs w:val="24"/>
        </w:rPr>
        <w:t>Vavilov</w:t>
      </w:r>
      <w:r w:rsidRPr="0070034E">
        <w:rPr>
          <w:szCs w:val="24"/>
        </w:rPr>
        <w:t xml:space="preserve">’s promise of simplicity, predictability and coherence. As such, there is a sound basis for a narrow departure from </w:t>
      </w:r>
      <w:r w:rsidRPr="0070034E">
        <w:rPr>
          <w:i/>
          <w:szCs w:val="24"/>
        </w:rPr>
        <w:t>Katz Group</w:t>
      </w:r>
      <w:r w:rsidRPr="0070034E">
        <w:rPr>
          <w:szCs w:val="24"/>
        </w:rPr>
        <w:t>.</w:t>
      </w:r>
    </w:p>
    <w:p w14:paraId="6DDC7FB9" w14:textId="6E2CA1F4" w:rsidR="00B87F2A" w:rsidRPr="0070034E" w:rsidRDefault="00B87F2A" w:rsidP="00A15A08">
      <w:pPr>
        <w:pStyle w:val="SCCNormalDoubleSpacing"/>
        <w:tabs>
          <w:tab w:val="clear" w:pos="1168"/>
          <w:tab w:val="left" w:pos="1134"/>
        </w:tabs>
        <w:spacing w:after="480"/>
        <w:rPr>
          <w:szCs w:val="24"/>
        </w:rPr>
      </w:pPr>
      <w:r w:rsidRPr="0070034E">
        <w:rPr>
          <w:szCs w:val="24"/>
        </w:rPr>
        <w:tab/>
        <w:t xml:space="preserve">Reasonableness </w:t>
      </w:r>
      <w:r w:rsidRPr="0070034E">
        <w:rPr>
          <w:iCs/>
          <w:color w:val="000000"/>
        </w:rPr>
        <w:t>review</w:t>
      </w:r>
      <w:r w:rsidRPr="0070034E">
        <w:rPr>
          <w:szCs w:val="24"/>
        </w:rPr>
        <w:t xml:space="preserve"> is possible in the absence of formal reasons. Most of the time, formal reasons are not provided for the enactment of subordinate legislation; however, </w:t>
      </w:r>
      <w:r w:rsidRPr="0070034E">
        <w:rPr>
          <w:i/>
          <w:szCs w:val="24"/>
        </w:rPr>
        <w:t xml:space="preserve">Vavilov </w:t>
      </w:r>
      <w:r w:rsidRPr="0070034E">
        <w:rPr>
          <w:szCs w:val="24"/>
        </w:rPr>
        <w:t xml:space="preserve">contemplated reasonableness review in the absence of formal reasons, including in the context of a </w:t>
      </w:r>
      <w:r w:rsidRPr="0070034E">
        <w:rPr>
          <w:i/>
          <w:szCs w:val="24"/>
        </w:rPr>
        <w:t xml:space="preserve">vires </w:t>
      </w:r>
      <w:r w:rsidRPr="0070034E">
        <w:rPr>
          <w:szCs w:val="24"/>
        </w:rPr>
        <w:t xml:space="preserve">review of subordinate legislation. The reasoning process can often be deduced from various sources. Furthermore, reasonableness review is not an examination of policy merits. A court’s role is to review the legality or validity of the subordinate legislation, not to review whether it is necessary, wise, or effective in practice. Potential or actual consequences of the subordinate legislation are relevant only insofar as a reviewing court must determine whether the statutory delegate was reasonably authorized to enact subordinate legislation that would have such consequences. The reasonableness standard does not assess the reasonableness of the rules promulgated by the relevant authority nor is it an inquiry into its underlying political, economic, social, or partisan considerations; rather </w:t>
      </w:r>
      <w:r w:rsidRPr="0070034E">
        <w:t xml:space="preserve">reviewing the </w:t>
      </w:r>
      <w:r w:rsidRPr="0070034E">
        <w:rPr>
          <w:i/>
          <w:iCs/>
        </w:rPr>
        <w:t xml:space="preserve">vires </w:t>
      </w:r>
      <w:r w:rsidRPr="0070034E">
        <w:t>of subordinate legislation is fundamentally an exercise of statutory interpretation to ensure that the delegate has acted within the scope of their lawful authority under the enabling statute.</w:t>
      </w:r>
      <w:r w:rsidR="0043324C" w:rsidRPr="0070034E">
        <w:t xml:space="preserve"> </w:t>
      </w:r>
      <w:r w:rsidRPr="0070034E">
        <w:t xml:space="preserve">The governing statutory scheme, other applicable statutory or common law, and the principles of statutory interpretation are relevant constraints when reviewing the </w:t>
      </w:r>
      <w:r w:rsidRPr="0070034E">
        <w:rPr>
          <w:i/>
        </w:rPr>
        <w:t xml:space="preserve">vires </w:t>
      </w:r>
      <w:r w:rsidRPr="0070034E">
        <w:t xml:space="preserve">of subordinate legislation. </w:t>
      </w:r>
      <w:r w:rsidRPr="0070034E">
        <w:rPr>
          <w:szCs w:val="24"/>
        </w:rPr>
        <w:t>The language chosen by the legislature in an enabling statute describes the limits and contours of a delegate’s authority. The legislature may use precise and narrow language to delineate the power in detail, thereby tightly constraining the delegate’s authority, or may use broad, open</w:t>
      </w:r>
      <w:r w:rsidRPr="0070034E">
        <w:rPr>
          <w:szCs w:val="24"/>
        </w:rPr>
        <w:noBreakHyphen/>
        <w:t>ended or highly qualitative language, thereby conferring broad authority on the delegate. Statutory delegates must respect the legislature’s choice in this regard. The scope of a statutory delegate’s authority may also be constrained by other statutory or common law. Unless the enabling statute provides otherwise, when enacting subordinate legislation, statutory delegates must adopt an interpretation of their authority that is consistent with other legislation and applicable common law principles.</w:t>
      </w:r>
    </w:p>
    <w:p w14:paraId="3F1CDA16" w14:textId="15C8EE6E" w:rsidR="00B87F2A" w:rsidRPr="0070034E" w:rsidRDefault="00B87F2A" w:rsidP="00A15A08">
      <w:pPr>
        <w:pStyle w:val="SCCNormalDoubleSpacing"/>
        <w:tabs>
          <w:tab w:val="clear" w:pos="1168"/>
          <w:tab w:val="left" w:pos="1134"/>
        </w:tabs>
        <w:spacing w:after="480"/>
        <w:rPr>
          <w:szCs w:val="24"/>
        </w:rPr>
      </w:pPr>
      <w:r w:rsidRPr="0070034E">
        <w:rPr>
          <w:szCs w:val="24"/>
        </w:rPr>
        <w:tab/>
        <w:t>In addition,</w:t>
      </w:r>
      <w:r w:rsidR="0043324C" w:rsidRPr="0070034E">
        <w:rPr>
          <w:szCs w:val="24"/>
        </w:rPr>
        <w:t xml:space="preserve"> </w:t>
      </w:r>
      <w:r w:rsidRPr="0070034E">
        <w:rPr>
          <w:szCs w:val="24"/>
        </w:rPr>
        <w:t xml:space="preserve">statutory delegates are empowered to interpret the scope of their authority when enacting subordinate legislation, but their interpretation must be consistent with the text, context, and purpose of the enabling statute. The words of the enabling statute must be read in their entire context and in their grammatical and ordinary sense harmoniously with the scheme of the Act, the object of the Act, and the intention of Parliament, in accordance with the modern principle of statutory interpretation. In conducting a </w:t>
      </w:r>
      <w:r w:rsidRPr="0070034E">
        <w:rPr>
          <w:i/>
          <w:iCs/>
          <w:szCs w:val="24"/>
        </w:rPr>
        <w:t xml:space="preserve">vires </w:t>
      </w:r>
      <w:r w:rsidRPr="0070034E">
        <w:rPr>
          <w:szCs w:val="24"/>
        </w:rPr>
        <w:t xml:space="preserve">review, a court does not undertake a </w:t>
      </w:r>
      <w:r w:rsidRPr="0070034E">
        <w:rPr>
          <w:i/>
          <w:iCs/>
          <w:szCs w:val="24"/>
        </w:rPr>
        <w:t xml:space="preserve">de novo </w:t>
      </w:r>
      <w:r w:rsidRPr="0070034E">
        <w:rPr>
          <w:szCs w:val="24"/>
        </w:rPr>
        <w:t>analysis to determine the correct interpretation of the enabling statute and then ask whether, on that interpretation, the delegate had the authority to enact the subordinate legislation. Rather, the court ensures that the delegate’s exercise of authority falls within a reasonable interpretation of the enabling statute, having regard to the relevant constraints.</w:t>
      </w:r>
    </w:p>
    <w:p w14:paraId="50E75DD3" w14:textId="0E67B64A" w:rsidR="00B87F2A" w:rsidRPr="0070034E" w:rsidRDefault="00B87F2A" w:rsidP="00A15A08">
      <w:pPr>
        <w:pStyle w:val="SCCNormalDoubleSpacing"/>
        <w:tabs>
          <w:tab w:val="clear" w:pos="1168"/>
          <w:tab w:val="left" w:pos="1134"/>
        </w:tabs>
        <w:spacing w:after="480"/>
        <w:rPr>
          <w:szCs w:val="24"/>
        </w:rPr>
      </w:pPr>
      <w:r w:rsidRPr="0070034E">
        <w:rPr>
          <w:szCs w:val="24"/>
        </w:rPr>
        <w:tab/>
        <w:t xml:space="preserve">Applying the reasonableness standard to review the </w:t>
      </w:r>
      <w:r w:rsidRPr="0070034E">
        <w:rPr>
          <w:i/>
          <w:szCs w:val="24"/>
        </w:rPr>
        <w:t>vires</w:t>
      </w:r>
      <w:r w:rsidRPr="0070034E">
        <w:rPr>
          <w:szCs w:val="24"/>
        </w:rPr>
        <w:t xml:space="preserve"> of the </w:t>
      </w:r>
      <w:r w:rsidRPr="0070034E">
        <w:rPr>
          <w:i/>
          <w:szCs w:val="24"/>
        </w:rPr>
        <w:t>Guidelines</w:t>
      </w:r>
      <w:r w:rsidRPr="0070034E">
        <w:rPr>
          <w:szCs w:val="24"/>
        </w:rPr>
        <w:t xml:space="preserve">, the conclusion is that they are within the GIC’s scope of authority and are therefore </w:t>
      </w:r>
      <w:r w:rsidRPr="0070034E">
        <w:rPr>
          <w:i/>
          <w:szCs w:val="24"/>
        </w:rPr>
        <w:t>intra vires</w:t>
      </w:r>
      <w:r w:rsidRPr="0070034E">
        <w:rPr>
          <w:szCs w:val="24"/>
        </w:rPr>
        <w:t>. The GIC’s statutory grant of authority is extremely broad. The GIC was entitled to choose an approach to calculating child support that (1)</w:t>
      </w:r>
      <w:r w:rsidR="00A15A08" w:rsidRPr="0070034E">
        <w:rPr>
          <w:szCs w:val="24"/>
        </w:rPr>
        <w:t> </w:t>
      </w:r>
      <w:r w:rsidRPr="0070034E">
        <w:rPr>
          <w:szCs w:val="24"/>
        </w:rPr>
        <w:t>does not take into account the recipient parent’s income; (2)</w:t>
      </w:r>
      <w:r w:rsidR="00A15A08" w:rsidRPr="0070034E">
        <w:rPr>
          <w:szCs w:val="24"/>
        </w:rPr>
        <w:t> </w:t>
      </w:r>
      <w:r w:rsidRPr="0070034E">
        <w:rPr>
          <w:szCs w:val="24"/>
        </w:rPr>
        <w:t>assumes that parents spend the same linear percentage of income on their children regardless of the parents’ levels of income and the children’s ages; (3)</w:t>
      </w:r>
      <w:r w:rsidR="00A15A08" w:rsidRPr="0070034E">
        <w:rPr>
          <w:szCs w:val="24"/>
        </w:rPr>
        <w:t> </w:t>
      </w:r>
      <w:r w:rsidRPr="0070034E">
        <w:rPr>
          <w:szCs w:val="24"/>
        </w:rPr>
        <w:t>does not take into account government child benefits paid to recipient parents; (4)</w:t>
      </w:r>
      <w:r w:rsidR="00A15A08" w:rsidRPr="0070034E">
        <w:rPr>
          <w:szCs w:val="24"/>
        </w:rPr>
        <w:t> </w:t>
      </w:r>
      <w:r w:rsidRPr="0070034E">
        <w:rPr>
          <w:szCs w:val="24"/>
        </w:rPr>
        <w:t>does not take into account direct spending on the child by the payer parent when that parent exercises less than 40 percent of annual parenting time; and (5)</w:t>
      </w:r>
      <w:r w:rsidR="00A15A08" w:rsidRPr="0070034E">
        <w:rPr>
          <w:szCs w:val="24"/>
        </w:rPr>
        <w:t> </w:t>
      </w:r>
      <w:r w:rsidRPr="0070034E">
        <w:rPr>
          <w:szCs w:val="24"/>
        </w:rPr>
        <w:t xml:space="preserve">risks double counting certain special or extraordinary expenses. Each of these decisions fell squarely within the scope of the authority delegated </w:t>
      </w:r>
      <w:bookmarkEnd w:id="1"/>
      <w:r w:rsidRPr="0070034E">
        <w:rPr>
          <w:szCs w:val="24"/>
        </w:rPr>
        <w:t xml:space="preserve">to the GIC under the </w:t>
      </w:r>
      <w:r w:rsidRPr="0070034E">
        <w:rPr>
          <w:i/>
          <w:szCs w:val="24"/>
        </w:rPr>
        <w:t>Divorce Act</w:t>
      </w:r>
      <w:r w:rsidRPr="0070034E">
        <w:rPr>
          <w:szCs w:val="24"/>
        </w:rPr>
        <w:t>.</w:t>
      </w:r>
    </w:p>
    <w:p w14:paraId="0527DC9F" w14:textId="77777777" w:rsidR="007E1C47" w:rsidRPr="0070034E" w:rsidRDefault="002E6705" w:rsidP="00346E9B">
      <w:pPr>
        <w:pStyle w:val="SCCNormalDoubleSpacing"/>
        <w:spacing w:after="720" w:line="240" w:lineRule="auto"/>
        <w:rPr>
          <w:b/>
        </w:rPr>
      </w:pPr>
      <w:r w:rsidRPr="0070034E">
        <w:rPr>
          <w:b/>
        </w:rPr>
        <w:t>Cases Cited</w:t>
      </w:r>
    </w:p>
    <w:p w14:paraId="49523DDA" w14:textId="75EC5187" w:rsidR="00CB6A11" w:rsidRPr="0070034E" w:rsidRDefault="002E6705" w:rsidP="00C85B92">
      <w:pPr>
        <w:pStyle w:val="SCCNormalDoubleSpacing"/>
        <w:spacing w:after="480"/>
      </w:pPr>
      <w:r w:rsidRPr="0070034E">
        <w:tab/>
      </w:r>
      <w:r w:rsidR="00872437" w:rsidRPr="0070034E">
        <w:rPr>
          <w:b/>
        </w:rPr>
        <w:t>Applied:</w:t>
      </w:r>
      <w:r w:rsidR="00872437" w:rsidRPr="0070034E">
        <w:t xml:space="preserve"> </w:t>
      </w:r>
      <w:r w:rsidR="00872437" w:rsidRPr="0070034E">
        <w:rPr>
          <w:i/>
          <w:iCs/>
          <w:szCs w:val="24"/>
        </w:rPr>
        <w:t>Canada (Minister of Citizenship and Immigration) v. Vavilov</w:t>
      </w:r>
      <w:r w:rsidR="00872437" w:rsidRPr="0070034E">
        <w:rPr>
          <w:szCs w:val="24"/>
        </w:rPr>
        <w:t xml:space="preserve">, 2019 SCC 65, [2019] 4 S.C.R. 653; </w:t>
      </w:r>
      <w:r w:rsidR="00872437" w:rsidRPr="0070034E">
        <w:rPr>
          <w:b/>
          <w:szCs w:val="24"/>
        </w:rPr>
        <w:t>explained</w:t>
      </w:r>
      <w:r w:rsidRPr="0070034E">
        <w:rPr>
          <w:b/>
        </w:rPr>
        <w:t>:</w:t>
      </w:r>
      <w:r w:rsidR="00BD0E9E" w:rsidRPr="0070034E">
        <w:t xml:space="preserve"> </w:t>
      </w:r>
      <w:r w:rsidR="00A6145D" w:rsidRPr="0070034E">
        <w:rPr>
          <w:i/>
          <w:iCs/>
          <w:szCs w:val="24"/>
        </w:rPr>
        <w:t>Katz Group Canada Inc</w:t>
      </w:r>
      <w:r w:rsidR="00A6145D" w:rsidRPr="0070034E">
        <w:rPr>
          <w:i/>
          <w:szCs w:val="24"/>
        </w:rPr>
        <w:t>.</w:t>
      </w:r>
      <w:r w:rsidR="00A6145D" w:rsidRPr="0070034E">
        <w:rPr>
          <w:i/>
          <w:iCs/>
          <w:szCs w:val="24"/>
        </w:rPr>
        <w:t xml:space="preserve"> v. Ontario (Health and Long</w:t>
      </w:r>
      <w:r w:rsidR="00A6145D" w:rsidRPr="0070034E">
        <w:rPr>
          <w:i/>
          <w:iCs/>
          <w:szCs w:val="24"/>
        </w:rPr>
        <w:noBreakHyphen/>
        <w:t>Term Care)</w:t>
      </w:r>
      <w:r w:rsidR="00A6145D" w:rsidRPr="0070034E">
        <w:rPr>
          <w:szCs w:val="24"/>
        </w:rPr>
        <w:t xml:space="preserve">, 2013 SCC 64, [2013] 3 S.C.R. 810; </w:t>
      </w:r>
      <w:r w:rsidR="00872437" w:rsidRPr="0070034E">
        <w:rPr>
          <w:b/>
          <w:szCs w:val="24"/>
        </w:rPr>
        <w:t>r</w:t>
      </w:r>
      <w:r w:rsidR="00872437" w:rsidRPr="0070034E">
        <w:rPr>
          <w:b/>
        </w:rPr>
        <w:t xml:space="preserve">eferred to: </w:t>
      </w:r>
      <w:r w:rsidR="001C4507" w:rsidRPr="0070034E">
        <w:rPr>
          <w:i/>
          <w:iCs/>
        </w:rPr>
        <w:t>Green v. Law Society of Manitoba</w:t>
      </w:r>
      <w:r w:rsidR="001C4507" w:rsidRPr="0070034E">
        <w:t xml:space="preserve">, 2017 SCC 20, [2017] 1 S.C.R. </w:t>
      </w:r>
      <w:r w:rsidR="001C4507" w:rsidRPr="0070034E">
        <w:rPr>
          <w:szCs w:val="24"/>
        </w:rPr>
        <w:t xml:space="preserve">360; </w:t>
      </w:r>
      <w:r w:rsidR="00B30694" w:rsidRPr="0070034E">
        <w:rPr>
          <w:i/>
          <w:iCs/>
        </w:rPr>
        <w:t>West Fraser Mills Ltd. v. British Columbia (Workers’ Compensation Appeal Tribunal)</w:t>
      </w:r>
      <w:r w:rsidR="00B30694" w:rsidRPr="0070034E">
        <w:t xml:space="preserve">, 2018 SCC 22, [2018] 1 S.C.R. 635; </w:t>
      </w:r>
      <w:r w:rsidR="00290FAA" w:rsidRPr="0070034E">
        <w:rPr>
          <w:i/>
          <w:iCs/>
        </w:rPr>
        <w:t>Canada (Canadian Human Rights Commission) v. Canada (Attorney General)</w:t>
      </w:r>
      <w:r w:rsidR="00290FAA" w:rsidRPr="0070034E">
        <w:t xml:space="preserve">, 2018 SCC 31, [2018] 2 S.C.R. 230; </w:t>
      </w:r>
      <w:r w:rsidR="00440BFF" w:rsidRPr="0070034E">
        <w:rPr>
          <w:i/>
          <w:iCs/>
        </w:rPr>
        <w:t>Catalyst Paper Corp. v. North Cowichan (District)</w:t>
      </w:r>
      <w:r w:rsidR="00440BFF" w:rsidRPr="0070034E">
        <w:t xml:space="preserve">, 2012 SCC 2, </w:t>
      </w:r>
      <w:r w:rsidR="00440BFF" w:rsidRPr="0070034E">
        <w:rPr>
          <w:szCs w:val="24"/>
        </w:rPr>
        <w:t>[2012] 1 S.C.R. 5</w:t>
      </w:r>
      <w:r w:rsidR="00B24D03" w:rsidRPr="0070034E">
        <w:rPr>
          <w:szCs w:val="24"/>
        </w:rPr>
        <w:t xml:space="preserve">; </w:t>
      </w:r>
      <w:r w:rsidR="00B24D03" w:rsidRPr="0070034E">
        <w:rPr>
          <w:i/>
          <w:iCs/>
          <w:szCs w:val="24"/>
        </w:rPr>
        <w:t>United Taxi Drivers’ Fellowship of Southern Alberta v. Calgary (City)</w:t>
      </w:r>
      <w:r w:rsidR="00B24D03" w:rsidRPr="0070034E">
        <w:rPr>
          <w:szCs w:val="24"/>
        </w:rPr>
        <w:t>, 2004 SCC 19, [2004] 1 S.C.R. 485</w:t>
      </w:r>
      <w:r w:rsidR="00585039" w:rsidRPr="0070034E">
        <w:rPr>
          <w:szCs w:val="24"/>
        </w:rPr>
        <w:t xml:space="preserve">; </w:t>
      </w:r>
      <w:proofErr w:type="spellStart"/>
      <w:r w:rsidR="00585039" w:rsidRPr="0070034E">
        <w:rPr>
          <w:i/>
          <w:iCs/>
          <w:szCs w:val="24"/>
        </w:rPr>
        <w:t>Jafari</w:t>
      </w:r>
      <w:proofErr w:type="spellEnd"/>
      <w:r w:rsidR="00585039" w:rsidRPr="0070034E">
        <w:rPr>
          <w:i/>
          <w:iCs/>
          <w:szCs w:val="24"/>
        </w:rPr>
        <w:t xml:space="preserve"> v. Canada (Minister of Employment and Immigration)</w:t>
      </w:r>
      <w:r w:rsidR="00585039" w:rsidRPr="0070034E">
        <w:rPr>
          <w:szCs w:val="24"/>
        </w:rPr>
        <w:t>, [1995] 2 F.C. 595</w:t>
      </w:r>
      <w:r w:rsidR="00440BFF" w:rsidRPr="0070034E">
        <w:rPr>
          <w:szCs w:val="24"/>
        </w:rPr>
        <w:t xml:space="preserve">; </w:t>
      </w:r>
      <w:r w:rsidR="002B22E9" w:rsidRPr="0070034E">
        <w:rPr>
          <w:i/>
          <w:iCs/>
          <w:szCs w:val="24"/>
        </w:rPr>
        <w:t>Thorne’s Hardware Ltd. v. The Queen</w:t>
      </w:r>
      <w:r w:rsidR="002B22E9" w:rsidRPr="0070034E">
        <w:rPr>
          <w:szCs w:val="24"/>
        </w:rPr>
        <w:t xml:space="preserve">, [1983] 1 S.C.R. 106; </w:t>
      </w:r>
      <w:r w:rsidR="00781C77" w:rsidRPr="0070034E">
        <w:rPr>
          <w:i/>
          <w:szCs w:val="24"/>
        </w:rPr>
        <w:t>Terrigno v</w:t>
      </w:r>
      <w:r w:rsidR="00781C77" w:rsidRPr="0070034E">
        <w:rPr>
          <w:szCs w:val="24"/>
        </w:rPr>
        <w:t>.</w:t>
      </w:r>
      <w:r w:rsidR="00781C77" w:rsidRPr="0070034E">
        <w:rPr>
          <w:i/>
          <w:szCs w:val="24"/>
        </w:rPr>
        <w:t xml:space="preserve"> Calgary (City)</w:t>
      </w:r>
      <w:r w:rsidR="00781C77" w:rsidRPr="0070034E">
        <w:rPr>
          <w:szCs w:val="24"/>
        </w:rPr>
        <w:t xml:space="preserve">, 2021 ABQB 41, 1 Admin. L.R. (7th) 134; </w:t>
      </w:r>
      <w:r w:rsidR="008958CA" w:rsidRPr="0070034E">
        <w:rPr>
          <w:i/>
          <w:szCs w:val="24"/>
        </w:rPr>
        <w:t>Canada (Attorney General) v. Power</w:t>
      </w:r>
      <w:r w:rsidR="008958CA" w:rsidRPr="0070034E">
        <w:rPr>
          <w:szCs w:val="24"/>
        </w:rPr>
        <w:t>,</w:t>
      </w:r>
      <w:r w:rsidR="008958CA" w:rsidRPr="0070034E">
        <w:rPr>
          <w:i/>
          <w:szCs w:val="24"/>
        </w:rPr>
        <w:t xml:space="preserve"> </w:t>
      </w:r>
      <w:r w:rsidR="008958CA" w:rsidRPr="0070034E">
        <w:rPr>
          <w:szCs w:val="24"/>
        </w:rPr>
        <w:t xml:space="preserve">2024 SCC 26; </w:t>
      </w:r>
      <w:r w:rsidR="00CB6A11" w:rsidRPr="0070034E">
        <w:rPr>
          <w:i/>
        </w:rPr>
        <w:t>R. v. Kirkpatrick</w:t>
      </w:r>
      <w:r w:rsidR="00CB6A11" w:rsidRPr="0070034E">
        <w:t xml:space="preserve">, 2022 SCC 33; </w:t>
      </w:r>
      <w:r w:rsidR="00563C6A" w:rsidRPr="0070034E">
        <w:rPr>
          <w:i/>
          <w:iCs/>
          <w:szCs w:val="24"/>
        </w:rPr>
        <w:t>References re Greenhouse Gas Pollution Pricing Act</w:t>
      </w:r>
      <w:r w:rsidR="00563C6A" w:rsidRPr="0070034E">
        <w:rPr>
          <w:szCs w:val="24"/>
        </w:rPr>
        <w:t xml:space="preserve">, 2021 SCC 11, [2021] 1 S.C.R. 175; </w:t>
      </w:r>
      <w:r w:rsidR="00D30851" w:rsidRPr="0070034E">
        <w:rPr>
          <w:i/>
          <w:iCs/>
          <w:szCs w:val="24"/>
        </w:rPr>
        <w:t>Reference re</w:t>
      </w:r>
      <w:r w:rsidR="00D30851" w:rsidRPr="0070034E">
        <w:rPr>
          <w:szCs w:val="24"/>
        </w:rPr>
        <w:t xml:space="preserve"> </w:t>
      </w:r>
      <w:r w:rsidR="00D30851" w:rsidRPr="0070034E">
        <w:rPr>
          <w:i/>
          <w:iCs/>
          <w:szCs w:val="24"/>
        </w:rPr>
        <w:t>Impact Assessment Act</w:t>
      </w:r>
      <w:r w:rsidR="00D30851" w:rsidRPr="0070034E">
        <w:rPr>
          <w:szCs w:val="24"/>
        </w:rPr>
        <w:t xml:space="preserve">, 2023 SCC 23; </w:t>
      </w:r>
      <w:r w:rsidR="00D63F6D" w:rsidRPr="0070034E">
        <w:rPr>
          <w:i/>
          <w:iCs/>
          <w:szCs w:val="24"/>
        </w:rPr>
        <w:t>Canadian Council for Refugees v. Canada (Citizenship and Immigration)</w:t>
      </w:r>
      <w:r w:rsidR="00D63F6D" w:rsidRPr="0070034E">
        <w:rPr>
          <w:szCs w:val="24"/>
        </w:rPr>
        <w:t xml:space="preserve">, 2023 SCC 17; </w:t>
      </w:r>
      <w:r w:rsidR="008042EF" w:rsidRPr="0070034E">
        <w:rPr>
          <w:i/>
          <w:iCs/>
        </w:rPr>
        <w:t>La Rose v. Canada</w:t>
      </w:r>
      <w:r w:rsidR="008042EF" w:rsidRPr="0070034E">
        <w:t xml:space="preserve">, 2023 FCA 241, </w:t>
      </w:r>
      <w:r w:rsidR="008042EF" w:rsidRPr="0070034E">
        <w:rPr>
          <w:szCs w:val="24"/>
        </w:rPr>
        <w:t xml:space="preserve">488 D.L.R. (4th) 340; </w:t>
      </w:r>
      <w:proofErr w:type="spellStart"/>
      <w:r w:rsidR="00091595" w:rsidRPr="0070034E">
        <w:rPr>
          <w:i/>
        </w:rPr>
        <w:t>Portnov</w:t>
      </w:r>
      <w:proofErr w:type="spellEnd"/>
      <w:r w:rsidR="00091595" w:rsidRPr="0070034E">
        <w:rPr>
          <w:i/>
        </w:rPr>
        <w:t xml:space="preserve"> v. Canada</w:t>
      </w:r>
      <w:r w:rsidR="00091595" w:rsidRPr="0070034E">
        <w:t xml:space="preserve"> </w:t>
      </w:r>
      <w:r w:rsidR="00091595" w:rsidRPr="0070034E">
        <w:rPr>
          <w:i/>
        </w:rPr>
        <w:t>(Attorney General)</w:t>
      </w:r>
      <w:r w:rsidR="00091595" w:rsidRPr="0070034E">
        <w:t xml:space="preserve">, 2021 FCA 171, [2021] 4 F.C.R. 501; </w:t>
      </w:r>
      <w:r w:rsidR="000A3D3A" w:rsidRPr="0070034E">
        <w:rPr>
          <w:i/>
        </w:rPr>
        <w:t>Innovative Medicines Canada v. Canada (Attorney General)</w:t>
      </w:r>
      <w:r w:rsidR="000A3D3A" w:rsidRPr="0070034E">
        <w:t>, 2022 FCA 210, 8 Admin. L.R. (7th) 44</w:t>
      </w:r>
      <w:r w:rsidR="00C90954" w:rsidRPr="0070034E">
        <w:t xml:space="preserve">; </w:t>
      </w:r>
      <w:r w:rsidR="00AF4399" w:rsidRPr="0070034E">
        <w:rPr>
          <w:i/>
          <w:iCs/>
          <w:szCs w:val="24"/>
        </w:rPr>
        <w:t>Reference as to the Validity of the Regulations in relation to Chemicals</w:t>
      </w:r>
      <w:r w:rsidR="00AF4399" w:rsidRPr="0070034E">
        <w:rPr>
          <w:szCs w:val="24"/>
        </w:rPr>
        <w:t xml:space="preserve">, [1943] S.C.R. 1; </w:t>
      </w:r>
      <w:r w:rsidR="00976164" w:rsidRPr="0070034E">
        <w:rPr>
          <w:i/>
          <w:iCs/>
          <w:szCs w:val="24"/>
        </w:rPr>
        <w:t>British Columbia (Attorney General) v. Le</w:t>
      </w:r>
      <w:r w:rsidR="00976164" w:rsidRPr="0070034E">
        <w:rPr>
          <w:szCs w:val="24"/>
        </w:rPr>
        <w:t xml:space="preserve">, 2023 BCCA 200, 482 D.L.R. (4th) 20; </w:t>
      </w:r>
      <w:r w:rsidR="00481AAA" w:rsidRPr="0070034E">
        <w:rPr>
          <w:i/>
          <w:iCs/>
        </w:rPr>
        <w:t xml:space="preserve">Minister of Indian Affairs and Northern Development v. </w:t>
      </w:r>
      <w:proofErr w:type="spellStart"/>
      <w:r w:rsidR="00481AAA" w:rsidRPr="0070034E">
        <w:rPr>
          <w:i/>
          <w:iCs/>
        </w:rPr>
        <w:t>Ranville</w:t>
      </w:r>
      <w:proofErr w:type="spellEnd"/>
      <w:r w:rsidR="00481AAA" w:rsidRPr="0070034E">
        <w:t xml:space="preserve">, [1982] 2 </w:t>
      </w:r>
      <w:proofErr w:type="spellStart"/>
      <w:r w:rsidR="00481AAA" w:rsidRPr="0070034E">
        <w:t>S.C.R</w:t>
      </w:r>
      <w:proofErr w:type="spellEnd"/>
      <w:r w:rsidR="00481AAA" w:rsidRPr="0070034E">
        <w:t xml:space="preserve">. 518; </w:t>
      </w:r>
      <w:r w:rsidR="00727D3D" w:rsidRPr="0070034E">
        <w:rPr>
          <w:i/>
          <w:iCs/>
        </w:rPr>
        <w:t>Montréal (City) v. Montreal Port Authority</w:t>
      </w:r>
      <w:r w:rsidR="00727D3D" w:rsidRPr="0070034E">
        <w:t xml:space="preserve">, 2010 SCC 14, </w:t>
      </w:r>
      <w:r w:rsidR="00727D3D" w:rsidRPr="0070034E">
        <w:rPr>
          <w:szCs w:val="24"/>
        </w:rPr>
        <w:t xml:space="preserve">[2010] 1 S.C.R. 427; </w:t>
      </w:r>
      <w:r w:rsidR="00D03E78" w:rsidRPr="0070034E">
        <w:rPr>
          <w:i/>
          <w:iCs/>
        </w:rPr>
        <w:t>Dunsmuir v. New Brunswick</w:t>
      </w:r>
      <w:r w:rsidR="00D03E78" w:rsidRPr="0070034E">
        <w:t xml:space="preserve">, 2008 SCC 9, [2008] 1 S.C.R. 190; </w:t>
      </w:r>
      <w:r w:rsidR="0009602C" w:rsidRPr="0070034E">
        <w:rPr>
          <w:i/>
          <w:iCs/>
        </w:rPr>
        <w:t xml:space="preserve">Canada (Transport, Infrastructure and Communities) v. </w:t>
      </w:r>
      <w:proofErr w:type="spellStart"/>
      <w:r w:rsidR="0009602C" w:rsidRPr="0070034E">
        <w:rPr>
          <w:i/>
          <w:iCs/>
        </w:rPr>
        <w:t>Farwaha</w:t>
      </w:r>
      <w:proofErr w:type="spellEnd"/>
      <w:r w:rsidR="0009602C" w:rsidRPr="0070034E">
        <w:t xml:space="preserve">, 2014 </w:t>
      </w:r>
      <w:proofErr w:type="spellStart"/>
      <w:r w:rsidR="0009602C" w:rsidRPr="0070034E">
        <w:t>FCA</w:t>
      </w:r>
      <w:proofErr w:type="spellEnd"/>
      <w:r w:rsidR="0009602C" w:rsidRPr="0070034E">
        <w:t xml:space="preserve"> 56, [2015] 2 F.C.R. 1006; </w:t>
      </w:r>
      <w:r w:rsidR="0086641C" w:rsidRPr="0070034E">
        <w:rPr>
          <w:i/>
          <w:iCs/>
          <w:szCs w:val="24"/>
        </w:rPr>
        <w:t>Rizzo &amp; Rizzo Shoes Ltd. (Re)</w:t>
      </w:r>
      <w:r w:rsidR="0086641C" w:rsidRPr="0070034E">
        <w:rPr>
          <w:szCs w:val="24"/>
        </w:rPr>
        <w:t>, [1998] 1 S.C.R. 27</w:t>
      </w:r>
      <w:r w:rsidR="0086641C" w:rsidRPr="0070034E">
        <w:t xml:space="preserve">; </w:t>
      </w:r>
      <w:r w:rsidR="00B41823" w:rsidRPr="0070034E">
        <w:rPr>
          <w:i/>
          <w:iCs/>
          <w:szCs w:val="24"/>
        </w:rPr>
        <w:t>Michel v. Graydon</w:t>
      </w:r>
      <w:r w:rsidR="00B41823" w:rsidRPr="0070034E">
        <w:rPr>
          <w:szCs w:val="24"/>
        </w:rPr>
        <w:t xml:space="preserve">, 2020 SCC 24, [2020] 2 S.C.R. 763; </w:t>
      </w:r>
      <w:r w:rsidR="0086641C" w:rsidRPr="0070034E">
        <w:rPr>
          <w:i/>
          <w:iCs/>
          <w:szCs w:val="24"/>
        </w:rPr>
        <w:t xml:space="preserve">Childs v. Childs </w:t>
      </w:r>
      <w:r w:rsidR="0086641C" w:rsidRPr="0070034E">
        <w:rPr>
          <w:iCs/>
          <w:szCs w:val="24"/>
        </w:rPr>
        <w:t xml:space="preserve">(1990), 107 N.B.R. (2d) 176; </w:t>
      </w:r>
      <w:r w:rsidR="00B21B40" w:rsidRPr="0070034E">
        <w:rPr>
          <w:i/>
          <w:iCs/>
          <w:szCs w:val="24"/>
        </w:rPr>
        <w:t>Francis v. Baker</w:t>
      </w:r>
      <w:r w:rsidR="00B21B40" w:rsidRPr="0070034E">
        <w:rPr>
          <w:szCs w:val="24"/>
        </w:rPr>
        <w:t xml:space="preserve">, [1999] 3 S.C.R. 250; </w:t>
      </w:r>
      <w:r w:rsidR="00DE0DD0" w:rsidRPr="0070034E">
        <w:rPr>
          <w:i/>
          <w:iCs/>
        </w:rPr>
        <w:t>D.B.S</w:t>
      </w:r>
      <w:r w:rsidR="00DE0DD0" w:rsidRPr="0070034E">
        <w:rPr>
          <w:i/>
        </w:rPr>
        <w:t>.</w:t>
      </w:r>
      <w:r w:rsidR="00DE0DD0" w:rsidRPr="0070034E">
        <w:t xml:space="preserve"> </w:t>
      </w:r>
      <w:r w:rsidR="00DE0DD0" w:rsidRPr="0070034E">
        <w:rPr>
          <w:i/>
          <w:iCs/>
        </w:rPr>
        <w:t>v. S.R.G.</w:t>
      </w:r>
      <w:r w:rsidR="00DE0DD0" w:rsidRPr="0070034E">
        <w:t xml:space="preserve">, 2006 SCC 37, </w:t>
      </w:r>
      <w:r w:rsidR="00DE0DD0" w:rsidRPr="0070034E">
        <w:rPr>
          <w:szCs w:val="24"/>
        </w:rPr>
        <w:t xml:space="preserve">[2006] 2 S.C.R. 231; </w:t>
      </w:r>
      <w:proofErr w:type="spellStart"/>
      <w:r w:rsidR="0013342C" w:rsidRPr="0070034E">
        <w:rPr>
          <w:i/>
          <w:iCs/>
          <w:szCs w:val="24"/>
        </w:rPr>
        <w:t>Contino</w:t>
      </w:r>
      <w:proofErr w:type="spellEnd"/>
      <w:r w:rsidR="0013342C" w:rsidRPr="0070034E">
        <w:rPr>
          <w:i/>
          <w:iCs/>
          <w:szCs w:val="24"/>
        </w:rPr>
        <w:t xml:space="preserve"> v. </w:t>
      </w:r>
      <w:proofErr w:type="spellStart"/>
      <w:r w:rsidR="0013342C" w:rsidRPr="0070034E">
        <w:rPr>
          <w:i/>
          <w:iCs/>
          <w:szCs w:val="24"/>
        </w:rPr>
        <w:t>Leonelli</w:t>
      </w:r>
      <w:r w:rsidR="0013342C" w:rsidRPr="0070034E">
        <w:rPr>
          <w:i/>
          <w:iCs/>
          <w:szCs w:val="24"/>
        </w:rPr>
        <w:noBreakHyphen/>
        <w:t>Contino</w:t>
      </w:r>
      <w:proofErr w:type="spellEnd"/>
      <w:r w:rsidR="0013342C" w:rsidRPr="0070034E">
        <w:rPr>
          <w:szCs w:val="24"/>
        </w:rPr>
        <w:t>, 2005 SCC 63, [2005] 3 S.C.R.</w:t>
      </w:r>
      <w:r w:rsidR="00195C82" w:rsidRPr="0070034E">
        <w:rPr>
          <w:szCs w:val="24"/>
        </w:rPr>
        <w:t xml:space="preserve"> 217.</w:t>
      </w:r>
    </w:p>
    <w:p w14:paraId="5D72C1C9" w14:textId="77777777" w:rsidR="003B215F" w:rsidRPr="0070034E" w:rsidRDefault="002E6705" w:rsidP="00C85B92">
      <w:pPr>
        <w:pStyle w:val="SCCNormalDoubleSpacing"/>
        <w:spacing w:after="720" w:line="240" w:lineRule="auto"/>
      </w:pPr>
      <w:r w:rsidRPr="0070034E">
        <w:rPr>
          <w:b/>
        </w:rPr>
        <w:t>Statutes and Regulations Cite</w:t>
      </w:r>
      <w:r w:rsidR="00A41805" w:rsidRPr="0070034E">
        <w:rPr>
          <w:b/>
        </w:rPr>
        <w:t>d</w:t>
      </w:r>
    </w:p>
    <w:p w14:paraId="3ABA1F9F" w14:textId="6FF582FC" w:rsidR="00246A83" w:rsidRPr="0070034E" w:rsidRDefault="00246A83" w:rsidP="00346E9B">
      <w:pPr>
        <w:pStyle w:val="SCCNormalDoubleSpacing"/>
        <w:spacing w:after="240" w:line="240" w:lineRule="auto"/>
        <w:ind w:left="539" w:hanging="539"/>
        <w:rPr>
          <w:iCs/>
          <w:szCs w:val="24"/>
        </w:rPr>
      </w:pPr>
      <w:r w:rsidRPr="0070034E">
        <w:rPr>
          <w:szCs w:val="24"/>
        </w:rPr>
        <w:t>Bill</w:t>
      </w:r>
      <w:r w:rsidR="00236E3D" w:rsidRPr="0070034E">
        <w:rPr>
          <w:szCs w:val="24"/>
        </w:rPr>
        <w:t xml:space="preserve"> </w:t>
      </w:r>
      <w:r w:rsidRPr="0070034E">
        <w:rPr>
          <w:szCs w:val="24"/>
        </w:rPr>
        <w:t>C</w:t>
      </w:r>
      <w:r w:rsidRPr="0070034E">
        <w:rPr>
          <w:szCs w:val="24"/>
        </w:rPr>
        <w:noBreakHyphen/>
        <w:t xml:space="preserve">41, </w:t>
      </w:r>
      <w:r w:rsidRPr="0070034E">
        <w:rPr>
          <w:i/>
          <w:iCs/>
          <w:szCs w:val="24"/>
        </w:rPr>
        <w:t xml:space="preserve">An Act to amend the Divorce Act, the Family Orders and Agreements Enforcement Assistance Act, the Garnishment, Attachment and Pension Diversion Act and the Canada Shipping </w:t>
      </w:r>
      <w:r w:rsidRPr="0070034E">
        <w:rPr>
          <w:i/>
          <w:szCs w:val="24"/>
        </w:rPr>
        <w:t>Act</w:t>
      </w:r>
      <w:r w:rsidR="00346E9B" w:rsidRPr="0070034E">
        <w:rPr>
          <w:szCs w:val="24"/>
        </w:rPr>
        <w:t xml:space="preserve">, 2nd </w:t>
      </w:r>
      <w:r w:rsidRPr="0070034E">
        <w:rPr>
          <w:szCs w:val="24"/>
        </w:rPr>
        <w:t>Sess.</w:t>
      </w:r>
      <w:r w:rsidR="00346E9B" w:rsidRPr="0070034E">
        <w:rPr>
          <w:szCs w:val="24"/>
        </w:rPr>
        <w:t xml:space="preserve">, 35th </w:t>
      </w:r>
      <w:r w:rsidRPr="0070034E">
        <w:rPr>
          <w:szCs w:val="24"/>
        </w:rPr>
        <w:t>Parl., 1996-97.</w:t>
      </w:r>
    </w:p>
    <w:p w14:paraId="39CB3264" w14:textId="109FACE1" w:rsidR="008B5A05" w:rsidRPr="0070034E" w:rsidRDefault="008B5A05" w:rsidP="00346E9B">
      <w:pPr>
        <w:pStyle w:val="SCCNormalDoubleSpacing"/>
        <w:spacing w:after="240" w:line="240" w:lineRule="auto"/>
        <w:ind w:left="539" w:hanging="539"/>
        <w:rPr>
          <w:i/>
          <w:iCs/>
          <w:szCs w:val="24"/>
        </w:rPr>
      </w:pPr>
      <w:r w:rsidRPr="0070034E">
        <w:rPr>
          <w:i/>
          <w:iCs/>
          <w:szCs w:val="24"/>
        </w:rPr>
        <w:t>Divorce Act</w:t>
      </w:r>
      <w:r w:rsidRPr="0070034E">
        <w:rPr>
          <w:szCs w:val="24"/>
        </w:rPr>
        <w:t>, R.S.C. 1985, c. 3 (2nd Supp.)</w:t>
      </w:r>
      <w:r w:rsidR="00B11076" w:rsidRPr="0070034E">
        <w:rPr>
          <w:szCs w:val="24"/>
        </w:rPr>
        <w:t>, s. 26.1</w:t>
      </w:r>
      <w:r w:rsidRPr="0070034E">
        <w:rPr>
          <w:szCs w:val="24"/>
        </w:rPr>
        <w:t>.</w:t>
      </w:r>
    </w:p>
    <w:p w14:paraId="709AF151" w14:textId="7B97A407" w:rsidR="00A149DF" w:rsidRPr="0070034E" w:rsidRDefault="006B0511" w:rsidP="00C85B92">
      <w:pPr>
        <w:pStyle w:val="SCCNormalDoubleSpacing"/>
        <w:spacing w:after="720" w:line="240" w:lineRule="auto"/>
        <w:ind w:left="540" w:hanging="540"/>
      </w:pPr>
      <w:r w:rsidRPr="0070034E">
        <w:rPr>
          <w:i/>
          <w:iCs/>
          <w:szCs w:val="24"/>
        </w:rPr>
        <w:t>Federal Child Support Guidelines</w:t>
      </w:r>
      <w:r w:rsidRPr="0070034E">
        <w:rPr>
          <w:szCs w:val="24"/>
        </w:rPr>
        <w:t>, SOR/97</w:t>
      </w:r>
      <w:r w:rsidRPr="0070034E">
        <w:rPr>
          <w:szCs w:val="24"/>
        </w:rPr>
        <w:noBreakHyphen/>
        <w:t>175</w:t>
      </w:r>
      <w:r w:rsidR="001006EB" w:rsidRPr="0070034E">
        <w:rPr>
          <w:szCs w:val="24"/>
        </w:rPr>
        <w:t>, ss. 1</w:t>
      </w:r>
      <w:r w:rsidR="00664BA2" w:rsidRPr="0070034E">
        <w:rPr>
          <w:szCs w:val="24"/>
        </w:rPr>
        <w:t>, 3</w:t>
      </w:r>
      <w:r w:rsidR="006F3D97" w:rsidRPr="0070034E">
        <w:rPr>
          <w:szCs w:val="24"/>
        </w:rPr>
        <w:t xml:space="preserve"> to 5</w:t>
      </w:r>
      <w:r w:rsidR="004E1A29" w:rsidRPr="0070034E">
        <w:rPr>
          <w:szCs w:val="24"/>
        </w:rPr>
        <w:t>, 7</w:t>
      </w:r>
      <w:r w:rsidR="003C6423" w:rsidRPr="0070034E">
        <w:rPr>
          <w:szCs w:val="24"/>
        </w:rPr>
        <w:t>, 8</w:t>
      </w:r>
      <w:r w:rsidR="004E1A29" w:rsidRPr="0070034E">
        <w:rPr>
          <w:szCs w:val="24"/>
        </w:rPr>
        <w:t xml:space="preserve">, </w:t>
      </w:r>
      <w:r w:rsidR="004E0C49" w:rsidRPr="0070034E">
        <w:rPr>
          <w:szCs w:val="24"/>
        </w:rPr>
        <w:t>9</w:t>
      </w:r>
      <w:r w:rsidR="004E1A29" w:rsidRPr="0070034E">
        <w:rPr>
          <w:szCs w:val="24"/>
        </w:rPr>
        <w:t>, 10</w:t>
      </w:r>
      <w:r w:rsidRPr="0070034E">
        <w:rPr>
          <w:szCs w:val="24"/>
        </w:rPr>
        <w:t>.</w:t>
      </w:r>
    </w:p>
    <w:p w14:paraId="489A3E6E" w14:textId="77777777" w:rsidR="002E6705" w:rsidRPr="0070034E" w:rsidRDefault="002E6705" w:rsidP="00C85B92">
      <w:pPr>
        <w:pStyle w:val="SCCNormalDoubleSpacing"/>
        <w:spacing w:after="720" w:line="240" w:lineRule="auto"/>
        <w:rPr>
          <w:b/>
        </w:rPr>
      </w:pPr>
      <w:r w:rsidRPr="0070034E">
        <w:rPr>
          <w:b/>
        </w:rPr>
        <w:t>Authors Cited</w:t>
      </w:r>
    </w:p>
    <w:p w14:paraId="4DB57D86" w14:textId="765F1FA7" w:rsidR="004C7E46" w:rsidRPr="0070034E" w:rsidRDefault="004C7E46" w:rsidP="00346E9B">
      <w:pPr>
        <w:pStyle w:val="SCCNormalDoubleSpacing"/>
        <w:spacing w:after="240" w:line="240" w:lineRule="auto"/>
        <w:ind w:left="539" w:hanging="539"/>
        <w:rPr>
          <w:szCs w:val="24"/>
        </w:rPr>
      </w:pPr>
      <w:r w:rsidRPr="0070034E">
        <w:rPr>
          <w:szCs w:val="24"/>
        </w:rPr>
        <w:t xml:space="preserve">Blake, </w:t>
      </w:r>
      <w:r w:rsidR="00C6455B" w:rsidRPr="0070034E">
        <w:rPr>
          <w:szCs w:val="24"/>
        </w:rPr>
        <w:t xml:space="preserve">Sara. </w:t>
      </w:r>
      <w:r w:rsidRPr="0070034E">
        <w:rPr>
          <w:i/>
          <w:szCs w:val="24"/>
        </w:rPr>
        <w:t>Clarity on the standard of review of regulations</w:t>
      </w:r>
      <w:r w:rsidRPr="0070034E">
        <w:rPr>
          <w:szCs w:val="24"/>
        </w:rPr>
        <w:t>, December </w:t>
      </w:r>
      <w:r w:rsidR="00303780" w:rsidRPr="0070034E">
        <w:rPr>
          <w:szCs w:val="24"/>
        </w:rPr>
        <w:t>20</w:t>
      </w:r>
      <w:r w:rsidRPr="0070034E">
        <w:rPr>
          <w:szCs w:val="24"/>
        </w:rPr>
        <w:t>,</w:t>
      </w:r>
      <w:r w:rsidR="00A15A08" w:rsidRPr="0070034E">
        <w:rPr>
          <w:szCs w:val="24"/>
        </w:rPr>
        <w:t xml:space="preserve"> </w:t>
      </w:r>
      <w:r w:rsidRPr="0070034E">
        <w:rPr>
          <w:szCs w:val="24"/>
        </w:rPr>
        <w:t>2022 (online:</w:t>
      </w:r>
      <w:r w:rsidRPr="0070034E">
        <w:t xml:space="preserve"> </w:t>
      </w:r>
      <w:r w:rsidR="003D7D76" w:rsidRPr="0070034E">
        <w:rPr>
          <w:szCs w:val="24"/>
        </w:rPr>
        <w:t>https://canliiconnects.org/en/commentaries/90432</w:t>
      </w:r>
      <w:r w:rsidRPr="0070034E">
        <w:rPr>
          <w:szCs w:val="24"/>
        </w:rPr>
        <w:t xml:space="preserve">; </w:t>
      </w:r>
      <w:r w:rsidR="000A1299" w:rsidRPr="0070034E">
        <w:rPr>
          <w:szCs w:val="24"/>
        </w:rPr>
        <w:t xml:space="preserve">archived version: </w:t>
      </w:r>
      <w:hyperlink r:id="rId9" w:history="1">
        <w:r w:rsidR="000A1299" w:rsidRPr="0070034E">
          <w:rPr>
            <w:rStyle w:val="Hyperlink"/>
            <w:szCs w:val="24"/>
          </w:rPr>
          <w:t>https://www.scc-csc.ca/cso-dce/2024SCC-CSC</w:t>
        </w:r>
        <w:r w:rsidR="002A3C6C" w:rsidRPr="0070034E">
          <w:rPr>
            <w:rStyle w:val="Hyperlink"/>
            <w:szCs w:val="24"/>
          </w:rPr>
          <w:t>36</w:t>
        </w:r>
        <w:r w:rsidR="000A1299" w:rsidRPr="0070034E">
          <w:rPr>
            <w:rStyle w:val="Hyperlink"/>
            <w:szCs w:val="24"/>
          </w:rPr>
          <w:t>_1_eng.pdf</w:t>
        </w:r>
      </w:hyperlink>
      <w:r w:rsidR="000A1299" w:rsidRPr="0070034E">
        <w:rPr>
          <w:szCs w:val="24"/>
        </w:rPr>
        <w:t>).</w:t>
      </w:r>
    </w:p>
    <w:p w14:paraId="74E14CC9" w14:textId="77777777" w:rsidR="00F90550" w:rsidRPr="0070034E" w:rsidRDefault="0090797F" w:rsidP="00F90550">
      <w:pPr>
        <w:pStyle w:val="SCCNormalDoubleSpacing"/>
        <w:spacing w:after="240" w:line="240" w:lineRule="auto"/>
        <w:ind w:left="539" w:hanging="539"/>
      </w:pPr>
      <w:r w:rsidRPr="0070034E">
        <w:rPr>
          <w:szCs w:val="24"/>
        </w:rPr>
        <w:t xml:space="preserve">Canada. </w:t>
      </w:r>
      <w:r w:rsidRPr="0070034E">
        <w:t xml:space="preserve">Department of Justice. </w:t>
      </w:r>
      <w:r w:rsidRPr="0070034E">
        <w:rPr>
          <w:szCs w:val="24"/>
        </w:rPr>
        <w:t>Child Support Team.</w:t>
      </w:r>
      <w:r w:rsidRPr="0070034E">
        <w:t xml:space="preserve"> </w:t>
      </w:r>
      <w:r w:rsidRPr="0070034E">
        <w:rPr>
          <w:i/>
        </w:rPr>
        <w:t>Formula for the Table of Amounts Contained in the Federal Child Support Guidelines: A Technical Report</w:t>
      </w:r>
      <w:r w:rsidRPr="0070034E">
        <w:t>. Ottawa, 1997.</w:t>
      </w:r>
    </w:p>
    <w:p w14:paraId="7C23C7A7" w14:textId="6588755E" w:rsidR="00F90550" w:rsidRPr="0070034E" w:rsidRDefault="00F90550" w:rsidP="00F90550">
      <w:pPr>
        <w:pStyle w:val="SCCNormalDoubleSpacing"/>
        <w:spacing w:after="240" w:line="240" w:lineRule="auto"/>
        <w:ind w:left="539" w:hanging="539"/>
      </w:pPr>
      <w:r w:rsidRPr="0070034E">
        <w:t xml:space="preserve">Canada. Federal/Provincial/Territorial Family Law Committee. </w:t>
      </w:r>
      <w:r w:rsidRPr="0070034E">
        <w:rPr>
          <w:i/>
        </w:rPr>
        <w:t>Report and Recommendations on Child Support</w:t>
      </w:r>
      <w:r w:rsidRPr="0070034E">
        <w:t>. Ottawa, 1995.</w:t>
      </w:r>
    </w:p>
    <w:p w14:paraId="76B86AC3" w14:textId="6EDEECA0" w:rsidR="009C35AC" w:rsidRPr="0070034E" w:rsidRDefault="009C35AC" w:rsidP="00346E9B">
      <w:pPr>
        <w:pStyle w:val="SCCNormalDoubleSpacing"/>
        <w:spacing w:after="240" w:line="240" w:lineRule="auto"/>
        <w:ind w:left="539" w:hanging="539"/>
        <w:rPr>
          <w:szCs w:val="24"/>
        </w:rPr>
      </w:pPr>
      <w:r w:rsidRPr="0070034E">
        <w:t xml:space="preserve">Canada. </w:t>
      </w:r>
      <w:r w:rsidRPr="0070034E">
        <w:rPr>
          <w:szCs w:val="24"/>
        </w:rPr>
        <w:t xml:space="preserve">House of Commons. Standing Committee on Justice and Legal Affairs. </w:t>
      </w:r>
      <w:r w:rsidRPr="0070034E">
        <w:rPr>
          <w:i/>
          <w:szCs w:val="24"/>
        </w:rPr>
        <w:t>Evidence</w:t>
      </w:r>
      <w:r w:rsidRPr="0070034E">
        <w:rPr>
          <w:szCs w:val="24"/>
        </w:rPr>
        <w:t>, No. 54, 2nd Sess., 35th Parl., October 21, 1996, 17:10 to 17:15.</w:t>
      </w:r>
    </w:p>
    <w:p w14:paraId="27CC6BC3" w14:textId="24D4740F" w:rsidR="0004295F" w:rsidRPr="0070034E" w:rsidRDefault="0004295F" w:rsidP="00346E9B">
      <w:pPr>
        <w:pStyle w:val="SCCNormalDoubleSpacing"/>
        <w:spacing w:after="240" w:line="240" w:lineRule="auto"/>
        <w:ind w:left="539" w:hanging="539"/>
        <w:rPr>
          <w:szCs w:val="24"/>
        </w:rPr>
      </w:pPr>
      <w:r w:rsidRPr="0070034E">
        <w:rPr>
          <w:szCs w:val="24"/>
        </w:rPr>
        <w:t xml:space="preserve">Canada. Senate. Standing Senate Committee on Social Affairs, Science and Technology. </w:t>
      </w:r>
      <w:r w:rsidRPr="0070034E">
        <w:rPr>
          <w:i/>
          <w:szCs w:val="24"/>
        </w:rPr>
        <w:t>Proceedings of the Standing Senate Committee on Social Affairs, Science and Technology</w:t>
      </w:r>
      <w:r w:rsidRPr="0070034E">
        <w:rPr>
          <w:szCs w:val="24"/>
        </w:rPr>
        <w:t>, No.</w:t>
      </w:r>
      <w:r w:rsidR="00346E9B" w:rsidRPr="0070034E">
        <w:rPr>
          <w:szCs w:val="24"/>
        </w:rPr>
        <w:t> </w:t>
      </w:r>
      <w:r w:rsidRPr="0070034E">
        <w:rPr>
          <w:szCs w:val="24"/>
        </w:rPr>
        <w:t>17, 2nd Sess., 35th Parl., December 11 and 12, 1996.</w:t>
      </w:r>
    </w:p>
    <w:p w14:paraId="79A4562B" w14:textId="3AA53E34" w:rsidR="00B21340" w:rsidRPr="0070034E" w:rsidRDefault="00B21340" w:rsidP="00346E9B">
      <w:pPr>
        <w:pStyle w:val="SCCNormalDoubleSpacing"/>
        <w:spacing w:after="240" w:line="240" w:lineRule="auto"/>
        <w:ind w:left="539" w:hanging="539"/>
      </w:pPr>
      <w:r w:rsidRPr="0070034E">
        <w:rPr>
          <w:szCs w:val="24"/>
        </w:rPr>
        <w:t xml:space="preserve">Daly, Paul. </w:t>
      </w:r>
      <w:r w:rsidRPr="0070034E">
        <w:rPr>
          <w:i/>
          <w:iCs/>
          <w:szCs w:val="24"/>
        </w:rPr>
        <w:t>A Culture of Justification: Vavilov and the Future of Administrative Law</w:t>
      </w:r>
      <w:r w:rsidRPr="0070034E">
        <w:rPr>
          <w:iCs/>
          <w:szCs w:val="24"/>
        </w:rPr>
        <w:t>. Vancouver: UBC Press,</w:t>
      </w:r>
      <w:r w:rsidRPr="0070034E">
        <w:rPr>
          <w:szCs w:val="24"/>
        </w:rPr>
        <w:t xml:space="preserve"> 2023.</w:t>
      </w:r>
    </w:p>
    <w:p w14:paraId="036B48AD" w14:textId="20FB5F8F" w:rsidR="00B517A1" w:rsidRPr="0070034E" w:rsidRDefault="00B517A1" w:rsidP="00346E9B">
      <w:pPr>
        <w:pStyle w:val="SCCNormalDoubleSpacing"/>
        <w:spacing w:after="240" w:line="240" w:lineRule="auto"/>
        <w:ind w:left="539" w:hanging="539"/>
      </w:pPr>
      <w:r w:rsidRPr="0070034E">
        <w:rPr>
          <w:szCs w:val="24"/>
        </w:rPr>
        <w:t xml:space="preserve">Daly, Paul. </w:t>
      </w:r>
      <w:r w:rsidRPr="0070034E">
        <w:rPr>
          <w:i/>
        </w:rPr>
        <w:t>Resisting which Siren’s Call? Auer v Auer, 2022 ABCA 375 and TransAlta Generation Partnership v Alberta (Minister of Municipal Affairs), 2022 ABCA 381</w:t>
      </w:r>
      <w:r w:rsidR="0022350C" w:rsidRPr="0070034E">
        <w:t>, November</w:t>
      </w:r>
      <w:r w:rsidR="00A15A08" w:rsidRPr="0070034E">
        <w:t> </w:t>
      </w:r>
      <w:r w:rsidRPr="0070034E">
        <w:t>24</w:t>
      </w:r>
      <w:r w:rsidR="00C206E1" w:rsidRPr="0070034E">
        <w:t>,</w:t>
      </w:r>
      <w:r w:rsidRPr="0070034E">
        <w:t xml:space="preserve"> 2022 </w:t>
      </w:r>
      <w:r w:rsidR="004C7E46" w:rsidRPr="0070034E">
        <w:t>(</w:t>
      </w:r>
      <w:r w:rsidRPr="0070034E">
        <w:t xml:space="preserve">online: https://www.administrativelawmatters.com/blog/2022/11/24/resisting-which-sirens-call-auer-v-auer-2022-abca-375-and-transalta-generation-partnership-v-alberta-minister-of-municipal-affairs-2022-abca-381/; </w:t>
      </w:r>
      <w:r w:rsidRPr="0070034E">
        <w:rPr>
          <w:rStyle w:val="solexhl"/>
          <w:rFonts w:eastAsiaTheme="majorEastAsia"/>
          <w:color w:val="000000"/>
        </w:rPr>
        <w:t>archived version</w:t>
      </w:r>
      <w:r w:rsidRPr="0070034E">
        <w:rPr>
          <w:color w:val="000000"/>
        </w:rPr>
        <w:t>:</w:t>
      </w:r>
      <w:r w:rsidR="00055710" w:rsidRPr="0070034E">
        <w:rPr>
          <w:color w:val="000000"/>
        </w:rPr>
        <w:t xml:space="preserve"> </w:t>
      </w:r>
      <w:hyperlink r:id="rId10" w:history="1">
        <w:r w:rsidRPr="0070034E">
          <w:rPr>
            <w:rStyle w:val="Hyperlink"/>
          </w:rPr>
          <w:t>https://www.scc-csc.ca/cso-dce/2024SCC-CSC</w:t>
        </w:r>
        <w:r w:rsidR="002A3C6C" w:rsidRPr="0070034E">
          <w:rPr>
            <w:rStyle w:val="Hyperlink"/>
          </w:rPr>
          <w:t>36</w:t>
        </w:r>
        <w:r w:rsidR="000A1299" w:rsidRPr="0070034E">
          <w:rPr>
            <w:rStyle w:val="Hyperlink"/>
          </w:rPr>
          <w:t>_2</w:t>
        </w:r>
        <w:r w:rsidRPr="0070034E">
          <w:rPr>
            <w:rStyle w:val="Hyperlink"/>
          </w:rPr>
          <w:t>_eng.pdf</w:t>
        </w:r>
      </w:hyperlink>
      <w:r w:rsidRPr="0070034E">
        <w:rPr>
          <w:color w:val="000000"/>
        </w:rPr>
        <w:t>).</w:t>
      </w:r>
    </w:p>
    <w:p w14:paraId="69153577" w14:textId="7939996E" w:rsidR="00BA6706" w:rsidRPr="0070034E" w:rsidRDefault="00BA6706" w:rsidP="00346E9B">
      <w:pPr>
        <w:pStyle w:val="SCCNormalDoubleSpacing"/>
        <w:spacing w:after="240" w:line="240" w:lineRule="auto"/>
        <w:ind w:left="539" w:hanging="539"/>
      </w:pPr>
      <w:proofErr w:type="spellStart"/>
      <w:proofErr w:type="gramStart"/>
      <w:r w:rsidRPr="0070034E">
        <w:rPr>
          <w:szCs w:val="24"/>
        </w:rPr>
        <w:t>Fera</w:t>
      </w:r>
      <w:proofErr w:type="spellEnd"/>
      <w:proofErr w:type="gramEnd"/>
      <w:r w:rsidRPr="0070034E">
        <w:rPr>
          <w:szCs w:val="24"/>
        </w:rPr>
        <w:t>, Norman. “New Child-</w:t>
      </w:r>
      <w:r w:rsidR="00346E9B" w:rsidRPr="0070034E">
        <w:rPr>
          <w:szCs w:val="24"/>
        </w:rPr>
        <w:t xml:space="preserve">Support Guidelines — </w:t>
      </w:r>
      <w:r w:rsidRPr="0070034E">
        <w:rPr>
          <w:szCs w:val="24"/>
        </w:rPr>
        <w:t>A Brief Overview” (1997), 25 R.F.L. (4th) 356.</w:t>
      </w:r>
    </w:p>
    <w:p w14:paraId="70D4A8B0" w14:textId="6698FA98" w:rsidR="0081089F" w:rsidRPr="0070034E" w:rsidRDefault="0081089F" w:rsidP="00346E9B">
      <w:pPr>
        <w:pStyle w:val="SCCNormalDoubleSpacing"/>
        <w:spacing w:after="240" w:line="240" w:lineRule="auto"/>
        <w:ind w:left="539" w:hanging="539"/>
      </w:pPr>
      <w:r w:rsidRPr="0070034E">
        <w:rPr>
          <w:szCs w:val="24"/>
        </w:rPr>
        <w:t xml:space="preserve">Finnie, Ross, Carolina </w:t>
      </w:r>
      <w:proofErr w:type="spellStart"/>
      <w:r w:rsidRPr="0070034E">
        <w:rPr>
          <w:szCs w:val="24"/>
        </w:rPr>
        <w:t>Giliberti</w:t>
      </w:r>
      <w:proofErr w:type="spellEnd"/>
      <w:r w:rsidRPr="0070034E">
        <w:rPr>
          <w:szCs w:val="24"/>
        </w:rPr>
        <w:t xml:space="preserve"> and Daniel </w:t>
      </w:r>
      <w:proofErr w:type="spellStart"/>
      <w:r w:rsidRPr="0070034E">
        <w:rPr>
          <w:szCs w:val="24"/>
        </w:rPr>
        <w:t>Stripinis</w:t>
      </w:r>
      <w:proofErr w:type="spellEnd"/>
      <w:r w:rsidRPr="0070034E">
        <w:rPr>
          <w:szCs w:val="24"/>
        </w:rPr>
        <w:t xml:space="preserve">. </w:t>
      </w:r>
      <w:r w:rsidRPr="0070034E">
        <w:rPr>
          <w:i/>
          <w:szCs w:val="24"/>
        </w:rPr>
        <w:t>An Overview of the Research Program to Develop a Canadian Child Support Formula</w:t>
      </w:r>
      <w:r w:rsidRPr="0070034E">
        <w:rPr>
          <w:szCs w:val="24"/>
        </w:rPr>
        <w:t>. Ottawa</w:t>
      </w:r>
      <w:r w:rsidR="004B797A" w:rsidRPr="0070034E">
        <w:rPr>
          <w:szCs w:val="24"/>
        </w:rPr>
        <w:t>: Department of Justice</w:t>
      </w:r>
      <w:r w:rsidRPr="0070034E">
        <w:rPr>
          <w:szCs w:val="24"/>
        </w:rPr>
        <w:t>, 1995.</w:t>
      </w:r>
    </w:p>
    <w:p w14:paraId="6FF3AB6F" w14:textId="74F72172" w:rsidR="00A149DF" w:rsidRPr="0070034E" w:rsidRDefault="00282CDD" w:rsidP="00346E9B">
      <w:pPr>
        <w:pStyle w:val="SCCNormalDoubleSpacing"/>
        <w:spacing w:after="240" w:line="240" w:lineRule="auto"/>
        <w:ind w:left="539" w:hanging="539"/>
        <w:rPr>
          <w:szCs w:val="24"/>
        </w:rPr>
      </w:pPr>
      <w:r w:rsidRPr="0070034E">
        <w:rPr>
          <w:szCs w:val="24"/>
        </w:rPr>
        <w:t>Keyes, John Mark. “Judicial Re</w:t>
      </w:r>
      <w:r w:rsidR="00346E9B" w:rsidRPr="0070034E">
        <w:rPr>
          <w:szCs w:val="24"/>
        </w:rPr>
        <w:t xml:space="preserve">view of Delegated Legislation — </w:t>
      </w:r>
      <w:proofErr w:type="gramStart"/>
      <w:r w:rsidRPr="0070034E">
        <w:rPr>
          <w:szCs w:val="24"/>
        </w:rPr>
        <w:t>The</w:t>
      </w:r>
      <w:proofErr w:type="gramEnd"/>
      <w:r w:rsidRPr="0070034E">
        <w:rPr>
          <w:szCs w:val="24"/>
        </w:rPr>
        <w:t xml:space="preserve"> Road Beyond </w:t>
      </w:r>
      <w:r w:rsidRPr="0070034E">
        <w:rPr>
          <w:i/>
          <w:iCs/>
          <w:szCs w:val="24"/>
        </w:rPr>
        <w:t>Vavilov</w:t>
      </w:r>
      <w:r w:rsidRPr="0070034E">
        <w:rPr>
          <w:szCs w:val="24"/>
        </w:rPr>
        <w:t xml:space="preserve">” (2022), 35 </w:t>
      </w:r>
      <w:r w:rsidRPr="0070034E">
        <w:rPr>
          <w:i/>
          <w:szCs w:val="24"/>
        </w:rPr>
        <w:t>C.J.A.L.P.</w:t>
      </w:r>
      <w:r w:rsidRPr="0070034E">
        <w:rPr>
          <w:szCs w:val="24"/>
        </w:rPr>
        <w:t xml:space="preserve"> 69.</w:t>
      </w:r>
    </w:p>
    <w:p w14:paraId="4E9A2CBF" w14:textId="59536B24" w:rsidR="0035266F" w:rsidRPr="0070034E" w:rsidRDefault="0035266F" w:rsidP="00346E9B">
      <w:pPr>
        <w:pStyle w:val="SCCNormalDoubleSpacing"/>
        <w:spacing w:after="240" w:line="240" w:lineRule="auto"/>
        <w:ind w:left="539" w:hanging="539"/>
        <w:rPr>
          <w:iCs/>
          <w:szCs w:val="24"/>
        </w:rPr>
      </w:pPr>
      <w:r w:rsidRPr="0070034E">
        <w:rPr>
          <w:szCs w:val="24"/>
        </w:rPr>
        <w:t xml:space="preserve">Keyes, John Mark. </w:t>
      </w:r>
      <w:r w:rsidRPr="0070034E">
        <w:rPr>
          <w:i/>
          <w:iCs/>
          <w:szCs w:val="24"/>
        </w:rPr>
        <w:t>Executive Legislation</w:t>
      </w:r>
      <w:r w:rsidRPr="0070034E">
        <w:rPr>
          <w:szCs w:val="24"/>
        </w:rPr>
        <w:t xml:space="preserve">, </w:t>
      </w:r>
      <w:r w:rsidR="00346E9B" w:rsidRPr="0070034E">
        <w:rPr>
          <w:szCs w:val="24"/>
        </w:rPr>
        <w:t xml:space="preserve">3rd </w:t>
      </w:r>
      <w:r w:rsidRPr="0070034E">
        <w:rPr>
          <w:szCs w:val="24"/>
        </w:rPr>
        <w:t xml:space="preserve">ed. </w:t>
      </w:r>
      <w:r w:rsidR="00346E9B" w:rsidRPr="0070034E">
        <w:rPr>
          <w:color w:val="000000"/>
        </w:rPr>
        <w:t xml:space="preserve">Toronto: LexisNexis, </w:t>
      </w:r>
      <w:r w:rsidRPr="0070034E">
        <w:rPr>
          <w:szCs w:val="24"/>
        </w:rPr>
        <w:t>2021.</w:t>
      </w:r>
    </w:p>
    <w:p w14:paraId="045A7510" w14:textId="5E367F9A" w:rsidR="003B2018" w:rsidRPr="0070034E" w:rsidRDefault="003B2018" w:rsidP="00346E9B">
      <w:pPr>
        <w:pStyle w:val="SCCNormalDoubleSpacing"/>
        <w:spacing w:after="240" w:line="240" w:lineRule="auto"/>
        <w:ind w:left="539" w:hanging="539"/>
        <w:rPr>
          <w:szCs w:val="24"/>
        </w:rPr>
      </w:pPr>
      <w:r w:rsidRPr="0070034E">
        <w:rPr>
          <w:szCs w:val="24"/>
        </w:rPr>
        <w:t xml:space="preserve">Mancini, </w:t>
      </w:r>
      <w:r w:rsidR="00346E9B" w:rsidRPr="0070034E">
        <w:rPr>
          <w:szCs w:val="24"/>
        </w:rPr>
        <w:t>Mark </w:t>
      </w:r>
      <w:r w:rsidRPr="0070034E">
        <w:rPr>
          <w:szCs w:val="24"/>
        </w:rPr>
        <w:t xml:space="preserve">P. “One Rule to Rule Them All: Subordinate Legislation and the Law of Judicial Review” (2024), 55 </w:t>
      </w:r>
      <w:r w:rsidRPr="0070034E">
        <w:rPr>
          <w:i/>
          <w:iCs/>
          <w:szCs w:val="24"/>
        </w:rPr>
        <w:t>Ottawa L. Rev.</w:t>
      </w:r>
      <w:r w:rsidRPr="0070034E">
        <w:rPr>
          <w:szCs w:val="24"/>
        </w:rPr>
        <w:t xml:space="preserve"> 245.</w:t>
      </w:r>
    </w:p>
    <w:p w14:paraId="1AD10E6C" w14:textId="1C9AEA51" w:rsidR="004F3AF2" w:rsidRPr="0070034E" w:rsidRDefault="004F3AF2" w:rsidP="00346E9B">
      <w:pPr>
        <w:pStyle w:val="SCCNormalDoubleSpacing"/>
        <w:spacing w:after="240" w:line="240" w:lineRule="auto"/>
        <w:ind w:left="539" w:hanging="539"/>
        <w:rPr>
          <w:szCs w:val="24"/>
        </w:rPr>
      </w:pPr>
      <w:r w:rsidRPr="0070034E">
        <w:rPr>
          <w:szCs w:val="24"/>
        </w:rPr>
        <w:t xml:space="preserve">Payne, </w:t>
      </w:r>
      <w:r w:rsidR="00346E9B" w:rsidRPr="0070034E">
        <w:rPr>
          <w:szCs w:val="24"/>
        </w:rPr>
        <w:t>Julien </w:t>
      </w:r>
      <w:r w:rsidRPr="0070034E">
        <w:rPr>
          <w:szCs w:val="24"/>
        </w:rPr>
        <w:t>D., and Marilyn</w:t>
      </w:r>
      <w:r w:rsidR="00A15A08" w:rsidRPr="0070034E">
        <w:rPr>
          <w:szCs w:val="24"/>
        </w:rPr>
        <w:t> </w:t>
      </w:r>
      <w:r w:rsidRPr="0070034E">
        <w:rPr>
          <w:szCs w:val="24"/>
        </w:rPr>
        <w:t xml:space="preserve">A. Payne. </w:t>
      </w:r>
      <w:r w:rsidRPr="0070034E">
        <w:rPr>
          <w:i/>
          <w:iCs/>
          <w:szCs w:val="24"/>
        </w:rPr>
        <w:t>Child Support Guidelines in Canada, 2020</w:t>
      </w:r>
      <w:r w:rsidR="000D23E0" w:rsidRPr="0070034E">
        <w:rPr>
          <w:szCs w:val="24"/>
        </w:rPr>
        <w:t xml:space="preserve">. Toronto: Irwin Law, </w:t>
      </w:r>
      <w:r w:rsidRPr="0070034E">
        <w:rPr>
          <w:szCs w:val="24"/>
        </w:rPr>
        <w:t>2020.</w:t>
      </w:r>
    </w:p>
    <w:p w14:paraId="3B6F18C2" w14:textId="77A0A9A0" w:rsidR="00580D5A" w:rsidRPr="0070034E" w:rsidRDefault="00580D5A" w:rsidP="00346E9B">
      <w:pPr>
        <w:pStyle w:val="SCCNormalDoubleSpacing"/>
        <w:spacing w:after="240" w:line="240" w:lineRule="auto"/>
        <w:ind w:left="539" w:hanging="539"/>
        <w:rPr>
          <w:szCs w:val="24"/>
        </w:rPr>
      </w:pPr>
      <w:proofErr w:type="spellStart"/>
      <w:r w:rsidRPr="0070034E">
        <w:rPr>
          <w:szCs w:val="24"/>
        </w:rPr>
        <w:t>Salembier</w:t>
      </w:r>
      <w:proofErr w:type="spellEnd"/>
      <w:r w:rsidRPr="0070034E">
        <w:rPr>
          <w:szCs w:val="24"/>
        </w:rPr>
        <w:t xml:space="preserve">, Paul. </w:t>
      </w:r>
      <w:r w:rsidRPr="0070034E">
        <w:rPr>
          <w:i/>
          <w:iCs/>
          <w:szCs w:val="24"/>
        </w:rPr>
        <w:t>Regulatory Law and Practice</w:t>
      </w:r>
      <w:r w:rsidR="00072488" w:rsidRPr="0070034E">
        <w:rPr>
          <w:szCs w:val="24"/>
        </w:rPr>
        <w:t xml:space="preserve">, </w:t>
      </w:r>
      <w:r w:rsidR="00346E9B" w:rsidRPr="0070034E">
        <w:rPr>
          <w:szCs w:val="24"/>
        </w:rPr>
        <w:t xml:space="preserve">3rd </w:t>
      </w:r>
      <w:r w:rsidRPr="0070034E">
        <w:rPr>
          <w:szCs w:val="24"/>
        </w:rPr>
        <w:t xml:space="preserve">ed. </w:t>
      </w:r>
      <w:r w:rsidR="00072488" w:rsidRPr="0070034E">
        <w:rPr>
          <w:color w:val="000000"/>
        </w:rPr>
        <w:t xml:space="preserve">Toronto: LexisNexis, </w:t>
      </w:r>
      <w:r w:rsidRPr="0070034E">
        <w:rPr>
          <w:szCs w:val="24"/>
        </w:rPr>
        <w:t>2021</w:t>
      </w:r>
      <w:r w:rsidR="00072488" w:rsidRPr="0070034E">
        <w:rPr>
          <w:szCs w:val="24"/>
        </w:rPr>
        <w:t>.</w:t>
      </w:r>
    </w:p>
    <w:p w14:paraId="5899031F" w14:textId="031D24A2" w:rsidR="00B941D9" w:rsidRPr="0070034E" w:rsidRDefault="00B941D9" w:rsidP="00346E9B">
      <w:pPr>
        <w:pStyle w:val="SCCNormalDoubleSpacing"/>
        <w:spacing w:after="240" w:line="240" w:lineRule="auto"/>
        <w:ind w:left="539" w:hanging="539"/>
      </w:pPr>
      <w:r w:rsidRPr="0070034E">
        <w:rPr>
          <w:szCs w:val="24"/>
        </w:rPr>
        <w:t xml:space="preserve">Sullivan, Ruth. </w:t>
      </w:r>
      <w:r w:rsidRPr="0070034E">
        <w:rPr>
          <w:i/>
          <w:szCs w:val="24"/>
        </w:rPr>
        <w:t xml:space="preserve">The </w:t>
      </w:r>
      <w:r w:rsidRPr="0070034E">
        <w:rPr>
          <w:i/>
          <w:iCs/>
          <w:szCs w:val="24"/>
        </w:rPr>
        <w:t>Construction of Statutes</w:t>
      </w:r>
      <w:r w:rsidRPr="0070034E">
        <w:rPr>
          <w:szCs w:val="24"/>
        </w:rPr>
        <w:t xml:space="preserve">, </w:t>
      </w:r>
      <w:r w:rsidR="00346E9B" w:rsidRPr="0070034E">
        <w:rPr>
          <w:szCs w:val="24"/>
        </w:rPr>
        <w:t xml:space="preserve">7th </w:t>
      </w:r>
      <w:r w:rsidRPr="0070034E">
        <w:rPr>
          <w:szCs w:val="24"/>
        </w:rPr>
        <w:t xml:space="preserve">ed. </w:t>
      </w:r>
      <w:r w:rsidRPr="0070034E">
        <w:rPr>
          <w:color w:val="000000"/>
        </w:rPr>
        <w:t xml:space="preserve">Toronto: LexisNexis, </w:t>
      </w:r>
      <w:r w:rsidRPr="0070034E">
        <w:rPr>
          <w:szCs w:val="24"/>
        </w:rPr>
        <w:t>2022.</w:t>
      </w:r>
    </w:p>
    <w:p w14:paraId="1D6A6FC2" w14:textId="14698FA3" w:rsidR="00C06BCE" w:rsidRPr="0070034E" w:rsidRDefault="00C06BCE" w:rsidP="00C85B92">
      <w:pPr>
        <w:pStyle w:val="SCCNormalDoubleSpacing"/>
        <w:spacing w:after="720" w:line="240" w:lineRule="auto"/>
        <w:ind w:left="540" w:hanging="540"/>
      </w:pPr>
      <w:r w:rsidRPr="0070034E">
        <w:rPr>
          <w:i/>
          <w:iCs/>
          <w:szCs w:val="24"/>
        </w:rPr>
        <w:t>Wilson on Children and the Law</w:t>
      </w:r>
      <w:r w:rsidRPr="0070034E">
        <w:rPr>
          <w:iCs/>
          <w:szCs w:val="24"/>
        </w:rPr>
        <w:t xml:space="preserve">, by Farrah </w:t>
      </w:r>
      <w:proofErr w:type="spellStart"/>
      <w:r w:rsidRPr="0070034E">
        <w:rPr>
          <w:iCs/>
          <w:szCs w:val="24"/>
        </w:rPr>
        <w:t>Hudani</w:t>
      </w:r>
      <w:proofErr w:type="spellEnd"/>
      <w:r w:rsidRPr="0070034E">
        <w:rPr>
          <w:iCs/>
          <w:szCs w:val="24"/>
        </w:rPr>
        <w:t>, ed.</w:t>
      </w:r>
      <w:r w:rsidRPr="0070034E">
        <w:rPr>
          <w:color w:val="000000"/>
        </w:rPr>
        <w:t xml:space="preserve"> Toronto: LexisNexis, 1994</w:t>
      </w:r>
      <w:r w:rsidRPr="0070034E">
        <w:rPr>
          <w:i/>
          <w:iCs/>
          <w:szCs w:val="24"/>
        </w:rPr>
        <w:t xml:space="preserve"> </w:t>
      </w:r>
      <w:r w:rsidRPr="0070034E">
        <w:rPr>
          <w:szCs w:val="24"/>
        </w:rPr>
        <w:t xml:space="preserve">(loose-leaf </w:t>
      </w:r>
      <w:r w:rsidRPr="0070034E">
        <w:rPr>
          <w:color w:val="000000"/>
        </w:rPr>
        <w:t>updated August 2024, release 142).</w:t>
      </w:r>
    </w:p>
    <w:p w14:paraId="38289054" w14:textId="7B1CCE8B" w:rsidR="00656313" w:rsidRPr="0070034E" w:rsidRDefault="009B57B3" w:rsidP="00C85B92">
      <w:pPr>
        <w:pStyle w:val="SCCNormalDoubleSpacing"/>
        <w:spacing w:after="480"/>
      </w:pPr>
      <w:r w:rsidRPr="0070034E">
        <w:tab/>
        <w:t xml:space="preserve">APPEAL from a judgment of the </w:t>
      </w:r>
      <w:r w:rsidR="00054708" w:rsidRPr="0070034E">
        <w:t xml:space="preserve">Alberta </w:t>
      </w:r>
      <w:r w:rsidRPr="0070034E">
        <w:t>Court of Appeal (</w:t>
      </w:r>
      <w:r w:rsidR="00DD3087" w:rsidRPr="0070034E">
        <w:t>Crighton, Pentelechuk and Feehan JJ.A.</w:t>
      </w:r>
      <w:r w:rsidRPr="0070034E">
        <w:t>)</w:t>
      </w:r>
      <w:r w:rsidR="00054708" w:rsidRPr="0070034E">
        <w:t xml:space="preserve">, </w:t>
      </w:r>
      <w:hyperlink r:id="rId11" w:history="1">
        <w:r w:rsidR="00DD3087" w:rsidRPr="0070034E">
          <w:rPr>
            <w:rStyle w:val="Hyperlink"/>
          </w:rPr>
          <w:t>2022 ABCA 375</w:t>
        </w:r>
      </w:hyperlink>
      <w:r w:rsidR="00DD3087" w:rsidRPr="0070034E">
        <w:t>, 52 Alta. L.R. (7th) 8, [2023] 3 W.W.R. 209</w:t>
      </w:r>
      <w:r w:rsidR="002744A3" w:rsidRPr="0070034E">
        <w:t>, 81 R.F.L. (8th) 338</w:t>
      </w:r>
      <w:r w:rsidR="00DD3087" w:rsidRPr="0070034E">
        <w:t xml:space="preserve">, [2022] A.J. No. 1389 (Lexis), 2022 </w:t>
      </w:r>
      <w:proofErr w:type="spellStart"/>
      <w:r w:rsidR="00DD3087" w:rsidRPr="0070034E">
        <w:t>CarswellAlta</w:t>
      </w:r>
      <w:proofErr w:type="spellEnd"/>
      <w:r w:rsidR="00DD3087" w:rsidRPr="0070034E">
        <w:t xml:space="preserve"> 3388 (WL)</w:t>
      </w:r>
      <w:r w:rsidR="002744A3" w:rsidRPr="0070034E">
        <w:t xml:space="preserve">, </w:t>
      </w:r>
      <w:r w:rsidR="003B37B6" w:rsidRPr="0070034E">
        <w:t>a</w:t>
      </w:r>
      <w:r w:rsidR="00C85B92" w:rsidRPr="0070034E">
        <w:t>ffirming a decision of Rothwell </w:t>
      </w:r>
      <w:r w:rsidR="003B37B6" w:rsidRPr="0070034E">
        <w:t xml:space="preserve">J., 2021 ABQB 370, 32 Alta. L.R. (7th) 250, [2021] A.J. No. 651 (Lexis), 2021 </w:t>
      </w:r>
      <w:proofErr w:type="spellStart"/>
      <w:r w:rsidR="003B37B6" w:rsidRPr="0070034E">
        <w:t>CarswellAlta</w:t>
      </w:r>
      <w:proofErr w:type="spellEnd"/>
      <w:r w:rsidR="003B37B6" w:rsidRPr="0070034E">
        <w:t xml:space="preserve"> 1166 (WL).</w:t>
      </w:r>
      <w:r w:rsidR="00E02008" w:rsidRPr="0070034E">
        <w:t xml:space="preserve"> Appeal dismissed.</w:t>
      </w:r>
    </w:p>
    <w:p w14:paraId="352F6893" w14:textId="77777777" w:rsidR="003F2943" w:rsidRPr="0070034E" w:rsidRDefault="00D91B1D" w:rsidP="00C85B92">
      <w:pPr>
        <w:pStyle w:val="SCCNormalDoubleSpacing"/>
        <w:spacing w:after="480"/>
      </w:pPr>
      <w:r w:rsidRPr="0070034E">
        <w:rPr>
          <w:rStyle w:val="SCCCounselNameChar"/>
        </w:rPr>
        <w:tab/>
        <w:t>Laura Warner</w:t>
      </w:r>
      <w:r w:rsidR="00D55854" w:rsidRPr="0070034E">
        <w:rPr>
          <w:rStyle w:val="SCCCounselNameChar"/>
          <w:i w:val="0"/>
        </w:rPr>
        <w:t xml:space="preserve">, </w:t>
      </w:r>
      <w:r w:rsidR="00D55854" w:rsidRPr="0070034E">
        <w:rPr>
          <w:rStyle w:val="SCCCounselNameChar"/>
        </w:rPr>
        <w:t>Ronald Robinson</w:t>
      </w:r>
      <w:r w:rsidRPr="0070034E">
        <w:rPr>
          <w:rStyle w:val="SCCCounselNameChar"/>
          <w:i w:val="0"/>
        </w:rPr>
        <w:t>,</w:t>
      </w:r>
      <w:r w:rsidRPr="0070034E">
        <w:rPr>
          <w:rStyle w:val="SCCCounselNameChar"/>
        </w:rPr>
        <w:t xml:space="preserve"> Ryan Phillips</w:t>
      </w:r>
      <w:r w:rsidRPr="0070034E">
        <w:rPr>
          <w:rStyle w:val="SCCCounselSeparatorChar"/>
        </w:rPr>
        <w:t xml:space="preserve"> and</w:t>
      </w:r>
      <w:r w:rsidR="00D55854" w:rsidRPr="0070034E">
        <w:rPr>
          <w:rStyle w:val="SCCCounselSeparatorChar"/>
        </w:rPr>
        <w:t xml:space="preserve"> </w:t>
      </w:r>
      <w:r w:rsidR="00D55854" w:rsidRPr="0070034E">
        <w:rPr>
          <w:rStyle w:val="SCCCounselSeparatorChar"/>
          <w:i/>
        </w:rPr>
        <w:t>Paul Daly</w:t>
      </w:r>
      <w:r w:rsidRPr="0070034E">
        <w:rPr>
          <w:rStyle w:val="SCCCounselPartyRoleChar"/>
        </w:rPr>
        <w:t>, for the appellant.</w:t>
      </w:r>
    </w:p>
    <w:p w14:paraId="7D87886F" w14:textId="77777777" w:rsidR="003F2943" w:rsidRPr="0070034E" w:rsidRDefault="00D91B1D" w:rsidP="00C85B92">
      <w:pPr>
        <w:pStyle w:val="SCCNormalDoubleSpacing"/>
        <w:spacing w:after="480"/>
      </w:pPr>
      <w:r w:rsidRPr="0070034E">
        <w:rPr>
          <w:rStyle w:val="SCCCounselNameChar"/>
        </w:rPr>
        <w:tab/>
        <w:t>Tina Huizinga</w:t>
      </w:r>
      <w:r w:rsidR="003878D8" w:rsidRPr="0070034E">
        <w:rPr>
          <w:rStyle w:val="SCCCounselNameChar"/>
          <w:i w:val="0"/>
        </w:rPr>
        <w:t>,</w:t>
      </w:r>
      <w:r w:rsidRPr="0070034E">
        <w:rPr>
          <w:rStyle w:val="SCCCounselNameChar"/>
        </w:rPr>
        <w:t xml:space="preserve"> K.C.</w:t>
      </w:r>
      <w:r w:rsidRPr="0070034E">
        <w:rPr>
          <w:rStyle w:val="SCCCounselPartyRoleChar"/>
        </w:rPr>
        <w:t>, for the respondent</w:t>
      </w:r>
      <w:r w:rsidR="005E672A" w:rsidRPr="0070034E">
        <w:rPr>
          <w:rStyle w:val="SCCCounselPartyRoleChar"/>
        </w:rPr>
        <w:t xml:space="preserve"> </w:t>
      </w:r>
      <w:r w:rsidR="005E672A" w:rsidRPr="0070034E">
        <w:t>Aysel Igorevna Auer</w:t>
      </w:r>
      <w:r w:rsidRPr="0070034E">
        <w:rPr>
          <w:rStyle w:val="SCCCounselPartyRoleChar"/>
        </w:rPr>
        <w:t>.</w:t>
      </w:r>
    </w:p>
    <w:p w14:paraId="71CE2E45" w14:textId="63A9D7E2" w:rsidR="003F2943" w:rsidRPr="0070034E" w:rsidRDefault="00C85B92" w:rsidP="00C85B92">
      <w:pPr>
        <w:pStyle w:val="SCCNormalDoubleSpacing"/>
        <w:spacing w:after="480"/>
      </w:pPr>
      <w:r w:rsidRPr="0070034E">
        <w:rPr>
          <w:rStyle w:val="SCCCounselNameChar"/>
        </w:rPr>
        <w:tab/>
        <w:t>Michael </w:t>
      </w:r>
      <w:r w:rsidR="00D91B1D" w:rsidRPr="0070034E">
        <w:rPr>
          <w:rStyle w:val="SCCCounselNameChar"/>
        </w:rPr>
        <w:t>H. Morris</w:t>
      </w:r>
      <w:r w:rsidR="00D91B1D" w:rsidRPr="0070034E">
        <w:rPr>
          <w:rStyle w:val="SCCCounselNameChar"/>
          <w:i w:val="0"/>
        </w:rPr>
        <w:t>,</w:t>
      </w:r>
      <w:r w:rsidR="00D91B1D" w:rsidRPr="0070034E">
        <w:rPr>
          <w:rStyle w:val="SCCCounselNameChar"/>
        </w:rPr>
        <w:t xml:space="preserve"> Joseph Cheng</w:t>
      </w:r>
      <w:r w:rsidR="00D91B1D" w:rsidRPr="0070034E">
        <w:rPr>
          <w:rStyle w:val="SCCCounselSeparatorChar"/>
        </w:rPr>
        <w:t xml:space="preserve"> and </w:t>
      </w:r>
      <w:r w:rsidRPr="0070034E">
        <w:rPr>
          <w:rStyle w:val="SCCCounselNameChar"/>
        </w:rPr>
        <w:t>Amy Martin</w:t>
      </w:r>
      <w:r w:rsidRPr="0070034E">
        <w:rPr>
          <w:rStyle w:val="SCCCounselNameChar"/>
        </w:rPr>
        <w:noBreakHyphen/>
      </w:r>
      <w:r w:rsidR="00D91B1D" w:rsidRPr="0070034E">
        <w:rPr>
          <w:rStyle w:val="SCCCounselNameChar"/>
        </w:rPr>
        <w:t>LeBlanc</w:t>
      </w:r>
      <w:r w:rsidR="00D91B1D" w:rsidRPr="0070034E">
        <w:rPr>
          <w:rStyle w:val="SCCCounselPartyRoleChar"/>
        </w:rPr>
        <w:t>, for the respondent</w:t>
      </w:r>
      <w:r w:rsidR="004A6FFC" w:rsidRPr="0070034E">
        <w:rPr>
          <w:rStyle w:val="SCCCounselPartyRoleChar"/>
        </w:rPr>
        <w:t xml:space="preserve"> the Attorney General of Canada</w:t>
      </w:r>
      <w:r w:rsidR="00D91B1D" w:rsidRPr="0070034E">
        <w:rPr>
          <w:rStyle w:val="SCCCounselPartyRoleChar"/>
        </w:rPr>
        <w:t>.</w:t>
      </w:r>
    </w:p>
    <w:p w14:paraId="4CD59317" w14:textId="77777777" w:rsidR="004A6FFC" w:rsidRPr="0070034E" w:rsidRDefault="004A6FFC" w:rsidP="00C85B92">
      <w:pPr>
        <w:pStyle w:val="SCCNormalDoubleSpacing"/>
        <w:spacing w:after="480"/>
      </w:pPr>
      <w:r w:rsidRPr="0070034E">
        <w:rPr>
          <w:rStyle w:val="SCCCounselNameChar"/>
        </w:rPr>
        <w:tab/>
        <w:t xml:space="preserve">Judie </w:t>
      </w:r>
      <w:proofErr w:type="spellStart"/>
      <w:r w:rsidRPr="0070034E">
        <w:rPr>
          <w:rStyle w:val="SCCCounselNameChar"/>
        </w:rPr>
        <w:t>Im</w:t>
      </w:r>
      <w:proofErr w:type="spellEnd"/>
      <w:r w:rsidR="00E35622" w:rsidRPr="0070034E">
        <w:rPr>
          <w:rStyle w:val="SCCCounselNameChar"/>
          <w:i w:val="0"/>
        </w:rPr>
        <w:t xml:space="preserve"> and </w:t>
      </w:r>
      <w:r w:rsidR="00E35622" w:rsidRPr="0070034E">
        <w:rPr>
          <w:rStyle w:val="SCCCounselNameChar"/>
        </w:rPr>
        <w:t xml:space="preserve">Michele </w:t>
      </w:r>
      <w:proofErr w:type="spellStart"/>
      <w:r w:rsidR="00E35622" w:rsidRPr="0070034E">
        <w:rPr>
          <w:rStyle w:val="SCCCounselNameChar"/>
        </w:rPr>
        <w:t>Valentini</w:t>
      </w:r>
      <w:proofErr w:type="spellEnd"/>
      <w:r w:rsidRPr="0070034E">
        <w:rPr>
          <w:rStyle w:val="SCCCounselPartyRoleChar"/>
        </w:rPr>
        <w:t>, for the intervener the Attorney General of Ontario.</w:t>
      </w:r>
    </w:p>
    <w:p w14:paraId="076B8EC4" w14:textId="77777777" w:rsidR="005415A1" w:rsidRPr="0070034E" w:rsidRDefault="005415A1" w:rsidP="00C85B92">
      <w:pPr>
        <w:pStyle w:val="SCCNormalDoubleSpacing"/>
        <w:spacing w:after="480"/>
      </w:pPr>
      <w:r w:rsidRPr="0070034E">
        <w:rPr>
          <w:rStyle w:val="SCCCounselNameChar"/>
        </w:rPr>
        <w:tab/>
        <w:t xml:space="preserve">Stéphane </w:t>
      </w:r>
      <w:proofErr w:type="spellStart"/>
      <w:r w:rsidRPr="0070034E">
        <w:rPr>
          <w:rStyle w:val="SCCCounselNameChar"/>
        </w:rPr>
        <w:t>Rochette</w:t>
      </w:r>
      <w:proofErr w:type="spellEnd"/>
      <w:r w:rsidRPr="0070034E">
        <w:rPr>
          <w:rStyle w:val="SCCCounselSeparatorChar"/>
        </w:rPr>
        <w:t xml:space="preserve"> and </w:t>
      </w:r>
      <w:r w:rsidRPr="0070034E">
        <w:rPr>
          <w:rStyle w:val="SCCCounselNameChar"/>
        </w:rPr>
        <w:t>Francesca Boucher</w:t>
      </w:r>
      <w:r w:rsidRPr="0070034E">
        <w:rPr>
          <w:rStyle w:val="SCCCounselPartyRoleChar"/>
        </w:rPr>
        <w:t>, for the intervener the Attorney General of Quebec.</w:t>
      </w:r>
    </w:p>
    <w:p w14:paraId="6497D610" w14:textId="77777777" w:rsidR="003F2943" w:rsidRPr="0070034E" w:rsidRDefault="00D91B1D" w:rsidP="00C85B92">
      <w:pPr>
        <w:pStyle w:val="SCCNormalDoubleSpacing"/>
        <w:spacing w:after="480"/>
      </w:pPr>
      <w:r w:rsidRPr="0070034E">
        <w:rPr>
          <w:rStyle w:val="SCCCounselNameChar"/>
        </w:rPr>
        <w:tab/>
        <w:t>Emily Lapper</w:t>
      </w:r>
      <w:r w:rsidRPr="0070034E">
        <w:rPr>
          <w:rStyle w:val="SCCCounselSeparatorChar"/>
        </w:rPr>
        <w:t xml:space="preserve"> and </w:t>
      </w:r>
      <w:r w:rsidRPr="0070034E">
        <w:rPr>
          <w:rStyle w:val="SCCCounselNameChar"/>
        </w:rPr>
        <w:t xml:space="preserve">Christine </w:t>
      </w:r>
      <w:proofErr w:type="spellStart"/>
      <w:r w:rsidRPr="0070034E">
        <w:rPr>
          <w:rStyle w:val="SCCCounselNameChar"/>
        </w:rPr>
        <w:t>Bant</w:t>
      </w:r>
      <w:proofErr w:type="spellEnd"/>
      <w:r w:rsidRPr="0070034E">
        <w:rPr>
          <w:rStyle w:val="SCCCounselPartyRoleChar"/>
        </w:rPr>
        <w:t xml:space="preserve">, for the intervener </w:t>
      </w:r>
      <w:r w:rsidR="005E672A" w:rsidRPr="0070034E">
        <w:rPr>
          <w:rStyle w:val="SCCCounselPartyRoleChar"/>
        </w:rPr>
        <w:t xml:space="preserve">the </w:t>
      </w:r>
      <w:r w:rsidRPr="0070034E">
        <w:rPr>
          <w:rStyle w:val="SCCCounselPartyRoleChar"/>
        </w:rPr>
        <w:t>Attorney General of British Columbia.</w:t>
      </w:r>
    </w:p>
    <w:p w14:paraId="74C83899" w14:textId="77777777" w:rsidR="005415A1" w:rsidRPr="0070034E" w:rsidRDefault="005415A1" w:rsidP="00C85B92">
      <w:pPr>
        <w:pStyle w:val="SCCNormalDoubleSpacing"/>
        <w:spacing w:after="480"/>
      </w:pPr>
      <w:r w:rsidRPr="0070034E">
        <w:rPr>
          <w:rStyle w:val="SCCCounselNameChar"/>
        </w:rPr>
        <w:tab/>
        <w:t>Kyle McCreary</w:t>
      </w:r>
      <w:r w:rsidR="00D05DB1" w:rsidRPr="0070034E">
        <w:rPr>
          <w:rStyle w:val="SCCCounselNameChar"/>
        </w:rPr>
        <w:t xml:space="preserve"> </w:t>
      </w:r>
      <w:r w:rsidR="00D05DB1" w:rsidRPr="0070034E">
        <w:rPr>
          <w:rStyle w:val="SCCCounselNameChar"/>
          <w:i w:val="0"/>
        </w:rPr>
        <w:t xml:space="preserve">and </w:t>
      </w:r>
      <w:r w:rsidR="00D05DB1" w:rsidRPr="0070034E">
        <w:rPr>
          <w:i/>
        </w:rPr>
        <w:t>Jared Biden</w:t>
      </w:r>
      <w:r w:rsidRPr="0070034E">
        <w:rPr>
          <w:rStyle w:val="SCCCounselPartyRoleChar"/>
        </w:rPr>
        <w:t>, for the intervener the Attorney General of Saskatchewan.</w:t>
      </w:r>
    </w:p>
    <w:p w14:paraId="17CF57BC" w14:textId="6C7569B3" w:rsidR="003F2943" w:rsidRPr="0070034E" w:rsidRDefault="00C85B92" w:rsidP="00C85B92">
      <w:pPr>
        <w:pStyle w:val="SCCNormalDoubleSpacing"/>
        <w:spacing w:after="480"/>
      </w:pPr>
      <w:r w:rsidRPr="0070034E">
        <w:rPr>
          <w:rStyle w:val="SCCCounselNameChar"/>
        </w:rPr>
        <w:tab/>
        <w:t>Aubin </w:t>
      </w:r>
      <w:r w:rsidR="00D91B1D" w:rsidRPr="0070034E">
        <w:rPr>
          <w:rStyle w:val="SCCCounselNameChar"/>
        </w:rPr>
        <w:t>P. Calvert</w:t>
      </w:r>
      <w:r w:rsidR="00D91B1D" w:rsidRPr="0070034E">
        <w:rPr>
          <w:rStyle w:val="SCCCounselSeparatorChar"/>
        </w:rPr>
        <w:t xml:space="preserve"> and </w:t>
      </w:r>
      <w:r w:rsidR="00D91B1D" w:rsidRPr="0070034E">
        <w:rPr>
          <w:rStyle w:val="SCCCounselNameChar"/>
        </w:rPr>
        <w:t xml:space="preserve">Devin </w:t>
      </w:r>
      <w:proofErr w:type="spellStart"/>
      <w:proofErr w:type="gramStart"/>
      <w:r w:rsidR="00D91B1D" w:rsidRPr="0070034E">
        <w:rPr>
          <w:rStyle w:val="SCCCounselNameChar"/>
        </w:rPr>
        <w:t>Eeg</w:t>
      </w:r>
      <w:proofErr w:type="spellEnd"/>
      <w:proofErr w:type="gramEnd"/>
      <w:r w:rsidR="00D91B1D" w:rsidRPr="0070034E">
        <w:rPr>
          <w:rStyle w:val="SCCCounselPartyRoleChar"/>
        </w:rPr>
        <w:t>, for the intervener</w:t>
      </w:r>
      <w:r w:rsidR="004A6FFC" w:rsidRPr="0070034E">
        <w:rPr>
          <w:rStyle w:val="SCCCounselPartyRoleChar"/>
        </w:rPr>
        <w:t xml:space="preserve"> the</w:t>
      </w:r>
      <w:r w:rsidR="00D91B1D" w:rsidRPr="0070034E">
        <w:rPr>
          <w:rStyle w:val="SCCCounselPartyRoleChar"/>
        </w:rPr>
        <w:t xml:space="preserve"> Trial Lawyers Association of British Columbia.</w:t>
      </w:r>
    </w:p>
    <w:p w14:paraId="3C42C024" w14:textId="2E33A564" w:rsidR="003F2943" w:rsidRPr="0070034E" w:rsidRDefault="00D91B1D" w:rsidP="00C85B92">
      <w:pPr>
        <w:pStyle w:val="SCCNormalDoubleSpacing"/>
        <w:spacing w:after="480"/>
      </w:pPr>
      <w:r w:rsidRPr="0070034E">
        <w:rPr>
          <w:rStyle w:val="SCCCounselNameChar"/>
        </w:rPr>
        <w:tab/>
      </w:r>
      <w:proofErr w:type="spellStart"/>
      <w:r w:rsidRPr="0070034E">
        <w:rPr>
          <w:rStyle w:val="SCCCounselNameChar"/>
        </w:rPr>
        <w:t>Mannu</w:t>
      </w:r>
      <w:proofErr w:type="spellEnd"/>
      <w:r w:rsidRPr="0070034E">
        <w:rPr>
          <w:rStyle w:val="SCCCounselNameChar"/>
        </w:rPr>
        <w:t xml:space="preserve"> Chowdhury</w:t>
      </w:r>
      <w:r w:rsidRPr="0070034E">
        <w:rPr>
          <w:rStyle w:val="SCCCounselPartyRoleChar"/>
        </w:rPr>
        <w:t>, for the intervener</w:t>
      </w:r>
      <w:r w:rsidR="004A6FFC" w:rsidRPr="0070034E">
        <w:rPr>
          <w:rStyle w:val="SCCCounselPartyRoleChar"/>
        </w:rPr>
        <w:t>s</w:t>
      </w:r>
      <w:r w:rsidRPr="0070034E">
        <w:rPr>
          <w:rStyle w:val="SCCCounselPartyRoleChar"/>
        </w:rPr>
        <w:t xml:space="preserve"> </w:t>
      </w:r>
      <w:r w:rsidR="00FF67B9" w:rsidRPr="0070034E">
        <w:rPr>
          <w:rStyle w:val="SCCCounselPartyRoleChar"/>
        </w:rPr>
        <w:t xml:space="preserve">the </w:t>
      </w:r>
      <w:r w:rsidRPr="0070034E">
        <w:rPr>
          <w:rStyle w:val="SCCCounselPartyRoleChar"/>
        </w:rPr>
        <w:t xml:space="preserve">HIV &amp; AIDS Legal Clinic Ontario and </w:t>
      </w:r>
      <w:r w:rsidR="006E2638" w:rsidRPr="0070034E">
        <w:rPr>
          <w:rStyle w:val="SCCCounselPartyRoleChar"/>
        </w:rPr>
        <w:t xml:space="preserve">the </w:t>
      </w:r>
      <w:r w:rsidRPr="0070034E">
        <w:rPr>
          <w:rStyle w:val="SCCCounselPartyRoleChar"/>
        </w:rPr>
        <w:t>Health Justice Program.</w:t>
      </w:r>
    </w:p>
    <w:p w14:paraId="7BAC4BE1" w14:textId="77777777" w:rsidR="003F2943" w:rsidRPr="0070034E" w:rsidRDefault="00D91B1D" w:rsidP="00C85B92">
      <w:pPr>
        <w:pStyle w:val="SCCNormalDoubleSpacing"/>
        <w:spacing w:after="480"/>
      </w:pPr>
      <w:r w:rsidRPr="0070034E">
        <w:rPr>
          <w:rStyle w:val="SCCCounselNameChar"/>
        </w:rPr>
        <w:tab/>
        <w:t xml:space="preserve">Jamie </w:t>
      </w:r>
      <w:proofErr w:type="spellStart"/>
      <w:r w:rsidRPr="0070034E">
        <w:rPr>
          <w:rStyle w:val="SCCCounselNameChar"/>
        </w:rPr>
        <w:t>Liew</w:t>
      </w:r>
      <w:proofErr w:type="spellEnd"/>
      <w:r w:rsidR="00A12E91" w:rsidRPr="0070034E">
        <w:rPr>
          <w:rStyle w:val="SCCCounselSeparatorChar"/>
        </w:rPr>
        <w:t xml:space="preserve"> and </w:t>
      </w:r>
      <w:proofErr w:type="spellStart"/>
      <w:r w:rsidR="00A12E91" w:rsidRPr="0070034E">
        <w:rPr>
          <w:i/>
        </w:rPr>
        <w:t>Kamaljit</w:t>
      </w:r>
      <w:proofErr w:type="spellEnd"/>
      <w:r w:rsidR="00A12E91" w:rsidRPr="0070034E">
        <w:rPr>
          <w:i/>
        </w:rPr>
        <w:t xml:space="preserve"> </w:t>
      </w:r>
      <w:proofErr w:type="spellStart"/>
      <w:r w:rsidR="00A12E91" w:rsidRPr="0070034E">
        <w:rPr>
          <w:i/>
        </w:rPr>
        <w:t>Lehal</w:t>
      </w:r>
      <w:proofErr w:type="spellEnd"/>
      <w:r w:rsidRPr="0070034E">
        <w:rPr>
          <w:rStyle w:val="SCCCounselPartyRoleChar"/>
        </w:rPr>
        <w:t xml:space="preserve">, for the intervener </w:t>
      </w:r>
      <w:r w:rsidR="004A6FFC" w:rsidRPr="0070034E">
        <w:rPr>
          <w:rStyle w:val="SCCCounselPartyRoleChar"/>
        </w:rPr>
        <w:t xml:space="preserve">the </w:t>
      </w:r>
      <w:r w:rsidRPr="0070034E">
        <w:rPr>
          <w:rStyle w:val="SCCCounselPartyRoleChar"/>
        </w:rPr>
        <w:t>Canadian Council for Refugees.</w:t>
      </w:r>
    </w:p>
    <w:p w14:paraId="2CA5F120" w14:textId="77777777" w:rsidR="003F2943" w:rsidRPr="0070034E" w:rsidRDefault="00D91B1D" w:rsidP="00C85B92">
      <w:pPr>
        <w:pStyle w:val="SCCNormalDoubleSpacing"/>
        <w:spacing w:after="480"/>
      </w:pPr>
      <w:r w:rsidRPr="0070034E">
        <w:rPr>
          <w:rStyle w:val="SCCCounselNameChar"/>
        </w:rPr>
        <w:tab/>
        <w:t>Henry Chan</w:t>
      </w:r>
      <w:r w:rsidR="001A6055" w:rsidRPr="0070034E">
        <w:rPr>
          <w:rStyle w:val="SCCCounselNameChar"/>
        </w:rPr>
        <w:t xml:space="preserve"> </w:t>
      </w:r>
      <w:r w:rsidR="001A6055" w:rsidRPr="0070034E">
        <w:rPr>
          <w:rStyle w:val="SCCCounselNameChar"/>
          <w:i w:val="0"/>
        </w:rPr>
        <w:t xml:space="preserve">and </w:t>
      </w:r>
      <w:r w:rsidR="001A6055" w:rsidRPr="0070034E">
        <w:rPr>
          <w:i/>
        </w:rPr>
        <w:t>Andrea Cole</w:t>
      </w:r>
      <w:r w:rsidRPr="0070034E">
        <w:rPr>
          <w:rStyle w:val="SCCCounselPartyRoleChar"/>
        </w:rPr>
        <w:t xml:space="preserve">, for the intervener </w:t>
      </w:r>
      <w:r w:rsidR="004A6FFC" w:rsidRPr="0070034E">
        <w:rPr>
          <w:rStyle w:val="SCCCounselPartyRoleChar"/>
        </w:rPr>
        <w:t>t</w:t>
      </w:r>
      <w:r w:rsidRPr="0070034E">
        <w:rPr>
          <w:rStyle w:val="SCCCounselPartyRoleChar"/>
        </w:rPr>
        <w:t>he City of Calgary.</w:t>
      </w:r>
    </w:p>
    <w:p w14:paraId="6C2C1435" w14:textId="77777777" w:rsidR="003F2943" w:rsidRPr="0070034E" w:rsidRDefault="00D91B1D" w:rsidP="00C85B92">
      <w:pPr>
        <w:pStyle w:val="SCCNormalDoubleSpacing"/>
        <w:spacing w:after="480"/>
      </w:pPr>
      <w:r w:rsidRPr="0070034E">
        <w:rPr>
          <w:rStyle w:val="SCCCounselNameChar"/>
        </w:rPr>
        <w:tab/>
      </w:r>
      <w:r w:rsidR="00803393" w:rsidRPr="0070034E">
        <w:rPr>
          <w:rStyle w:val="SCCCounselNameChar"/>
        </w:rPr>
        <w:t>Alyssa Holland</w:t>
      </w:r>
      <w:r w:rsidR="00803393" w:rsidRPr="0070034E">
        <w:rPr>
          <w:rStyle w:val="SCCCounselNameChar"/>
          <w:i w:val="0"/>
        </w:rPr>
        <w:t>,</w:t>
      </w:r>
      <w:r w:rsidR="00803393" w:rsidRPr="0070034E">
        <w:rPr>
          <w:rStyle w:val="SCCCounselNameChar"/>
        </w:rPr>
        <w:t xml:space="preserve"> David Wilson</w:t>
      </w:r>
      <w:r w:rsidR="00803393" w:rsidRPr="0070034E">
        <w:rPr>
          <w:rStyle w:val="SCCCounselSeparatorChar"/>
        </w:rPr>
        <w:t xml:space="preserve"> and </w:t>
      </w:r>
      <w:r w:rsidR="00803393" w:rsidRPr="0070034E">
        <w:rPr>
          <w:rStyle w:val="SCCCounselNameChar"/>
        </w:rPr>
        <w:t xml:space="preserve">Julie </w:t>
      </w:r>
      <w:proofErr w:type="spellStart"/>
      <w:r w:rsidR="00803393" w:rsidRPr="0070034E">
        <w:rPr>
          <w:rStyle w:val="SCCCounselNameChar"/>
        </w:rPr>
        <w:t>Mouris</w:t>
      </w:r>
      <w:proofErr w:type="spellEnd"/>
      <w:r w:rsidRPr="0070034E">
        <w:rPr>
          <w:rStyle w:val="SCCCounselPartyRoleChar"/>
        </w:rPr>
        <w:t>, for the intervener</w:t>
      </w:r>
      <w:r w:rsidR="004A6FFC" w:rsidRPr="0070034E">
        <w:rPr>
          <w:rStyle w:val="SCCCounselPartyRoleChar"/>
        </w:rPr>
        <w:t>s</w:t>
      </w:r>
      <w:r w:rsidRPr="0070034E">
        <w:rPr>
          <w:rStyle w:val="SCCCounselPartyRoleChar"/>
        </w:rPr>
        <w:t xml:space="preserve"> </w:t>
      </w:r>
      <w:r w:rsidR="004A6FFC" w:rsidRPr="0070034E">
        <w:rPr>
          <w:rStyle w:val="SCCCounselPartyRoleChar"/>
        </w:rPr>
        <w:t xml:space="preserve">the </w:t>
      </w:r>
      <w:r w:rsidRPr="0070034E">
        <w:rPr>
          <w:rStyle w:val="SCCCounselPartyRoleChar"/>
        </w:rPr>
        <w:t xml:space="preserve">Chicken Farmers of Canada, </w:t>
      </w:r>
      <w:r w:rsidR="004A6FFC" w:rsidRPr="0070034E">
        <w:rPr>
          <w:rStyle w:val="SCCCounselPartyRoleChar"/>
        </w:rPr>
        <w:t xml:space="preserve">the </w:t>
      </w:r>
      <w:r w:rsidRPr="0070034E">
        <w:rPr>
          <w:rStyle w:val="SCCCounselPartyRoleChar"/>
        </w:rPr>
        <w:t xml:space="preserve">Egg Farmers of Canada, </w:t>
      </w:r>
      <w:r w:rsidR="004A6FFC" w:rsidRPr="0070034E">
        <w:rPr>
          <w:rStyle w:val="SCCCounselPartyRoleChar"/>
        </w:rPr>
        <w:t xml:space="preserve">the </w:t>
      </w:r>
      <w:r w:rsidRPr="0070034E">
        <w:rPr>
          <w:rStyle w:val="SCCCounselPartyRoleChar"/>
        </w:rPr>
        <w:t xml:space="preserve">Turkey Farmers of Canada and </w:t>
      </w:r>
      <w:r w:rsidR="004A6FFC" w:rsidRPr="0070034E">
        <w:rPr>
          <w:rStyle w:val="SCCCounselPartyRoleChar"/>
        </w:rPr>
        <w:t xml:space="preserve">the </w:t>
      </w:r>
      <w:r w:rsidRPr="0070034E">
        <w:rPr>
          <w:rStyle w:val="SCCCounselPartyRoleChar"/>
        </w:rPr>
        <w:t>Canadian Hatching Egg Producers.</w:t>
      </w:r>
    </w:p>
    <w:p w14:paraId="6EF18883" w14:textId="2F962339" w:rsidR="003F2943" w:rsidRPr="0070034E" w:rsidRDefault="00D91B1D" w:rsidP="00C85B92">
      <w:pPr>
        <w:pStyle w:val="SCCNormalDoubleSpacing"/>
        <w:spacing w:after="480"/>
      </w:pPr>
      <w:r w:rsidRPr="0070034E">
        <w:rPr>
          <w:rStyle w:val="SCCCounselNameChar"/>
        </w:rPr>
        <w:tab/>
      </w:r>
      <w:r w:rsidR="00C85B92" w:rsidRPr="0070034E">
        <w:rPr>
          <w:rStyle w:val="SCCCounselNameChar"/>
        </w:rPr>
        <w:t>William </w:t>
      </w:r>
      <w:r w:rsidR="007E268C" w:rsidRPr="0070034E">
        <w:rPr>
          <w:rStyle w:val="SCCCounselNameChar"/>
        </w:rPr>
        <w:t>W. Shores</w:t>
      </w:r>
      <w:r w:rsidR="007E268C" w:rsidRPr="0070034E">
        <w:rPr>
          <w:rStyle w:val="SCCCounselNameChar"/>
          <w:i w:val="0"/>
        </w:rPr>
        <w:t>,</w:t>
      </w:r>
      <w:r w:rsidR="007E268C" w:rsidRPr="0070034E">
        <w:rPr>
          <w:rStyle w:val="SCCCounselNameChar"/>
        </w:rPr>
        <w:t xml:space="preserve"> K.C.</w:t>
      </w:r>
      <w:r w:rsidR="007E268C" w:rsidRPr="0070034E">
        <w:rPr>
          <w:rStyle w:val="SCCCounselNameChar"/>
          <w:i w:val="0"/>
        </w:rPr>
        <w:t>,</w:t>
      </w:r>
      <w:r w:rsidR="007E268C" w:rsidRPr="0070034E">
        <w:rPr>
          <w:rStyle w:val="SCCCounselSeparatorChar"/>
        </w:rPr>
        <w:t xml:space="preserve"> and </w:t>
      </w:r>
      <w:r w:rsidR="00C85B92" w:rsidRPr="0070034E">
        <w:rPr>
          <w:rStyle w:val="SCCCounselNameChar"/>
        </w:rPr>
        <w:t>Annabritt </w:t>
      </w:r>
      <w:r w:rsidR="007E268C" w:rsidRPr="0070034E">
        <w:rPr>
          <w:rStyle w:val="SCCCounselNameChar"/>
        </w:rPr>
        <w:t>N. Chisholm</w:t>
      </w:r>
      <w:r w:rsidRPr="0070034E">
        <w:rPr>
          <w:rStyle w:val="SCCCounselPartyRoleChar"/>
        </w:rPr>
        <w:t xml:space="preserve">, for the intervener </w:t>
      </w:r>
      <w:r w:rsidR="004A6FFC" w:rsidRPr="0070034E">
        <w:rPr>
          <w:rStyle w:val="SCCCounselPartyRoleChar"/>
        </w:rPr>
        <w:t>t</w:t>
      </w:r>
      <w:r w:rsidRPr="0070034E">
        <w:rPr>
          <w:rStyle w:val="SCCCounselPartyRoleChar"/>
        </w:rPr>
        <w:t>he National Association of Pharmacy Regulatory Authorities.</w:t>
      </w:r>
    </w:p>
    <w:p w14:paraId="31A451C1" w14:textId="77777777" w:rsidR="003F2943" w:rsidRPr="0070034E" w:rsidRDefault="00D91B1D" w:rsidP="00C85B92">
      <w:pPr>
        <w:pStyle w:val="SCCNormalDoubleSpacing"/>
        <w:spacing w:after="480"/>
        <w:rPr>
          <w:lang w:val="fr-CA"/>
        </w:rPr>
      </w:pPr>
      <w:r w:rsidRPr="0070034E">
        <w:rPr>
          <w:rStyle w:val="SCCCounselNameChar"/>
        </w:rPr>
        <w:tab/>
      </w:r>
      <w:r w:rsidRPr="0070034E">
        <w:rPr>
          <w:rStyle w:val="SCCCounselNameChar"/>
          <w:lang w:val="fr-CA"/>
        </w:rPr>
        <w:t>Lawrence David</w:t>
      </w:r>
      <w:r w:rsidRPr="0070034E">
        <w:rPr>
          <w:rStyle w:val="SCCCounselSeparatorChar"/>
          <w:lang w:val="fr-CA"/>
        </w:rPr>
        <w:t xml:space="preserve"> and </w:t>
      </w:r>
      <w:proofErr w:type="spellStart"/>
      <w:r w:rsidRPr="0070034E">
        <w:rPr>
          <w:rStyle w:val="SCCCounselNameChar"/>
          <w:lang w:val="fr-CA"/>
        </w:rPr>
        <w:t>Gjergji</w:t>
      </w:r>
      <w:proofErr w:type="spellEnd"/>
      <w:r w:rsidRPr="0070034E">
        <w:rPr>
          <w:rStyle w:val="SCCCounselNameChar"/>
          <w:lang w:val="fr-CA"/>
        </w:rPr>
        <w:t xml:space="preserve"> Hasa</w:t>
      </w:r>
      <w:r w:rsidRPr="0070034E">
        <w:rPr>
          <w:rStyle w:val="SCCCounselPartyRoleChar"/>
          <w:lang w:val="fr-CA"/>
        </w:rPr>
        <w:t>, for the intervener Association québécoise des avocats et avocates en droit de l’immigration.</w:t>
      </w:r>
    </w:p>
    <w:p w14:paraId="64897687" w14:textId="77777777" w:rsidR="003F2943" w:rsidRPr="0070034E" w:rsidRDefault="00D91B1D" w:rsidP="00C85B92">
      <w:pPr>
        <w:pStyle w:val="SCCNormalDoubleSpacing"/>
        <w:spacing w:after="480"/>
      </w:pPr>
      <w:r w:rsidRPr="0070034E">
        <w:rPr>
          <w:rStyle w:val="SCCCounselNameChar"/>
          <w:lang w:val="fr-CA"/>
        </w:rPr>
        <w:tab/>
      </w:r>
      <w:r w:rsidRPr="0070034E">
        <w:rPr>
          <w:rStyle w:val="SCCCounselNameChar"/>
        </w:rPr>
        <w:t>Johanna Goosen</w:t>
      </w:r>
      <w:r w:rsidRPr="0070034E">
        <w:rPr>
          <w:rStyle w:val="SCCCounselPartyRoleChar"/>
        </w:rPr>
        <w:t xml:space="preserve">, for the intervener </w:t>
      </w:r>
      <w:r w:rsidR="004A6FFC" w:rsidRPr="0070034E">
        <w:rPr>
          <w:rStyle w:val="SCCCounselPartyRoleChar"/>
        </w:rPr>
        <w:t xml:space="preserve">the </w:t>
      </w:r>
      <w:r w:rsidRPr="0070034E">
        <w:rPr>
          <w:rStyle w:val="SCCCounselPartyRoleChar"/>
        </w:rPr>
        <w:t>Workers’ Compensation Board of British Columbia.</w:t>
      </w:r>
    </w:p>
    <w:p w14:paraId="57F11A59" w14:textId="46C14807" w:rsidR="003F2943" w:rsidRPr="0070034E" w:rsidRDefault="00D91B1D" w:rsidP="00C85B92">
      <w:pPr>
        <w:pStyle w:val="SCCNormalDoubleSpacing"/>
        <w:spacing w:after="480"/>
      </w:pPr>
      <w:r w:rsidRPr="0070034E">
        <w:rPr>
          <w:rStyle w:val="SCCCounselNameChar"/>
        </w:rPr>
        <w:tab/>
      </w:r>
      <w:r w:rsidR="00C85B92" w:rsidRPr="0070034E">
        <w:rPr>
          <w:rStyle w:val="SCCCounselNameChar"/>
        </w:rPr>
        <w:t>Andrew </w:t>
      </w:r>
      <w:r w:rsidR="00996BCE" w:rsidRPr="0070034E">
        <w:rPr>
          <w:rStyle w:val="SCCCounselNameChar"/>
        </w:rPr>
        <w:t xml:space="preserve">J. </w:t>
      </w:r>
      <w:proofErr w:type="spellStart"/>
      <w:r w:rsidR="00996BCE" w:rsidRPr="0070034E">
        <w:rPr>
          <w:rStyle w:val="SCCCounselNameChar"/>
        </w:rPr>
        <w:t>Brouwer</w:t>
      </w:r>
      <w:proofErr w:type="spellEnd"/>
      <w:r w:rsidR="00996BCE" w:rsidRPr="0070034E">
        <w:rPr>
          <w:rStyle w:val="SCCCounselNameChar"/>
        </w:rPr>
        <w:t xml:space="preserve"> </w:t>
      </w:r>
      <w:r w:rsidR="00996BCE" w:rsidRPr="0070034E">
        <w:rPr>
          <w:rStyle w:val="SCCCounselNameChar"/>
          <w:i w:val="0"/>
        </w:rPr>
        <w:t xml:space="preserve">and </w:t>
      </w:r>
      <w:r w:rsidR="00C85B92" w:rsidRPr="0070034E">
        <w:rPr>
          <w:i/>
        </w:rPr>
        <w:t>Erin </w:t>
      </w:r>
      <w:r w:rsidR="00996BCE" w:rsidRPr="0070034E">
        <w:rPr>
          <w:i/>
        </w:rPr>
        <w:t>V. Simpson</w:t>
      </w:r>
      <w:r w:rsidRPr="0070034E">
        <w:rPr>
          <w:rStyle w:val="SCCCounselPartyRoleChar"/>
        </w:rPr>
        <w:t xml:space="preserve">, for the intervener </w:t>
      </w:r>
      <w:r w:rsidR="005415A1" w:rsidRPr="0070034E">
        <w:rPr>
          <w:rStyle w:val="SCCCounselPartyRoleChar"/>
        </w:rPr>
        <w:t xml:space="preserve">the </w:t>
      </w:r>
      <w:r w:rsidRPr="0070034E">
        <w:rPr>
          <w:rStyle w:val="SCCCounselPartyRoleChar"/>
        </w:rPr>
        <w:t>Canadian Association of Refugee Lawyers.</w:t>
      </w:r>
    </w:p>
    <w:p w14:paraId="488CAB49" w14:textId="77777777" w:rsidR="003F2943" w:rsidRPr="0070034E" w:rsidRDefault="00D91B1D" w:rsidP="00C85B92">
      <w:pPr>
        <w:pStyle w:val="SCCNormalDoubleSpacing"/>
        <w:spacing w:after="480"/>
      </w:pPr>
      <w:r w:rsidRPr="0070034E">
        <w:rPr>
          <w:rStyle w:val="SCCCounselNameChar"/>
        </w:rPr>
        <w:tab/>
      </w:r>
      <w:proofErr w:type="spellStart"/>
      <w:r w:rsidR="00996BCE" w:rsidRPr="0070034E">
        <w:rPr>
          <w:rStyle w:val="SCCCounselNameChar"/>
        </w:rPr>
        <w:t>Ewa</w:t>
      </w:r>
      <w:proofErr w:type="spellEnd"/>
      <w:r w:rsidR="00996BCE" w:rsidRPr="0070034E">
        <w:rPr>
          <w:rStyle w:val="SCCCounselNameChar"/>
        </w:rPr>
        <w:t xml:space="preserve"> </w:t>
      </w:r>
      <w:proofErr w:type="spellStart"/>
      <w:r w:rsidR="00996BCE" w:rsidRPr="0070034E">
        <w:rPr>
          <w:rStyle w:val="SCCCounselNameChar"/>
        </w:rPr>
        <w:t>Krajewska</w:t>
      </w:r>
      <w:proofErr w:type="spellEnd"/>
      <w:r w:rsidR="00996BCE" w:rsidRPr="0070034E">
        <w:rPr>
          <w:rStyle w:val="SCCCounselNameChar"/>
          <w:i w:val="0"/>
        </w:rPr>
        <w:t xml:space="preserve">, </w:t>
      </w:r>
      <w:r w:rsidR="00996BCE" w:rsidRPr="0070034E">
        <w:rPr>
          <w:rStyle w:val="SCCCounselNameChar"/>
        </w:rPr>
        <w:t>Peter Henein</w:t>
      </w:r>
      <w:r w:rsidR="00996BCE" w:rsidRPr="0070034E">
        <w:rPr>
          <w:rStyle w:val="SCCCounselSeparatorChar"/>
        </w:rPr>
        <w:t xml:space="preserve"> and </w:t>
      </w:r>
      <w:r w:rsidR="00996BCE" w:rsidRPr="0070034E">
        <w:rPr>
          <w:rStyle w:val="SCCCounselNameChar"/>
        </w:rPr>
        <w:t>Brandon Chung</w:t>
      </w:r>
      <w:r w:rsidRPr="0070034E">
        <w:rPr>
          <w:rStyle w:val="SCCCounselPartyRoleChar"/>
        </w:rPr>
        <w:t xml:space="preserve">, for the intervener </w:t>
      </w:r>
      <w:r w:rsidR="005415A1" w:rsidRPr="0070034E">
        <w:rPr>
          <w:rStyle w:val="SCCCounselPartyRoleChar"/>
        </w:rPr>
        <w:t xml:space="preserve">the </w:t>
      </w:r>
      <w:r w:rsidRPr="0070034E">
        <w:rPr>
          <w:rStyle w:val="SCCCounselPartyRoleChar"/>
        </w:rPr>
        <w:t>Advocates for the Rule of Law.</w:t>
      </w:r>
    </w:p>
    <w:p w14:paraId="624C4A7F" w14:textId="77777777" w:rsidR="003F2943" w:rsidRPr="0070034E" w:rsidRDefault="00D91B1D" w:rsidP="00DB7512">
      <w:pPr>
        <w:pStyle w:val="SCCNormalDoubleSpacing"/>
        <w:spacing w:after="480"/>
      </w:pPr>
      <w:r w:rsidRPr="0070034E">
        <w:rPr>
          <w:rStyle w:val="SCCCounselNameChar"/>
        </w:rPr>
        <w:tab/>
        <w:t>Lindsay Beck</w:t>
      </w:r>
      <w:r w:rsidRPr="0070034E">
        <w:rPr>
          <w:rStyle w:val="SCCCounselSeparatorChar"/>
        </w:rPr>
        <w:t xml:space="preserve"> and </w:t>
      </w:r>
      <w:r w:rsidR="009E7D3F" w:rsidRPr="0070034E">
        <w:rPr>
          <w:i/>
        </w:rPr>
        <w:t>Joshua Ginsberg</w:t>
      </w:r>
      <w:r w:rsidRPr="0070034E">
        <w:rPr>
          <w:rStyle w:val="SCCCounselPartyRoleChar"/>
        </w:rPr>
        <w:t xml:space="preserve">, for the intervener </w:t>
      </w:r>
      <w:r w:rsidR="005415A1" w:rsidRPr="0070034E">
        <w:rPr>
          <w:rStyle w:val="SCCCounselPartyRoleChar"/>
        </w:rPr>
        <w:t xml:space="preserve">the </w:t>
      </w:r>
      <w:r w:rsidRPr="0070034E">
        <w:rPr>
          <w:rStyle w:val="SCCCounselPartyRoleChar"/>
        </w:rPr>
        <w:t>Ecojustice Canada Society.</w:t>
      </w:r>
    </w:p>
    <w:p w14:paraId="51E53778" w14:textId="77777777" w:rsidR="00DB7512" w:rsidRPr="0070034E" w:rsidRDefault="00DB7512" w:rsidP="00DB7512">
      <w:pPr>
        <w:tabs>
          <w:tab w:val="left" w:pos="1134"/>
        </w:tabs>
        <w:spacing w:after="480" w:line="480" w:lineRule="auto"/>
        <w:ind w:firstLine="12"/>
        <w:jc w:val="both"/>
      </w:pPr>
      <w:r w:rsidRPr="0070034E">
        <w:rPr>
          <w:lang w:val="fr-CA"/>
        </w:rPr>
        <w:tab/>
      </w:r>
      <w:r w:rsidRPr="0070034E">
        <w:t>The judgment of the Court was delivered by</w:t>
      </w:r>
    </w:p>
    <w:p w14:paraId="28456F4F" w14:textId="77777777" w:rsidR="00DB7512" w:rsidRPr="0070034E" w:rsidRDefault="00DB7512" w:rsidP="00E14BA9">
      <w:pPr>
        <w:pStyle w:val="JudgeJuge"/>
        <w:tabs>
          <w:tab w:val="clear" w:pos="1166"/>
          <w:tab w:val="left" w:pos="1134"/>
        </w:tabs>
      </w:pPr>
      <w:r w:rsidRPr="0070034E">
        <w:tab/>
        <w:t>Côté J.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DB7512" w:rsidRPr="0070034E" w14:paraId="4F119366" w14:textId="77777777" w:rsidTr="009E5EF7">
        <w:trPr>
          <w:trHeight w:val="432"/>
        </w:trPr>
        <w:tc>
          <w:tcPr>
            <w:tcW w:w="9356" w:type="dxa"/>
            <w:gridSpan w:val="2"/>
          </w:tcPr>
          <w:p w14:paraId="0ACBEA11" w14:textId="77777777" w:rsidR="00DB7512" w:rsidRPr="0070034E" w:rsidRDefault="00DB7512" w:rsidP="009E5EF7">
            <w:pPr>
              <w:tabs>
                <w:tab w:val="center" w:pos="4050"/>
              </w:tabs>
              <w:rPr>
                <w:b/>
                <w:szCs w:val="24"/>
                <w:lang w:val="fr-FR"/>
              </w:rPr>
            </w:pPr>
            <w:r w:rsidRPr="0070034E">
              <w:rPr>
                <w:b/>
                <w:szCs w:val="24"/>
              </w:rPr>
              <w:tab/>
            </w:r>
            <w:r w:rsidRPr="0070034E">
              <w:rPr>
                <w:b/>
                <w:szCs w:val="24"/>
                <w:lang w:val="fr-FR"/>
              </w:rPr>
              <w:t>TABLE OF CONTENTS</w:t>
            </w:r>
          </w:p>
          <w:p w14:paraId="4BDF42C6" w14:textId="77777777" w:rsidR="00DB7512" w:rsidRPr="0070034E" w:rsidRDefault="00DB7512" w:rsidP="009E5EF7">
            <w:pPr>
              <w:tabs>
                <w:tab w:val="center" w:pos="4050"/>
              </w:tabs>
              <w:rPr>
                <w:b/>
                <w:szCs w:val="24"/>
              </w:rPr>
            </w:pPr>
          </w:p>
        </w:tc>
      </w:tr>
      <w:tr w:rsidR="00DB7512" w:rsidRPr="0070034E" w14:paraId="5EF1AEE7" w14:textId="77777777" w:rsidTr="009E5EF7">
        <w:trPr>
          <w:trHeight w:val="432"/>
        </w:trPr>
        <w:tc>
          <w:tcPr>
            <w:tcW w:w="9356" w:type="dxa"/>
            <w:gridSpan w:val="2"/>
          </w:tcPr>
          <w:p w14:paraId="7050985A" w14:textId="77777777" w:rsidR="00DB7512" w:rsidRPr="0070034E" w:rsidRDefault="00DB7512" w:rsidP="009E5EF7">
            <w:pPr>
              <w:tabs>
                <w:tab w:val="center" w:pos="4050"/>
              </w:tabs>
              <w:jc w:val="right"/>
              <w:rPr>
                <w:szCs w:val="24"/>
              </w:rPr>
            </w:pPr>
            <w:r w:rsidRPr="0070034E">
              <w:rPr>
                <w:szCs w:val="24"/>
              </w:rPr>
              <w:t>Paragraph</w:t>
            </w:r>
          </w:p>
        </w:tc>
      </w:tr>
      <w:tr w:rsidR="00DB7512" w:rsidRPr="0070034E" w14:paraId="4E38CDE9" w14:textId="77777777" w:rsidTr="009E5EF7">
        <w:trPr>
          <w:trHeight w:val="432"/>
        </w:trPr>
        <w:tc>
          <w:tcPr>
            <w:tcW w:w="8505" w:type="dxa"/>
          </w:tcPr>
          <w:p w14:paraId="78CFB7A5" w14:textId="77777777" w:rsidR="00DB7512" w:rsidRPr="0070034E" w:rsidRDefault="00DB7512" w:rsidP="009E5EF7">
            <w:pPr>
              <w:tabs>
                <w:tab w:val="left" w:pos="480"/>
                <w:tab w:val="right" w:leader="dot" w:pos="8270"/>
              </w:tabs>
              <w:spacing w:after="100"/>
              <w:jc w:val="both"/>
              <w:rPr>
                <w:noProof/>
                <w:szCs w:val="24"/>
                <w:u w:val="single"/>
              </w:rPr>
            </w:pPr>
            <w:r w:rsidRPr="0070034E">
              <w:rPr>
                <w:noProof/>
                <w:szCs w:val="24"/>
                <w:lang w:bidi="en-US"/>
              </w:rPr>
              <w:t>I.</w:t>
            </w:r>
            <w:r w:rsidRPr="0070034E">
              <w:rPr>
                <w:noProof/>
                <w:szCs w:val="24"/>
              </w:rPr>
              <w:tab/>
            </w:r>
            <w:r w:rsidRPr="0070034E">
              <w:rPr>
                <w:noProof/>
                <w:szCs w:val="24"/>
                <w:u w:val="single"/>
              </w:rPr>
              <w:t>Overview</w:t>
            </w:r>
          </w:p>
        </w:tc>
        <w:tc>
          <w:tcPr>
            <w:tcW w:w="851" w:type="dxa"/>
          </w:tcPr>
          <w:p w14:paraId="53C52C14"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1</w:t>
            </w:r>
          </w:p>
        </w:tc>
      </w:tr>
      <w:tr w:rsidR="00DB7512" w:rsidRPr="0070034E" w14:paraId="706969BC" w14:textId="77777777" w:rsidTr="009E5EF7">
        <w:trPr>
          <w:trHeight w:val="432"/>
        </w:trPr>
        <w:tc>
          <w:tcPr>
            <w:tcW w:w="8505" w:type="dxa"/>
          </w:tcPr>
          <w:p w14:paraId="74404AE5" w14:textId="77777777" w:rsidR="00DB7512" w:rsidRPr="0070034E" w:rsidRDefault="00DB7512" w:rsidP="009E5EF7">
            <w:pPr>
              <w:tabs>
                <w:tab w:val="left" w:pos="480"/>
                <w:tab w:val="right" w:leader="dot" w:pos="8270"/>
              </w:tabs>
              <w:spacing w:after="100"/>
              <w:jc w:val="both"/>
              <w:rPr>
                <w:noProof/>
                <w:szCs w:val="24"/>
                <w:u w:val="single"/>
              </w:rPr>
            </w:pPr>
            <w:r w:rsidRPr="0070034E">
              <w:rPr>
                <w:noProof/>
                <w:szCs w:val="24"/>
                <w:lang w:bidi="en-US"/>
              </w:rPr>
              <w:t>II.</w:t>
            </w:r>
            <w:r w:rsidRPr="0070034E">
              <w:rPr>
                <w:noProof/>
                <w:szCs w:val="24"/>
              </w:rPr>
              <w:tab/>
            </w:r>
            <w:r w:rsidRPr="0070034E">
              <w:rPr>
                <w:noProof/>
                <w:szCs w:val="24"/>
                <w:u w:val="single"/>
              </w:rPr>
              <w:t>Facts</w:t>
            </w:r>
          </w:p>
        </w:tc>
        <w:tc>
          <w:tcPr>
            <w:tcW w:w="851" w:type="dxa"/>
          </w:tcPr>
          <w:p w14:paraId="61861891"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7</w:t>
            </w:r>
          </w:p>
        </w:tc>
      </w:tr>
      <w:tr w:rsidR="00DB7512" w:rsidRPr="0070034E" w14:paraId="13110943" w14:textId="77777777" w:rsidTr="009E5EF7">
        <w:trPr>
          <w:trHeight w:val="432"/>
        </w:trPr>
        <w:tc>
          <w:tcPr>
            <w:tcW w:w="8505" w:type="dxa"/>
          </w:tcPr>
          <w:p w14:paraId="170A4331" w14:textId="77777777" w:rsidR="00DB7512" w:rsidRPr="0070034E" w:rsidRDefault="00DB7512" w:rsidP="009E5EF7">
            <w:pPr>
              <w:tabs>
                <w:tab w:val="left" w:pos="480"/>
                <w:tab w:val="right" w:leader="dot" w:pos="8270"/>
              </w:tabs>
              <w:spacing w:after="100"/>
              <w:rPr>
                <w:noProof/>
                <w:szCs w:val="24"/>
                <w:lang w:bidi="en-US"/>
              </w:rPr>
            </w:pPr>
            <w:r w:rsidRPr="0070034E">
              <w:rPr>
                <w:noProof/>
                <w:szCs w:val="24"/>
                <w:lang w:bidi="en-US"/>
              </w:rPr>
              <w:t>III.</w:t>
            </w:r>
            <w:r w:rsidRPr="0070034E">
              <w:rPr>
                <w:noProof/>
                <w:szCs w:val="24"/>
              </w:rPr>
              <w:tab/>
            </w:r>
            <w:r w:rsidRPr="0070034E">
              <w:rPr>
                <w:noProof/>
                <w:szCs w:val="24"/>
                <w:u w:val="single"/>
              </w:rPr>
              <w:t>Judicial History</w:t>
            </w:r>
          </w:p>
        </w:tc>
        <w:tc>
          <w:tcPr>
            <w:tcW w:w="851" w:type="dxa"/>
          </w:tcPr>
          <w:p w14:paraId="7FC065DF"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10</w:t>
            </w:r>
          </w:p>
        </w:tc>
      </w:tr>
      <w:tr w:rsidR="00DB7512" w:rsidRPr="0070034E" w14:paraId="03045129" w14:textId="77777777" w:rsidTr="009E5EF7">
        <w:trPr>
          <w:trHeight w:val="432"/>
        </w:trPr>
        <w:tc>
          <w:tcPr>
            <w:tcW w:w="8505" w:type="dxa"/>
          </w:tcPr>
          <w:p w14:paraId="0F9CFC86" w14:textId="77777777" w:rsidR="00DB7512" w:rsidRPr="0070034E" w:rsidRDefault="00DB7512" w:rsidP="009E5EF7">
            <w:pPr>
              <w:tabs>
                <w:tab w:val="left" w:pos="480"/>
                <w:tab w:val="right" w:leader="dot" w:pos="8270"/>
              </w:tabs>
              <w:spacing w:after="100"/>
              <w:jc w:val="both"/>
              <w:rPr>
                <w:noProof/>
                <w:szCs w:val="24"/>
                <w:lang w:bidi="en-US"/>
              </w:rPr>
            </w:pPr>
            <w:bookmarkStart w:id="2" w:name="_Toc163056400"/>
            <w:bookmarkStart w:id="3" w:name="_Toc166665418"/>
            <w:r w:rsidRPr="0070034E">
              <w:rPr>
                <w:noProof/>
                <w:szCs w:val="24"/>
                <w:lang w:bidi="en-US"/>
              </w:rPr>
              <w:t>A.</w:t>
            </w:r>
            <w:r w:rsidRPr="0070034E">
              <w:rPr>
                <w:noProof/>
                <w:szCs w:val="24"/>
              </w:rPr>
              <w:tab/>
            </w:r>
            <w:bookmarkEnd w:id="2"/>
            <w:bookmarkEnd w:id="3"/>
            <w:r w:rsidRPr="0070034E">
              <w:rPr>
                <w:i/>
                <w:noProof/>
                <w:szCs w:val="24"/>
              </w:rPr>
              <w:t>Court of Queen’s Bench of Alberta, 2021 ABQB 370, 32 Alta. L.R. (7th) 250</w:t>
            </w:r>
          </w:p>
        </w:tc>
        <w:tc>
          <w:tcPr>
            <w:tcW w:w="851" w:type="dxa"/>
          </w:tcPr>
          <w:p w14:paraId="14906877"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10</w:t>
            </w:r>
          </w:p>
        </w:tc>
      </w:tr>
      <w:tr w:rsidR="00DB7512" w:rsidRPr="0070034E" w14:paraId="59492F5B" w14:textId="77777777" w:rsidTr="009E5EF7">
        <w:trPr>
          <w:trHeight w:val="432"/>
        </w:trPr>
        <w:tc>
          <w:tcPr>
            <w:tcW w:w="8505" w:type="dxa"/>
          </w:tcPr>
          <w:p w14:paraId="57AA40A6" w14:textId="77777777" w:rsidR="00DB7512" w:rsidRPr="0070034E" w:rsidRDefault="00DB7512" w:rsidP="009E5EF7">
            <w:pPr>
              <w:tabs>
                <w:tab w:val="left" w:pos="480"/>
                <w:tab w:val="right" w:leader="dot" w:pos="8270"/>
              </w:tabs>
              <w:spacing w:after="100"/>
              <w:ind w:left="421" w:hanging="421"/>
              <w:jc w:val="both"/>
              <w:rPr>
                <w:i/>
              </w:rPr>
            </w:pPr>
            <w:r w:rsidRPr="0070034E">
              <w:rPr>
                <w:noProof/>
                <w:szCs w:val="24"/>
              </w:rPr>
              <w:t>B.</w:t>
            </w:r>
            <w:r w:rsidRPr="0070034E">
              <w:rPr>
                <w:noProof/>
                <w:szCs w:val="24"/>
              </w:rPr>
              <w:tab/>
            </w:r>
            <w:r w:rsidRPr="0070034E">
              <w:rPr>
                <w:i/>
                <w:noProof/>
                <w:szCs w:val="24"/>
              </w:rPr>
              <w:t>Court of Appeal of Alberta</w:t>
            </w:r>
            <w:r w:rsidRPr="0070034E">
              <w:rPr>
                <w:i/>
                <w:noProof/>
                <w:szCs w:val="24"/>
                <w:lang w:val="en-US"/>
              </w:rPr>
              <w:t>, 2022 ABCA 375, 52 Alta. L.R. (7th) 8</w:t>
            </w:r>
          </w:p>
        </w:tc>
        <w:tc>
          <w:tcPr>
            <w:tcW w:w="851" w:type="dxa"/>
          </w:tcPr>
          <w:p w14:paraId="397F0756"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14</w:t>
            </w:r>
          </w:p>
        </w:tc>
      </w:tr>
      <w:tr w:rsidR="00DB7512" w:rsidRPr="0070034E" w14:paraId="79DBA918" w14:textId="77777777" w:rsidTr="009E5EF7">
        <w:trPr>
          <w:trHeight w:val="432"/>
        </w:trPr>
        <w:tc>
          <w:tcPr>
            <w:tcW w:w="8505" w:type="dxa"/>
          </w:tcPr>
          <w:p w14:paraId="67AA89FA" w14:textId="77777777" w:rsidR="00DB7512" w:rsidRPr="0070034E" w:rsidRDefault="00DB7512" w:rsidP="009E5EF7">
            <w:pPr>
              <w:tabs>
                <w:tab w:val="left" w:pos="480"/>
                <w:tab w:val="right" w:leader="dot" w:pos="8270"/>
              </w:tabs>
              <w:spacing w:after="100"/>
              <w:jc w:val="both"/>
              <w:rPr>
                <w:i/>
                <w:noProof/>
                <w:szCs w:val="24"/>
              </w:rPr>
            </w:pPr>
            <w:r w:rsidRPr="0070034E">
              <w:rPr>
                <w:noProof/>
                <w:szCs w:val="24"/>
                <w:lang w:bidi="en-US"/>
              </w:rPr>
              <w:t>IV.</w:t>
            </w:r>
            <w:r w:rsidRPr="0070034E">
              <w:rPr>
                <w:noProof/>
                <w:szCs w:val="24"/>
              </w:rPr>
              <w:tab/>
            </w:r>
            <w:r w:rsidRPr="0070034E">
              <w:rPr>
                <w:noProof/>
                <w:szCs w:val="24"/>
                <w:u w:val="single"/>
              </w:rPr>
              <w:t>Issues</w:t>
            </w:r>
          </w:p>
        </w:tc>
        <w:tc>
          <w:tcPr>
            <w:tcW w:w="851" w:type="dxa"/>
          </w:tcPr>
          <w:p w14:paraId="147C2672"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18</w:t>
            </w:r>
          </w:p>
        </w:tc>
      </w:tr>
      <w:tr w:rsidR="00DB7512" w:rsidRPr="0070034E" w14:paraId="74B84F45" w14:textId="77777777" w:rsidTr="009E5EF7">
        <w:trPr>
          <w:trHeight w:val="432"/>
        </w:trPr>
        <w:tc>
          <w:tcPr>
            <w:tcW w:w="8505" w:type="dxa"/>
          </w:tcPr>
          <w:p w14:paraId="7AF2FB12" w14:textId="77777777" w:rsidR="00DB7512" w:rsidRPr="0070034E" w:rsidRDefault="00DB7512" w:rsidP="009E5EF7">
            <w:pPr>
              <w:tabs>
                <w:tab w:val="left" w:pos="480"/>
                <w:tab w:val="right" w:leader="dot" w:pos="8270"/>
              </w:tabs>
              <w:spacing w:after="100"/>
              <w:jc w:val="both"/>
              <w:rPr>
                <w:i/>
                <w:noProof/>
                <w:szCs w:val="24"/>
              </w:rPr>
            </w:pPr>
            <w:r w:rsidRPr="0070034E">
              <w:rPr>
                <w:noProof/>
                <w:szCs w:val="24"/>
                <w:lang w:bidi="en-US"/>
              </w:rPr>
              <w:t>V.</w:t>
            </w:r>
            <w:r w:rsidRPr="0070034E">
              <w:rPr>
                <w:noProof/>
                <w:szCs w:val="24"/>
              </w:rPr>
              <w:tab/>
            </w:r>
            <w:r w:rsidRPr="0070034E">
              <w:rPr>
                <w:noProof/>
                <w:szCs w:val="24"/>
                <w:u w:val="single"/>
              </w:rPr>
              <w:t>Standard of Review</w:t>
            </w:r>
          </w:p>
        </w:tc>
        <w:tc>
          <w:tcPr>
            <w:tcW w:w="851" w:type="dxa"/>
          </w:tcPr>
          <w:p w14:paraId="5696DD65"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19</w:t>
            </w:r>
          </w:p>
        </w:tc>
      </w:tr>
      <w:tr w:rsidR="00DB7512" w:rsidRPr="0070034E" w14:paraId="6FF1919D" w14:textId="77777777" w:rsidTr="009E5EF7">
        <w:trPr>
          <w:trHeight w:val="432"/>
        </w:trPr>
        <w:tc>
          <w:tcPr>
            <w:tcW w:w="8505" w:type="dxa"/>
          </w:tcPr>
          <w:p w14:paraId="5DC5F344" w14:textId="77777777" w:rsidR="00DB7512" w:rsidRPr="0070034E" w:rsidRDefault="00DB7512" w:rsidP="009E5EF7">
            <w:pPr>
              <w:tabs>
                <w:tab w:val="left" w:pos="480"/>
                <w:tab w:val="right" w:leader="dot" w:pos="8270"/>
              </w:tabs>
              <w:spacing w:after="100"/>
              <w:ind w:left="450" w:hanging="450"/>
              <w:jc w:val="both"/>
              <w:rPr>
                <w:i/>
                <w:noProof/>
                <w:szCs w:val="24"/>
              </w:rPr>
            </w:pPr>
            <w:r w:rsidRPr="0070034E">
              <w:rPr>
                <w:noProof/>
                <w:szCs w:val="24"/>
                <w:lang w:bidi="en-US"/>
              </w:rPr>
              <w:t>A.</w:t>
            </w:r>
            <w:r w:rsidRPr="0070034E">
              <w:rPr>
                <w:noProof/>
                <w:szCs w:val="24"/>
              </w:rPr>
              <w:tab/>
            </w:r>
            <w:r w:rsidRPr="0070034E">
              <w:rPr>
                <w:i/>
                <w:noProof/>
                <w:szCs w:val="24"/>
              </w:rPr>
              <w:t>Vavilov Is the Starting Point for Determining the Appropriate Standard of Review</w:t>
            </w:r>
          </w:p>
        </w:tc>
        <w:tc>
          <w:tcPr>
            <w:tcW w:w="851" w:type="dxa"/>
          </w:tcPr>
          <w:p w14:paraId="0E125272"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19</w:t>
            </w:r>
          </w:p>
        </w:tc>
      </w:tr>
      <w:tr w:rsidR="00DB7512" w:rsidRPr="0070034E" w14:paraId="4A84C67A" w14:textId="77777777" w:rsidTr="009E5EF7">
        <w:trPr>
          <w:trHeight w:val="432"/>
        </w:trPr>
        <w:tc>
          <w:tcPr>
            <w:tcW w:w="8505" w:type="dxa"/>
          </w:tcPr>
          <w:p w14:paraId="216C28B3" w14:textId="77777777" w:rsidR="00DB7512" w:rsidRPr="0070034E" w:rsidRDefault="00DB7512" w:rsidP="009E5EF7">
            <w:pPr>
              <w:tabs>
                <w:tab w:val="left" w:pos="480"/>
                <w:tab w:val="right" w:leader="dot" w:pos="8270"/>
              </w:tabs>
              <w:spacing w:after="100"/>
              <w:ind w:left="450" w:hanging="450"/>
              <w:jc w:val="both"/>
              <w:rPr>
                <w:noProof/>
                <w:lang w:bidi="en-US"/>
              </w:rPr>
            </w:pPr>
            <w:r w:rsidRPr="0070034E">
              <w:rPr>
                <w:noProof/>
                <w:szCs w:val="24"/>
                <w:lang w:bidi="en-US"/>
              </w:rPr>
              <w:t>B.</w:t>
            </w:r>
            <w:r w:rsidRPr="0070034E">
              <w:rPr>
                <w:noProof/>
                <w:szCs w:val="24"/>
              </w:rPr>
              <w:tab/>
            </w:r>
            <w:r w:rsidRPr="0070034E">
              <w:rPr>
                <w:i/>
                <w:noProof/>
                <w:szCs w:val="24"/>
              </w:rPr>
              <w:t>The</w:t>
            </w:r>
            <w:r w:rsidRPr="0070034E">
              <w:rPr>
                <w:noProof/>
                <w:szCs w:val="24"/>
              </w:rPr>
              <w:t xml:space="preserve"> </w:t>
            </w:r>
            <w:r w:rsidRPr="0070034E">
              <w:rPr>
                <w:i/>
                <w:noProof/>
                <w:szCs w:val="24"/>
              </w:rPr>
              <w:t>Vavilov Framework Applies When Reviewing the Vires of Subordinate Legislation</w:t>
            </w:r>
          </w:p>
        </w:tc>
        <w:tc>
          <w:tcPr>
            <w:tcW w:w="851" w:type="dxa"/>
          </w:tcPr>
          <w:p w14:paraId="4D622DD3" w14:textId="77777777" w:rsidR="00DB7512" w:rsidRPr="0070034E" w:rsidRDefault="00DB7512" w:rsidP="009E5EF7">
            <w:pPr>
              <w:tabs>
                <w:tab w:val="left" w:pos="480"/>
                <w:tab w:val="right" w:leader="dot" w:pos="8270"/>
              </w:tabs>
              <w:spacing w:after="100"/>
              <w:jc w:val="right"/>
              <w:rPr>
                <w:lang w:bidi="en-US"/>
              </w:rPr>
            </w:pPr>
            <w:r w:rsidRPr="0070034E">
              <w:rPr>
                <w:szCs w:val="24"/>
                <w:lang w:bidi="en-US"/>
              </w:rPr>
              <w:t>21</w:t>
            </w:r>
          </w:p>
        </w:tc>
      </w:tr>
      <w:tr w:rsidR="00DB7512" w:rsidRPr="0070034E" w14:paraId="3C77B541" w14:textId="77777777" w:rsidTr="009E5EF7">
        <w:trPr>
          <w:trHeight w:val="432"/>
        </w:trPr>
        <w:tc>
          <w:tcPr>
            <w:tcW w:w="8505" w:type="dxa"/>
          </w:tcPr>
          <w:p w14:paraId="62BF1374" w14:textId="77777777" w:rsidR="00DB7512" w:rsidRPr="0070034E" w:rsidRDefault="00DB7512" w:rsidP="009E5EF7">
            <w:pPr>
              <w:tabs>
                <w:tab w:val="left" w:pos="480"/>
                <w:tab w:val="right" w:leader="dot" w:pos="8270"/>
              </w:tabs>
              <w:spacing w:after="100"/>
              <w:ind w:left="450" w:hanging="450"/>
              <w:jc w:val="both"/>
              <w:rPr>
                <w:noProof/>
                <w:lang w:bidi="en-US"/>
              </w:rPr>
            </w:pPr>
            <w:r w:rsidRPr="0070034E">
              <w:rPr>
                <w:noProof/>
                <w:szCs w:val="24"/>
                <w:lang w:bidi="en-US"/>
              </w:rPr>
              <w:t>C.</w:t>
            </w:r>
            <w:r w:rsidRPr="0070034E">
              <w:rPr>
                <w:noProof/>
                <w:szCs w:val="24"/>
              </w:rPr>
              <w:tab/>
            </w:r>
            <w:r w:rsidRPr="0070034E">
              <w:rPr>
                <w:i/>
              </w:rPr>
              <w:t>Reasonableness Is the Presumptive Standard for Reviewing the Vires of Subordinate Legislation</w:t>
            </w:r>
          </w:p>
        </w:tc>
        <w:tc>
          <w:tcPr>
            <w:tcW w:w="851" w:type="dxa"/>
          </w:tcPr>
          <w:p w14:paraId="575A40E0" w14:textId="77777777" w:rsidR="00DB7512" w:rsidRPr="0070034E" w:rsidRDefault="00DB7512" w:rsidP="009E5EF7">
            <w:pPr>
              <w:tabs>
                <w:tab w:val="left" w:pos="480"/>
                <w:tab w:val="right" w:leader="dot" w:pos="8270"/>
              </w:tabs>
              <w:spacing w:after="100"/>
              <w:jc w:val="right"/>
              <w:rPr>
                <w:lang w:bidi="en-US"/>
              </w:rPr>
            </w:pPr>
            <w:r w:rsidRPr="0070034E">
              <w:rPr>
                <w:szCs w:val="24"/>
                <w:lang w:bidi="en-US"/>
              </w:rPr>
              <w:t>24</w:t>
            </w:r>
          </w:p>
        </w:tc>
      </w:tr>
      <w:tr w:rsidR="00DB7512" w:rsidRPr="0070034E" w14:paraId="6E8D86D8" w14:textId="77777777" w:rsidTr="009E5EF7">
        <w:trPr>
          <w:trHeight w:val="432"/>
        </w:trPr>
        <w:tc>
          <w:tcPr>
            <w:tcW w:w="8505" w:type="dxa"/>
          </w:tcPr>
          <w:p w14:paraId="57715D52" w14:textId="77777777" w:rsidR="00DB7512" w:rsidRPr="0070034E" w:rsidRDefault="00DB7512" w:rsidP="009E5EF7">
            <w:pPr>
              <w:tabs>
                <w:tab w:val="left" w:pos="480"/>
                <w:tab w:val="right" w:leader="dot" w:pos="8270"/>
              </w:tabs>
              <w:spacing w:after="100"/>
              <w:ind w:left="450" w:hanging="450"/>
              <w:jc w:val="both"/>
              <w:rPr>
                <w:noProof/>
                <w:lang w:bidi="en-US"/>
              </w:rPr>
            </w:pPr>
            <w:r w:rsidRPr="0070034E">
              <w:rPr>
                <w:noProof/>
                <w:szCs w:val="24"/>
                <w:lang w:bidi="en-US"/>
              </w:rPr>
              <w:t>D.</w:t>
            </w:r>
            <w:r w:rsidRPr="0070034E">
              <w:rPr>
                <w:noProof/>
                <w:szCs w:val="24"/>
              </w:rPr>
              <w:tab/>
            </w:r>
            <w:r w:rsidRPr="0070034E">
              <w:rPr>
                <w:i/>
                <w:noProof/>
                <w:szCs w:val="24"/>
              </w:rPr>
              <w:t>What Is the Role of Katz Group?</w:t>
            </w:r>
          </w:p>
        </w:tc>
        <w:tc>
          <w:tcPr>
            <w:tcW w:w="851" w:type="dxa"/>
          </w:tcPr>
          <w:p w14:paraId="33160368" w14:textId="77777777" w:rsidR="00DB7512" w:rsidRPr="0070034E" w:rsidRDefault="00DB7512" w:rsidP="009E5EF7">
            <w:pPr>
              <w:tabs>
                <w:tab w:val="left" w:pos="480"/>
                <w:tab w:val="right" w:leader="dot" w:pos="8270"/>
              </w:tabs>
              <w:spacing w:after="100"/>
              <w:jc w:val="right"/>
              <w:rPr>
                <w:lang w:bidi="en-US"/>
              </w:rPr>
            </w:pPr>
            <w:r w:rsidRPr="0070034E">
              <w:rPr>
                <w:szCs w:val="24"/>
                <w:lang w:bidi="en-US"/>
              </w:rPr>
              <w:t>29</w:t>
            </w:r>
          </w:p>
        </w:tc>
      </w:tr>
      <w:tr w:rsidR="00DB7512" w:rsidRPr="0070034E" w14:paraId="0311E530" w14:textId="77777777" w:rsidTr="009E5EF7">
        <w:trPr>
          <w:trHeight w:val="432"/>
        </w:trPr>
        <w:tc>
          <w:tcPr>
            <w:tcW w:w="8505" w:type="dxa"/>
          </w:tcPr>
          <w:p w14:paraId="467AF30C" w14:textId="77777777" w:rsidR="00DB7512" w:rsidRPr="0070034E" w:rsidRDefault="00DB7512" w:rsidP="009E5EF7">
            <w:pPr>
              <w:tabs>
                <w:tab w:val="left" w:pos="1100"/>
                <w:tab w:val="left" w:pos="1669"/>
              </w:tabs>
              <w:spacing w:after="100"/>
              <w:ind w:left="480"/>
              <w:jc w:val="both"/>
              <w:rPr>
                <w:noProof/>
                <w:szCs w:val="24"/>
              </w:rPr>
            </w:pPr>
            <w:r w:rsidRPr="0070034E">
              <w:rPr>
                <w:noProof/>
                <w:szCs w:val="24"/>
                <w:lang w:bidi="en-US"/>
                <w14:scene3d>
                  <w14:camera w14:prst="orthographicFront"/>
                  <w14:lightRig w14:rig="threePt" w14:dir="t">
                    <w14:rot w14:lat="0" w14:lon="0" w14:rev="0"/>
                  </w14:lightRig>
                </w14:scene3d>
              </w:rPr>
              <w:t>(1)</w:t>
            </w:r>
            <w:r w:rsidRPr="0070034E">
              <w:rPr>
                <w:noProof/>
                <w:szCs w:val="24"/>
              </w:rPr>
              <w:tab/>
            </w:r>
            <w:r w:rsidRPr="0070034E">
              <w:rPr>
                <w:noProof/>
                <w:szCs w:val="24"/>
                <w:u w:val="single"/>
              </w:rPr>
              <w:t xml:space="preserve">Many of the Principles From </w:t>
            </w:r>
            <w:r w:rsidRPr="0070034E">
              <w:rPr>
                <w:i/>
                <w:noProof/>
                <w:szCs w:val="24"/>
                <w:u w:val="single"/>
              </w:rPr>
              <w:t>Katz Group</w:t>
            </w:r>
            <w:r w:rsidRPr="0070034E">
              <w:rPr>
                <w:noProof/>
                <w:szCs w:val="24"/>
                <w:u w:val="single"/>
              </w:rPr>
              <w:t xml:space="preserve"> Continue To Apply</w:t>
            </w:r>
          </w:p>
        </w:tc>
        <w:tc>
          <w:tcPr>
            <w:tcW w:w="851" w:type="dxa"/>
          </w:tcPr>
          <w:p w14:paraId="75CAE075"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29</w:t>
            </w:r>
          </w:p>
        </w:tc>
      </w:tr>
      <w:tr w:rsidR="00DB7512" w:rsidRPr="0070034E" w14:paraId="11808C9D" w14:textId="77777777" w:rsidTr="009E5EF7">
        <w:trPr>
          <w:trHeight w:val="432"/>
        </w:trPr>
        <w:tc>
          <w:tcPr>
            <w:tcW w:w="8505" w:type="dxa"/>
          </w:tcPr>
          <w:p w14:paraId="60921F81" w14:textId="77777777" w:rsidR="00DB7512" w:rsidRPr="0070034E" w:rsidRDefault="00DB7512" w:rsidP="009E5EF7">
            <w:pPr>
              <w:tabs>
                <w:tab w:val="left" w:pos="1100"/>
                <w:tab w:val="right" w:leader="dot" w:pos="8270"/>
              </w:tabs>
              <w:spacing w:after="100"/>
              <w:ind w:left="480"/>
              <w:jc w:val="both"/>
              <w:rPr>
                <w:noProof/>
                <w:szCs w:val="24"/>
              </w:rPr>
            </w:pPr>
            <w:r w:rsidRPr="0070034E">
              <w:rPr>
                <w:noProof/>
                <w:szCs w:val="24"/>
                <w:lang w:bidi="en-US"/>
                <w14:scene3d>
                  <w14:camera w14:prst="orthographicFront"/>
                  <w14:lightRig w14:rig="threePt" w14:dir="t">
                    <w14:rot w14:lat="0" w14:lon="0" w14:rev="0"/>
                  </w14:lightRig>
                </w14:scene3d>
              </w:rPr>
              <w:t>(2)</w:t>
            </w:r>
            <w:r w:rsidRPr="0070034E">
              <w:rPr>
                <w:noProof/>
                <w:szCs w:val="24"/>
              </w:rPr>
              <w:tab/>
            </w:r>
            <w:r w:rsidRPr="0070034E">
              <w:rPr>
                <w:noProof/>
                <w:szCs w:val="24"/>
                <w:u w:val="single"/>
              </w:rPr>
              <w:t>The “Irrelevant”, “Extraneous” or “Completely Unrelated” Threshold Is No</w:t>
            </w:r>
            <w:r w:rsidRPr="0070034E">
              <w:rPr>
                <w:noProof/>
                <w:szCs w:val="24"/>
              </w:rPr>
              <w:t xml:space="preserve"> </w:t>
            </w:r>
            <w:r w:rsidRPr="0070034E">
              <w:rPr>
                <w:noProof/>
                <w:szCs w:val="24"/>
              </w:rPr>
              <w:tab/>
            </w:r>
            <w:r w:rsidRPr="0070034E">
              <w:rPr>
                <w:noProof/>
                <w:szCs w:val="24"/>
                <w:u w:val="single"/>
              </w:rPr>
              <w:t>Longer Relevant</w:t>
            </w:r>
          </w:p>
        </w:tc>
        <w:tc>
          <w:tcPr>
            <w:tcW w:w="851" w:type="dxa"/>
          </w:tcPr>
          <w:p w14:paraId="60CF7320"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41</w:t>
            </w:r>
          </w:p>
        </w:tc>
      </w:tr>
      <w:tr w:rsidR="00DB7512" w:rsidRPr="0070034E" w14:paraId="0363B8EA" w14:textId="77777777" w:rsidTr="009E5EF7">
        <w:trPr>
          <w:trHeight w:val="432"/>
        </w:trPr>
        <w:tc>
          <w:tcPr>
            <w:tcW w:w="8505" w:type="dxa"/>
          </w:tcPr>
          <w:p w14:paraId="0B9F0B6D" w14:textId="77777777" w:rsidR="00DB7512" w:rsidRPr="0070034E" w:rsidRDefault="00DB7512" w:rsidP="009E5EF7">
            <w:pPr>
              <w:tabs>
                <w:tab w:val="left" w:pos="480"/>
                <w:tab w:val="right" w:leader="dot" w:pos="8270"/>
              </w:tabs>
              <w:spacing w:after="100"/>
              <w:ind w:left="450" w:hanging="450"/>
              <w:jc w:val="both"/>
              <w:rPr>
                <w:noProof/>
                <w:szCs w:val="24"/>
              </w:rPr>
            </w:pPr>
            <w:r w:rsidRPr="0070034E">
              <w:rPr>
                <w:noProof/>
                <w:szCs w:val="24"/>
              </w:rPr>
              <w:t>E.</w:t>
            </w:r>
            <w:r w:rsidRPr="0070034E">
              <w:rPr>
                <w:noProof/>
                <w:szCs w:val="24"/>
              </w:rPr>
              <w:tab/>
            </w:r>
            <w:r w:rsidRPr="0070034E">
              <w:rPr>
                <w:i/>
                <w:noProof/>
                <w:szCs w:val="24"/>
              </w:rPr>
              <w:t>How To Conduct a Reasonableness Review of the Vires of Subordinate Legislation Under the Vavilov Framework</w:t>
            </w:r>
          </w:p>
        </w:tc>
        <w:tc>
          <w:tcPr>
            <w:tcW w:w="851" w:type="dxa"/>
          </w:tcPr>
          <w:p w14:paraId="6F860466"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50</w:t>
            </w:r>
          </w:p>
        </w:tc>
      </w:tr>
      <w:tr w:rsidR="00DB7512" w:rsidRPr="0070034E" w14:paraId="175DBC06" w14:textId="77777777" w:rsidTr="009E5EF7">
        <w:trPr>
          <w:trHeight w:val="432"/>
        </w:trPr>
        <w:tc>
          <w:tcPr>
            <w:tcW w:w="8505" w:type="dxa"/>
          </w:tcPr>
          <w:p w14:paraId="23B9A63A" w14:textId="77777777" w:rsidR="00DB7512" w:rsidRPr="0070034E" w:rsidRDefault="00DB7512" w:rsidP="00DB7512">
            <w:pPr>
              <w:pStyle w:val="ListParagraph"/>
              <w:numPr>
                <w:ilvl w:val="0"/>
                <w:numId w:val="6"/>
              </w:numPr>
              <w:tabs>
                <w:tab w:val="left" w:pos="1100"/>
                <w:tab w:val="right" w:leader="dot" w:pos="8270"/>
              </w:tabs>
              <w:spacing w:after="100"/>
              <w:jc w:val="both"/>
              <w:rPr>
                <w:noProof/>
                <w:u w:val="single"/>
              </w:rPr>
            </w:pPr>
            <w:r w:rsidRPr="0070034E">
              <w:rPr>
                <w:noProof/>
                <w:u w:val="single"/>
              </w:rPr>
              <w:t>Reasonableness Review Is Possible in the Absence of Formal Reasons</w:t>
            </w:r>
          </w:p>
        </w:tc>
        <w:tc>
          <w:tcPr>
            <w:tcW w:w="851" w:type="dxa"/>
          </w:tcPr>
          <w:p w14:paraId="242AC1E9"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52</w:t>
            </w:r>
          </w:p>
        </w:tc>
      </w:tr>
      <w:tr w:rsidR="00DB7512" w:rsidRPr="0070034E" w14:paraId="5B52DDA4" w14:textId="77777777" w:rsidTr="009E5EF7">
        <w:trPr>
          <w:trHeight w:val="432"/>
        </w:trPr>
        <w:tc>
          <w:tcPr>
            <w:tcW w:w="8505" w:type="dxa"/>
          </w:tcPr>
          <w:p w14:paraId="0202E463" w14:textId="77777777" w:rsidR="00DB7512" w:rsidRPr="0070034E" w:rsidRDefault="00DB7512" w:rsidP="00DB7512">
            <w:pPr>
              <w:pStyle w:val="ListParagraph"/>
              <w:numPr>
                <w:ilvl w:val="0"/>
                <w:numId w:val="6"/>
              </w:numPr>
              <w:tabs>
                <w:tab w:val="left" w:pos="1100"/>
                <w:tab w:val="right" w:leader="dot" w:pos="8270"/>
              </w:tabs>
              <w:spacing w:after="100"/>
              <w:jc w:val="both"/>
              <w:rPr>
                <w:noProof/>
                <w:u w:val="single"/>
              </w:rPr>
            </w:pPr>
            <w:r w:rsidRPr="0070034E">
              <w:rPr>
                <w:noProof/>
                <w:u w:val="single"/>
              </w:rPr>
              <w:t>Reasonableness Review Is Not an Examination of Policy Merits</w:t>
            </w:r>
          </w:p>
        </w:tc>
        <w:tc>
          <w:tcPr>
            <w:tcW w:w="851" w:type="dxa"/>
          </w:tcPr>
          <w:p w14:paraId="440051E7" w14:textId="77777777" w:rsidR="00DB7512" w:rsidRPr="0070034E" w:rsidRDefault="00DB7512" w:rsidP="009E5EF7">
            <w:pPr>
              <w:tabs>
                <w:tab w:val="left" w:pos="480"/>
                <w:tab w:val="right" w:leader="dot" w:pos="8270"/>
              </w:tabs>
              <w:spacing w:after="100"/>
              <w:jc w:val="right"/>
              <w:rPr>
                <w:lang w:bidi="en-US"/>
              </w:rPr>
            </w:pPr>
            <w:r w:rsidRPr="0070034E">
              <w:rPr>
                <w:lang w:bidi="en-US"/>
              </w:rPr>
              <w:t>55</w:t>
            </w:r>
          </w:p>
        </w:tc>
      </w:tr>
      <w:tr w:rsidR="00DB7512" w:rsidRPr="0070034E" w14:paraId="0A887C90" w14:textId="77777777" w:rsidTr="009E5EF7">
        <w:trPr>
          <w:trHeight w:val="432"/>
        </w:trPr>
        <w:tc>
          <w:tcPr>
            <w:tcW w:w="8505" w:type="dxa"/>
          </w:tcPr>
          <w:p w14:paraId="150DBB71" w14:textId="77777777" w:rsidR="00DB7512" w:rsidRPr="0070034E" w:rsidRDefault="00DB7512" w:rsidP="00DB7512">
            <w:pPr>
              <w:pStyle w:val="ListParagraph"/>
              <w:numPr>
                <w:ilvl w:val="0"/>
                <w:numId w:val="6"/>
              </w:numPr>
              <w:tabs>
                <w:tab w:val="left" w:pos="1100"/>
                <w:tab w:val="right" w:leader="dot" w:pos="8270"/>
              </w:tabs>
              <w:spacing w:after="100"/>
              <w:jc w:val="both"/>
              <w:rPr>
                <w:noProof/>
                <w:u w:val="single"/>
              </w:rPr>
            </w:pPr>
            <w:r w:rsidRPr="0070034E">
              <w:rPr>
                <w:noProof/>
                <w:u w:val="single"/>
              </w:rPr>
              <w:t>The Relevant Constraints</w:t>
            </w:r>
          </w:p>
        </w:tc>
        <w:tc>
          <w:tcPr>
            <w:tcW w:w="851" w:type="dxa"/>
          </w:tcPr>
          <w:p w14:paraId="4ADC8FE1" w14:textId="77777777" w:rsidR="00DB7512" w:rsidRPr="0070034E" w:rsidRDefault="00DB7512" w:rsidP="009E5EF7">
            <w:pPr>
              <w:tabs>
                <w:tab w:val="left" w:pos="480"/>
                <w:tab w:val="right" w:leader="dot" w:pos="8270"/>
              </w:tabs>
              <w:spacing w:after="100"/>
              <w:jc w:val="right"/>
              <w:rPr>
                <w:lang w:bidi="en-US"/>
              </w:rPr>
            </w:pPr>
            <w:r w:rsidRPr="0070034E">
              <w:rPr>
                <w:lang w:bidi="en-US"/>
              </w:rPr>
              <w:t>59</w:t>
            </w:r>
          </w:p>
        </w:tc>
      </w:tr>
      <w:tr w:rsidR="00DB7512" w:rsidRPr="0070034E" w14:paraId="0781ECCC" w14:textId="77777777" w:rsidTr="009E5EF7">
        <w:trPr>
          <w:trHeight w:val="432"/>
        </w:trPr>
        <w:tc>
          <w:tcPr>
            <w:tcW w:w="8505" w:type="dxa"/>
          </w:tcPr>
          <w:p w14:paraId="311F6147" w14:textId="77777777" w:rsidR="00DB7512" w:rsidRPr="0070034E" w:rsidRDefault="00DB7512" w:rsidP="009E5EF7">
            <w:pPr>
              <w:tabs>
                <w:tab w:val="left" w:pos="2678"/>
              </w:tabs>
              <w:spacing w:after="100"/>
              <w:ind w:left="1129" w:hanging="649"/>
              <w:jc w:val="both"/>
              <w:rPr>
                <w:szCs w:val="22"/>
              </w:rPr>
            </w:pPr>
            <w:r w:rsidRPr="0070034E">
              <w:rPr>
                <w:noProof/>
                <w:szCs w:val="24"/>
                <w:lang w:bidi="en-US"/>
                <w14:scene3d>
                  <w14:camera w14:prst="orthographicFront"/>
                  <w14:lightRig w14:rig="threePt" w14:dir="t">
                    <w14:rot w14:lat="0" w14:lon="0" w14:rev="0"/>
                  </w14:lightRig>
                </w14:scene3d>
              </w:rPr>
              <w:t>(a)</w:t>
            </w:r>
            <w:r w:rsidRPr="0070034E">
              <w:rPr>
                <w:noProof/>
                <w:szCs w:val="24"/>
              </w:rPr>
              <w:tab/>
            </w:r>
            <w:r w:rsidRPr="0070034E">
              <w:rPr>
                <w:i/>
              </w:rPr>
              <w:t>Governing Statutory Scheme</w:t>
            </w:r>
          </w:p>
        </w:tc>
        <w:tc>
          <w:tcPr>
            <w:tcW w:w="851" w:type="dxa"/>
          </w:tcPr>
          <w:p w14:paraId="1BE3A6C7"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61</w:t>
            </w:r>
          </w:p>
        </w:tc>
      </w:tr>
      <w:tr w:rsidR="00DB7512" w:rsidRPr="0070034E" w14:paraId="7E17EA2B" w14:textId="77777777" w:rsidTr="009E5EF7">
        <w:trPr>
          <w:trHeight w:val="432"/>
        </w:trPr>
        <w:tc>
          <w:tcPr>
            <w:tcW w:w="8505" w:type="dxa"/>
          </w:tcPr>
          <w:p w14:paraId="1E66130C" w14:textId="77777777" w:rsidR="00DB7512" w:rsidRPr="0070034E" w:rsidRDefault="00DB7512" w:rsidP="009E5EF7">
            <w:pPr>
              <w:tabs>
                <w:tab w:val="left" w:pos="2678"/>
              </w:tabs>
              <w:spacing w:after="100"/>
              <w:ind w:left="1129" w:hanging="649"/>
              <w:jc w:val="both"/>
              <w:rPr>
                <w:szCs w:val="22"/>
              </w:rPr>
            </w:pPr>
            <w:r w:rsidRPr="0070034E">
              <w:rPr>
                <w:noProof/>
                <w:szCs w:val="24"/>
                <w:lang w:bidi="en-US"/>
                <w14:scene3d>
                  <w14:camera w14:prst="orthographicFront"/>
                  <w14:lightRig w14:rig="threePt" w14:dir="t">
                    <w14:rot w14:lat="0" w14:lon="0" w14:rev="0"/>
                  </w14:lightRig>
                </w14:scene3d>
              </w:rPr>
              <w:t>(b)</w:t>
            </w:r>
            <w:r w:rsidRPr="0070034E">
              <w:rPr>
                <w:noProof/>
                <w:szCs w:val="24"/>
              </w:rPr>
              <w:tab/>
            </w:r>
            <w:r w:rsidRPr="0070034E">
              <w:rPr>
                <w:i/>
              </w:rPr>
              <w:t>Other Statutory or Common Law</w:t>
            </w:r>
          </w:p>
        </w:tc>
        <w:tc>
          <w:tcPr>
            <w:tcW w:w="851" w:type="dxa"/>
          </w:tcPr>
          <w:p w14:paraId="4CF56B08"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63</w:t>
            </w:r>
          </w:p>
        </w:tc>
      </w:tr>
      <w:tr w:rsidR="00DB7512" w:rsidRPr="0070034E" w14:paraId="79FF5A04" w14:textId="77777777" w:rsidTr="009E5EF7">
        <w:trPr>
          <w:trHeight w:val="432"/>
        </w:trPr>
        <w:tc>
          <w:tcPr>
            <w:tcW w:w="8505" w:type="dxa"/>
          </w:tcPr>
          <w:p w14:paraId="767F72C5" w14:textId="77777777" w:rsidR="00DB7512" w:rsidRPr="0070034E" w:rsidRDefault="00DB7512" w:rsidP="009E5EF7">
            <w:pPr>
              <w:tabs>
                <w:tab w:val="left" w:pos="2678"/>
              </w:tabs>
              <w:spacing w:after="100"/>
              <w:ind w:left="1129" w:hanging="649"/>
              <w:jc w:val="both"/>
              <w:rPr>
                <w:szCs w:val="22"/>
              </w:rPr>
            </w:pPr>
            <w:r w:rsidRPr="0070034E">
              <w:rPr>
                <w:noProof/>
                <w:szCs w:val="24"/>
                <w:lang w:bidi="en-US"/>
                <w14:scene3d>
                  <w14:camera w14:prst="orthographicFront"/>
                  <w14:lightRig w14:rig="threePt" w14:dir="t">
                    <w14:rot w14:lat="0" w14:lon="0" w14:rev="0"/>
                  </w14:lightRig>
                </w14:scene3d>
              </w:rPr>
              <w:t>(c)</w:t>
            </w:r>
            <w:r w:rsidRPr="0070034E">
              <w:rPr>
                <w:noProof/>
                <w:szCs w:val="24"/>
              </w:rPr>
              <w:tab/>
            </w:r>
            <w:r w:rsidRPr="0070034E">
              <w:rPr>
                <w:i/>
              </w:rPr>
              <w:t xml:space="preserve">Principles of Statutory </w:t>
            </w:r>
            <w:r w:rsidRPr="0070034E">
              <w:rPr>
                <w:i/>
                <w:iCs/>
              </w:rPr>
              <w:t>Interpretation</w:t>
            </w:r>
          </w:p>
        </w:tc>
        <w:tc>
          <w:tcPr>
            <w:tcW w:w="851" w:type="dxa"/>
          </w:tcPr>
          <w:p w14:paraId="1262F936"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64</w:t>
            </w:r>
          </w:p>
        </w:tc>
      </w:tr>
      <w:tr w:rsidR="00DB7512" w:rsidRPr="0070034E" w14:paraId="0B28A23B" w14:textId="77777777" w:rsidTr="009E5EF7">
        <w:trPr>
          <w:trHeight w:val="432"/>
        </w:trPr>
        <w:tc>
          <w:tcPr>
            <w:tcW w:w="8505" w:type="dxa"/>
          </w:tcPr>
          <w:p w14:paraId="542D3DA5" w14:textId="77777777" w:rsidR="00DB7512" w:rsidRPr="0070034E" w:rsidRDefault="00DB7512" w:rsidP="009E5EF7">
            <w:pPr>
              <w:tabs>
                <w:tab w:val="left" w:pos="480"/>
                <w:tab w:val="right" w:leader="dot" w:pos="8270"/>
              </w:tabs>
              <w:spacing w:after="100"/>
              <w:jc w:val="both"/>
              <w:rPr>
                <w:i/>
                <w:noProof/>
                <w:szCs w:val="24"/>
              </w:rPr>
            </w:pPr>
            <w:r w:rsidRPr="0070034E">
              <w:rPr>
                <w:noProof/>
                <w:szCs w:val="24"/>
                <w:lang w:bidi="en-US"/>
              </w:rPr>
              <w:t>VI.</w:t>
            </w:r>
            <w:r w:rsidRPr="0070034E">
              <w:rPr>
                <w:noProof/>
                <w:szCs w:val="24"/>
              </w:rPr>
              <w:tab/>
            </w:r>
            <w:r w:rsidRPr="0070034E">
              <w:rPr>
                <w:noProof/>
                <w:szCs w:val="24"/>
                <w:u w:val="single"/>
              </w:rPr>
              <w:t>Analysis</w:t>
            </w:r>
          </w:p>
        </w:tc>
        <w:tc>
          <w:tcPr>
            <w:tcW w:w="851" w:type="dxa"/>
          </w:tcPr>
          <w:p w14:paraId="66A2B5E3"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67</w:t>
            </w:r>
          </w:p>
        </w:tc>
      </w:tr>
      <w:tr w:rsidR="00DB7512" w:rsidRPr="0070034E" w14:paraId="40578008" w14:textId="77777777" w:rsidTr="009E5EF7">
        <w:trPr>
          <w:trHeight w:val="432"/>
        </w:trPr>
        <w:tc>
          <w:tcPr>
            <w:tcW w:w="8505" w:type="dxa"/>
          </w:tcPr>
          <w:p w14:paraId="30E45FF7" w14:textId="77777777" w:rsidR="00DB7512" w:rsidRPr="0070034E" w:rsidRDefault="00DB7512" w:rsidP="009E5EF7">
            <w:pPr>
              <w:tabs>
                <w:tab w:val="left" w:pos="480"/>
                <w:tab w:val="right" w:leader="dot" w:pos="8270"/>
              </w:tabs>
              <w:spacing w:after="100"/>
              <w:ind w:left="450" w:hanging="450"/>
              <w:jc w:val="both"/>
              <w:rPr>
                <w:i/>
                <w:noProof/>
                <w:szCs w:val="24"/>
              </w:rPr>
            </w:pPr>
            <w:r w:rsidRPr="0070034E">
              <w:rPr>
                <w:noProof/>
                <w:szCs w:val="24"/>
                <w:lang w:bidi="en-US"/>
              </w:rPr>
              <w:t>A.</w:t>
            </w:r>
            <w:r w:rsidRPr="0070034E">
              <w:rPr>
                <w:noProof/>
                <w:szCs w:val="24"/>
              </w:rPr>
              <w:tab/>
            </w:r>
            <w:r w:rsidRPr="0070034E">
              <w:rPr>
                <w:i/>
                <w:noProof/>
                <w:szCs w:val="24"/>
              </w:rPr>
              <w:t>Overview of the Child Support Guidelines</w:t>
            </w:r>
          </w:p>
        </w:tc>
        <w:tc>
          <w:tcPr>
            <w:tcW w:w="851" w:type="dxa"/>
          </w:tcPr>
          <w:p w14:paraId="444258DA"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67</w:t>
            </w:r>
          </w:p>
        </w:tc>
      </w:tr>
      <w:tr w:rsidR="00DB7512" w:rsidRPr="0070034E" w14:paraId="6FE93CF5" w14:textId="77777777" w:rsidTr="009E5EF7">
        <w:trPr>
          <w:trHeight w:val="432"/>
        </w:trPr>
        <w:tc>
          <w:tcPr>
            <w:tcW w:w="8505" w:type="dxa"/>
          </w:tcPr>
          <w:p w14:paraId="77D78EC4" w14:textId="77777777" w:rsidR="00DB7512" w:rsidRPr="0070034E" w:rsidRDefault="00DB7512" w:rsidP="009E5EF7">
            <w:pPr>
              <w:tabs>
                <w:tab w:val="left" w:pos="480"/>
                <w:tab w:val="right" w:leader="dot" w:pos="8270"/>
              </w:tabs>
              <w:spacing w:after="100"/>
              <w:ind w:left="450" w:hanging="450"/>
              <w:jc w:val="both"/>
              <w:rPr>
                <w:i/>
                <w:noProof/>
                <w:szCs w:val="24"/>
              </w:rPr>
            </w:pPr>
            <w:r w:rsidRPr="0070034E">
              <w:rPr>
                <w:noProof/>
                <w:szCs w:val="24"/>
                <w:lang w:bidi="en-US"/>
              </w:rPr>
              <w:t>B.</w:t>
            </w:r>
            <w:r w:rsidRPr="0070034E">
              <w:rPr>
                <w:noProof/>
                <w:szCs w:val="24"/>
              </w:rPr>
              <w:tab/>
            </w:r>
            <w:r w:rsidRPr="0070034E">
              <w:rPr>
                <w:i/>
                <w:noProof/>
                <w:szCs w:val="24"/>
              </w:rPr>
              <w:t>Mr. Auer’s Challenge</w:t>
            </w:r>
          </w:p>
        </w:tc>
        <w:tc>
          <w:tcPr>
            <w:tcW w:w="851" w:type="dxa"/>
          </w:tcPr>
          <w:p w14:paraId="238CE992"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72</w:t>
            </w:r>
          </w:p>
        </w:tc>
      </w:tr>
      <w:tr w:rsidR="00DB7512" w:rsidRPr="0070034E" w14:paraId="6A2CE481" w14:textId="77777777" w:rsidTr="009E5EF7">
        <w:trPr>
          <w:trHeight w:val="432"/>
        </w:trPr>
        <w:tc>
          <w:tcPr>
            <w:tcW w:w="8505" w:type="dxa"/>
          </w:tcPr>
          <w:p w14:paraId="61D488AD" w14:textId="77777777" w:rsidR="00DB7512" w:rsidRPr="0070034E" w:rsidRDefault="00DB7512" w:rsidP="009E5EF7">
            <w:pPr>
              <w:tabs>
                <w:tab w:val="left" w:pos="480"/>
                <w:tab w:val="right" w:leader="dot" w:pos="8270"/>
              </w:tabs>
              <w:spacing w:after="100"/>
              <w:ind w:left="450" w:hanging="450"/>
              <w:jc w:val="both"/>
              <w:rPr>
                <w:i/>
                <w:noProof/>
                <w:szCs w:val="24"/>
              </w:rPr>
            </w:pPr>
            <w:r w:rsidRPr="0070034E">
              <w:rPr>
                <w:noProof/>
                <w:szCs w:val="24"/>
                <w:lang w:bidi="en-US"/>
              </w:rPr>
              <w:t>C.</w:t>
            </w:r>
            <w:r w:rsidRPr="0070034E">
              <w:rPr>
                <w:noProof/>
                <w:szCs w:val="24"/>
              </w:rPr>
              <w:tab/>
            </w:r>
            <w:r w:rsidRPr="0070034E">
              <w:rPr>
                <w:i/>
                <w:noProof/>
                <w:szCs w:val="24"/>
              </w:rPr>
              <w:t>The Child Support Guidelines Are Within the GIC’s Scope of Authority</w:t>
            </w:r>
          </w:p>
        </w:tc>
        <w:tc>
          <w:tcPr>
            <w:tcW w:w="851" w:type="dxa"/>
          </w:tcPr>
          <w:p w14:paraId="318C307C"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75</w:t>
            </w:r>
          </w:p>
        </w:tc>
      </w:tr>
      <w:tr w:rsidR="00DB7512" w:rsidRPr="0070034E" w14:paraId="47A36D3E" w14:textId="77777777" w:rsidTr="009E5EF7">
        <w:trPr>
          <w:trHeight w:val="432"/>
        </w:trPr>
        <w:tc>
          <w:tcPr>
            <w:tcW w:w="8505" w:type="dxa"/>
          </w:tcPr>
          <w:p w14:paraId="57471270" w14:textId="77777777" w:rsidR="00DB7512" w:rsidRPr="0070034E" w:rsidRDefault="00DB7512" w:rsidP="009E5EF7">
            <w:pPr>
              <w:tabs>
                <w:tab w:val="left" w:pos="1100"/>
                <w:tab w:val="left" w:pos="1669"/>
              </w:tabs>
              <w:spacing w:after="100"/>
              <w:ind w:left="480"/>
              <w:jc w:val="both"/>
              <w:rPr>
                <w:noProof/>
                <w:szCs w:val="24"/>
              </w:rPr>
            </w:pPr>
            <w:r w:rsidRPr="0070034E">
              <w:rPr>
                <w:noProof/>
                <w:szCs w:val="24"/>
                <w:lang w:bidi="en-US"/>
                <w14:scene3d>
                  <w14:camera w14:prst="orthographicFront"/>
                  <w14:lightRig w14:rig="threePt" w14:dir="t">
                    <w14:rot w14:lat="0" w14:lon="0" w14:rev="0"/>
                  </w14:lightRig>
                </w14:scene3d>
              </w:rPr>
              <w:t>(1)</w:t>
            </w:r>
            <w:r w:rsidRPr="0070034E">
              <w:rPr>
                <w:noProof/>
                <w:szCs w:val="24"/>
              </w:rPr>
              <w:tab/>
            </w:r>
            <w:r w:rsidRPr="0070034E">
              <w:rPr>
                <w:noProof/>
                <w:szCs w:val="24"/>
                <w:u w:val="single"/>
              </w:rPr>
              <w:t>The GIC’s Statutory Grant of Authority Is Extremely Broad</w:t>
            </w:r>
          </w:p>
        </w:tc>
        <w:tc>
          <w:tcPr>
            <w:tcW w:w="851" w:type="dxa"/>
          </w:tcPr>
          <w:p w14:paraId="5C9B29E7"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75</w:t>
            </w:r>
          </w:p>
        </w:tc>
      </w:tr>
      <w:tr w:rsidR="00DB7512" w:rsidRPr="0070034E" w14:paraId="3E508800" w14:textId="77777777" w:rsidTr="009E5EF7">
        <w:trPr>
          <w:trHeight w:val="432"/>
        </w:trPr>
        <w:tc>
          <w:tcPr>
            <w:tcW w:w="8505" w:type="dxa"/>
          </w:tcPr>
          <w:p w14:paraId="63A2B3B2" w14:textId="77777777" w:rsidR="00DB7512" w:rsidRPr="0070034E" w:rsidRDefault="00DB7512" w:rsidP="009E5EF7">
            <w:pPr>
              <w:tabs>
                <w:tab w:val="left" w:pos="1100"/>
                <w:tab w:val="left" w:pos="1669"/>
              </w:tabs>
              <w:spacing w:after="100"/>
              <w:ind w:left="480"/>
              <w:jc w:val="both"/>
              <w:rPr>
                <w:noProof/>
                <w:szCs w:val="24"/>
              </w:rPr>
            </w:pPr>
            <w:r w:rsidRPr="0070034E">
              <w:rPr>
                <w:noProof/>
                <w:szCs w:val="24"/>
                <w:lang w:bidi="en-US"/>
                <w14:scene3d>
                  <w14:camera w14:prst="orthographicFront"/>
                  <w14:lightRig w14:rig="threePt" w14:dir="t">
                    <w14:rot w14:lat="0" w14:lon="0" w14:rev="0"/>
                  </w14:lightRig>
                </w14:scene3d>
              </w:rPr>
              <w:t>(2)</w:t>
            </w:r>
            <w:r w:rsidRPr="0070034E">
              <w:rPr>
                <w:noProof/>
                <w:szCs w:val="24"/>
              </w:rPr>
              <w:tab/>
            </w:r>
            <w:r w:rsidRPr="0070034E">
              <w:rPr>
                <w:noProof/>
                <w:szCs w:val="24"/>
                <w:u w:val="single"/>
              </w:rPr>
              <w:t>The GIC Was Authorized Not To Take Into Account the Recipient Parent’s</w:t>
            </w:r>
            <w:r w:rsidRPr="0070034E">
              <w:rPr>
                <w:noProof/>
                <w:szCs w:val="24"/>
              </w:rPr>
              <w:t xml:space="preserve"> </w:t>
            </w:r>
            <w:r w:rsidRPr="0070034E">
              <w:rPr>
                <w:noProof/>
                <w:szCs w:val="24"/>
              </w:rPr>
              <w:tab/>
            </w:r>
            <w:r w:rsidRPr="0070034E">
              <w:rPr>
                <w:noProof/>
                <w:szCs w:val="24"/>
                <w:u w:val="single"/>
              </w:rPr>
              <w:t>Income in Calculating the Table Amounts</w:t>
            </w:r>
          </w:p>
        </w:tc>
        <w:tc>
          <w:tcPr>
            <w:tcW w:w="851" w:type="dxa"/>
          </w:tcPr>
          <w:p w14:paraId="73D49B23"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80</w:t>
            </w:r>
          </w:p>
        </w:tc>
      </w:tr>
      <w:tr w:rsidR="00DB7512" w:rsidRPr="0070034E" w14:paraId="74C3D92B" w14:textId="77777777" w:rsidTr="009E5EF7">
        <w:trPr>
          <w:trHeight w:val="432"/>
        </w:trPr>
        <w:tc>
          <w:tcPr>
            <w:tcW w:w="8505" w:type="dxa"/>
          </w:tcPr>
          <w:p w14:paraId="327E2C43" w14:textId="77777777" w:rsidR="00DB7512" w:rsidRPr="0070034E" w:rsidRDefault="00DB7512" w:rsidP="009E5EF7">
            <w:pPr>
              <w:tabs>
                <w:tab w:val="left" w:pos="1100"/>
                <w:tab w:val="left" w:pos="1669"/>
              </w:tabs>
              <w:spacing w:after="100"/>
              <w:ind w:left="480"/>
              <w:jc w:val="both"/>
              <w:rPr>
                <w:noProof/>
                <w:szCs w:val="24"/>
              </w:rPr>
            </w:pPr>
            <w:r w:rsidRPr="0070034E">
              <w:rPr>
                <w:noProof/>
                <w:szCs w:val="24"/>
                <w:lang w:bidi="en-US"/>
                <w14:scene3d>
                  <w14:camera w14:prst="orthographicFront"/>
                  <w14:lightRig w14:rig="threePt" w14:dir="t">
                    <w14:rot w14:lat="0" w14:lon="0" w14:rev="0"/>
                  </w14:lightRig>
                </w14:scene3d>
              </w:rPr>
              <w:t>(3)</w:t>
            </w:r>
            <w:r w:rsidRPr="0070034E">
              <w:rPr>
                <w:noProof/>
                <w:szCs w:val="24"/>
              </w:rPr>
              <w:tab/>
            </w:r>
            <w:r w:rsidRPr="0070034E">
              <w:rPr>
                <w:noProof/>
                <w:szCs w:val="24"/>
                <w:u w:val="single"/>
              </w:rPr>
              <w:t>The GIC Was Authorized To Assume That Parents Spend the Same Linear</w:t>
            </w:r>
            <w:r w:rsidRPr="0070034E">
              <w:rPr>
                <w:noProof/>
                <w:szCs w:val="24"/>
              </w:rPr>
              <w:t xml:space="preserve"> </w:t>
            </w:r>
            <w:r w:rsidRPr="0070034E">
              <w:rPr>
                <w:noProof/>
                <w:szCs w:val="24"/>
              </w:rPr>
              <w:tab/>
            </w:r>
            <w:r w:rsidRPr="0070034E">
              <w:rPr>
                <w:noProof/>
                <w:szCs w:val="24"/>
                <w:u w:val="single"/>
              </w:rPr>
              <w:t>Percentage of Their Income on Their Children</w:t>
            </w:r>
          </w:p>
        </w:tc>
        <w:tc>
          <w:tcPr>
            <w:tcW w:w="851" w:type="dxa"/>
          </w:tcPr>
          <w:p w14:paraId="2D74CC06"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90</w:t>
            </w:r>
          </w:p>
        </w:tc>
      </w:tr>
      <w:tr w:rsidR="00DB7512" w:rsidRPr="0070034E" w14:paraId="38AF87FE" w14:textId="77777777" w:rsidTr="009E5EF7">
        <w:trPr>
          <w:trHeight w:val="432"/>
        </w:trPr>
        <w:tc>
          <w:tcPr>
            <w:tcW w:w="8505" w:type="dxa"/>
          </w:tcPr>
          <w:p w14:paraId="186F4268" w14:textId="77777777" w:rsidR="00DB7512" w:rsidRPr="0070034E" w:rsidRDefault="00DB7512" w:rsidP="009E5EF7">
            <w:pPr>
              <w:tabs>
                <w:tab w:val="left" w:pos="1100"/>
                <w:tab w:val="left" w:pos="1669"/>
              </w:tabs>
              <w:spacing w:after="100"/>
              <w:ind w:left="480"/>
              <w:jc w:val="both"/>
              <w:rPr>
                <w:noProof/>
                <w:szCs w:val="24"/>
              </w:rPr>
            </w:pPr>
            <w:r w:rsidRPr="0070034E">
              <w:rPr>
                <w:noProof/>
                <w:szCs w:val="24"/>
                <w:lang w:bidi="en-US"/>
                <w14:scene3d>
                  <w14:camera w14:prst="orthographicFront"/>
                  <w14:lightRig w14:rig="threePt" w14:dir="t">
                    <w14:rot w14:lat="0" w14:lon="0" w14:rev="0"/>
                  </w14:lightRig>
                </w14:scene3d>
              </w:rPr>
              <w:t>(4)</w:t>
            </w:r>
            <w:r w:rsidRPr="0070034E">
              <w:rPr>
                <w:noProof/>
                <w:szCs w:val="24"/>
              </w:rPr>
              <w:tab/>
            </w:r>
            <w:r w:rsidRPr="0070034E">
              <w:rPr>
                <w:noProof/>
                <w:szCs w:val="24"/>
                <w:u w:val="single"/>
              </w:rPr>
              <w:t>The GIC Was Authorized Not To Take Into Account Government Child</w:t>
            </w:r>
            <w:r w:rsidRPr="0070034E">
              <w:rPr>
                <w:noProof/>
                <w:szCs w:val="24"/>
              </w:rPr>
              <w:t xml:space="preserve"> </w:t>
            </w:r>
            <w:r w:rsidRPr="0070034E">
              <w:rPr>
                <w:noProof/>
                <w:szCs w:val="24"/>
              </w:rPr>
              <w:tab/>
            </w:r>
            <w:r w:rsidRPr="0070034E">
              <w:rPr>
                <w:noProof/>
                <w:szCs w:val="24"/>
                <w:u w:val="single"/>
              </w:rPr>
              <w:t>Benefits Paid to the Recipient Parent in Calculating Child Support Awards</w:t>
            </w:r>
          </w:p>
        </w:tc>
        <w:tc>
          <w:tcPr>
            <w:tcW w:w="851" w:type="dxa"/>
          </w:tcPr>
          <w:p w14:paraId="7F5345F3"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95</w:t>
            </w:r>
          </w:p>
        </w:tc>
      </w:tr>
      <w:tr w:rsidR="00DB7512" w:rsidRPr="0070034E" w14:paraId="17C8E2A6" w14:textId="77777777" w:rsidTr="009E5EF7">
        <w:trPr>
          <w:trHeight w:val="432"/>
        </w:trPr>
        <w:tc>
          <w:tcPr>
            <w:tcW w:w="8505" w:type="dxa"/>
          </w:tcPr>
          <w:p w14:paraId="4100F9E8" w14:textId="77777777" w:rsidR="00DB7512" w:rsidRPr="0070034E" w:rsidRDefault="00DB7512" w:rsidP="009E5EF7">
            <w:pPr>
              <w:tabs>
                <w:tab w:val="left" w:pos="1100"/>
                <w:tab w:val="left" w:pos="1669"/>
              </w:tabs>
              <w:spacing w:after="100"/>
              <w:ind w:left="1080" w:hanging="630"/>
              <w:jc w:val="both"/>
              <w:rPr>
                <w:noProof/>
                <w:szCs w:val="24"/>
              </w:rPr>
            </w:pPr>
            <w:r w:rsidRPr="0070034E">
              <w:rPr>
                <w:noProof/>
                <w:szCs w:val="24"/>
                <w:lang w:bidi="en-US"/>
                <w14:scene3d>
                  <w14:camera w14:prst="orthographicFront"/>
                  <w14:lightRig w14:rig="threePt" w14:dir="t">
                    <w14:rot w14:lat="0" w14:lon="0" w14:rev="0"/>
                  </w14:lightRig>
                </w14:scene3d>
              </w:rPr>
              <w:t>(5)</w:t>
            </w:r>
            <w:r w:rsidRPr="0070034E">
              <w:rPr>
                <w:noProof/>
                <w:szCs w:val="24"/>
              </w:rPr>
              <w:tab/>
            </w:r>
            <w:r w:rsidRPr="0070034E">
              <w:rPr>
                <w:noProof/>
                <w:szCs w:val="24"/>
                <w:u w:val="single"/>
              </w:rPr>
              <w:t>The GIC Was Authorized Not To Take Into Account the Payer Parent’s Direct</w:t>
            </w:r>
            <w:r w:rsidRPr="0070034E">
              <w:rPr>
                <w:noProof/>
                <w:szCs w:val="24"/>
              </w:rPr>
              <w:t xml:space="preserve"> </w:t>
            </w:r>
            <w:r w:rsidRPr="0070034E">
              <w:rPr>
                <w:noProof/>
                <w:szCs w:val="24"/>
                <w:u w:val="single"/>
              </w:rPr>
              <w:t>Spending When That Parent Exercises Less Than 40 Percent of Annual Parenting Time</w:t>
            </w:r>
          </w:p>
        </w:tc>
        <w:tc>
          <w:tcPr>
            <w:tcW w:w="851" w:type="dxa"/>
          </w:tcPr>
          <w:p w14:paraId="5D8022EE"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98</w:t>
            </w:r>
          </w:p>
        </w:tc>
      </w:tr>
      <w:tr w:rsidR="00DB7512" w:rsidRPr="0070034E" w14:paraId="4F86E6DD" w14:textId="77777777" w:rsidTr="009E5EF7">
        <w:trPr>
          <w:trHeight w:val="432"/>
        </w:trPr>
        <w:tc>
          <w:tcPr>
            <w:tcW w:w="8505" w:type="dxa"/>
          </w:tcPr>
          <w:p w14:paraId="10ABBA26" w14:textId="77777777" w:rsidR="00DB7512" w:rsidRPr="0070034E" w:rsidRDefault="00DB7512" w:rsidP="009E5EF7">
            <w:pPr>
              <w:tabs>
                <w:tab w:val="left" w:pos="1100"/>
                <w:tab w:val="left" w:pos="1669"/>
              </w:tabs>
              <w:spacing w:after="100"/>
              <w:ind w:left="480"/>
              <w:jc w:val="both"/>
              <w:rPr>
                <w:noProof/>
                <w:szCs w:val="24"/>
              </w:rPr>
            </w:pPr>
            <w:r w:rsidRPr="0070034E">
              <w:rPr>
                <w:noProof/>
                <w:szCs w:val="24"/>
                <w:lang w:bidi="en-US"/>
                <w14:scene3d>
                  <w14:camera w14:prst="orthographicFront"/>
                  <w14:lightRig w14:rig="threePt" w14:dir="t">
                    <w14:rot w14:lat="0" w14:lon="0" w14:rev="0"/>
                  </w14:lightRig>
                </w14:scene3d>
              </w:rPr>
              <w:t>(6)</w:t>
            </w:r>
            <w:r w:rsidRPr="0070034E">
              <w:rPr>
                <w:noProof/>
                <w:szCs w:val="24"/>
              </w:rPr>
              <w:tab/>
            </w:r>
            <w:r w:rsidRPr="0070034E">
              <w:rPr>
                <w:noProof/>
                <w:szCs w:val="24"/>
                <w:u w:val="single"/>
              </w:rPr>
              <w:t>The GIC Was Authorized To Establish a Separate Category of Special or</w:t>
            </w:r>
            <w:r w:rsidRPr="0070034E">
              <w:rPr>
                <w:noProof/>
                <w:szCs w:val="24"/>
              </w:rPr>
              <w:t xml:space="preserve"> </w:t>
            </w:r>
            <w:r w:rsidRPr="0070034E">
              <w:rPr>
                <w:noProof/>
                <w:szCs w:val="24"/>
              </w:rPr>
              <w:tab/>
            </w:r>
            <w:r w:rsidRPr="0070034E">
              <w:rPr>
                <w:noProof/>
                <w:szCs w:val="24"/>
                <w:u w:val="single"/>
              </w:rPr>
              <w:t>Extraordinary Expenses</w:t>
            </w:r>
          </w:p>
        </w:tc>
        <w:tc>
          <w:tcPr>
            <w:tcW w:w="851" w:type="dxa"/>
          </w:tcPr>
          <w:p w14:paraId="2710EDFE"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105</w:t>
            </w:r>
          </w:p>
        </w:tc>
      </w:tr>
      <w:tr w:rsidR="00DB7512" w:rsidRPr="0070034E" w14:paraId="6FC3D6B9" w14:textId="77777777" w:rsidTr="009E5EF7">
        <w:trPr>
          <w:trHeight w:val="432"/>
        </w:trPr>
        <w:tc>
          <w:tcPr>
            <w:tcW w:w="8505" w:type="dxa"/>
          </w:tcPr>
          <w:p w14:paraId="055391F7" w14:textId="77777777" w:rsidR="00DB7512" w:rsidRPr="0070034E" w:rsidRDefault="00DB7512" w:rsidP="009E5EF7">
            <w:pPr>
              <w:tabs>
                <w:tab w:val="left" w:pos="480"/>
                <w:tab w:val="right" w:leader="dot" w:pos="8270"/>
              </w:tabs>
              <w:spacing w:after="100"/>
              <w:jc w:val="both"/>
              <w:rPr>
                <w:i/>
                <w:noProof/>
                <w:szCs w:val="24"/>
              </w:rPr>
            </w:pPr>
            <w:r w:rsidRPr="0070034E">
              <w:rPr>
                <w:noProof/>
                <w:szCs w:val="24"/>
                <w:lang w:bidi="en-US"/>
              </w:rPr>
              <w:t>VII.</w:t>
            </w:r>
            <w:r w:rsidRPr="0070034E">
              <w:rPr>
                <w:noProof/>
                <w:szCs w:val="24"/>
              </w:rPr>
              <w:tab/>
            </w:r>
            <w:r w:rsidRPr="0070034E">
              <w:rPr>
                <w:noProof/>
                <w:szCs w:val="24"/>
                <w:u w:val="single"/>
              </w:rPr>
              <w:t>Conclusion</w:t>
            </w:r>
          </w:p>
        </w:tc>
        <w:tc>
          <w:tcPr>
            <w:tcW w:w="851" w:type="dxa"/>
          </w:tcPr>
          <w:p w14:paraId="721376DC" w14:textId="77777777" w:rsidR="00DB7512" w:rsidRPr="0070034E" w:rsidRDefault="00DB7512" w:rsidP="009E5EF7">
            <w:pPr>
              <w:tabs>
                <w:tab w:val="left" w:pos="480"/>
                <w:tab w:val="right" w:leader="dot" w:pos="8270"/>
              </w:tabs>
              <w:spacing w:after="100"/>
              <w:jc w:val="right"/>
              <w:rPr>
                <w:szCs w:val="24"/>
                <w:lang w:bidi="en-US"/>
              </w:rPr>
            </w:pPr>
            <w:r w:rsidRPr="0070034E">
              <w:rPr>
                <w:szCs w:val="24"/>
                <w:lang w:bidi="en-US"/>
              </w:rPr>
              <w:t>114</w:t>
            </w:r>
          </w:p>
        </w:tc>
      </w:tr>
    </w:tbl>
    <w:p w14:paraId="47115A56" w14:textId="77777777" w:rsidR="00DB7512" w:rsidRPr="0070034E" w:rsidRDefault="00DB7512" w:rsidP="00DB7512">
      <w:pPr>
        <w:pStyle w:val="Title1LevelTitre1Niveau-AltL"/>
        <w:rPr>
          <w:rFonts w:cs="Times New Roman"/>
        </w:rPr>
      </w:pPr>
      <w:bookmarkStart w:id="4" w:name="_Toc172041724"/>
      <w:r w:rsidRPr="0070034E">
        <w:rPr>
          <w:rFonts w:cs="Times New Roman"/>
        </w:rPr>
        <w:t>Overview</w:t>
      </w:r>
      <w:bookmarkEnd w:id="4"/>
    </w:p>
    <w:p w14:paraId="7FC37B11"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w:t>
      </w:r>
      <w:r w:rsidRPr="0070034E">
        <w:rPr>
          <w:rFonts w:eastAsia="Times New Roman" w:cs="Times New Roman"/>
          <w:i/>
          <w:iCs/>
          <w:szCs w:val="24"/>
        </w:rPr>
        <w:t>Federal Child Support Guidelines</w:t>
      </w:r>
      <w:r w:rsidRPr="0070034E">
        <w:rPr>
          <w:rFonts w:eastAsia="Times New Roman" w:cs="Times New Roman"/>
          <w:szCs w:val="24"/>
        </w:rPr>
        <w:t>, SOR/97</w:t>
      </w:r>
      <w:r w:rsidRPr="0070034E">
        <w:rPr>
          <w:rFonts w:eastAsia="Times New Roman" w:cs="Times New Roman"/>
          <w:szCs w:val="24"/>
        </w:rPr>
        <w:noBreakHyphen/>
        <w:t>175 (“</w:t>
      </w:r>
      <w:r w:rsidRPr="0070034E">
        <w:rPr>
          <w:rFonts w:eastAsia="Times New Roman" w:cs="Times New Roman"/>
          <w:i/>
          <w:iCs/>
          <w:szCs w:val="24"/>
        </w:rPr>
        <w:t>Child Support Guidelines</w:t>
      </w:r>
      <w:r w:rsidRPr="0070034E">
        <w:rPr>
          <w:rFonts w:eastAsia="Times New Roman" w:cs="Times New Roman"/>
          <w:szCs w:val="24"/>
        </w:rPr>
        <w:t xml:space="preserve">”), established by the Governor in Council (“GIC”) under the </w:t>
      </w:r>
      <w:r w:rsidRPr="0070034E">
        <w:rPr>
          <w:rFonts w:eastAsia="Times New Roman" w:cs="Times New Roman"/>
          <w:i/>
          <w:iCs/>
          <w:szCs w:val="24"/>
        </w:rPr>
        <w:t>Divorce Act</w:t>
      </w:r>
      <w:r w:rsidRPr="0070034E">
        <w:rPr>
          <w:rFonts w:eastAsia="Times New Roman" w:cs="Times New Roman"/>
          <w:szCs w:val="24"/>
        </w:rPr>
        <w:t xml:space="preserve">, R.S.C. 1985, c. 3 (2nd Supp.), determine the amount of child support to be paid in case of divorce, except in the province of Quebec. The appellant, Roland Nikolaus Auer, challenges the </w:t>
      </w:r>
      <w:r w:rsidRPr="0070034E">
        <w:rPr>
          <w:rFonts w:eastAsia="Times New Roman" w:cs="Times New Roman"/>
          <w:i/>
          <w:szCs w:val="24"/>
        </w:rPr>
        <w:t xml:space="preserve">vires </w:t>
      </w:r>
      <w:r w:rsidRPr="0070034E">
        <w:rPr>
          <w:rFonts w:eastAsia="Times New Roman" w:cs="Times New Roman"/>
          <w:szCs w:val="24"/>
        </w:rPr>
        <w:t xml:space="preserve">of the </w:t>
      </w:r>
      <w:r w:rsidRPr="0070034E">
        <w:rPr>
          <w:rFonts w:eastAsia="Times New Roman" w:cs="Times New Roman"/>
          <w:i/>
          <w:szCs w:val="24"/>
        </w:rPr>
        <w:t>Child Support Guidelines</w:t>
      </w:r>
      <w:r w:rsidRPr="0070034E">
        <w:rPr>
          <w:rFonts w:eastAsia="Times New Roman" w:cs="Times New Roman"/>
          <w:szCs w:val="24"/>
        </w:rPr>
        <w:t xml:space="preserve">. This challenge requires our Court to determine whether the GIC acted within the scope of its delegated authority in establishing the </w:t>
      </w:r>
      <w:r w:rsidRPr="0070034E">
        <w:rPr>
          <w:rFonts w:eastAsia="Times New Roman" w:cs="Times New Roman"/>
          <w:i/>
          <w:szCs w:val="24"/>
        </w:rPr>
        <w:t>Child Support Guidelines</w:t>
      </w:r>
      <w:r w:rsidRPr="0070034E">
        <w:rPr>
          <w:rFonts w:eastAsia="Times New Roman" w:cs="Times New Roman"/>
          <w:szCs w:val="24"/>
        </w:rPr>
        <w:t>.</w:t>
      </w:r>
    </w:p>
    <w:p w14:paraId="0955359D"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To answer this question, our Court has to determine the standard of review that applies when reviewing the </w:t>
      </w:r>
      <w:r w:rsidRPr="0070034E">
        <w:rPr>
          <w:rFonts w:eastAsia="Times New Roman" w:cs="Times New Roman"/>
          <w:i/>
          <w:iCs/>
          <w:szCs w:val="24"/>
        </w:rPr>
        <w:t xml:space="preserve">vires </w:t>
      </w:r>
      <w:r w:rsidRPr="0070034E">
        <w:rPr>
          <w:rFonts w:eastAsia="Times New Roman" w:cs="Times New Roman"/>
          <w:szCs w:val="24"/>
        </w:rPr>
        <w:t xml:space="preserve">of subordinate legislation. Doing so requires the Court to resolve debates about the continued relevance of </w:t>
      </w:r>
      <w:r w:rsidRPr="0070034E">
        <w:rPr>
          <w:rFonts w:eastAsia="Times New Roman" w:cs="Times New Roman"/>
          <w:i/>
          <w:iCs/>
          <w:szCs w:val="24"/>
        </w:rPr>
        <w:t>Katz Group Canada Inc</w:t>
      </w:r>
      <w:r w:rsidRPr="0070034E">
        <w:rPr>
          <w:rFonts w:eastAsia="Times New Roman" w:cs="Times New Roman"/>
          <w:i/>
          <w:szCs w:val="24"/>
        </w:rPr>
        <w:t>.</w:t>
      </w:r>
      <w:r w:rsidRPr="0070034E">
        <w:rPr>
          <w:rFonts w:eastAsia="Times New Roman" w:cs="Times New Roman"/>
          <w:i/>
          <w:iCs/>
          <w:szCs w:val="24"/>
        </w:rPr>
        <w:t xml:space="preserve"> v. Ontario (Health and Long</w:t>
      </w:r>
      <w:r w:rsidRPr="0070034E">
        <w:rPr>
          <w:rFonts w:eastAsia="Times New Roman" w:cs="Times New Roman"/>
          <w:i/>
          <w:iCs/>
          <w:szCs w:val="24"/>
        </w:rPr>
        <w:noBreakHyphen/>
        <w:t>Term Care)</w:t>
      </w:r>
      <w:r w:rsidRPr="0070034E">
        <w:rPr>
          <w:rFonts w:eastAsia="Times New Roman" w:cs="Times New Roman"/>
          <w:szCs w:val="24"/>
        </w:rPr>
        <w:t>, 2013 SCC 64</w:t>
      </w:r>
      <w:r w:rsidRPr="0070034E">
        <w:rPr>
          <w:rFonts w:cs="Times New Roman"/>
          <w:szCs w:val="24"/>
        </w:rPr>
        <w:t>, [2013] 3 S.C.R. 810</w:t>
      </w:r>
      <w:r w:rsidRPr="0070034E">
        <w:rPr>
          <w:rFonts w:eastAsia="Times New Roman" w:cs="Times New Roman"/>
          <w:szCs w:val="24"/>
        </w:rPr>
        <w:t xml:space="preserve">, in light of our Court’s decision in </w:t>
      </w:r>
      <w:r w:rsidRPr="0070034E">
        <w:rPr>
          <w:rFonts w:eastAsia="Times New Roman" w:cs="Times New Roman"/>
          <w:i/>
          <w:iCs/>
          <w:szCs w:val="24"/>
        </w:rPr>
        <w:t>Canada (Minister of Citizenship and Immigration) v. Vavilov</w:t>
      </w:r>
      <w:r w:rsidRPr="0070034E">
        <w:rPr>
          <w:rFonts w:eastAsia="Times New Roman" w:cs="Times New Roman"/>
          <w:szCs w:val="24"/>
        </w:rPr>
        <w:t>, 2019 SCC 65</w:t>
      </w:r>
      <w:r w:rsidRPr="0070034E">
        <w:rPr>
          <w:rFonts w:cs="Times New Roman"/>
          <w:szCs w:val="24"/>
        </w:rPr>
        <w:t>, [2019] 4 S.C.R. 653</w:t>
      </w:r>
      <w:r w:rsidRPr="0070034E">
        <w:rPr>
          <w:rFonts w:eastAsia="Times New Roman" w:cs="Times New Roman"/>
          <w:szCs w:val="24"/>
        </w:rPr>
        <w:t>.</w:t>
      </w:r>
    </w:p>
    <w:p w14:paraId="24F67405"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I conclude that the reasonableness standard as set out in </w:t>
      </w:r>
      <w:r w:rsidRPr="0070034E">
        <w:rPr>
          <w:rFonts w:eastAsia="Times New Roman" w:cs="Times New Roman"/>
          <w:i/>
          <w:iCs/>
          <w:szCs w:val="24"/>
        </w:rPr>
        <w:t xml:space="preserve">Vavilov </w:t>
      </w:r>
      <w:r w:rsidRPr="0070034E">
        <w:rPr>
          <w:rFonts w:eastAsia="Times New Roman" w:cs="Times New Roman"/>
          <w:iCs/>
          <w:szCs w:val="24"/>
        </w:rPr>
        <w:t>presumptively</w:t>
      </w:r>
      <w:r w:rsidRPr="0070034E">
        <w:rPr>
          <w:rFonts w:eastAsia="Times New Roman" w:cs="Times New Roman"/>
          <w:i/>
          <w:iCs/>
          <w:szCs w:val="24"/>
        </w:rPr>
        <w:t xml:space="preserve"> </w:t>
      </w:r>
      <w:r w:rsidRPr="0070034E">
        <w:rPr>
          <w:rFonts w:eastAsia="Times New Roman" w:cs="Times New Roman"/>
          <w:szCs w:val="24"/>
        </w:rPr>
        <w:t xml:space="preserve">applies when reviewing the </w:t>
      </w:r>
      <w:r w:rsidRPr="0070034E">
        <w:rPr>
          <w:rFonts w:eastAsia="Times New Roman" w:cs="Times New Roman"/>
          <w:i/>
          <w:iCs/>
          <w:szCs w:val="24"/>
        </w:rPr>
        <w:t xml:space="preserve">vires </w:t>
      </w:r>
      <w:r w:rsidRPr="0070034E">
        <w:rPr>
          <w:rFonts w:eastAsia="Times New Roman" w:cs="Times New Roman"/>
          <w:szCs w:val="24"/>
        </w:rPr>
        <w:t xml:space="preserve">of subordinate legislation. I also conclude that some of the principles from </w:t>
      </w:r>
      <w:r w:rsidRPr="0070034E">
        <w:rPr>
          <w:rFonts w:eastAsia="Times New Roman" w:cs="Times New Roman"/>
          <w:i/>
          <w:iCs/>
          <w:szCs w:val="24"/>
        </w:rPr>
        <w:t xml:space="preserve">Katz Group </w:t>
      </w:r>
      <w:r w:rsidRPr="0070034E">
        <w:rPr>
          <w:rFonts w:eastAsia="Times New Roman" w:cs="Times New Roman"/>
          <w:szCs w:val="24"/>
        </w:rPr>
        <w:t xml:space="preserve">continue to inform such reasonableness review: (1) subordinate legislation must be consistent both with specific provisions of the enabling statute and with its overriding purpose or object; (2) subordinate legislation benefits from a presumption of validity; (3) the challenged subordinate legislation and the enabling statute should be interpreted using a broad and purposive approach to statutory interpretation; and (4) a </w:t>
      </w:r>
      <w:r w:rsidRPr="0070034E">
        <w:rPr>
          <w:rFonts w:eastAsia="Times New Roman" w:cs="Times New Roman"/>
          <w:i/>
          <w:iCs/>
          <w:szCs w:val="24"/>
        </w:rPr>
        <w:t>vires</w:t>
      </w:r>
      <w:r w:rsidRPr="0070034E">
        <w:rPr>
          <w:rFonts w:eastAsia="Times New Roman" w:cs="Times New Roman"/>
          <w:szCs w:val="24"/>
        </w:rPr>
        <w:t xml:space="preserve"> review does not involve assessing the policy merits of the subordinate legislation to determine whether it is necessary, wise, or effective in practice.</w:t>
      </w:r>
    </w:p>
    <w:p w14:paraId="1DCDAF32"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However, for subordinate legislation to be found </w:t>
      </w:r>
      <w:r w:rsidRPr="0070034E">
        <w:rPr>
          <w:rFonts w:eastAsia="Times New Roman" w:cs="Times New Roman"/>
          <w:i/>
          <w:iCs/>
          <w:szCs w:val="24"/>
        </w:rPr>
        <w:t xml:space="preserve">ultra vires </w:t>
      </w:r>
      <w:r w:rsidRPr="0070034E">
        <w:rPr>
          <w:rFonts w:eastAsia="Times New Roman" w:cs="Times New Roman"/>
          <w:szCs w:val="24"/>
        </w:rPr>
        <w:t xml:space="preserve">on the basis that it is inconsistent with the purpose of the enabling statute, it no longer needs to be “irrelevant”, “extraneous” or “completely unrelated” to that statutory purpose. Continuing to maintain this threshold from </w:t>
      </w:r>
      <w:r w:rsidRPr="0070034E">
        <w:rPr>
          <w:rFonts w:eastAsia="Times New Roman" w:cs="Times New Roman"/>
          <w:i/>
          <w:iCs/>
          <w:szCs w:val="24"/>
        </w:rPr>
        <w:t xml:space="preserve">Katz Group </w:t>
      </w:r>
      <w:r w:rsidRPr="0070034E">
        <w:rPr>
          <w:rFonts w:eastAsia="Times New Roman" w:cs="Times New Roman"/>
          <w:szCs w:val="24"/>
        </w:rPr>
        <w:t>would be inconsistent with the robust reasonableness review</w:t>
      </w:r>
      <w:r w:rsidRPr="0070034E">
        <w:rPr>
          <w:rFonts w:eastAsia="Times New Roman" w:cs="Times New Roman"/>
          <w:i/>
          <w:iCs/>
          <w:szCs w:val="24"/>
        </w:rPr>
        <w:t xml:space="preserve"> </w:t>
      </w:r>
      <w:r w:rsidRPr="0070034E">
        <w:rPr>
          <w:rFonts w:eastAsia="Times New Roman" w:cs="Times New Roman"/>
          <w:iCs/>
          <w:szCs w:val="24"/>
        </w:rPr>
        <w:t xml:space="preserve">detailed in </w:t>
      </w:r>
      <w:r w:rsidRPr="0070034E">
        <w:rPr>
          <w:rFonts w:eastAsia="Times New Roman" w:cs="Times New Roman"/>
          <w:i/>
          <w:iCs/>
          <w:szCs w:val="24"/>
        </w:rPr>
        <w:t xml:space="preserve">Vavilov </w:t>
      </w:r>
      <w:r w:rsidRPr="0070034E">
        <w:rPr>
          <w:rFonts w:eastAsia="Times New Roman" w:cs="Times New Roman"/>
          <w:szCs w:val="24"/>
        </w:rPr>
        <w:t xml:space="preserve">and would undermine </w:t>
      </w:r>
      <w:r w:rsidRPr="0070034E">
        <w:rPr>
          <w:rFonts w:eastAsia="Times New Roman" w:cs="Times New Roman"/>
          <w:i/>
          <w:iCs/>
          <w:szCs w:val="24"/>
        </w:rPr>
        <w:t>Vavilov</w:t>
      </w:r>
      <w:r w:rsidRPr="0070034E">
        <w:rPr>
          <w:rFonts w:eastAsia="Times New Roman" w:cs="Times New Roman"/>
          <w:szCs w:val="24"/>
        </w:rPr>
        <w:t>’s</w:t>
      </w:r>
      <w:r w:rsidRPr="0070034E">
        <w:rPr>
          <w:rFonts w:eastAsia="Times New Roman" w:cs="Times New Roman"/>
          <w:i/>
          <w:iCs/>
          <w:szCs w:val="24"/>
        </w:rPr>
        <w:t xml:space="preserve"> </w:t>
      </w:r>
      <w:r w:rsidRPr="0070034E">
        <w:rPr>
          <w:rFonts w:eastAsia="Times New Roman" w:cs="Times New Roman"/>
          <w:szCs w:val="24"/>
        </w:rPr>
        <w:t>promise of simplicity, predictability and coherence.</w:t>
      </w:r>
    </w:p>
    <w:p w14:paraId="76C6E0A9"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w:t>
      </w:r>
      <w:r w:rsidRPr="0070034E">
        <w:rPr>
          <w:rFonts w:eastAsia="Times New Roman" w:cs="Times New Roman"/>
          <w:i/>
          <w:iCs/>
          <w:szCs w:val="24"/>
        </w:rPr>
        <w:t xml:space="preserve">Child Support Guidelines </w:t>
      </w:r>
      <w:r w:rsidRPr="0070034E">
        <w:rPr>
          <w:rFonts w:eastAsia="Times New Roman" w:cs="Times New Roman"/>
          <w:szCs w:val="24"/>
        </w:rPr>
        <w:t xml:space="preserve">are </w:t>
      </w:r>
      <w:r w:rsidRPr="0070034E">
        <w:rPr>
          <w:rFonts w:eastAsia="Times New Roman" w:cs="Times New Roman"/>
          <w:i/>
          <w:iCs/>
          <w:szCs w:val="24"/>
        </w:rPr>
        <w:t xml:space="preserve">intra vires </w:t>
      </w:r>
      <w:r w:rsidRPr="0070034E">
        <w:rPr>
          <w:rFonts w:eastAsia="Times New Roman" w:cs="Times New Roman"/>
          <w:szCs w:val="24"/>
        </w:rPr>
        <w:t xml:space="preserve">the GIC. They fall within a reasonable interpretation of the scope of the GIC’s authority under s. 26.1 of the </w:t>
      </w:r>
      <w:r w:rsidRPr="0070034E">
        <w:rPr>
          <w:rFonts w:eastAsia="Times New Roman" w:cs="Times New Roman"/>
          <w:i/>
          <w:iCs/>
          <w:szCs w:val="24"/>
        </w:rPr>
        <w:t>Divorce Act</w:t>
      </w:r>
      <w:r w:rsidRPr="0070034E">
        <w:rPr>
          <w:rFonts w:eastAsia="Times New Roman" w:cs="Times New Roman"/>
          <w:iCs/>
          <w:szCs w:val="24"/>
        </w:rPr>
        <w:t xml:space="preserve">, </w:t>
      </w:r>
      <w:r w:rsidRPr="0070034E">
        <w:rPr>
          <w:rFonts w:eastAsia="Times New Roman" w:cs="Times New Roman"/>
          <w:szCs w:val="24"/>
        </w:rPr>
        <w:t xml:space="preserve">having regard to the relevant constraints. Section 26.1(1) of the </w:t>
      </w:r>
      <w:r w:rsidRPr="0070034E">
        <w:rPr>
          <w:rFonts w:eastAsia="Times New Roman" w:cs="Times New Roman"/>
          <w:i/>
          <w:iCs/>
          <w:szCs w:val="24"/>
        </w:rPr>
        <w:t xml:space="preserve">Divorce Act </w:t>
      </w:r>
      <w:r w:rsidRPr="0070034E">
        <w:rPr>
          <w:rFonts w:eastAsia="Times New Roman" w:cs="Times New Roman"/>
          <w:szCs w:val="24"/>
        </w:rPr>
        <w:t>grants</w:t>
      </w:r>
      <w:r w:rsidRPr="0070034E">
        <w:rPr>
          <w:rFonts w:eastAsia="Times New Roman" w:cs="Times New Roman"/>
          <w:i/>
          <w:iCs/>
          <w:szCs w:val="24"/>
        </w:rPr>
        <w:t xml:space="preserve"> </w:t>
      </w:r>
      <w:r w:rsidRPr="0070034E">
        <w:rPr>
          <w:rFonts w:eastAsia="Times New Roman" w:cs="Times New Roman"/>
          <w:szCs w:val="24"/>
        </w:rPr>
        <w:t xml:space="preserve">the GIC extremely broad authority to establish guidelines respecting child support. This authority is constrained by s. 26.1(2) of the </w:t>
      </w:r>
      <w:r w:rsidRPr="0070034E">
        <w:rPr>
          <w:rFonts w:eastAsia="Times New Roman" w:cs="Times New Roman"/>
          <w:i/>
          <w:iCs/>
          <w:szCs w:val="24"/>
        </w:rPr>
        <w:t>Divorce Act</w:t>
      </w:r>
      <w:r w:rsidRPr="0070034E">
        <w:rPr>
          <w:rFonts w:eastAsia="Times New Roman" w:cs="Times New Roman"/>
          <w:szCs w:val="24"/>
        </w:rPr>
        <w:t>,</w:t>
      </w:r>
      <w:r w:rsidRPr="0070034E">
        <w:rPr>
          <w:rFonts w:eastAsia="Times New Roman" w:cs="Times New Roman"/>
          <w:i/>
          <w:iCs/>
          <w:szCs w:val="24"/>
        </w:rPr>
        <w:t xml:space="preserve"> </w:t>
      </w:r>
      <w:r w:rsidRPr="0070034E">
        <w:rPr>
          <w:rFonts w:eastAsia="Times New Roman" w:cs="Times New Roman"/>
          <w:szCs w:val="24"/>
        </w:rPr>
        <w:t>which</w:t>
      </w:r>
      <w:r w:rsidRPr="0070034E">
        <w:rPr>
          <w:rFonts w:eastAsia="Times New Roman" w:cs="Times New Roman"/>
          <w:i/>
          <w:iCs/>
          <w:szCs w:val="24"/>
        </w:rPr>
        <w:t xml:space="preserve"> </w:t>
      </w:r>
      <w:r w:rsidRPr="0070034E">
        <w:rPr>
          <w:rFonts w:eastAsia="Times New Roman" w:cs="Times New Roman"/>
          <w:szCs w:val="24"/>
        </w:rPr>
        <w:t xml:space="preserve">requires that the guidelines be based on the principle that spouses have a joint financial obligation to maintain the children of the marriage in accordance with their relative abilities to contribute. The </w:t>
      </w:r>
      <w:r w:rsidRPr="0070034E">
        <w:rPr>
          <w:rFonts w:eastAsia="Times New Roman" w:cs="Times New Roman"/>
          <w:i/>
          <w:iCs/>
          <w:szCs w:val="24"/>
        </w:rPr>
        <w:t xml:space="preserve">Child Support Guidelines </w:t>
      </w:r>
      <w:r w:rsidRPr="0070034E">
        <w:rPr>
          <w:rFonts w:eastAsia="Times New Roman" w:cs="Times New Roman"/>
          <w:szCs w:val="24"/>
        </w:rPr>
        <w:t>respect this constraint.</w:t>
      </w:r>
    </w:p>
    <w:p w14:paraId="46A5A8E2"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Contrary to Mr. Auer’s submissions, in selecting an approach to calculating child support, the GIC was authorized to: (1) not take into account the recipient parent’s income; (2) assume that parents spend the same linear percentage of income on their children regardless of the parents’ levels of income and the children’s ages; (3) not take into account government child benefits paid to recipient parents; (4) not take into account direct spending on the child by the payer parent when that parent exercises less than 40 percent of annual parenting time; and (5) risk the double counting of certain special or extraordinary expenses. Each of these decisions falls squarely within the scope of the authority delegated to the GIC under the </w:t>
      </w:r>
      <w:r w:rsidRPr="0070034E">
        <w:rPr>
          <w:rFonts w:eastAsia="Times New Roman" w:cs="Times New Roman"/>
          <w:i/>
          <w:iCs/>
          <w:szCs w:val="24"/>
        </w:rPr>
        <w:t>Divorce Act</w:t>
      </w:r>
      <w:r w:rsidRPr="0070034E">
        <w:rPr>
          <w:rFonts w:eastAsia="Times New Roman" w:cs="Times New Roman"/>
          <w:iCs/>
          <w:szCs w:val="24"/>
        </w:rPr>
        <w:t>.</w:t>
      </w:r>
      <w:r w:rsidRPr="0070034E">
        <w:rPr>
          <w:rFonts w:eastAsia="Times New Roman" w:cs="Times New Roman"/>
          <w:i/>
          <w:iCs/>
          <w:szCs w:val="24"/>
        </w:rPr>
        <w:t xml:space="preserve"> </w:t>
      </w:r>
      <w:r w:rsidRPr="0070034E">
        <w:rPr>
          <w:rFonts w:eastAsia="Times New Roman" w:cs="Times New Roman"/>
          <w:szCs w:val="24"/>
        </w:rPr>
        <w:t>Accordingly, I would dismiss Mr. Auer’s appeal.</w:t>
      </w:r>
    </w:p>
    <w:p w14:paraId="5C4CB8BF" w14:textId="77777777" w:rsidR="00DB7512" w:rsidRPr="0070034E" w:rsidRDefault="00DB7512" w:rsidP="00DB7512">
      <w:pPr>
        <w:pStyle w:val="Title1LevelTitre1Niveau-AltL"/>
        <w:rPr>
          <w:rFonts w:cs="Times New Roman"/>
        </w:rPr>
      </w:pPr>
      <w:bookmarkStart w:id="5" w:name="_Toc172041725"/>
      <w:r w:rsidRPr="0070034E">
        <w:rPr>
          <w:rFonts w:cs="Times New Roman"/>
        </w:rPr>
        <w:t>Facts</w:t>
      </w:r>
      <w:bookmarkEnd w:id="5"/>
    </w:p>
    <w:p w14:paraId="06585EA4"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Roland Auer and the respondent Aysel Igorevna Auer were married in 2004. They had one child together in 2005 and divorced in 2008. Their child resides with Ms. Auer. Mr. Auer has paid both child and spousal support to Ms. Auer. Mr. Auer also has children from other marriages to whom he owes, or has owed, support.</w:t>
      </w:r>
    </w:p>
    <w:p w14:paraId="07337899"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Mr. Auer brought an application for judicial review challenging the </w:t>
      </w:r>
      <w:r w:rsidRPr="0070034E">
        <w:rPr>
          <w:rFonts w:eastAsia="Times New Roman" w:cs="Times New Roman"/>
          <w:i/>
          <w:iCs/>
          <w:szCs w:val="24"/>
        </w:rPr>
        <w:t xml:space="preserve">vires </w:t>
      </w:r>
      <w:r w:rsidRPr="0070034E">
        <w:rPr>
          <w:rFonts w:eastAsia="Times New Roman" w:cs="Times New Roman"/>
          <w:szCs w:val="24"/>
        </w:rPr>
        <w:t xml:space="preserve">of the </w:t>
      </w:r>
      <w:r w:rsidRPr="0070034E">
        <w:rPr>
          <w:rFonts w:eastAsia="Times New Roman" w:cs="Times New Roman"/>
          <w:i/>
          <w:iCs/>
          <w:szCs w:val="24"/>
        </w:rPr>
        <w:t>Child Support Guidelines</w:t>
      </w:r>
      <w:r w:rsidRPr="0070034E">
        <w:rPr>
          <w:rFonts w:eastAsia="Times New Roman" w:cs="Times New Roman"/>
          <w:szCs w:val="24"/>
        </w:rPr>
        <w:t xml:space="preserve">. He argued that the GIC exceeded its authority under s. 26.1(1) and (2) of the </w:t>
      </w:r>
      <w:r w:rsidRPr="0070034E">
        <w:rPr>
          <w:rFonts w:eastAsia="Times New Roman" w:cs="Times New Roman"/>
          <w:i/>
          <w:iCs/>
          <w:szCs w:val="24"/>
        </w:rPr>
        <w:t>Divorce Act</w:t>
      </w:r>
      <w:r w:rsidRPr="0070034E">
        <w:rPr>
          <w:rFonts w:eastAsia="Times New Roman" w:cs="Times New Roman"/>
          <w:szCs w:val="24"/>
        </w:rPr>
        <w:t xml:space="preserve"> when enacting the </w:t>
      </w:r>
      <w:r w:rsidRPr="0070034E">
        <w:rPr>
          <w:rFonts w:eastAsia="Times New Roman" w:cs="Times New Roman"/>
          <w:i/>
          <w:iCs/>
          <w:szCs w:val="24"/>
        </w:rPr>
        <w:t xml:space="preserve">Child Support Guidelines </w:t>
      </w:r>
      <w:r w:rsidRPr="0070034E">
        <w:rPr>
          <w:rFonts w:eastAsia="Times New Roman" w:cs="Times New Roman"/>
          <w:szCs w:val="24"/>
        </w:rPr>
        <w:t>because they require a payer parent to pay a greater share of the child</w:t>
      </w:r>
      <w:r w:rsidRPr="0070034E">
        <w:rPr>
          <w:rFonts w:eastAsia="Times New Roman" w:cs="Times New Roman"/>
          <w:szCs w:val="24"/>
        </w:rPr>
        <w:noBreakHyphen/>
        <w:t>related costs than the recipient parent. Ms. Auer did not participate in the application before the Court of Queen’s Bench of Alberta, and the Attorney General of Canada was granted leave to intervene with broad rights, such that he is now a respondent in this matter.</w:t>
      </w:r>
    </w:p>
    <w:p w14:paraId="5CA62FD7"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Mr. Auer and Ms. Auer have ongoing applications before the Court of King’s Bench of Alberta concerning child and spousal support issues. Those applications have been heard and are subject to the outcome of this appeal.</w:t>
      </w:r>
    </w:p>
    <w:p w14:paraId="6E863607" w14:textId="77777777" w:rsidR="00DB7512" w:rsidRPr="0070034E" w:rsidRDefault="00DB7512" w:rsidP="00DB7512">
      <w:pPr>
        <w:pStyle w:val="Title1LevelTitre1Niveau-AltL"/>
        <w:rPr>
          <w:rFonts w:cs="Times New Roman"/>
        </w:rPr>
      </w:pPr>
      <w:bookmarkStart w:id="6" w:name="_Toc172041726"/>
      <w:r w:rsidRPr="0070034E">
        <w:rPr>
          <w:rFonts w:cs="Times New Roman"/>
        </w:rPr>
        <w:t>Judicial History</w:t>
      </w:r>
      <w:bookmarkEnd w:id="6"/>
    </w:p>
    <w:p w14:paraId="2DD38C1A" w14:textId="77777777" w:rsidR="00DB7512" w:rsidRPr="0070034E" w:rsidRDefault="00DB7512" w:rsidP="00DB7512">
      <w:pPr>
        <w:pStyle w:val="Title2LevelTitre2Niveau"/>
        <w:rPr>
          <w:rFonts w:cs="Times New Roman"/>
          <w:i w:val="0"/>
        </w:rPr>
      </w:pPr>
      <w:bookmarkStart w:id="7" w:name="_Toc172041727"/>
      <w:r w:rsidRPr="0070034E">
        <w:rPr>
          <w:rFonts w:cs="Times New Roman"/>
        </w:rPr>
        <w:t>Court of Queen’s Bench of Alberta</w:t>
      </w:r>
      <w:bookmarkEnd w:id="7"/>
      <w:r w:rsidRPr="0070034E">
        <w:rPr>
          <w:rFonts w:cs="Times New Roman"/>
          <w:noProof/>
          <w:szCs w:val="24"/>
        </w:rPr>
        <w:t>, 2021 ABQB 370, 32 Alta. L.R. (7th) 250</w:t>
      </w:r>
    </w:p>
    <w:p w14:paraId="27B2881B"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chambers judge dismissed Mr. Auer’s application for judicial review. He held that, following </w:t>
      </w:r>
      <w:r w:rsidRPr="0070034E">
        <w:rPr>
          <w:rFonts w:eastAsia="Times New Roman" w:cs="Times New Roman"/>
          <w:i/>
          <w:iCs/>
          <w:szCs w:val="24"/>
        </w:rPr>
        <w:t>Vavilov</w:t>
      </w:r>
      <w:r w:rsidRPr="0070034E">
        <w:rPr>
          <w:rFonts w:eastAsia="Times New Roman" w:cs="Times New Roman"/>
          <w:iCs/>
          <w:szCs w:val="24"/>
        </w:rPr>
        <w:t>,</w:t>
      </w:r>
      <w:r w:rsidRPr="0070034E">
        <w:rPr>
          <w:rFonts w:eastAsia="Times New Roman" w:cs="Times New Roman"/>
          <w:szCs w:val="24"/>
        </w:rPr>
        <w:t xml:space="preserve"> the presumptive standard of review for assessing the </w:t>
      </w:r>
      <w:r w:rsidRPr="0070034E">
        <w:rPr>
          <w:rFonts w:eastAsia="Times New Roman" w:cs="Times New Roman"/>
          <w:i/>
          <w:iCs/>
          <w:szCs w:val="24"/>
        </w:rPr>
        <w:t xml:space="preserve">vires </w:t>
      </w:r>
      <w:r w:rsidRPr="0070034E">
        <w:rPr>
          <w:rFonts w:eastAsia="Times New Roman" w:cs="Times New Roman"/>
          <w:szCs w:val="24"/>
        </w:rPr>
        <w:t xml:space="preserve">of subordinate legislation is reasonableness, but that reasonableness review should be informed by the principles outlined in </w:t>
      </w:r>
      <w:r w:rsidRPr="0070034E">
        <w:rPr>
          <w:rFonts w:eastAsia="Times New Roman" w:cs="Times New Roman"/>
          <w:i/>
          <w:iCs/>
          <w:szCs w:val="24"/>
        </w:rPr>
        <w:t>Katz Group</w:t>
      </w:r>
      <w:r w:rsidRPr="0070034E">
        <w:rPr>
          <w:rFonts w:eastAsia="Times New Roman" w:cs="Times New Roman"/>
          <w:szCs w:val="24"/>
        </w:rPr>
        <w:t>.</w:t>
      </w:r>
    </w:p>
    <w:p w14:paraId="071C324D"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chambers judge held that s. 26.1(1) of the </w:t>
      </w:r>
      <w:r w:rsidRPr="0070034E">
        <w:rPr>
          <w:rFonts w:eastAsia="Times New Roman" w:cs="Times New Roman"/>
          <w:i/>
          <w:iCs/>
          <w:szCs w:val="24"/>
        </w:rPr>
        <w:t>Divorce Act</w:t>
      </w:r>
      <w:r w:rsidRPr="0070034E">
        <w:rPr>
          <w:rFonts w:eastAsia="Times New Roman" w:cs="Times New Roman"/>
          <w:szCs w:val="24"/>
        </w:rPr>
        <w:t xml:space="preserve">, which authorizes the GIC to establish guidelines respecting orders for child support, confers the GIC an “extremely broad grant of authority”, and that the </w:t>
      </w:r>
      <w:r w:rsidRPr="0070034E">
        <w:rPr>
          <w:rFonts w:eastAsia="Times New Roman" w:cs="Times New Roman"/>
          <w:i/>
          <w:szCs w:val="24"/>
        </w:rPr>
        <w:t>Child Support Guidelines</w:t>
      </w:r>
      <w:r w:rsidRPr="0070034E">
        <w:rPr>
          <w:rFonts w:eastAsia="Times New Roman" w:cs="Times New Roman"/>
          <w:szCs w:val="24"/>
        </w:rPr>
        <w:t>’ provisions were not irrelevant, extraneous or unrelated to the purpose of child support (para. 52; see also paras. 76 and 78).</w:t>
      </w:r>
    </w:p>
    <w:p w14:paraId="5FC27A2E"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Mr. Auer argued that the </w:t>
      </w:r>
      <w:r w:rsidRPr="0070034E">
        <w:rPr>
          <w:rFonts w:eastAsia="Times New Roman" w:cs="Times New Roman"/>
          <w:i/>
          <w:iCs/>
          <w:szCs w:val="24"/>
        </w:rPr>
        <w:t xml:space="preserve">Child Support Guidelines </w:t>
      </w:r>
      <w:r w:rsidRPr="0070034E">
        <w:rPr>
          <w:rFonts w:eastAsia="Times New Roman" w:cs="Times New Roman"/>
          <w:szCs w:val="24"/>
        </w:rPr>
        <w:t xml:space="preserve">are </w:t>
      </w:r>
      <w:r w:rsidRPr="0070034E">
        <w:rPr>
          <w:rFonts w:eastAsia="Times New Roman" w:cs="Times New Roman"/>
          <w:i/>
          <w:iCs/>
          <w:szCs w:val="24"/>
        </w:rPr>
        <w:t xml:space="preserve">ultra vires </w:t>
      </w:r>
      <w:r w:rsidRPr="0070034E">
        <w:rPr>
          <w:rFonts w:eastAsia="Times New Roman" w:cs="Times New Roman"/>
          <w:szCs w:val="24"/>
        </w:rPr>
        <w:t>because they require the payer parent to pay a greater share of the child</w:t>
      </w:r>
      <w:r w:rsidRPr="0070034E">
        <w:rPr>
          <w:rFonts w:eastAsia="Times New Roman" w:cs="Times New Roman"/>
          <w:szCs w:val="24"/>
        </w:rPr>
        <w:noBreakHyphen/>
        <w:t xml:space="preserve">related costs than the recipient parent. He relied heavily on s. 26.1(2) of the </w:t>
      </w:r>
      <w:r w:rsidRPr="0070034E">
        <w:rPr>
          <w:rFonts w:eastAsia="Times New Roman" w:cs="Times New Roman"/>
          <w:i/>
          <w:iCs/>
          <w:szCs w:val="24"/>
        </w:rPr>
        <w:t>Divorce Act</w:t>
      </w:r>
      <w:r w:rsidRPr="0070034E">
        <w:rPr>
          <w:rFonts w:eastAsia="Times New Roman" w:cs="Times New Roman"/>
          <w:szCs w:val="24"/>
        </w:rPr>
        <w:t>, which he said imposes a specific constraint on the GIC’s regulation</w:t>
      </w:r>
      <w:r w:rsidRPr="0070034E">
        <w:rPr>
          <w:rFonts w:eastAsia="Times New Roman" w:cs="Times New Roman"/>
          <w:szCs w:val="24"/>
        </w:rPr>
        <w:noBreakHyphen/>
        <w:t xml:space="preserve">making authority. Section 26.1(2) provides that the </w:t>
      </w:r>
      <w:r w:rsidRPr="0070034E">
        <w:rPr>
          <w:rFonts w:eastAsia="Times New Roman" w:cs="Times New Roman"/>
          <w:i/>
          <w:iCs/>
          <w:szCs w:val="24"/>
        </w:rPr>
        <w:t>Child Support Guidelines</w:t>
      </w:r>
      <w:r w:rsidRPr="0070034E">
        <w:rPr>
          <w:rFonts w:eastAsia="Times New Roman" w:cs="Times New Roman"/>
          <w:iCs/>
          <w:szCs w:val="24"/>
        </w:rPr>
        <w:t xml:space="preserve"> “</w:t>
      </w:r>
      <w:r w:rsidRPr="0070034E">
        <w:rPr>
          <w:rFonts w:eastAsia="Times New Roman" w:cs="Times New Roman"/>
          <w:szCs w:val="24"/>
        </w:rPr>
        <w:t xml:space="preserve">shall be based on the principle that spouses have a joint financial obligation to maintain the children of the marriage in accordance with their relative abilities to contribute to the performance of that obligation”. Mr. Auer argued that specific aspects of the </w:t>
      </w:r>
      <w:r w:rsidRPr="0070034E">
        <w:rPr>
          <w:rFonts w:eastAsia="Times New Roman" w:cs="Times New Roman"/>
          <w:i/>
          <w:iCs/>
          <w:szCs w:val="24"/>
        </w:rPr>
        <w:t xml:space="preserve">Child Support Guidelines </w:t>
      </w:r>
      <w:r w:rsidRPr="0070034E">
        <w:rPr>
          <w:rFonts w:eastAsia="Times New Roman" w:cs="Times New Roman"/>
          <w:szCs w:val="24"/>
        </w:rPr>
        <w:t xml:space="preserve">violate the constraint imposed in s. 26.1(2) of the </w:t>
      </w:r>
      <w:r w:rsidRPr="0070034E">
        <w:rPr>
          <w:rFonts w:eastAsia="Times New Roman" w:cs="Times New Roman"/>
          <w:i/>
          <w:szCs w:val="24"/>
        </w:rPr>
        <w:t>Divorce Act</w:t>
      </w:r>
      <w:r w:rsidRPr="0070034E">
        <w:rPr>
          <w:rFonts w:eastAsia="Times New Roman" w:cs="Times New Roman"/>
          <w:szCs w:val="24"/>
        </w:rPr>
        <w:t xml:space="preserve"> by requiring the payer parent to bear a greater share of the child</w:t>
      </w:r>
      <w:r w:rsidRPr="0070034E">
        <w:rPr>
          <w:rFonts w:eastAsia="Times New Roman" w:cs="Times New Roman"/>
          <w:szCs w:val="24"/>
        </w:rPr>
        <w:noBreakHyphen/>
        <w:t xml:space="preserve">related costs than the recipient parent. These aspects include the presumption that both parents earn the same income, a court’s authority to award special or extraordinary expenses under s. 7 of the </w:t>
      </w:r>
      <w:r w:rsidRPr="0070034E">
        <w:rPr>
          <w:rFonts w:eastAsia="Times New Roman" w:cs="Times New Roman"/>
          <w:i/>
          <w:szCs w:val="24"/>
        </w:rPr>
        <w:t>Child Support Guidelines</w:t>
      </w:r>
      <w:r w:rsidRPr="0070034E">
        <w:rPr>
          <w:rFonts w:eastAsia="Times New Roman" w:cs="Times New Roman"/>
          <w:szCs w:val="24"/>
        </w:rPr>
        <w:t xml:space="preserve"> and the decision not to include child tax benefits as part of the recipient parent’s income.</w:t>
      </w:r>
    </w:p>
    <w:p w14:paraId="42D6181E"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chambers judge accepted that s. 26.1(2) “informs, and to a degree, constrains” the GIC’s grant of authority, but held that this constraint must be weighed against the GIC’s extremely broad grant of authority under s. 26.1(1) (para. 52). In his view, most of the issues Mr. Auer raised fell outside of a </w:t>
      </w:r>
      <w:r w:rsidRPr="0070034E">
        <w:rPr>
          <w:rFonts w:eastAsia="Times New Roman" w:cs="Times New Roman"/>
          <w:i/>
          <w:iCs/>
          <w:szCs w:val="24"/>
        </w:rPr>
        <w:t xml:space="preserve">vires </w:t>
      </w:r>
      <w:r w:rsidRPr="0070034E">
        <w:rPr>
          <w:rFonts w:eastAsia="Times New Roman" w:cs="Times New Roman"/>
          <w:szCs w:val="24"/>
        </w:rPr>
        <w:t xml:space="preserve">review because they sought to impugn the GIC’s policy decisions and ignored the GIC’s broad discretion under the </w:t>
      </w:r>
      <w:r w:rsidRPr="0070034E">
        <w:rPr>
          <w:rFonts w:eastAsia="Times New Roman" w:cs="Times New Roman"/>
          <w:i/>
          <w:iCs/>
          <w:szCs w:val="24"/>
        </w:rPr>
        <w:t>Divorce Act</w:t>
      </w:r>
      <w:r w:rsidRPr="0070034E">
        <w:rPr>
          <w:rFonts w:eastAsia="Times New Roman" w:cs="Times New Roman"/>
          <w:iCs/>
          <w:szCs w:val="24"/>
        </w:rPr>
        <w:t>.</w:t>
      </w:r>
      <w:r w:rsidRPr="0070034E">
        <w:rPr>
          <w:rFonts w:eastAsia="Times New Roman" w:cs="Times New Roman"/>
          <w:szCs w:val="24"/>
        </w:rPr>
        <w:t xml:space="preserve"> The chambers judge ultimately concluded that the </w:t>
      </w:r>
      <w:r w:rsidRPr="0070034E">
        <w:rPr>
          <w:rFonts w:eastAsia="Times New Roman" w:cs="Times New Roman"/>
          <w:i/>
          <w:iCs/>
          <w:szCs w:val="24"/>
        </w:rPr>
        <w:t>Child Support Guidelines</w:t>
      </w:r>
      <w:r w:rsidRPr="0070034E">
        <w:rPr>
          <w:rFonts w:eastAsia="Times New Roman" w:cs="Times New Roman"/>
          <w:szCs w:val="24"/>
        </w:rPr>
        <w:t xml:space="preserve"> are </w:t>
      </w:r>
      <w:r w:rsidRPr="0070034E">
        <w:rPr>
          <w:rFonts w:eastAsia="Times New Roman" w:cs="Times New Roman"/>
          <w:i/>
          <w:iCs/>
          <w:szCs w:val="24"/>
        </w:rPr>
        <w:t>intra vires</w:t>
      </w:r>
      <w:r w:rsidRPr="0070034E">
        <w:rPr>
          <w:rFonts w:eastAsia="Times New Roman" w:cs="Times New Roman"/>
          <w:szCs w:val="24"/>
        </w:rPr>
        <w:t>.</w:t>
      </w:r>
    </w:p>
    <w:p w14:paraId="2A6815D6" w14:textId="77777777" w:rsidR="00DB7512" w:rsidRPr="0070034E" w:rsidRDefault="00DB7512" w:rsidP="00DB7512">
      <w:pPr>
        <w:pStyle w:val="Title2LevelTitre2Niveau"/>
        <w:rPr>
          <w:rFonts w:cs="Times New Roman"/>
          <w:i w:val="0"/>
        </w:rPr>
      </w:pPr>
      <w:bookmarkStart w:id="8" w:name="_Toc172041728"/>
      <w:r w:rsidRPr="0070034E">
        <w:rPr>
          <w:rFonts w:cs="Times New Roman"/>
        </w:rPr>
        <w:t>Court of Appeal of Alberta</w:t>
      </w:r>
      <w:bookmarkEnd w:id="8"/>
      <w:r w:rsidRPr="0070034E">
        <w:rPr>
          <w:rFonts w:cs="Times New Roman"/>
          <w:noProof/>
          <w:szCs w:val="24"/>
          <w:lang w:val="en-US"/>
        </w:rPr>
        <w:t>, 2022 ABCA 375, 52 Alta. L.R. (7th) 8</w:t>
      </w:r>
    </w:p>
    <w:p w14:paraId="761A6B89"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Court of Appeal unanimously dismissed Mr. Auer’s appeal. However, the court was divided on the standard of review applicable to a review of the </w:t>
      </w:r>
      <w:r w:rsidRPr="0070034E">
        <w:rPr>
          <w:rFonts w:eastAsia="Times New Roman" w:cs="Times New Roman"/>
          <w:i/>
          <w:iCs/>
          <w:szCs w:val="24"/>
        </w:rPr>
        <w:t xml:space="preserve">vires </w:t>
      </w:r>
      <w:r w:rsidRPr="0070034E">
        <w:rPr>
          <w:rFonts w:eastAsia="Times New Roman" w:cs="Times New Roman"/>
          <w:szCs w:val="24"/>
        </w:rPr>
        <w:t>of subordinate legislation.</w:t>
      </w:r>
    </w:p>
    <w:p w14:paraId="6E9C5AD5"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Writing for the majority, Pentelechuk J.A. held that </w:t>
      </w:r>
      <w:r w:rsidRPr="0070034E">
        <w:rPr>
          <w:rFonts w:eastAsia="Times New Roman" w:cs="Times New Roman"/>
          <w:i/>
          <w:iCs/>
          <w:szCs w:val="24"/>
        </w:rPr>
        <w:t xml:space="preserve">Vavilov </w:t>
      </w:r>
      <w:r w:rsidRPr="0070034E">
        <w:rPr>
          <w:rFonts w:eastAsia="Times New Roman" w:cs="Times New Roman"/>
          <w:szCs w:val="24"/>
        </w:rPr>
        <w:t xml:space="preserve">did not overtake </w:t>
      </w:r>
      <w:r w:rsidRPr="0070034E">
        <w:rPr>
          <w:rFonts w:eastAsia="Times New Roman" w:cs="Times New Roman"/>
          <w:i/>
          <w:iCs/>
          <w:szCs w:val="24"/>
        </w:rPr>
        <w:t>Katz Group</w:t>
      </w:r>
      <w:r w:rsidRPr="0070034E">
        <w:rPr>
          <w:rFonts w:eastAsia="Times New Roman" w:cs="Times New Roman"/>
          <w:iCs/>
          <w:szCs w:val="24"/>
        </w:rPr>
        <w:t>.</w:t>
      </w:r>
      <w:r w:rsidRPr="0070034E">
        <w:rPr>
          <w:rFonts w:eastAsia="Times New Roman" w:cs="Times New Roman"/>
          <w:i/>
          <w:iCs/>
          <w:szCs w:val="24"/>
        </w:rPr>
        <w:t xml:space="preserve"> </w:t>
      </w:r>
      <w:r w:rsidRPr="0070034E">
        <w:rPr>
          <w:rFonts w:eastAsia="Times New Roman" w:cs="Times New Roman"/>
          <w:szCs w:val="24"/>
        </w:rPr>
        <w:t xml:space="preserve">In her view, to be </w:t>
      </w:r>
      <w:r w:rsidRPr="0070034E">
        <w:rPr>
          <w:rFonts w:eastAsia="Times New Roman" w:cs="Times New Roman"/>
          <w:i/>
          <w:iCs/>
          <w:szCs w:val="24"/>
        </w:rPr>
        <w:t xml:space="preserve">ultra vires </w:t>
      </w:r>
      <w:r w:rsidRPr="0070034E">
        <w:rPr>
          <w:rFonts w:eastAsia="Times New Roman" w:cs="Times New Roman"/>
          <w:szCs w:val="24"/>
        </w:rPr>
        <w:t>for being inconsistent with the purpose of the enabling statute, “true regulations” (para. 34), such as those established by the GIC, which create law through the exercise of a legislative function, must be “irrelevant”, “extraneous” or “completely unrelated” to that purpose (</w:t>
      </w:r>
      <w:r w:rsidRPr="0070034E">
        <w:rPr>
          <w:rFonts w:eastAsia="Times New Roman" w:cs="Times New Roman"/>
          <w:i/>
          <w:iCs/>
          <w:szCs w:val="24"/>
        </w:rPr>
        <w:t>Katz Group</w:t>
      </w:r>
      <w:r w:rsidRPr="0070034E">
        <w:rPr>
          <w:rFonts w:eastAsia="Times New Roman" w:cs="Times New Roman"/>
          <w:szCs w:val="24"/>
        </w:rPr>
        <w:t>, at para. 28). However, the reasonableness standard applies when reviewing “bylaws, rules, and regulations made by administrative tribunals or municipal governments” (C.A. reasons, at para. 34; see also para. 20).</w:t>
      </w:r>
    </w:p>
    <w:p w14:paraId="7F558527"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Like the chambers judge, Pentelechuk J.A. concluded that the </w:t>
      </w:r>
      <w:r w:rsidRPr="0070034E">
        <w:rPr>
          <w:rFonts w:eastAsia="Times New Roman" w:cs="Times New Roman"/>
          <w:i/>
          <w:iCs/>
          <w:szCs w:val="24"/>
        </w:rPr>
        <w:t xml:space="preserve">Child Support Guidelines </w:t>
      </w:r>
      <w:r w:rsidRPr="0070034E">
        <w:rPr>
          <w:rFonts w:eastAsia="Times New Roman" w:cs="Times New Roman"/>
          <w:szCs w:val="24"/>
        </w:rPr>
        <w:t xml:space="preserve">are not “irrelevant”, “extraneous” or “completely unrelated” to the </w:t>
      </w:r>
      <w:r w:rsidRPr="0070034E">
        <w:rPr>
          <w:rFonts w:eastAsia="Times New Roman" w:cs="Times New Roman"/>
          <w:i/>
          <w:iCs/>
          <w:szCs w:val="24"/>
        </w:rPr>
        <w:t>Divorce Act</w:t>
      </w:r>
      <w:r w:rsidRPr="0070034E">
        <w:rPr>
          <w:rFonts w:eastAsia="Times New Roman" w:cs="Times New Roman"/>
          <w:szCs w:val="24"/>
        </w:rPr>
        <w:t>’s purpose. She noted that “[w]</w:t>
      </w:r>
      <w:proofErr w:type="spellStart"/>
      <w:r w:rsidRPr="0070034E">
        <w:rPr>
          <w:rFonts w:eastAsia="Times New Roman" w:cs="Times New Roman"/>
          <w:szCs w:val="24"/>
        </w:rPr>
        <w:t>hile</w:t>
      </w:r>
      <w:proofErr w:type="spellEnd"/>
      <w:r w:rsidRPr="0070034E">
        <w:rPr>
          <w:rFonts w:eastAsia="Times New Roman" w:cs="Times New Roman"/>
          <w:szCs w:val="24"/>
        </w:rPr>
        <w:t xml:space="preserve"> the </w:t>
      </w:r>
      <w:r w:rsidRPr="0070034E">
        <w:rPr>
          <w:rFonts w:eastAsia="Times New Roman" w:cs="Times New Roman"/>
          <w:i/>
          <w:iCs/>
          <w:szCs w:val="24"/>
        </w:rPr>
        <w:t>Guidelines</w:t>
      </w:r>
      <w:r w:rsidRPr="0070034E">
        <w:rPr>
          <w:rFonts w:eastAsia="Times New Roman" w:cs="Times New Roman"/>
          <w:szCs w:val="24"/>
        </w:rPr>
        <w:t xml:space="preserve"> may not be perfect, time has demonstrated that they have achieved the stated intent of predictability and ease of use” (para. 113). She found that the chambers judge’s analysis was thorough and properly alive to the limitations of reviewing subordinate legislation and to the fact that Mr. Auer’s arguments were inextricably woven with policy disputes. Thus, she dismissed Mr. Auer’s appeal.</w:t>
      </w:r>
    </w:p>
    <w:p w14:paraId="0EE2190A" w14:textId="77777777" w:rsidR="00DB7512" w:rsidRPr="0070034E" w:rsidRDefault="00DB7512" w:rsidP="00DB7512">
      <w:pPr>
        <w:pStyle w:val="ParaNoNdepar-AltN"/>
        <w:rPr>
          <w:rFonts w:cs="Times New Roman"/>
        </w:rPr>
      </w:pPr>
      <w:r w:rsidRPr="0070034E">
        <w:rPr>
          <w:rFonts w:eastAsia="Times New Roman" w:cs="Times New Roman"/>
          <w:szCs w:val="24"/>
        </w:rPr>
        <w:t xml:space="preserve">Justice Feehan concurred in the result but held that the reasonableness standard under the </w:t>
      </w:r>
      <w:r w:rsidRPr="0070034E">
        <w:rPr>
          <w:rFonts w:eastAsia="Times New Roman" w:cs="Times New Roman"/>
          <w:i/>
          <w:iCs/>
          <w:szCs w:val="24"/>
        </w:rPr>
        <w:t>Vavilov</w:t>
      </w:r>
      <w:r w:rsidRPr="0070034E">
        <w:rPr>
          <w:rFonts w:eastAsia="Times New Roman" w:cs="Times New Roman"/>
          <w:iCs/>
          <w:szCs w:val="24"/>
        </w:rPr>
        <w:t xml:space="preserve"> framework </w:t>
      </w:r>
      <w:r w:rsidRPr="0070034E">
        <w:rPr>
          <w:rFonts w:eastAsia="Times New Roman" w:cs="Times New Roman"/>
          <w:szCs w:val="24"/>
        </w:rPr>
        <w:t xml:space="preserve">applies when reviewing the </w:t>
      </w:r>
      <w:r w:rsidRPr="0070034E">
        <w:rPr>
          <w:rFonts w:eastAsia="Times New Roman" w:cs="Times New Roman"/>
          <w:i/>
          <w:iCs/>
          <w:szCs w:val="24"/>
        </w:rPr>
        <w:t>vires</w:t>
      </w:r>
      <w:r w:rsidRPr="0070034E">
        <w:rPr>
          <w:rFonts w:eastAsia="Times New Roman" w:cs="Times New Roman"/>
          <w:szCs w:val="24"/>
        </w:rPr>
        <w:t xml:space="preserve"> of the </w:t>
      </w:r>
      <w:r w:rsidRPr="0070034E">
        <w:rPr>
          <w:rFonts w:eastAsia="Times New Roman" w:cs="Times New Roman"/>
          <w:i/>
          <w:iCs/>
          <w:szCs w:val="24"/>
        </w:rPr>
        <w:t xml:space="preserve">Child Support Guidelines. </w:t>
      </w:r>
      <w:r w:rsidRPr="0070034E">
        <w:rPr>
          <w:rFonts w:eastAsia="Times New Roman" w:cs="Times New Roman"/>
          <w:szCs w:val="24"/>
        </w:rPr>
        <w:t xml:space="preserve">In his view, the criteria set out in </w:t>
      </w:r>
      <w:r w:rsidRPr="0070034E">
        <w:rPr>
          <w:rFonts w:eastAsia="Times New Roman" w:cs="Times New Roman"/>
          <w:i/>
          <w:iCs/>
          <w:szCs w:val="24"/>
        </w:rPr>
        <w:t xml:space="preserve">Katz Group </w:t>
      </w:r>
      <w:r w:rsidRPr="0070034E">
        <w:rPr>
          <w:rFonts w:eastAsia="Times New Roman" w:cs="Times New Roman"/>
          <w:szCs w:val="24"/>
        </w:rPr>
        <w:t>inform reasonableness review.</w:t>
      </w:r>
    </w:p>
    <w:p w14:paraId="12E74F74" w14:textId="77777777" w:rsidR="00DB7512" w:rsidRPr="0070034E" w:rsidRDefault="00DB7512" w:rsidP="00DB7512">
      <w:pPr>
        <w:pStyle w:val="Title1LevelTitre1Niveau-AltL"/>
        <w:rPr>
          <w:rFonts w:cs="Times New Roman"/>
        </w:rPr>
      </w:pPr>
      <w:bookmarkStart w:id="9" w:name="_Toc172041729"/>
      <w:r w:rsidRPr="0070034E">
        <w:rPr>
          <w:rFonts w:cs="Times New Roman"/>
        </w:rPr>
        <w:t>Issues</w:t>
      </w:r>
      <w:bookmarkEnd w:id="9"/>
    </w:p>
    <w:p w14:paraId="4EDFDF2B" w14:textId="77777777" w:rsidR="00DB7512" w:rsidRPr="0070034E" w:rsidRDefault="00DB7512" w:rsidP="00DB7512">
      <w:pPr>
        <w:pStyle w:val="ParaNoNdepar-AltN"/>
        <w:rPr>
          <w:rFonts w:cs="Times New Roman"/>
        </w:rPr>
      </w:pPr>
      <w:r w:rsidRPr="0070034E">
        <w:rPr>
          <w:rFonts w:cs="Times New Roman"/>
        </w:rPr>
        <w:t>The issues on appeal are as follows:</w:t>
      </w:r>
    </w:p>
    <w:p w14:paraId="7D816024" w14:textId="77777777" w:rsidR="00DB7512" w:rsidRPr="0070034E" w:rsidRDefault="00DB7512" w:rsidP="00DB7512">
      <w:pPr>
        <w:pStyle w:val="ParaNoNdepar-AltN"/>
        <w:numPr>
          <w:ilvl w:val="6"/>
          <w:numId w:val="1"/>
        </w:numPr>
        <w:ind w:left="1526"/>
        <w:rPr>
          <w:rFonts w:eastAsia="Times New Roman" w:cs="Times New Roman"/>
          <w:szCs w:val="24"/>
        </w:rPr>
      </w:pPr>
      <w:r w:rsidRPr="0070034E">
        <w:rPr>
          <w:rFonts w:eastAsia="Times New Roman" w:cs="Times New Roman"/>
          <w:szCs w:val="24"/>
        </w:rPr>
        <w:t xml:space="preserve">What is the applicable standard of review when reviewing the </w:t>
      </w:r>
      <w:r w:rsidRPr="0070034E">
        <w:rPr>
          <w:rFonts w:eastAsia="Times New Roman" w:cs="Times New Roman"/>
          <w:i/>
          <w:iCs/>
          <w:szCs w:val="24"/>
        </w:rPr>
        <w:t>vires</w:t>
      </w:r>
      <w:r w:rsidRPr="0070034E">
        <w:rPr>
          <w:rFonts w:eastAsia="Times New Roman" w:cs="Times New Roman"/>
          <w:szCs w:val="24"/>
        </w:rPr>
        <w:t xml:space="preserve"> of subordinate legislation?</w:t>
      </w:r>
    </w:p>
    <w:p w14:paraId="67523804" w14:textId="77777777" w:rsidR="00DB7512" w:rsidRPr="0070034E" w:rsidRDefault="00DB7512" w:rsidP="00DB7512">
      <w:pPr>
        <w:pStyle w:val="ParaNoNdepar-AltN"/>
        <w:numPr>
          <w:ilvl w:val="6"/>
          <w:numId w:val="1"/>
        </w:numPr>
        <w:ind w:left="1526"/>
        <w:rPr>
          <w:rFonts w:eastAsia="Times New Roman" w:cs="Times New Roman"/>
          <w:szCs w:val="24"/>
        </w:rPr>
      </w:pPr>
      <w:r w:rsidRPr="0070034E">
        <w:rPr>
          <w:rFonts w:eastAsia="Times New Roman" w:cs="Times New Roman"/>
          <w:szCs w:val="24"/>
        </w:rPr>
        <w:t xml:space="preserve">Are the </w:t>
      </w:r>
      <w:r w:rsidRPr="0070034E">
        <w:rPr>
          <w:rFonts w:eastAsia="Times New Roman" w:cs="Times New Roman"/>
          <w:i/>
          <w:iCs/>
          <w:szCs w:val="24"/>
        </w:rPr>
        <w:t>Child Support Guidelines</w:t>
      </w:r>
      <w:r w:rsidRPr="0070034E">
        <w:rPr>
          <w:rFonts w:eastAsia="Times New Roman" w:cs="Times New Roman"/>
          <w:szCs w:val="24"/>
        </w:rPr>
        <w:t xml:space="preserve"> </w:t>
      </w:r>
      <w:r w:rsidRPr="0070034E">
        <w:rPr>
          <w:rFonts w:eastAsia="Times New Roman" w:cs="Times New Roman"/>
          <w:i/>
          <w:iCs/>
          <w:szCs w:val="24"/>
        </w:rPr>
        <w:t>ultra vires</w:t>
      </w:r>
      <w:r w:rsidRPr="0070034E">
        <w:rPr>
          <w:rFonts w:eastAsia="Times New Roman" w:cs="Times New Roman"/>
          <w:szCs w:val="24"/>
        </w:rPr>
        <w:t xml:space="preserve"> the GIC under the </w:t>
      </w:r>
      <w:r w:rsidRPr="0070034E">
        <w:rPr>
          <w:rFonts w:eastAsia="Times New Roman" w:cs="Times New Roman"/>
          <w:i/>
          <w:iCs/>
          <w:szCs w:val="24"/>
        </w:rPr>
        <w:t>Divorce Act</w:t>
      </w:r>
      <w:r w:rsidRPr="0070034E">
        <w:rPr>
          <w:rFonts w:eastAsia="Times New Roman" w:cs="Times New Roman"/>
          <w:szCs w:val="24"/>
        </w:rPr>
        <w:t>?</w:t>
      </w:r>
    </w:p>
    <w:p w14:paraId="583BE3DE" w14:textId="77777777" w:rsidR="00DB7512" w:rsidRPr="0070034E" w:rsidRDefault="00DB7512" w:rsidP="00DB7512">
      <w:pPr>
        <w:pStyle w:val="Title1LevelTitre1Niveau-AltL"/>
        <w:rPr>
          <w:rFonts w:cs="Times New Roman"/>
        </w:rPr>
      </w:pPr>
      <w:bookmarkStart w:id="10" w:name="_Toc172041730"/>
      <w:r w:rsidRPr="0070034E">
        <w:rPr>
          <w:rFonts w:cs="Times New Roman"/>
        </w:rPr>
        <w:t>Standard of Review</w:t>
      </w:r>
      <w:bookmarkEnd w:id="10"/>
    </w:p>
    <w:p w14:paraId="0CA1A381" w14:textId="77777777" w:rsidR="00DB7512" w:rsidRPr="0070034E" w:rsidRDefault="00DB7512" w:rsidP="00DB7512">
      <w:pPr>
        <w:pStyle w:val="Title2LevelTitre2Niveau"/>
        <w:rPr>
          <w:rFonts w:eastAsia="Times New Roman" w:cs="Times New Roman"/>
          <w:i w:val="0"/>
          <w:szCs w:val="24"/>
          <w:u w:val="single"/>
        </w:rPr>
      </w:pPr>
      <w:bookmarkStart w:id="11" w:name="_Toc172041731"/>
      <w:r w:rsidRPr="0070034E">
        <w:rPr>
          <w:rFonts w:cs="Times New Roman"/>
        </w:rPr>
        <w:t>Vavilov Is the Starting Point for Determining the Appropriate Standard of Review</w:t>
      </w:r>
      <w:bookmarkEnd w:id="11"/>
    </w:p>
    <w:p w14:paraId="300A35E6"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i/>
          <w:iCs/>
          <w:szCs w:val="24"/>
        </w:rPr>
        <w:t>Vavilov</w:t>
      </w:r>
      <w:r w:rsidRPr="0070034E">
        <w:rPr>
          <w:rFonts w:eastAsia="Times New Roman" w:cs="Times New Roman"/>
          <w:szCs w:val="24"/>
        </w:rPr>
        <w:t xml:space="preserve"> represented a “recalibration of the governing approach to the choice of standard of review analysis and a clarification of the proper application of the reasonableness standard” (para. 143). It “set out a holistic revision of the framework for determining the applicable standard of review” when conducting a substantive review of an administrative decision (</w:t>
      </w:r>
      <w:r w:rsidRPr="0070034E">
        <w:rPr>
          <w:rFonts w:eastAsia="Times New Roman" w:cs="Times New Roman"/>
          <w:i/>
          <w:szCs w:val="24"/>
        </w:rPr>
        <w:t>ibid.</w:t>
      </w:r>
      <w:r w:rsidRPr="0070034E">
        <w:rPr>
          <w:rFonts w:eastAsia="Times New Roman" w:cs="Times New Roman"/>
          <w:szCs w:val="24"/>
        </w:rPr>
        <w:t xml:space="preserve">). Our Court explained that </w:t>
      </w:r>
      <w:r w:rsidRPr="0070034E">
        <w:rPr>
          <w:rFonts w:eastAsia="Times New Roman" w:cs="Times New Roman"/>
          <w:i/>
          <w:iCs/>
          <w:szCs w:val="24"/>
        </w:rPr>
        <w:t xml:space="preserve">Vavilov </w:t>
      </w:r>
      <w:r w:rsidRPr="0070034E">
        <w:rPr>
          <w:rFonts w:eastAsia="Times New Roman" w:cs="Times New Roman"/>
          <w:szCs w:val="24"/>
        </w:rPr>
        <w:t>is the starting point: “A court seeking to determine what standard is appropriate in a case before it should look to these reasons first in order to determine how this general framework applies to that case” (</w:t>
      </w:r>
      <w:r w:rsidRPr="0070034E">
        <w:rPr>
          <w:rFonts w:eastAsia="Times New Roman" w:cs="Times New Roman"/>
          <w:i/>
          <w:szCs w:val="24"/>
        </w:rPr>
        <w:t>ibid.</w:t>
      </w:r>
      <w:r w:rsidRPr="0070034E">
        <w:rPr>
          <w:rFonts w:eastAsia="Times New Roman" w:cs="Times New Roman"/>
          <w:szCs w:val="24"/>
        </w:rPr>
        <w:t>).</w:t>
      </w:r>
    </w:p>
    <w:p w14:paraId="12C28E93"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That said, </w:t>
      </w:r>
      <w:r w:rsidRPr="0070034E">
        <w:rPr>
          <w:rFonts w:eastAsia="Times New Roman" w:cs="Times New Roman"/>
          <w:i/>
          <w:iCs/>
          <w:szCs w:val="24"/>
        </w:rPr>
        <w:t xml:space="preserve">Vavilov </w:t>
      </w:r>
      <w:r w:rsidRPr="0070034E">
        <w:rPr>
          <w:rFonts w:eastAsia="Times New Roman" w:cs="Times New Roman"/>
          <w:szCs w:val="24"/>
        </w:rPr>
        <w:t xml:space="preserve">was not itself a case about the </w:t>
      </w:r>
      <w:r w:rsidRPr="0070034E">
        <w:rPr>
          <w:rFonts w:eastAsia="Times New Roman" w:cs="Times New Roman"/>
          <w:i/>
          <w:iCs/>
          <w:szCs w:val="24"/>
        </w:rPr>
        <w:t xml:space="preserve">vires </w:t>
      </w:r>
      <w:r w:rsidRPr="0070034E">
        <w:rPr>
          <w:rFonts w:eastAsia="Times New Roman" w:cs="Times New Roman"/>
          <w:szCs w:val="24"/>
        </w:rPr>
        <w:t>of subordinate legislation.</w:t>
      </w:r>
      <w:r w:rsidRPr="0070034E">
        <w:rPr>
          <w:rFonts w:eastAsia="Times New Roman" w:cs="Times New Roman"/>
          <w:i/>
          <w:iCs/>
          <w:szCs w:val="24"/>
        </w:rPr>
        <w:t xml:space="preserve"> </w:t>
      </w:r>
      <w:r w:rsidRPr="0070034E">
        <w:rPr>
          <w:rFonts w:eastAsia="Times New Roman" w:cs="Times New Roman"/>
          <w:szCs w:val="24"/>
        </w:rPr>
        <w:t xml:space="preserve">It involved the judicial review of a decision by the Canadian Registrar of Citizenship to cancel Mr. Vavilov’s certificate of citizenship on the basis that he was not a Canadian citizen under s. 3(1)(a) of the </w:t>
      </w:r>
      <w:r w:rsidRPr="0070034E">
        <w:rPr>
          <w:rFonts w:eastAsia="Times New Roman" w:cs="Times New Roman"/>
          <w:i/>
          <w:iCs/>
          <w:szCs w:val="24"/>
        </w:rPr>
        <w:t>Citizenship Act</w:t>
      </w:r>
      <w:r w:rsidRPr="0070034E">
        <w:rPr>
          <w:rFonts w:eastAsia="Times New Roman" w:cs="Times New Roman"/>
          <w:szCs w:val="24"/>
        </w:rPr>
        <w:t>, R.S.C. 1985, c. C</w:t>
      </w:r>
      <w:r w:rsidRPr="0070034E">
        <w:rPr>
          <w:rFonts w:eastAsia="Times New Roman" w:cs="Times New Roman"/>
          <w:szCs w:val="24"/>
        </w:rPr>
        <w:noBreakHyphen/>
        <w:t xml:space="preserve">29, because he fell within the ambit of an exception set out at s. 3(2)(a). Thus, in </w:t>
      </w:r>
      <w:r w:rsidRPr="0070034E">
        <w:rPr>
          <w:rFonts w:eastAsia="Times New Roman" w:cs="Times New Roman"/>
          <w:i/>
          <w:iCs/>
          <w:szCs w:val="24"/>
        </w:rPr>
        <w:t>Vavilov</w:t>
      </w:r>
      <w:r w:rsidRPr="0070034E">
        <w:rPr>
          <w:rFonts w:eastAsia="Times New Roman" w:cs="Times New Roman"/>
          <w:szCs w:val="24"/>
        </w:rPr>
        <w:t xml:space="preserve">, our Court did not explicitly settle the standard of review that applies when reviewing the </w:t>
      </w:r>
      <w:r w:rsidRPr="0070034E">
        <w:rPr>
          <w:rFonts w:eastAsia="Times New Roman" w:cs="Times New Roman"/>
          <w:i/>
          <w:iCs/>
          <w:szCs w:val="24"/>
        </w:rPr>
        <w:t xml:space="preserve">vires </w:t>
      </w:r>
      <w:r w:rsidRPr="0070034E">
        <w:rPr>
          <w:rFonts w:eastAsia="Times New Roman" w:cs="Times New Roman"/>
          <w:szCs w:val="24"/>
        </w:rPr>
        <w:t xml:space="preserve">of subordinate legislation (J. M. Keyes, “Judicial Review of Delegated Legislation — The Road Beyond </w:t>
      </w:r>
      <w:r w:rsidRPr="0070034E">
        <w:rPr>
          <w:rFonts w:eastAsia="Times New Roman" w:cs="Times New Roman"/>
          <w:i/>
          <w:iCs/>
          <w:szCs w:val="24"/>
        </w:rPr>
        <w:t>Vavilov</w:t>
      </w:r>
      <w:r w:rsidRPr="0070034E">
        <w:rPr>
          <w:rFonts w:eastAsia="Times New Roman" w:cs="Times New Roman"/>
          <w:szCs w:val="24"/>
        </w:rPr>
        <w:t xml:space="preserve">” (2022), 35 </w:t>
      </w:r>
      <w:r w:rsidRPr="0070034E">
        <w:rPr>
          <w:rFonts w:eastAsia="Times New Roman" w:cs="Times New Roman"/>
          <w:i/>
          <w:szCs w:val="24"/>
        </w:rPr>
        <w:t>C.J.A.L.P.</w:t>
      </w:r>
      <w:r w:rsidRPr="0070034E">
        <w:rPr>
          <w:rFonts w:eastAsia="Times New Roman" w:cs="Times New Roman"/>
          <w:szCs w:val="24"/>
        </w:rPr>
        <w:t xml:space="preserve"> 69, at p. 100). However, as I explain below, </w:t>
      </w:r>
      <w:r w:rsidRPr="0070034E">
        <w:rPr>
          <w:rFonts w:eastAsia="Times New Roman" w:cs="Times New Roman"/>
          <w:i/>
          <w:iCs/>
          <w:szCs w:val="24"/>
        </w:rPr>
        <w:t xml:space="preserve">Vavilov </w:t>
      </w:r>
      <w:r w:rsidRPr="0070034E">
        <w:rPr>
          <w:rFonts w:eastAsia="Times New Roman" w:cs="Times New Roman"/>
          <w:szCs w:val="24"/>
        </w:rPr>
        <w:t xml:space="preserve">provides the appropriate framework for determining the standard of review in this context. Under that framework, I conclude that the reasonableness standard applies to the </w:t>
      </w:r>
      <w:r w:rsidRPr="0070034E">
        <w:rPr>
          <w:rFonts w:eastAsia="Times New Roman" w:cs="Times New Roman"/>
          <w:i/>
          <w:szCs w:val="24"/>
        </w:rPr>
        <w:t xml:space="preserve">vires </w:t>
      </w:r>
      <w:r w:rsidRPr="0070034E">
        <w:rPr>
          <w:rFonts w:eastAsia="Times New Roman" w:cs="Times New Roman"/>
          <w:szCs w:val="24"/>
        </w:rPr>
        <w:t>challenge in this case.</w:t>
      </w:r>
    </w:p>
    <w:p w14:paraId="4CE464F5" w14:textId="77777777" w:rsidR="00DB7512" w:rsidRPr="0070034E" w:rsidRDefault="00DB7512" w:rsidP="00DB7512">
      <w:pPr>
        <w:pStyle w:val="Title2LevelTitre2Niveau"/>
        <w:rPr>
          <w:rFonts w:eastAsia="Times New Roman" w:cs="Times New Roman"/>
          <w:i w:val="0"/>
          <w:szCs w:val="24"/>
          <w:u w:val="single"/>
        </w:rPr>
      </w:pPr>
      <w:bookmarkStart w:id="12" w:name="_Toc172041732"/>
      <w:r w:rsidRPr="0070034E">
        <w:rPr>
          <w:rFonts w:cs="Times New Roman"/>
        </w:rPr>
        <w:t>The Vavilov Framework Applies When Reviewing the Vires of Subordinate Legislation</w:t>
      </w:r>
      <w:bookmarkEnd w:id="12"/>
    </w:p>
    <w:p w14:paraId="7101F6C0"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In </w:t>
      </w:r>
      <w:r w:rsidRPr="0070034E">
        <w:rPr>
          <w:rFonts w:eastAsia="Times New Roman" w:cs="Times New Roman"/>
          <w:i/>
          <w:iCs/>
          <w:szCs w:val="24"/>
        </w:rPr>
        <w:t>Vavilov</w:t>
      </w:r>
      <w:r w:rsidRPr="0070034E">
        <w:rPr>
          <w:rFonts w:eastAsia="Times New Roman" w:cs="Times New Roman"/>
          <w:szCs w:val="24"/>
        </w:rPr>
        <w:t>, our Court set out a comprehensive framework for determining the standard of review that applies to any substantive review of an administrative decision (para. 17). In doing so, this Court brought “greater coherence and predictability to this area of law” and eliminated the need for courts to engage in a contextual inquiry to determine the appropriate standard of review (paras. 10 and 17). Our Court recognized that “the sheer variety of decisions and decision makers” posed a challenge to developing a coherent and unified approach to judicial review (para. 88). We ensured that the revised framework “accommodates all types of administrative decision making, in areas that range from immigration, prison administration and social security entitlements to labour relations, securities regulation and energy policy” (para. 11). These include decisions of “specialized tribunals exercising adjudicative functions, independent regulatory bodies, ministers, front</w:t>
      </w:r>
      <w:r w:rsidRPr="0070034E">
        <w:rPr>
          <w:rFonts w:eastAsia="Times New Roman" w:cs="Times New Roman"/>
          <w:szCs w:val="24"/>
        </w:rPr>
        <w:noBreakHyphen/>
        <w:t>line decision makers, and more . . . vary[ing] in complexity and importance, ranging from the routine to the life</w:t>
      </w:r>
      <w:r w:rsidRPr="0070034E">
        <w:rPr>
          <w:rFonts w:eastAsia="Times New Roman" w:cs="Times New Roman"/>
          <w:szCs w:val="24"/>
        </w:rPr>
        <w:noBreakHyphen/>
        <w:t xml:space="preserve">altering . . . </w:t>
      </w:r>
      <w:proofErr w:type="spellStart"/>
      <w:r w:rsidRPr="0070034E">
        <w:rPr>
          <w:rFonts w:eastAsia="Times New Roman" w:cs="Times New Roman"/>
          <w:szCs w:val="24"/>
        </w:rPr>
        <w:t>includ</w:t>
      </w:r>
      <w:proofErr w:type="spellEnd"/>
      <w:r w:rsidRPr="0070034E">
        <w:rPr>
          <w:rFonts w:eastAsia="Times New Roman" w:cs="Times New Roman"/>
          <w:szCs w:val="24"/>
        </w:rPr>
        <w:t>[</w:t>
      </w:r>
      <w:proofErr w:type="spellStart"/>
      <w:r w:rsidRPr="0070034E">
        <w:rPr>
          <w:rFonts w:eastAsia="Times New Roman" w:cs="Times New Roman"/>
          <w:szCs w:val="24"/>
        </w:rPr>
        <w:t>ing</w:t>
      </w:r>
      <w:proofErr w:type="spellEnd"/>
      <w:r w:rsidRPr="0070034E">
        <w:rPr>
          <w:rFonts w:eastAsia="Times New Roman" w:cs="Times New Roman"/>
          <w:szCs w:val="24"/>
        </w:rPr>
        <w:t>] matters of ‘high policy’ on the one hand and ‘pure law’ on the other” (para. 88).</w:t>
      </w:r>
    </w:p>
    <w:p w14:paraId="7364053B"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In setting out </w:t>
      </w:r>
      <w:r w:rsidRPr="0070034E">
        <w:rPr>
          <w:rFonts w:eastAsia="Times New Roman" w:cs="Times New Roman"/>
          <w:i/>
          <w:iCs/>
          <w:szCs w:val="24"/>
        </w:rPr>
        <w:t>Vavilov</w:t>
      </w:r>
      <w:r w:rsidRPr="0070034E">
        <w:rPr>
          <w:rFonts w:eastAsia="Times New Roman" w:cs="Times New Roman"/>
          <w:szCs w:val="24"/>
        </w:rPr>
        <w:t xml:space="preserve">’s comprehensive framework, our Court expressly contemplated questions of </w:t>
      </w:r>
      <w:r w:rsidRPr="0070034E">
        <w:rPr>
          <w:rFonts w:eastAsia="Times New Roman" w:cs="Times New Roman"/>
          <w:i/>
          <w:iCs/>
          <w:szCs w:val="24"/>
        </w:rPr>
        <w:t>vires</w:t>
      </w:r>
      <w:r w:rsidRPr="0070034E">
        <w:rPr>
          <w:rFonts w:eastAsia="Times New Roman" w:cs="Times New Roman"/>
          <w:szCs w:val="24"/>
        </w:rPr>
        <w:t xml:space="preserve">. Specifically, this Court ceased to recognize jurisdictional questions — also referred to as “true questions of jurisdiction or </w:t>
      </w:r>
      <w:r w:rsidRPr="0070034E">
        <w:rPr>
          <w:rFonts w:eastAsia="Times New Roman" w:cs="Times New Roman"/>
          <w:i/>
          <w:iCs/>
          <w:szCs w:val="24"/>
        </w:rPr>
        <w:t>vires</w:t>
      </w:r>
      <w:r w:rsidRPr="0070034E">
        <w:rPr>
          <w:rFonts w:eastAsia="Times New Roman" w:cs="Times New Roman"/>
          <w:szCs w:val="24"/>
        </w:rPr>
        <w:t>” </w:t>
      </w:r>
      <w:r w:rsidRPr="0070034E">
        <w:rPr>
          <w:rFonts w:eastAsia="Times New Roman" w:cs="Times New Roman"/>
          <w:iCs/>
          <w:szCs w:val="24"/>
        </w:rPr>
        <w:t>— </w:t>
      </w:r>
      <w:r w:rsidRPr="0070034E">
        <w:rPr>
          <w:rFonts w:eastAsia="Times New Roman" w:cs="Times New Roman"/>
          <w:szCs w:val="24"/>
        </w:rPr>
        <w:t>as a distinct category of questions attracting correctness review (paras. 65</w:t>
      </w:r>
      <w:r w:rsidRPr="0070034E">
        <w:rPr>
          <w:rFonts w:eastAsia="Times New Roman" w:cs="Times New Roman"/>
          <w:szCs w:val="24"/>
        </w:rPr>
        <w:noBreakHyphen/>
        <w:t xml:space="preserve">67 and 200). In doing so, we expressly referred to cases involving challenges to the </w:t>
      </w:r>
      <w:r w:rsidRPr="0070034E">
        <w:rPr>
          <w:rFonts w:eastAsia="Times New Roman" w:cs="Times New Roman"/>
          <w:i/>
          <w:iCs/>
          <w:szCs w:val="24"/>
        </w:rPr>
        <w:t xml:space="preserve">vires </w:t>
      </w:r>
      <w:r w:rsidRPr="0070034E">
        <w:rPr>
          <w:rFonts w:eastAsia="Times New Roman" w:cs="Times New Roman"/>
          <w:szCs w:val="24"/>
        </w:rPr>
        <w:t xml:space="preserve">of subordinate legislation, including </w:t>
      </w:r>
      <w:r w:rsidRPr="0070034E">
        <w:rPr>
          <w:rFonts w:eastAsia="Times New Roman" w:cs="Times New Roman"/>
          <w:i/>
          <w:iCs/>
          <w:szCs w:val="24"/>
        </w:rPr>
        <w:t>Green v. Law Society of Manitoba</w:t>
      </w:r>
      <w:r w:rsidRPr="0070034E">
        <w:rPr>
          <w:rFonts w:eastAsia="Times New Roman" w:cs="Times New Roman"/>
          <w:szCs w:val="24"/>
        </w:rPr>
        <w:t>, 2017 SCC 20</w:t>
      </w:r>
      <w:r w:rsidRPr="0070034E">
        <w:rPr>
          <w:rFonts w:eastAsia="Times New Roman" w:cs="Times New Roman"/>
        </w:rPr>
        <w:t xml:space="preserve">, [2017] 1 S.C.R. </w:t>
      </w:r>
      <w:r w:rsidRPr="0070034E">
        <w:rPr>
          <w:rFonts w:eastAsia="Times New Roman" w:cs="Times New Roman"/>
          <w:szCs w:val="24"/>
        </w:rPr>
        <w:t xml:space="preserve">360, and </w:t>
      </w:r>
      <w:r w:rsidRPr="0070034E">
        <w:rPr>
          <w:rFonts w:eastAsia="Times New Roman" w:cs="Times New Roman"/>
          <w:i/>
          <w:iCs/>
          <w:szCs w:val="24"/>
        </w:rPr>
        <w:t>West Fraser Mills Ltd. v. British Columbia (Workers’ Compensation Appeal Tribunal)</w:t>
      </w:r>
      <w:r w:rsidRPr="0070034E">
        <w:rPr>
          <w:rFonts w:eastAsia="Times New Roman" w:cs="Times New Roman"/>
          <w:szCs w:val="24"/>
        </w:rPr>
        <w:t>, 2018 SCC 22</w:t>
      </w:r>
      <w:r w:rsidRPr="0070034E">
        <w:rPr>
          <w:rFonts w:eastAsia="Times New Roman" w:cs="Times New Roman"/>
        </w:rPr>
        <w:t>, [2018] 1 S.C.R. 635</w:t>
      </w:r>
      <w:r w:rsidRPr="0070034E">
        <w:rPr>
          <w:rFonts w:eastAsia="Times New Roman" w:cs="Times New Roman"/>
          <w:szCs w:val="24"/>
        </w:rPr>
        <w:t xml:space="preserve"> (</w:t>
      </w:r>
      <w:r w:rsidRPr="0070034E">
        <w:rPr>
          <w:rFonts w:eastAsia="Times New Roman" w:cs="Times New Roman"/>
          <w:i/>
          <w:iCs/>
          <w:szCs w:val="24"/>
        </w:rPr>
        <w:t>Vavilov</w:t>
      </w:r>
      <w:r w:rsidRPr="0070034E">
        <w:rPr>
          <w:rFonts w:eastAsia="Times New Roman" w:cs="Times New Roman"/>
          <w:szCs w:val="24"/>
        </w:rPr>
        <w:t xml:space="preserve">, at para. 66). This Court explained that “it is often difficult to distinguish between exercises of delegated power that raise truly jurisdictional questions from those entailing an unremarkable application of an enabling statute”, especially where, as in </w:t>
      </w:r>
      <w:r w:rsidRPr="0070034E">
        <w:rPr>
          <w:rFonts w:eastAsia="Times New Roman" w:cs="Times New Roman"/>
          <w:i/>
          <w:iCs/>
          <w:szCs w:val="24"/>
        </w:rPr>
        <w:t xml:space="preserve">Green </w:t>
      </w:r>
      <w:r w:rsidRPr="0070034E">
        <w:rPr>
          <w:rFonts w:eastAsia="Times New Roman" w:cs="Times New Roman"/>
          <w:szCs w:val="24"/>
        </w:rPr>
        <w:t xml:space="preserve">and </w:t>
      </w:r>
      <w:r w:rsidRPr="0070034E">
        <w:rPr>
          <w:rFonts w:eastAsia="Times New Roman" w:cs="Times New Roman"/>
          <w:i/>
          <w:iCs/>
          <w:szCs w:val="24"/>
        </w:rPr>
        <w:t>West Fraser Mills</w:t>
      </w:r>
      <w:r w:rsidRPr="0070034E">
        <w:rPr>
          <w:rFonts w:eastAsia="Times New Roman" w:cs="Times New Roman"/>
          <w:szCs w:val="24"/>
        </w:rPr>
        <w:t>, “the legislature has delegated broad authority to an administrative decision maker that allows the latter to make regulations in pursuit of the objects of its enabling statute” (</w:t>
      </w:r>
      <w:r w:rsidRPr="0070034E">
        <w:rPr>
          <w:rFonts w:eastAsia="Times New Roman" w:cs="Times New Roman"/>
          <w:i/>
          <w:iCs/>
          <w:szCs w:val="24"/>
        </w:rPr>
        <w:t>Vavilov</w:t>
      </w:r>
      <w:r w:rsidRPr="0070034E">
        <w:rPr>
          <w:rFonts w:eastAsia="Times New Roman" w:cs="Times New Roman"/>
          <w:szCs w:val="24"/>
        </w:rPr>
        <w:t xml:space="preserve">, at para. 66, citing </w:t>
      </w:r>
      <w:r w:rsidRPr="0070034E">
        <w:rPr>
          <w:rFonts w:eastAsia="Times New Roman" w:cs="Times New Roman"/>
          <w:i/>
          <w:iCs/>
          <w:szCs w:val="24"/>
        </w:rPr>
        <w:t>Canada (Canadian Human Rights Commission) v. Canada (Attorney General)</w:t>
      </w:r>
      <w:r w:rsidRPr="0070034E">
        <w:rPr>
          <w:rFonts w:eastAsia="Times New Roman" w:cs="Times New Roman"/>
          <w:szCs w:val="24"/>
        </w:rPr>
        <w:t>, 2018 SCC 31</w:t>
      </w:r>
      <w:r w:rsidRPr="0070034E">
        <w:rPr>
          <w:rFonts w:eastAsia="Times New Roman" w:cs="Times New Roman"/>
        </w:rPr>
        <w:t>,</w:t>
      </w:r>
      <w:r w:rsidRPr="0070034E">
        <w:rPr>
          <w:rFonts w:cs="Times New Roman"/>
        </w:rPr>
        <w:t xml:space="preserve"> </w:t>
      </w:r>
      <w:r w:rsidRPr="0070034E">
        <w:rPr>
          <w:rFonts w:eastAsia="Times New Roman" w:cs="Times New Roman"/>
        </w:rPr>
        <w:t>[2018] 2 S.C.R. 230</w:t>
      </w:r>
      <w:r w:rsidRPr="0070034E">
        <w:rPr>
          <w:rFonts w:eastAsia="Times New Roman" w:cs="Times New Roman"/>
          <w:szCs w:val="24"/>
        </w:rPr>
        <w:t xml:space="preserve">, at para. 111, </w:t>
      </w:r>
      <w:r w:rsidRPr="0070034E">
        <w:rPr>
          <w:rFonts w:eastAsia="Times New Roman" w:cs="Times New Roman"/>
          <w:iCs/>
          <w:szCs w:val="24"/>
        </w:rPr>
        <w:t>per</w:t>
      </w:r>
      <w:r w:rsidRPr="0070034E">
        <w:rPr>
          <w:rFonts w:eastAsia="Times New Roman" w:cs="Times New Roman"/>
          <w:szCs w:val="24"/>
        </w:rPr>
        <w:t xml:space="preserve"> Brown J., concurring).</w:t>
      </w:r>
    </w:p>
    <w:p w14:paraId="5F298E69"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i/>
          <w:iCs/>
          <w:szCs w:val="24"/>
        </w:rPr>
        <w:t>Vavilov</w:t>
      </w:r>
      <w:r w:rsidRPr="0070034E">
        <w:rPr>
          <w:rFonts w:eastAsia="Times New Roman" w:cs="Times New Roman"/>
          <w:szCs w:val="24"/>
        </w:rPr>
        <w:t>’s framework</w:t>
      </w:r>
      <w:r w:rsidRPr="0070034E">
        <w:rPr>
          <w:rFonts w:eastAsia="Times New Roman" w:cs="Times New Roman"/>
          <w:i/>
          <w:iCs/>
          <w:szCs w:val="24"/>
        </w:rPr>
        <w:t xml:space="preserve"> </w:t>
      </w:r>
      <w:r w:rsidRPr="0070034E">
        <w:rPr>
          <w:rFonts w:eastAsia="Times New Roman" w:cs="Times New Roman"/>
          <w:szCs w:val="24"/>
        </w:rPr>
        <w:t xml:space="preserve">applies to determining the standard for reviewing the </w:t>
      </w:r>
      <w:r w:rsidRPr="0070034E">
        <w:rPr>
          <w:rFonts w:eastAsia="Times New Roman" w:cs="Times New Roman"/>
          <w:i/>
          <w:iCs/>
          <w:szCs w:val="24"/>
        </w:rPr>
        <w:t xml:space="preserve">vires </w:t>
      </w:r>
      <w:r w:rsidRPr="0070034E">
        <w:rPr>
          <w:rFonts w:eastAsia="Times New Roman" w:cs="Times New Roman"/>
          <w:szCs w:val="24"/>
        </w:rPr>
        <w:t xml:space="preserve">of subordinate legislation. </w:t>
      </w:r>
      <w:r w:rsidRPr="0070034E">
        <w:rPr>
          <w:rFonts w:eastAsia="Times New Roman" w:cs="Times New Roman"/>
          <w:i/>
          <w:iCs/>
          <w:szCs w:val="24"/>
        </w:rPr>
        <w:t xml:space="preserve">Vavilov </w:t>
      </w:r>
      <w:r w:rsidRPr="0070034E">
        <w:rPr>
          <w:rFonts w:eastAsia="Times New Roman" w:cs="Times New Roman"/>
          <w:szCs w:val="24"/>
        </w:rPr>
        <w:t xml:space="preserve">set out a comprehensive framework for determining the applicable standard of review and, in doing so, contemplated questions of </w:t>
      </w:r>
      <w:r w:rsidRPr="0070034E">
        <w:rPr>
          <w:rFonts w:eastAsia="Times New Roman" w:cs="Times New Roman"/>
          <w:i/>
          <w:iCs/>
          <w:szCs w:val="24"/>
        </w:rPr>
        <w:t>vires</w:t>
      </w:r>
      <w:r w:rsidRPr="0070034E">
        <w:rPr>
          <w:rFonts w:eastAsia="Times New Roman" w:cs="Times New Roman"/>
          <w:iCs/>
          <w:szCs w:val="24"/>
        </w:rPr>
        <w:t>.</w:t>
      </w:r>
    </w:p>
    <w:p w14:paraId="58493439" w14:textId="77777777" w:rsidR="00DB7512" w:rsidRPr="0070034E" w:rsidRDefault="00DB7512" w:rsidP="00DB7512">
      <w:pPr>
        <w:pStyle w:val="Title2LevelTitre2Niveau"/>
        <w:rPr>
          <w:rFonts w:eastAsia="Times New Roman" w:cs="Times New Roman"/>
          <w:i w:val="0"/>
          <w:szCs w:val="24"/>
          <w:u w:val="single"/>
        </w:rPr>
      </w:pPr>
      <w:bookmarkStart w:id="13" w:name="_Toc172041733"/>
      <w:r w:rsidRPr="0070034E">
        <w:rPr>
          <w:rFonts w:cs="Times New Roman"/>
        </w:rPr>
        <w:t>Reasonableness Is the Presumptive Standard for Reviewing the Vires of Subordinate Legislation</w:t>
      </w:r>
      <w:bookmarkEnd w:id="13"/>
    </w:p>
    <w:p w14:paraId="0B6565FF"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i/>
          <w:iCs/>
          <w:szCs w:val="24"/>
        </w:rPr>
        <w:t>Vavilov</w:t>
      </w:r>
      <w:r w:rsidRPr="0070034E">
        <w:rPr>
          <w:rFonts w:eastAsia="Times New Roman" w:cs="Times New Roman"/>
          <w:szCs w:val="24"/>
        </w:rPr>
        <w:t>’s framework established a presumption of reasonableness review. It set out limited exceptions where the legislature has indicated that it intends a different standard to apply or where the rule of law requires that the correctness standard be applied (para. 17). The questions for which the rule of law requires that the correctness standard be applied include: (1) constitutional questions that require a final and determinate answer from the courts; (2) general questions of law of central importance to the legal system as a whole; and (3) questions related to the jurisdictional boundaries between two or more administrative bodies (para. 53).</w:t>
      </w:r>
    </w:p>
    <w:p w14:paraId="4C06A1B5"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No exception to the presumption of reasonableness review applies in this case. The legislature has not indicated that the GIC’s decision to establish the </w:t>
      </w:r>
      <w:r w:rsidRPr="0070034E">
        <w:rPr>
          <w:rFonts w:eastAsia="Times New Roman" w:cs="Times New Roman"/>
          <w:i/>
          <w:iCs/>
          <w:szCs w:val="24"/>
        </w:rPr>
        <w:t xml:space="preserve">Child Support Guidelines </w:t>
      </w:r>
      <w:r w:rsidRPr="0070034E">
        <w:rPr>
          <w:rFonts w:eastAsia="Times New Roman" w:cs="Times New Roman"/>
          <w:szCs w:val="24"/>
        </w:rPr>
        <w:t xml:space="preserve">must be reviewed on a standard other than reasonableness, nor does the rule of law require that the correctness standard be applied to a </w:t>
      </w:r>
      <w:r w:rsidRPr="0070034E">
        <w:rPr>
          <w:rFonts w:eastAsia="Times New Roman" w:cs="Times New Roman"/>
          <w:i/>
          <w:szCs w:val="24"/>
        </w:rPr>
        <w:t xml:space="preserve">vires </w:t>
      </w:r>
      <w:r w:rsidRPr="0070034E">
        <w:rPr>
          <w:rFonts w:eastAsia="Times New Roman" w:cs="Times New Roman"/>
          <w:szCs w:val="24"/>
        </w:rPr>
        <w:t xml:space="preserve">review of the </w:t>
      </w:r>
      <w:r w:rsidRPr="0070034E">
        <w:rPr>
          <w:rFonts w:eastAsia="Times New Roman" w:cs="Times New Roman"/>
          <w:i/>
          <w:szCs w:val="24"/>
        </w:rPr>
        <w:t>Child Support Guidelines</w:t>
      </w:r>
      <w:r w:rsidRPr="0070034E">
        <w:rPr>
          <w:rFonts w:eastAsia="Times New Roman" w:cs="Times New Roman"/>
          <w:szCs w:val="24"/>
        </w:rPr>
        <w:t>.</w:t>
      </w:r>
    </w:p>
    <w:p w14:paraId="35766DD4"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In </w:t>
      </w:r>
      <w:r w:rsidRPr="0070034E">
        <w:rPr>
          <w:rFonts w:eastAsia="Times New Roman" w:cs="Times New Roman"/>
          <w:i/>
          <w:iCs/>
          <w:szCs w:val="24"/>
        </w:rPr>
        <w:t>Vavilov</w:t>
      </w:r>
      <w:r w:rsidRPr="0070034E">
        <w:rPr>
          <w:rFonts w:eastAsia="Times New Roman" w:cs="Times New Roman"/>
          <w:szCs w:val="24"/>
        </w:rPr>
        <w:t xml:space="preserve">, our Court explained that the rule of law does not require that questions of </w:t>
      </w:r>
      <w:r w:rsidRPr="0070034E">
        <w:rPr>
          <w:rFonts w:eastAsia="Times New Roman" w:cs="Times New Roman"/>
          <w:i/>
          <w:szCs w:val="24"/>
        </w:rPr>
        <w:t>vires</w:t>
      </w:r>
      <w:r w:rsidRPr="0070034E">
        <w:rPr>
          <w:rFonts w:eastAsia="Times New Roman" w:cs="Times New Roman"/>
          <w:szCs w:val="24"/>
        </w:rPr>
        <w:t xml:space="preserve">, in themselves, </w:t>
      </w:r>
      <w:r w:rsidRPr="0070034E">
        <w:rPr>
          <w:rFonts w:eastAsia="Times New Roman" w:cs="Times New Roman"/>
          <w:iCs/>
          <w:szCs w:val="24"/>
        </w:rPr>
        <w:t xml:space="preserve">be reviewed </w:t>
      </w:r>
      <w:r w:rsidRPr="0070034E">
        <w:rPr>
          <w:rFonts w:eastAsia="Times New Roman" w:cs="Times New Roman"/>
          <w:szCs w:val="24"/>
        </w:rPr>
        <w:t>for correctness (paras. 67</w:t>
      </w:r>
      <w:r w:rsidRPr="0070034E">
        <w:rPr>
          <w:rFonts w:eastAsia="Times New Roman" w:cs="Times New Roman"/>
          <w:szCs w:val="24"/>
        </w:rPr>
        <w:noBreakHyphen/>
        <w:t xml:space="preserve">69 and 109; see also </w:t>
      </w:r>
      <w:r w:rsidRPr="0070034E">
        <w:rPr>
          <w:rFonts w:cs="Times New Roman"/>
        </w:rPr>
        <w:t>J. M. Keyes,</w:t>
      </w:r>
      <w:r w:rsidRPr="0070034E">
        <w:rPr>
          <w:rFonts w:cs="Times New Roman"/>
          <w:i/>
          <w:iCs/>
        </w:rPr>
        <w:t xml:space="preserve"> Executive Legislation</w:t>
      </w:r>
      <w:r w:rsidRPr="0070034E">
        <w:rPr>
          <w:rFonts w:cs="Times New Roman"/>
        </w:rPr>
        <w:t xml:space="preserve"> (3rd ed. 2021), at pp. 171</w:t>
      </w:r>
      <w:r w:rsidRPr="0070034E">
        <w:rPr>
          <w:rFonts w:cs="Times New Roman"/>
        </w:rPr>
        <w:noBreakHyphen/>
        <w:t>72</w:t>
      </w:r>
      <w:r w:rsidRPr="0070034E">
        <w:rPr>
          <w:rFonts w:eastAsia="Times New Roman" w:cs="Times New Roman"/>
          <w:szCs w:val="24"/>
        </w:rPr>
        <w:t>). A robust reasonableness review is sufficient to ensure that statutory delegates act within the scope of their lawful authority (</w:t>
      </w:r>
      <w:r w:rsidRPr="0070034E">
        <w:rPr>
          <w:rFonts w:eastAsia="Times New Roman" w:cs="Times New Roman"/>
          <w:i/>
          <w:iCs/>
          <w:szCs w:val="24"/>
        </w:rPr>
        <w:t>Vavilov</w:t>
      </w:r>
      <w:r w:rsidRPr="0070034E">
        <w:rPr>
          <w:rFonts w:eastAsia="Times New Roman" w:cs="Times New Roman"/>
          <w:szCs w:val="24"/>
        </w:rPr>
        <w:t>, at paras. 67</w:t>
      </w:r>
      <w:r w:rsidRPr="0070034E">
        <w:rPr>
          <w:rFonts w:eastAsia="Times New Roman" w:cs="Times New Roman"/>
          <w:szCs w:val="24"/>
        </w:rPr>
        <w:noBreakHyphen/>
        <w:t xml:space="preserve">69 and 109). Further, when explaining that reasonableness review can be conducted even in the absence of reasons, our Court cited </w:t>
      </w:r>
      <w:r w:rsidRPr="0070034E">
        <w:rPr>
          <w:rFonts w:eastAsia="Times New Roman" w:cs="Times New Roman"/>
          <w:i/>
          <w:iCs/>
          <w:szCs w:val="24"/>
        </w:rPr>
        <w:t>Catalyst Paper Corp. v. North Cowichan (District)</w:t>
      </w:r>
      <w:r w:rsidRPr="0070034E">
        <w:rPr>
          <w:rFonts w:eastAsia="Times New Roman" w:cs="Times New Roman"/>
          <w:szCs w:val="24"/>
        </w:rPr>
        <w:t>, 2012 SCC 2</w:t>
      </w:r>
      <w:r w:rsidRPr="0070034E">
        <w:rPr>
          <w:rFonts w:eastAsia="Times New Roman" w:cs="Times New Roman"/>
        </w:rPr>
        <w:t xml:space="preserve">, </w:t>
      </w:r>
      <w:r w:rsidRPr="0070034E">
        <w:rPr>
          <w:rFonts w:eastAsia="Times New Roman" w:cs="Times New Roman"/>
          <w:szCs w:val="24"/>
        </w:rPr>
        <w:t xml:space="preserve">[2012] 1 S.C.R. 5, and </w:t>
      </w:r>
      <w:r w:rsidRPr="0070034E">
        <w:rPr>
          <w:rFonts w:eastAsia="Times New Roman" w:cs="Times New Roman"/>
          <w:i/>
          <w:iCs/>
          <w:szCs w:val="24"/>
        </w:rPr>
        <w:t>Green</w:t>
      </w:r>
      <w:r w:rsidRPr="0070034E">
        <w:rPr>
          <w:rFonts w:eastAsia="Times New Roman" w:cs="Times New Roman"/>
          <w:szCs w:val="24"/>
        </w:rPr>
        <w:t xml:space="preserve">, both of which involved a review of the </w:t>
      </w:r>
      <w:r w:rsidRPr="0070034E">
        <w:rPr>
          <w:rFonts w:eastAsia="Times New Roman" w:cs="Times New Roman"/>
          <w:i/>
          <w:iCs/>
          <w:szCs w:val="24"/>
        </w:rPr>
        <w:t>vires</w:t>
      </w:r>
      <w:r w:rsidRPr="0070034E">
        <w:rPr>
          <w:rFonts w:eastAsia="Times New Roman" w:cs="Times New Roman"/>
          <w:szCs w:val="24"/>
        </w:rPr>
        <w:t xml:space="preserve"> of subordinate legislation (</w:t>
      </w:r>
      <w:r w:rsidRPr="0070034E">
        <w:rPr>
          <w:rFonts w:eastAsia="Times New Roman" w:cs="Times New Roman"/>
          <w:i/>
          <w:iCs/>
          <w:szCs w:val="24"/>
        </w:rPr>
        <w:t>Vavilov</w:t>
      </w:r>
      <w:r w:rsidRPr="0070034E">
        <w:rPr>
          <w:rFonts w:eastAsia="Times New Roman" w:cs="Times New Roman"/>
          <w:szCs w:val="24"/>
        </w:rPr>
        <w:t>, at para. 137).</w:t>
      </w:r>
    </w:p>
    <w:p w14:paraId="1B602606"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All of this indicates that </w:t>
      </w:r>
      <w:r w:rsidRPr="0070034E">
        <w:rPr>
          <w:rFonts w:eastAsia="Times New Roman" w:cs="Times New Roman"/>
          <w:i/>
          <w:iCs/>
          <w:szCs w:val="24"/>
        </w:rPr>
        <w:t>Vavilov</w:t>
      </w:r>
      <w:r w:rsidRPr="0070034E">
        <w:rPr>
          <w:rFonts w:eastAsia="Times New Roman" w:cs="Times New Roman"/>
          <w:szCs w:val="24"/>
        </w:rPr>
        <w:t xml:space="preserve">’s robust reasonableness standard is the default standard when reviewing the </w:t>
      </w:r>
      <w:r w:rsidRPr="0070034E">
        <w:rPr>
          <w:rFonts w:eastAsia="Times New Roman" w:cs="Times New Roman"/>
          <w:i/>
          <w:iCs/>
          <w:szCs w:val="24"/>
        </w:rPr>
        <w:t xml:space="preserve">vires </w:t>
      </w:r>
      <w:r w:rsidRPr="0070034E">
        <w:rPr>
          <w:rFonts w:eastAsia="Times New Roman" w:cs="Times New Roman"/>
          <w:szCs w:val="24"/>
        </w:rPr>
        <w:t xml:space="preserve">of subordinate legislation (Keyes (2021), at p. 171; see also Keyes (2022); P. Daly, </w:t>
      </w:r>
      <w:r w:rsidRPr="0070034E">
        <w:rPr>
          <w:rFonts w:eastAsia="Times New Roman" w:cs="Times New Roman"/>
          <w:i/>
          <w:iCs/>
          <w:szCs w:val="24"/>
        </w:rPr>
        <w:t>A Culture of Justification: Vavilov and the Future of Administrative Law</w:t>
      </w:r>
      <w:r w:rsidRPr="0070034E">
        <w:rPr>
          <w:rFonts w:eastAsia="Times New Roman" w:cs="Times New Roman"/>
          <w:szCs w:val="24"/>
        </w:rPr>
        <w:t xml:space="preserve"> (2023), at pp. 146</w:t>
      </w:r>
      <w:r w:rsidRPr="0070034E">
        <w:rPr>
          <w:rFonts w:eastAsia="Times New Roman" w:cs="Times New Roman"/>
          <w:szCs w:val="24"/>
        </w:rPr>
        <w:noBreakHyphen/>
        <w:t xml:space="preserve">47; M. P. Mancini, “One Rule to Rule Them All: Subordinate Legislation and the Law of Judicial Review” </w:t>
      </w:r>
      <w:r w:rsidRPr="0070034E">
        <w:rPr>
          <w:rFonts w:cs="Times New Roman"/>
          <w:szCs w:val="24"/>
        </w:rPr>
        <w:t xml:space="preserve">(2024), 55 </w:t>
      </w:r>
      <w:r w:rsidRPr="0070034E">
        <w:rPr>
          <w:rFonts w:cs="Times New Roman"/>
          <w:i/>
          <w:iCs/>
          <w:szCs w:val="24"/>
        </w:rPr>
        <w:t>Ottawa L. Rev.</w:t>
      </w:r>
      <w:r w:rsidRPr="0070034E">
        <w:rPr>
          <w:rFonts w:cs="Times New Roman"/>
          <w:szCs w:val="24"/>
        </w:rPr>
        <w:t xml:space="preserve"> 245</w:t>
      </w:r>
      <w:r w:rsidRPr="0070034E">
        <w:rPr>
          <w:rFonts w:cs="Times New Roman"/>
        </w:rPr>
        <w:t>)</w:t>
      </w:r>
      <w:r w:rsidRPr="0070034E">
        <w:rPr>
          <w:rFonts w:eastAsia="Times New Roman" w:cs="Times New Roman"/>
          <w:szCs w:val="24"/>
        </w:rPr>
        <w:t xml:space="preserve">. However, in exceptional cases, a </w:t>
      </w:r>
      <w:r w:rsidRPr="0070034E">
        <w:rPr>
          <w:rFonts w:eastAsia="Times New Roman" w:cs="Times New Roman"/>
          <w:i/>
          <w:szCs w:val="24"/>
        </w:rPr>
        <w:t xml:space="preserve">vires </w:t>
      </w:r>
      <w:r w:rsidRPr="0070034E">
        <w:rPr>
          <w:rFonts w:eastAsia="Times New Roman" w:cs="Times New Roman"/>
          <w:szCs w:val="24"/>
        </w:rPr>
        <w:t>review may engage a question that the rule of law requires be reviewed for correctness. In such cases, the presumption of reasonableness review may be rebutted. For example, a challenge to the validity of subordinate legislation on the basis that it fails to respect the division of powers between Parliament and provincial legislatures would require that the correctness standard be applied.</w:t>
      </w:r>
    </w:p>
    <w:p w14:paraId="529F7D02"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Reviewing the </w:t>
      </w:r>
      <w:r w:rsidRPr="0070034E">
        <w:rPr>
          <w:rFonts w:eastAsia="Times New Roman" w:cs="Times New Roman"/>
          <w:i/>
          <w:szCs w:val="24"/>
        </w:rPr>
        <w:t xml:space="preserve">vires </w:t>
      </w:r>
      <w:r w:rsidRPr="0070034E">
        <w:rPr>
          <w:rFonts w:eastAsia="Times New Roman" w:cs="Times New Roman"/>
          <w:szCs w:val="24"/>
        </w:rPr>
        <w:t xml:space="preserve">of the </w:t>
      </w:r>
      <w:r w:rsidRPr="0070034E">
        <w:rPr>
          <w:rFonts w:eastAsia="Times New Roman" w:cs="Times New Roman"/>
          <w:i/>
          <w:szCs w:val="24"/>
        </w:rPr>
        <w:t>Child Support Guidelines</w:t>
      </w:r>
      <w:r w:rsidRPr="0070034E">
        <w:rPr>
          <w:rFonts w:eastAsia="Times New Roman" w:cs="Times New Roman"/>
          <w:szCs w:val="24"/>
        </w:rPr>
        <w:t xml:space="preserve"> does not engage a question that the rule of law requires be reviewed for correctness. Accordingly, the presumptive standard of reasonableness applies in this case.</w:t>
      </w:r>
    </w:p>
    <w:p w14:paraId="4B8BA4D8" w14:textId="77777777" w:rsidR="00DB7512" w:rsidRPr="0070034E" w:rsidRDefault="00DB7512" w:rsidP="00DB7512">
      <w:pPr>
        <w:pStyle w:val="Title2LevelTitre2Niveau"/>
        <w:rPr>
          <w:rFonts w:eastAsia="Times New Roman" w:cs="Times New Roman"/>
          <w:i w:val="0"/>
          <w:szCs w:val="24"/>
          <w:u w:val="single"/>
        </w:rPr>
      </w:pPr>
      <w:bookmarkStart w:id="14" w:name="_Toc172041734"/>
      <w:r w:rsidRPr="0070034E">
        <w:rPr>
          <w:rFonts w:cs="Times New Roman"/>
        </w:rPr>
        <w:t>What Is the Role of Katz Group?</w:t>
      </w:r>
      <w:bookmarkEnd w:id="14"/>
    </w:p>
    <w:p w14:paraId="473FDA9E" w14:textId="77777777" w:rsidR="00DB7512" w:rsidRPr="0070034E" w:rsidRDefault="00DB7512" w:rsidP="00DB7512">
      <w:pPr>
        <w:pStyle w:val="Title3LevelTitre3Niveau"/>
        <w:rPr>
          <w:rFonts w:eastAsia="Times New Roman" w:cs="Times New Roman"/>
          <w:szCs w:val="24"/>
        </w:rPr>
      </w:pPr>
      <w:bookmarkStart w:id="15" w:name="_Toc172041735"/>
      <w:r w:rsidRPr="0070034E">
        <w:rPr>
          <w:rFonts w:cs="Times New Roman"/>
        </w:rPr>
        <w:t xml:space="preserve">Many of the Principles From </w:t>
      </w:r>
      <w:r w:rsidRPr="0070034E">
        <w:rPr>
          <w:rFonts w:cs="Times New Roman"/>
          <w:i/>
          <w:iCs/>
        </w:rPr>
        <w:t>Katz Group</w:t>
      </w:r>
      <w:r w:rsidRPr="0070034E">
        <w:rPr>
          <w:rFonts w:cs="Times New Roman"/>
        </w:rPr>
        <w:t xml:space="preserve"> Continue To Apply</w:t>
      </w:r>
      <w:bookmarkEnd w:id="15"/>
    </w:p>
    <w:p w14:paraId="77B2CBAB"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In </w:t>
      </w:r>
      <w:r w:rsidRPr="0070034E">
        <w:rPr>
          <w:rFonts w:eastAsia="Times New Roman" w:cs="Times New Roman"/>
          <w:i/>
          <w:iCs/>
          <w:szCs w:val="24"/>
        </w:rPr>
        <w:t>Katz Group</w:t>
      </w:r>
      <w:r w:rsidRPr="0070034E">
        <w:rPr>
          <w:rFonts w:eastAsia="Times New Roman" w:cs="Times New Roman"/>
          <w:szCs w:val="24"/>
        </w:rPr>
        <w:t xml:space="preserve">, our Court upheld the validity of Ontario regulations adopted by the Lieutenant Governor in Council that aimed to control the price of prescription drugs. Justice Abella, writing for our Court, did not discuss the applicable standard of review. However, she outlined the following principles for assessing the </w:t>
      </w:r>
      <w:r w:rsidRPr="0070034E">
        <w:rPr>
          <w:rFonts w:eastAsia="Times New Roman" w:cs="Times New Roman"/>
          <w:i/>
          <w:iCs/>
          <w:szCs w:val="24"/>
        </w:rPr>
        <w:t xml:space="preserve">vires </w:t>
      </w:r>
      <w:r w:rsidRPr="0070034E">
        <w:rPr>
          <w:rFonts w:eastAsia="Times New Roman" w:cs="Times New Roman"/>
          <w:szCs w:val="24"/>
        </w:rPr>
        <w:t>of subordinate legislation:</w:t>
      </w:r>
    </w:p>
    <w:p w14:paraId="213C4B05" w14:textId="77777777" w:rsidR="00DB7512" w:rsidRPr="0070034E" w:rsidRDefault="00DB7512" w:rsidP="00DB7512">
      <w:pPr>
        <w:pStyle w:val="ParaNoNdepar-AltN"/>
        <w:numPr>
          <w:ilvl w:val="0"/>
          <w:numId w:val="5"/>
        </w:numPr>
        <w:ind w:left="1526"/>
        <w:rPr>
          <w:rFonts w:eastAsia="Times New Roman" w:cs="Times New Roman"/>
          <w:szCs w:val="24"/>
        </w:rPr>
      </w:pPr>
      <w:r w:rsidRPr="0070034E">
        <w:rPr>
          <w:rFonts w:eastAsia="Times New Roman" w:cs="Times New Roman"/>
          <w:szCs w:val="24"/>
        </w:rPr>
        <w:t xml:space="preserve">“A successful challenge to the </w:t>
      </w:r>
      <w:r w:rsidRPr="0070034E">
        <w:rPr>
          <w:rFonts w:eastAsia="Times New Roman" w:cs="Times New Roman"/>
          <w:i/>
          <w:iCs/>
          <w:szCs w:val="24"/>
        </w:rPr>
        <w:t xml:space="preserve">vires </w:t>
      </w:r>
      <w:r w:rsidRPr="0070034E">
        <w:rPr>
          <w:rFonts w:eastAsia="Times New Roman" w:cs="Times New Roman"/>
          <w:szCs w:val="24"/>
        </w:rPr>
        <w:t>of regulations requires that they be shown to be inconsistent with the objective of the enabling statute or the scope of the statutory mandate” (para. 24);</w:t>
      </w:r>
    </w:p>
    <w:p w14:paraId="2116C7E0" w14:textId="77777777" w:rsidR="00DB7512" w:rsidRPr="0070034E" w:rsidRDefault="00DB7512" w:rsidP="00DB7512">
      <w:pPr>
        <w:pStyle w:val="ParaNoNdepar-AltN"/>
        <w:numPr>
          <w:ilvl w:val="0"/>
          <w:numId w:val="5"/>
        </w:numPr>
        <w:ind w:left="1526"/>
        <w:rPr>
          <w:rFonts w:eastAsia="Times New Roman" w:cs="Times New Roman"/>
          <w:szCs w:val="24"/>
        </w:rPr>
      </w:pPr>
      <w:r w:rsidRPr="0070034E">
        <w:rPr>
          <w:rFonts w:eastAsia="Times New Roman" w:cs="Times New Roman"/>
          <w:szCs w:val="24"/>
        </w:rPr>
        <w:t xml:space="preserve">“Regulations benefit from a presumption of </w:t>
      </w:r>
      <w:proofErr w:type="gramStart"/>
      <w:r w:rsidRPr="0070034E">
        <w:rPr>
          <w:rFonts w:eastAsia="Times New Roman" w:cs="Times New Roman"/>
          <w:szCs w:val="24"/>
        </w:rPr>
        <w:t>validity .</w:t>
      </w:r>
      <w:proofErr w:type="gramEnd"/>
      <w:r w:rsidRPr="0070034E">
        <w:rPr>
          <w:rFonts w:cs="Times New Roman"/>
        </w:rPr>
        <w:t> . . .</w:t>
      </w:r>
      <w:r w:rsidRPr="0070034E">
        <w:rPr>
          <w:rFonts w:eastAsia="Times New Roman" w:cs="Times New Roman"/>
          <w:szCs w:val="24"/>
        </w:rPr>
        <w:t xml:space="preserve"> This presumption has two aspects: it places the burden on challengers to demonstrate the invalidity of regulations </w:t>
      </w:r>
      <w:r w:rsidRPr="0070034E">
        <w:rPr>
          <w:rFonts w:cs="Times New Roman"/>
        </w:rPr>
        <w:t xml:space="preserve">. . . </w:t>
      </w:r>
      <w:r w:rsidRPr="0070034E">
        <w:rPr>
          <w:rFonts w:eastAsia="Times New Roman" w:cs="Times New Roman"/>
          <w:szCs w:val="24"/>
        </w:rPr>
        <w:t xml:space="preserve">and it favours an interpretive approach that reconciles the regulation with its enabling statute so that, where possible, the regulation is construed in a manner which renders it </w:t>
      </w:r>
      <w:r w:rsidRPr="0070034E">
        <w:rPr>
          <w:rFonts w:eastAsia="Times New Roman" w:cs="Times New Roman"/>
          <w:i/>
          <w:iCs/>
          <w:szCs w:val="24"/>
        </w:rPr>
        <w:t>intra vires</w:t>
      </w:r>
      <w:r w:rsidRPr="0070034E">
        <w:rPr>
          <w:rFonts w:eastAsia="Times New Roman" w:cs="Times New Roman"/>
          <w:iCs/>
          <w:szCs w:val="24"/>
        </w:rPr>
        <w:t>”</w:t>
      </w:r>
      <w:r w:rsidRPr="0070034E">
        <w:rPr>
          <w:rFonts w:eastAsia="Times New Roman" w:cs="Times New Roman"/>
          <w:szCs w:val="24"/>
        </w:rPr>
        <w:t xml:space="preserve"> (para. 25</w:t>
      </w:r>
      <w:r w:rsidRPr="0070034E">
        <w:rPr>
          <w:rFonts w:cs="Times New Roman"/>
        </w:rPr>
        <w:t xml:space="preserve"> (emphasis deleted)</w:t>
      </w:r>
      <w:r w:rsidRPr="0070034E">
        <w:rPr>
          <w:rFonts w:eastAsia="Times New Roman" w:cs="Times New Roman"/>
          <w:szCs w:val="24"/>
        </w:rPr>
        <w:t>);</w:t>
      </w:r>
    </w:p>
    <w:p w14:paraId="01FE93AD" w14:textId="77777777" w:rsidR="00DB7512" w:rsidRPr="0070034E" w:rsidRDefault="00DB7512" w:rsidP="00DB7512">
      <w:pPr>
        <w:pStyle w:val="ParaNoNdepar-AltN"/>
        <w:numPr>
          <w:ilvl w:val="0"/>
          <w:numId w:val="5"/>
        </w:numPr>
        <w:ind w:left="1526"/>
        <w:rPr>
          <w:rFonts w:eastAsia="Times New Roman" w:cs="Times New Roman"/>
          <w:szCs w:val="24"/>
        </w:rPr>
      </w:pPr>
      <w:r w:rsidRPr="0070034E">
        <w:rPr>
          <w:rFonts w:eastAsia="Times New Roman" w:cs="Times New Roman"/>
          <w:szCs w:val="24"/>
        </w:rPr>
        <w:t xml:space="preserve">“Both the challenged regulation and the enabling statute should be interpreted using a ‘broad and purposive approach </w:t>
      </w:r>
      <w:r w:rsidRPr="0070034E">
        <w:rPr>
          <w:rFonts w:cs="Times New Roman"/>
        </w:rPr>
        <w:t xml:space="preserve">. . . </w:t>
      </w:r>
      <w:r w:rsidRPr="0070034E">
        <w:rPr>
          <w:rFonts w:eastAsia="Times New Roman" w:cs="Times New Roman"/>
          <w:szCs w:val="24"/>
        </w:rPr>
        <w:t xml:space="preserve">consistent with the Court’s approach to statutory interpretation generally’” (para. 26, quoting </w:t>
      </w:r>
      <w:r w:rsidRPr="0070034E">
        <w:rPr>
          <w:rFonts w:eastAsia="Times New Roman" w:cs="Times New Roman"/>
          <w:i/>
          <w:iCs/>
          <w:szCs w:val="24"/>
        </w:rPr>
        <w:t>United Taxi Drivers’ Fellowship of Southern Alberta v. Calgary (City)</w:t>
      </w:r>
      <w:r w:rsidRPr="0070034E">
        <w:rPr>
          <w:rFonts w:eastAsia="Times New Roman" w:cs="Times New Roman"/>
          <w:szCs w:val="24"/>
        </w:rPr>
        <w:t>, 2004 SCC 19, [2004] 1 S.C.R. 485, at para. 8);</w:t>
      </w:r>
    </w:p>
    <w:p w14:paraId="1E740946" w14:textId="77777777" w:rsidR="00DB7512" w:rsidRPr="0070034E" w:rsidRDefault="00DB7512" w:rsidP="00DB7512">
      <w:pPr>
        <w:pStyle w:val="ParaNoNdepar-AltN"/>
        <w:numPr>
          <w:ilvl w:val="0"/>
          <w:numId w:val="5"/>
        </w:numPr>
        <w:ind w:left="1526"/>
        <w:rPr>
          <w:rFonts w:eastAsia="Times New Roman" w:cs="Times New Roman"/>
          <w:szCs w:val="24"/>
        </w:rPr>
      </w:pPr>
      <w:r w:rsidRPr="0070034E">
        <w:rPr>
          <w:rFonts w:eastAsia="Times New Roman" w:cs="Times New Roman"/>
          <w:szCs w:val="24"/>
        </w:rPr>
        <w:t xml:space="preserve">“This inquiry does not involve assessing the policy merits of the regulations to determine whether they are ‘necessary, wise, or effective in practice’” (para. 27, quoting </w:t>
      </w:r>
      <w:proofErr w:type="spellStart"/>
      <w:r w:rsidRPr="0070034E">
        <w:rPr>
          <w:rFonts w:eastAsia="Times New Roman" w:cs="Times New Roman"/>
          <w:i/>
          <w:iCs/>
          <w:szCs w:val="24"/>
        </w:rPr>
        <w:t>Jafari</w:t>
      </w:r>
      <w:proofErr w:type="spellEnd"/>
      <w:r w:rsidRPr="0070034E">
        <w:rPr>
          <w:rFonts w:eastAsia="Times New Roman" w:cs="Times New Roman"/>
          <w:i/>
          <w:iCs/>
          <w:szCs w:val="24"/>
        </w:rPr>
        <w:t xml:space="preserve"> v. Canada (Minister of Employment and Immigration)</w:t>
      </w:r>
      <w:r w:rsidRPr="0070034E">
        <w:rPr>
          <w:rFonts w:eastAsia="Times New Roman" w:cs="Times New Roman"/>
          <w:szCs w:val="24"/>
        </w:rPr>
        <w:t xml:space="preserve">, [1995] 2 F.C. 595 (C.A.), at p. 604). “It is not an inquiry into the underlying ‘political, economic, social or partisan considerations’” or an assessment of whether the regulations “will actually succeed at achieving the statutory objectives” (para. 28, quoting </w:t>
      </w:r>
      <w:r w:rsidRPr="0070034E">
        <w:rPr>
          <w:rFonts w:eastAsia="Times New Roman" w:cs="Times New Roman"/>
          <w:i/>
          <w:iCs/>
          <w:szCs w:val="24"/>
        </w:rPr>
        <w:t>Thorne’s Hardware Ltd. v. The Queen</w:t>
      </w:r>
      <w:r w:rsidRPr="0070034E">
        <w:rPr>
          <w:rFonts w:eastAsia="Times New Roman" w:cs="Times New Roman"/>
          <w:szCs w:val="24"/>
        </w:rPr>
        <w:t>, [1983] 1 S.C.R. 106, at pp. 112</w:t>
      </w:r>
      <w:r w:rsidRPr="0070034E">
        <w:rPr>
          <w:rFonts w:eastAsia="Times New Roman" w:cs="Times New Roman"/>
          <w:szCs w:val="24"/>
        </w:rPr>
        <w:noBreakHyphen/>
        <w:t>13);</w:t>
      </w:r>
    </w:p>
    <w:p w14:paraId="64948976" w14:textId="77777777" w:rsidR="00DB7512" w:rsidRPr="0070034E" w:rsidRDefault="00DB7512" w:rsidP="00DB7512">
      <w:pPr>
        <w:pStyle w:val="ParaNoNdepar-AltN"/>
        <w:numPr>
          <w:ilvl w:val="0"/>
          <w:numId w:val="5"/>
        </w:numPr>
        <w:ind w:left="1526"/>
        <w:rPr>
          <w:rFonts w:eastAsia="Times New Roman" w:cs="Times New Roman"/>
          <w:szCs w:val="24"/>
        </w:rPr>
      </w:pPr>
      <w:r w:rsidRPr="0070034E">
        <w:rPr>
          <w:rFonts w:eastAsia="Times New Roman" w:cs="Times New Roman"/>
          <w:szCs w:val="24"/>
        </w:rPr>
        <w:t xml:space="preserve">The regulations “must be ‘irrelevant’, ‘extraneous’ or ‘completely unrelated’ to the statutory purpose to be found </w:t>
      </w:r>
      <w:r w:rsidRPr="0070034E">
        <w:rPr>
          <w:rFonts w:eastAsia="Times New Roman" w:cs="Times New Roman"/>
          <w:i/>
          <w:iCs/>
          <w:szCs w:val="24"/>
        </w:rPr>
        <w:t>ultra vires</w:t>
      </w:r>
      <w:r w:rsidRPr="0070034E">
        <w:rPr>
          <w:rFonts w:eastAsia="Times New Roman" w:cs="Times New Roman"/>
          <w:szCs w:val="24"/>
        </w:rPr>
        <w:t xml:space="preserve"> on the basis of inconsistency with statutory purpose” (para. 28).</w:t>
      </w:r>
    </w:p>
    <w:p w14:paraId="316A6C34" w14:textId="77777777" w:rsidR="00DB7512" w:rsidRPr="0070034E" w:rsidRDefault="00DB7512" w:rsidP="00DB7512">
      <w:pPr>
        <w:pStyle w:val="ParaNoNdepar-AltN"/>
        <w:rPr>
          <w:rFonts w:eastAsia="Times New Roman" w:cs="Times New Roman"/>
          <w:szCs w:val="24"/>
        </w:rPr>
      </w:pPr>
      <w:r w:rsidRPr="0070034E">
        <w:rPr>
          <w:rFonts w:cs="Times New Roman"/>
        </w:rPr>
        <w:t>For convenience, I will refer to the final principle as the “irrelevant”, “extraneous” or “completely unrelated” threshold.</w:t>
      </w:r>
    </w:p>
    <w:p w14:paraId="5AC5D5CA"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In setting out </w:t>
      </w:r>
      <w:r w:rsidRPr="0070034E">
        <w:rPr>
          <w:rFonts w:eastAsia="Times New Roman" w:cs="Times New Roman"/>
          <w:i/>
          <w:szCs w:val="24"/>
        </w:rPr>
        <w:t>Vavilov</w:t>
      </w:r>
      <w:r w:rsidRPr="0070034E">
        <w:rPr>
          <w:rFonts w:eastAsia="Times New Roman" w:cs="Times New Roman"/>
          <w:szCs w:val="24"/>
        </w:rPr>
        <w:t xml:space="preserve">’s comprehensive framework for determining the applicable standard of review, our Court did not entirely discard prior jurisprudence. Rather, the Court explicitly stated that “past precedents will often continue to provide helpful guidance” (para. 143). This remains true even when considering cases involving “true questions of jurisdiction or </w:t>
      </w:r>
      <w:r w:rsidRPr="0070034E">
        <w:rPr>
          <w:rFonts w:eastAsia="Times New Roman" w:cs="Times New Roman"/>
          <w:i/>
          <w:szCs w:val="24"/>
        </w:rPr>
        <w:t>vires</w:t>
      </w:r>
      <w:r w:rsidRPr="0070034E">
        <w:rPr>
          <w:rFonts w:eastAsia="Times New Roman" w:cs="Times New Roman"/>
          <w:szCs w:val="24"/>
        </w:rPr>
        <w:t xml:space="preserve">”, though they “will necessarily have less precedential force” because </w:t>
      </w:r>
      <w:r w:rsidRPr="0070034E">
        <w:rPr>
          <w:rFonts w:eastAsia="Times New Roman" w:cs="Times New Roman"/>
          <w:i/>
          <w:szCs w:val="24"/>
        </w:rPr>
        <w:t xml:space="preserve">Vavilov </w:t>
      </w:r>
      <w:r w:rsidRPr="0070034E">
        <w:rPr>
          <w:rFonts w:eastAsia="Times New Roman" w:cs="Times New Roman"/>
          <w:szCs w:val="24"/>
        </w:rPr>
        <w:t xml:space="preserve">ceased to recognize such questions as a distinct category attracting correctness review (paras. 65 and 143). As Paul Daly explains, “past jurisprudence has not been ‘ousted’” by </w:t>
      </w:r>
      <w:r w:rsidRPr="0070034E">
        <w:rPr>
          <w:rFonts w:eastAsia="Times New Roman" w:cs="Times New Roman"/>
          <w:i/>
          <w:szCs w:val="24"/>
        </w:rPr>
        <w:t>Vavilov</w:t>
      </w:r>
      <w:r w:rsidRPr="0070034E">
        <w:rPr>
          <w:rFonts w:eastAsia="Times New Roman" w:cs="Times New Roman"/>
          <w:szCs w:val="24"/>
        </w:rPr>
        <w:t xml:space="preserve"> (</w:t>
      </w:r>
      <w:r w:rsidRPr="0070034E">
        <w:rPr>
          <w:rFonts w:eastAsia="Times New Roman" w:cs="Times New Roman"/>
          <w:iCs/>
          <w:szCs w:val="24"/>
        </w:rPr>
        <w:t>(2023)</w:t>
      </w:r>
      <w:r w:rsidRPr="0070034E">
        <w:rPr>
          <w:rFonts w:eastAsia="Times New Roman" w:cs="Times New Roman"/>
          <w:szCs w:val="24"/>
        </w:rPr>
        <w:t>, at pp. 148</w:t>
      </w:r>
      <w:r w:rsidRPr="0070034E">
        <w:rPr>
          <w:rFonts w:eastAsia="Times New Roman" w:cs="Times New Roman"/>
          <w:szCs w:val="24"/>
        </w:rPr>
        <w:noBreakHyphen/>
        <w:t>49, citing</w:t>
      </w:r>
      <w:r w:rsidRPr="0070034E">
        <w:rPr>
          <w:rFonts w:cs="Times New Roman"/>
        </w:rPr>
        <w:t xml:space="preserve"> </w:t>
      </w:r>
      <w:r w:rsidRPr="0070034E">
        <w:rPr>
          <w:rFonts w:eastAsia="Times New Roman" w:cs="Times New Roman"/>
          <w:i/>
          <w:szCs w:val="24"/>
        </w:rPr>
        <w:t>Terrigno v</w:t>
      </w:r>
      <w:r w:rsidRPr="0070034E">
        <w:rPr>
          <w:rFonts w:eastAsia="Times New Roman" w:cs="Times New Roman"/>
          <w:szCs w:val="24"/>
        </w:rPr>
        <w:t>.</w:t>
      </w:r>
      <w:r w:rsidRPr="0070034E">
        <w:rPr>
          <w:rFonts w:eastAsia="Times New Roman" w:cs="Times New Roman"/>
          <w:i/>
          <w:szCs w:val="24"/>
        </w:rPr>
        <w:t xml:space="preserve"> Calgary (City)</w:t>
      </w:r>
      <w:r w:rsidRPr="0070034E">
        <w:rPr>
          <w:rFonts w:eastAsia="Times New Roman" w:cs="Times New Roman"/>
          <w:szCs w:val="24"/>
        </w:rPr>
        <w:t xml:space="preserve">, 2021 ABQB 41, 1 Admin. L.R. (7th) 134, at para. 62). </w:t>
      </w:r>
      <w:proofErr w:type="gramStart"/>
      <w:r w:rsidRPr="0070034E">
        <w:rPr>
          <w:rFonts w:eastAsia="Times New Roman" w:cs="Times New Roman"/>
          <w:szCs w:val="24"/>
        </w:rPr>
        <w:t>Since</w:t>
      </w:r>
      <w:proofErr w:type="gramEnd"/>
      <w:r w:rsidRPr="0070034E">
        <w:rPr>
          <w:rFonts w:eastAsia="Times New Roman" w:cs="Times New Roman"/>
          <w:szCs w:val="24"/>
        </w:rPr>
        <w:t xml:space="preserve"> </w:t>
      </w:r>
      <w:r w:rsidRPr="0070034E">
        <w:rPr>
          <w:rFonts w:eastAsia="Times New Roman" w:cs="Times New Roman"/>
          <w:i/>
          <w:iCs/>
          <w:szCs w:val="24"/>
        </w:rPr>
        <w:t xml:space="preserve">Katz Group </w:t>
      </w:r>
      <w:r w:rsidRPr="0070034E">
        <w:rPr>
          <w:rFonts w:eastAsia="Times New Roman" w:cs="Times New Roman"/>
          <w:szCs w:val="24"/>
        </w:rPr>
        <w:t xml:space="preserve">involved a true question of jurisdiction or </w:t>
      </w:r>
      <w:r w:rsidRPr="0070034E">
        <w:rPr>
          <w:rFonts w:eastAsia="Times New Roman" w:cs="Times New Roman"/>
          <w:i/>
          <w:iCs/>
          <w:szCs w:val="24"/>
        </w:rPr>
        <w:t>vires</w:t>
      </w:r>
      <w:r w:rsidRPr="0070034E">
        <w:rPr>
          <w:rFonts w:eastAsia="Times New Roman" w:cs="Times New Roman"/>
          <w:szCs w:val="24"/>
        </w:rPr>
        <w:t>, the Court must carefully examine the role</w:t>
      </w:r>
      <w:r w:rsidRPr="0070034E">
        <w:rPr>
          <w:rFonts w:eastAsia="Times New Roman" w:cs="Times New Roman"/>
          <w:iCs/>
          <w:szCs w:val="24"/>
        </w:rPr>
        <w:t xml:space="preserve"> </w:t>
      </w:r>
      <w:r w:rsidRPr="0070034E">
        <w:rPr>
          <w:rFonts w:eastAsia="Times New Roman" w:cs="Times New Roman"/>
          <w:szCs w:val="24"/>
        </w:rPr>
        <w:t>of that case going forward.</w:t>
      </w:r>
    </w:p>
    <w:p w14:paraId="72A78A7C"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In my view, all of the above</w:t>
      </w:r>
      <w:r w:rsidRPr="0070034E">
        <w:rPr>
          <w:rFonts w:eastAsia="Times New Roman" w:cs="Times New Roman"/>
          <w:szCs w:val="24"/>
        </w:rPr>
        <w:noBreakHyphen/>
        <w:t xml:space="preserve">mentioned principles in </w:t>
      </w:r>
      <w:r w:rsidRPr="0070034E">
        <w:rPr>
          <w:rFonts w:eastAsia="Times New Roman" w:cs="Times New Roman"/>
          <w:i/>
          <w:iCs/>
          <w:szCs w:val="24"/>
        </w:rPr>
        <w:t>Katz Group</w:t>
      </w:r>
      <w:r w:rsidRPr="0070034E">
        <w:rPr>
          <w:rFonts w:eastAsia="Times New Roman" w:cs="Times New Roman"/>
          <w:iCs/>
          <w:szCs w:val="24"/>
        </w:rPr>
        <w:t>,</w:t>
      </w:r>
      <w:r w:rsidRPr="0070034E">
        <w:rPr>
          <w:rFonts w:eastAsia="Times New Roman" w:cs="Times New Roman"/>
          <w:i/>
          <w:iCs/>
          <w:szCs w:val="24"/>
        </w:rPr>
        <w:t xml:space="preserve"> </w:t>
      </w:r>
      <w:r w:rsidRPr="0070034E">
        <w:rPr>
          <w:rFonts w:eastAsia="Times New Roman" w:cs="Times New Roman"/>
          <w:szCs w:val="24"/>
        </w:rPr>
        <w:t xml:space="preserve">except for the “irrelevant”, “extraneous” or “completely unrelated” threshold, remain good law and continue to inform the review of the </w:t>
      </w:r>
      <w:r w:rsidRPr="0070034E">
        <w:rPr>
          <w:rFonts w:eastAsia="Times New Roman" w:cs="Times New Roman"/>
          <w:i/>
          <w:iCs/>
          <w:szCs w:val="24"/>
        </w:rPr>
        <w:t xml:space="preserve">vires </w:t>
      </w:r>
      <w:r w:rsidRPr="0070034E">
        <w:rPr>
          <w:rFonts w:eastAsia="Times New Roman" w:cs="Times New Roman"/>
          <w:szCs w:val="24"/>
        </w:rPr>
        <w:t xml:space="preserve">of subordinate legislation. As I will explain, the significant sea change brought about by </w:t>
      </w:r>
      <w:r w:rsidRPr="0070034E">
        <w:rPr>
          <w:rFonts w:eastAsia="Times New Roman" w:cs="Times New Roman"/>
          <w:i/>
          <w:szCs w:val="24"/>
        </w:rPr>
        <w:t>Vavilov</w:t>
      </w:r>
      <w:r w:rsidRPr="0070034E">
        <w:rPr>
          <w:rFonts w:eastAsia="Times New Roman" w:cs="Times New Roman"/>
          <w:szCs w:val="24"/>
        </w:rPr>
        <w:t xml:space="preserve"> in favour of a presumption of reasonableness as a basis for review erodes the rationale for the “irrelevant”, “extraneous” or “completely unrelated” threshold, and maintaining this threshold would perpetuate uncertainty in the law. Accordingly, there is sound basis for a narrow departure from </w:t>
      </w:r>
      <w:r w:rsidRPr="0070034E">
        <w:rPr>
          <w:rFonts w:eastAsia="Times New Roman" w:cs="Times New Roman"/>
          <w:i/>
          <w:szCs w:val="24"/>
        </w:rPr>
        <w:t>Katz Group</w:t>
      </w:r>
      <w:r w:rsidRPr="0070034E">
        <w:rPr>
          <w:rFonts w:eastAsia="Times New Roman" w:cs="Times New Roman"/>
          <w:szCs w:val="24"/>
        </w:rPr>
        <w:t xml:space="preserve"> (see </w:t>
      </w:r>
      <w:r w:rsidRPr="0070034E">
        <w:rPr>
          <w:rFonts w:eastAsia="Times New Roman" w:cs="Times New Roman"/>
          <w:i/>
          <w:szCs w:val="24"/>
        </w:rPr>
        <w:t>Canada (Attorney General) v. Power</w:t>
      </w:r>
      <w:r w:rsidRPr="0070034E">
        <w:rPr>
          <w:rFonts w:eastAsia="Times New Roman" w:cs="Times New Roman"/>
          <w:szCs w:val="24"/>
        </w:rPr>
        <w:t>,</w:t>
      </w:r>
      <w:r w:rsidRPr="0070034E">
        <w:rPr>
          <w:rFonts w:eastAsia="Times New Roman" w:cs="Times New Roman"/>
          <w:i/>
          <w:szCs w:val="24"/>
        </w:rPr>
        <w:t xml:space="preserve"> </w:t>
      </w:r>
      <w:r w:rsidRPr="0070034E">
        <w:rPr>
          <w:rFonts w:eastAsia="Times New Roman" w:cs="Times New Roman"/>
          <w:szCs w:val="24"/>
        </w:rPr>
        <w:t xml:space="preserve">2024 SCC 26, at paras. 98 and 209; </w:t>
      </w:r>
      <w:r w:rsidRPr="0070034E">
        <w:rPr>
          <w:rFonts w:eastAsia="Times New Roman" w:cs="Times New Roman"/>
          <w:i/>
          <w:szCs w:val="24"/>
        </w:rPr>
        <w:t>R. v. Kirkpatrick</w:t>
      </w:r>
      <w:r w:rsidRPr="0070034E">
        <w:rPr>
          <w:rFonts w:eastAsia="Times New Roman" w:cs="Times New Roman"/>
          <w:szCs w:val="24"/>
        </w:rPr>
        <w:t xml:space="preserve">, 2022 SCC 33, at para. 202, per </w:t>
      </w:r>
      <w:r w:rsidRPr="0070034E">
        <w:rPr>
          <w:rFonts w:cs="Times New Roman"/>
          <w:szCs w:val="24"/>
        </w:rPr>
        <w:t xml:space="preserve">Côté, </w:t>
      </w:r>
      <w:r w:rsidRPr="0070034E">
        <w:rPr>
          <w:rFonts w:eastAsia="Times New Roman" w:cs="Times New Roman"/>
          <w:szCs w:val="24"/>
        </w:rPr>
        <w:t xml:space="preserve">Brown and Rowe JJ., concurring). Otherwise, </w:t>
      </w:r>
      <w:r w:rsidRPr="0070034E">
        <w:rPr>
          <w:rFonts w:eastAsia="Times New Roman" w:cs="Times New Roman"/>
          <w:i/>
          <w:szCs w:val="24"/>
        </w:rPr>
        <w:t>Katz Group</w:t>
      </w:r>
      <w:r w:rsidRPr="0070034E">
        <w:rPr>
          <w:rFonts w:eastAsia="Times New Roman" w:cs="Times New Roman"/>
          <w:szCs w:val="24"/>
        </w:rPr>
        <w:t xml:space="preserve"> continues to “provide valuable guidance on the application of the reasonableness standard” (Daly (2023), at p. 148).</w:t>
      </w:r>
      <w:r w:rsidRPr="0070034E">
        <w:rPr>
          <w:rFonts w:cs="Times New Roman"/>
        </w:rPr>
        <w:t xml:space="preserve"> To the extent that the principles in </w:t>
      </w:r>
      <w:r w:rsidRPr="0070034E">
        <w:rPr>
          <w:rFonts w:cs="Times New Roman"/>
          <w:i/>
        </w:rPr>
        <w:t>Katz</w:t>
      </w:r>
      <w:r w:rsidRPr="0070034E">
        <w:rPr>
          <w:rFonts w:cs="Times New Roman"/>
        </w:rPr>
        <w:t xml:space="preserve"> </w:t>
      </w:r>
      <w:r w:rsidRPr="0070034E">
        <w:rPr>
          <w:rFonts w:cs="Times New Roman"/>
          <w:i/>
        </w:rPr>
        <w:t xml:space="preserve">Group </w:t>
      </w:r>
      <w:r w:rsidRPr="0070034E">
        <w:rPr>
          <w:rFonts w:cs="Times New Roman"/>
        </w:rPr>
        <w:t xml:space="preserve">do not conflict with </w:t>
      </w:r>
      <w:r w:rsidRPr="0070034E">
        <w:rPr>
          <w:rFonts w:cs="Times New Roman"/>
          <w:i/>
        </w:rPr>
        <w:t>Vavilov</w:t>
      </w:r>
      <w:r w:rsidRPr="0070034E">
        <w:rPr>
          <w:rFonts w:cs="Times New Roman"/>
        </w:rPr>
        <w:t>, they “are to form part of the application of the reasonableness standard” (</w:t>
      </w:r>
      <w:r w:rsidRPr="0070034E">
        <w:rPr>
          <w:rFonts w:eastAsia="Times New Roman" w:cs="Times New Roman"/>
          <w:szCs w:val="24"/>
        </w:rPr>
        <w:t>p. 149</w:t>
      </w:r>
      <w:r w:rsidRPr="0070034E">
        <w:rPr>
          <w:rFonts w:cs="Times New Roman"/>
        </w:rPr>
        <w:t>).</w:t>
      </w:r>
    </w:p>
    <w:p w14:paraId="2078AAAA"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For greater clarity, the principle that subordinate legislation “must be consistent both with specific provisions of the enabling statute and with its overriding purpose or object” continues to apply when conducting a </w:t>
      </w:r>
      <w:r w:rsidRPr="0070034E">
        <w:rPr>
          <w:rFonts w:eastAsia="Times New Roman" w:cs="Times New Roman"/>
          <w:i/>
          <w:iCs/>
          <w:szCs w:val="24"/>
        </w:rPr>
        <w:t xml:space="preserve">vires </w:t>
      </w:r>
      <w:r w:rsidRPr="0070034E">
        <w:rPr>
          <w:rFonts w:eastAsia="Times New Roman" w:cs="Times New Roman"/>
          <w:szCs w:val="24"/>
        </w:rPr>
        <w:t>review (</w:t>
      </w:r>
      <w:r w:rsidRPr="0070034E">
        <w:rPr>
          <w:rFonts w:eastAsia="Times New Roman" w:cs="Times New Roman"/>
          <w:i/>
          <w:iCs/>
          <w:szCs w:val="24"/>
        </w:rPr>
        <w:t>References re Greenhouse Gas Pollution Pricing Act</w:t>
      </w:r>
      <w:r w:rsidRPr="0070034E">
        <w:rPr>
          <w:rFonts w:eastAsia="Times New Roman" w:cs="Times New Roman"/>
          <w:szCs w:val="24"/>
        </w:rPr>
        <w:t>, 2021 SCC 11</w:t>
      </w:r>
      <w:r w:rsidRPr="0070034E">
        <w:rPr>
          <w:rFonts w:eastAsia="Times New Roman" w:cs="Times New Roman"/>
        </w:rPr>
        <w:t>, [2021] 1 S.C.R. 175</w:t>
      </w:r>
      <w:r w:rsidRPr="0070034E">
        <w:rPr>
          <w:rFonts w:eastAsia="Times New Roman" w:cs="Times New Roman"/>
          <w:szCs w:val="24"/>
        </w:rPr>
        <w:t xml:space="preserve">, at para. 87; see also </w:t>
      </w:r>
      <w:r w:rsidRPr="0070034E">
        <w:rPr>
          <w:rFonts w:eastAsia="Times New Roman" w:cs="Times New Roman"/>
          <w:i/>
        </w:rPr>
        <w:t>Vavilov</w:t>
      </w:r>
      <w:r w:rsidRPr="0070034E">
        <w:rPr>
          <w:rFonts w:eastAsia="Times New Roman" w:cs="Times New Roman"/>
        </w:rPr>
        <w:t xml:space="preserve">, at paras. 108 and 110; </w:t>
      </w:r>
      <w:r w:rsidRPr="0070034E">
        <w:rPr>
          <w:rFonts w:eastAsia="Times New Roman" w:cs="Times New Roman"/>
          <w:i/>
          <w:iCs/>
          <w:szCs w:val="24"/>
        </w:rPr>
        <w:t>Reference re</w:t>
      </w:r>
      <w:r w:rsidRPr="0070034E">
        <w:rPr>
          <w:rFonts w:eastAsia="Times New Roman" w:cs="Times New Roman"/>
          <w:szCs w:val="24"/>
        </w:rPr>
        <w:t xml:space="preserve"> </w:t>
      </w:r>
      <w:r w:rsidRPr="0070034E">
        <w:rPr>
          <w:rFonts w:eastAsia="Times New Roman" w:cs="Times New Roman"/>
          <w:i/>
          <w:iCs/>
          <w:szCs w:val="24"/>
        </w:rPr>
        <w:t>Impact Assessment Act</w:t>
      </w:r>
      <w:r w:rsidRPr="0070034E">
        <w:rPr>
          <w:rFonts w:eastAsia="Times New Roman" w:cs="Times New Roman"/>
          <w:szCs w:val="24"/>
        </w:rPr>
        <w:t xml:space="preserve">, 2023 SCC 23, at para. 283, </w:t>
      </w:r>
      <w:r w:rsidRPr="0070034E">
        <w:rPr>
          <w:rFonts w:eastAsia="Times New Roman" w:cs="Times New Roman"/>
          <w:iCs/>
          <w:szCs w:val="24"/>
        </w:rPr>
        <w:t>per</w:t>
      </w:r>
      <w:r w:rsidRPr="0070034E">
        <w:rPr>
          <w:rFonts w:eastAsia="Times New Roman" w:cs="Times New Roman"/>
          <w:szCs w:val="24"/>
        </w:rPr>
        <w:t xml:space="preserve"> Karakatsanis and Jamal JJ., dissenting</w:t>
      </w:r>
      <w:r w:rsidRPr="0070034E">
        <w:rPr>
          <w:rFonts w:cs="Times New Roman"/>
        </w:rPr>
        <w:t xml:space="preserve"> </w:t>
      </w:r>
      <w:r w:rsidRPr="0070034E">
        <w:rPr>
          <w:rFonts w:eastAsia="Times New Roman" w:cs="Times New Roman"/>
          <w:szCs w:val="24"/>
        </w:rPr>
        <w:t>in part, but not on this point). The principle that subordinate legislation benefits from a presumption of validity also continues to apply (</w:t>
      </w:r>
      <w:r w:rsidRPr="0070034E">
        <w:rPr>
          <w:rFonts w:eastAsia="Times New Roman" w:cs="Times New Roman"/>
          <w:i/>
          <w:iCs/>
          <w:szCs w:val="24"/>
        </w:rPr>
        <w:t>Canadian Council for Refugees v. Canada (Citizenship and Immigration)</w:t>
      </w:r>
      <w:r w:rsidRPr="0070034E">
        <w:rPr>
          <w:rFonts w:eastAsia="Times New Roman" w:cs="Times New Roman"/>
          <w:szCs w:val="24"/>
        </w:rPr>
        <w:t>, 2023 SCC 17, at para. 54). Further, the challenged subordinate legislation and the enabling statute should continue to be interpreted using a broad and purposive approach (</w:t>
      </w:r>
      <w:r w:rsidRPr="0070034E">
        <w:rPr>
          <w:rFonts w:eastAsia="Times New Roman" w:cs="Times New Roman"/>
          <w:i/>
          <w:iCs/>
          <w:szCs w:val="24"/>
        </w:rPr>
        <w:t>Green</w:t>
      </w:r>
      <w:r w:rsidRPr="0070034E">
        <w:rPr>
          <w:rFonts w:eastAsia="Times New Roman" w:cs="Times New Roman"/>
          <w:szCs w:val="24"/>
        </w:rPr>
        <w:t xml:space="preserve">, at para. 28; </w:t>
      </w:r>
      <w:r w:rsidRPr="0070034E">
        <w:rPr>
          <w:rFonts w:eastAsia="Times New Roman" w:cs="Times New Roman"/>
          <w:i/>
          <w:iCs/>
          <w:szCs w:val="24"/>
        </w:rPr>
        <w:t>West Fraser Mills</w:t>
      </w:r>
      <w:r w:rsidRPr="0070034E">
        <w:rPr>
          <w:rFonts w:eastAsia="Times New Roman" w:cs="Times New Roman"/>
          <w:szCs w:val="24"/>
        </w:rPr>
        <w:t xml:space="preserve">, at para. 12). Finally, a </w:t>
      </w:r>
      <w:r w:rsidRPr="0070034E">
        <w:rPr>
          <w:rFonts w:eastAsia="Times New Roman" w:cs="Times New Roman"/>
          <w:i/>
          <w:iCs/>
          <w:szCs w:val="24"/>
        </w:rPr>
        <w:t>vires</w:t>
      </w:r>
      <w:r w:rsidRPr="0070034E">
        <w:rPr>
          <w:rFonts w:eastAsia="Times New Roman" w:cs="Times New Roman"/>
          <w:szCs w:val="24"/>
        </w:rPr>
        <w:t xml:space="preserve"> review does not involve assessing the policy merits of the subordinate legislation to determine whether it is “necessary, wise</w:t>
      </w:r>
      <w:r w:rsidRPr="0070034E">
        <w:rPr>
          <w:rFonts w:eastAsia="Times New Roman" w:cs="Times New Roman"/>
        </w:rPr>
        <w:t>,</w:t>
      </w:r>
      <w:r w:rsidRPr="0070034E">
        <w:rPr>
          <w:rFonts w:eastAsia="Times New Roman" w:cs="Times New Roman"/>
          <w:szCs w:val="24"/>
        </w:rPr>
        <w:t xml:space="preserve"> or effective in practice”. Courts are to review only the legality or validity of subordinate legislation (</w:t>
      </w:r>
      <w:r w:rsidRPr="0070034E">
        <w:rPr>
          <w:rFonts w:eastAsia="Times New Roman" w:cs="Times New Roman"/>
          <w:i/>
          <w:iCs/>
          <w:szCs w:val="24"/>
        </w:rPr>
        <w:t>West Fraser Mills</w:t>
      </w:r>
      <w:r w:rsidRPr="0070034E">
        <w:rPr>
          <w:rFonts w:eastAsia="Times New Roman" w:cs="Times New Roman"/>
          <w:szCs w:val="24"/>
        </w:rPr>
        <w:t xml:space="preserve">, at para. 59, </w:t>
      </w:r>
      <w:r w:rsidRPr="0070034E">
        <w:rPr>
          <w:rFonts w:eastAsia="Times New Roman" w:cs="Times New Roman"/>
          <w:iCs/>
          <w:szCs w:val="24"/>
        </w:rPr>
        <w:t>per</w:t>
      </w:r>
      <w:r w:rsidRPr="0070034E">
        <w:rPr>
          <w:rFonts w:eastAsia="Times New Roman" w:cs="Times New Roman"/>
          <w:szCs w:val="24"/>
        </w:rPr>
        <w:t xml:space="preserve"> Côté J., dissenting</w:t>
      </w:r>
      <w:r w:rsidRPr="0070034E">
        <w:rPr>
          <w:rFonts w:eastAsia="Times New Roman" w:cs="Times New Roman"/>
        </w:rPr>
        <w:t>,</w:t>
      </w:r>
      <w:r w:rsidRPr="0070034E">
        <w:rPr>
          <w:rFonts w:eastAsia="Times New Roman" w:cs="Times New Roman"/>
          <w:szCs w:val="24"/>
        </w:rPr>
        <w:t xml:space="preserve"> but not on this point; </w:t>
      </w:r>
      <w:r w:rsidRPr="0070034E">
        <w:rPr>
          <w:rFonts w:eastAsia="Times New Roman" w:cs="Times New Roman"/>
          <w:i/>
          <w:iCs/>
          <w:szCs w:val="24"/>
        </w:rPr>
        <w:t>La Rose v. Canada</w:t>
      </w:r>
      <w:r w:rsidRPr="0070034E">
        <w:rPr>
          <w:rFonts w:eastAsia="Times New Roman" w:cs="Times New Roman"/>
          <w:szCs w:val="24"/>
        </w:rPr>
        <w:t>, 2023 FCA 241</w:t>
      </w:r>
      <w:r w:rsidRPr="0070034E">
        <w:rPr>
          <w:rFonts w:eastAsia="Times New Roman" w:cs="Times New Roman"/>
        </w:rPr>
        <w:t xml:space="preserve">, </w:t>
      </w:r>
      <w:r w:rsidRPr="0070034E">
        <w:rPr>
          <w:rFonts w:eastAsia="Times New Roman" w:cs="Times New Roman"/>
          <w:szCs w:val="24"/>
        </w:rPr>
        <w:t>488 D.L.R. (4th) 340, at para. 26; see also Mancini, at p. </w:t>
      </w:r>
      <w:r w:rsidRPr="0070034E">
        <w:rPr>
          <w:rFonts w:cs="Times New Roman"/>
        </w:rPr>
        <w:t>276</w:t>
      </w:r>
      <w:r w:rsidRPr="0070034E">
        <w:rPr>
          <w:rFonts w:eastAsia="Times New Roman" w:cs="Times New Roman"/>
          <w:szCs w:val="24"/>
        </w:rPr>
        <w:t>).</w:t>
      </w:r>
    </w:p>
    <w:p w14:paraId="5037F9B9" w14:textId="77777777" w:rsidR="00DB7512" w:rsidRPr="0070034E" w:rsidRDefault="00DB7512" w:rsidP="00DB7512">
      <w:pPr>
        <w:pStyle w:val="ParaNoNdepar-AltN"/>
        <w:rPr>
          <w:rFonts w:cs="Times New Roman"/>
        </w:rPr>
      </w:pPr>
      <w:r w:rsidRPr="0070034E">
        <w:rPr>
          <w:rFonts w:cs="Times New Roman"/>
        </w:rPr>
        <w:t>These well</w:t>
      </w:r>
      <w:r w:rsidRPr="0070034E">
        <w:rPr>
          <w:rFonts w:cs="Times New Roman"/>
        </w:rPr>
        <w:noBreakHyphen/>
        <w:t xml:space="preserve">established principles are consistent with </w:t>
      </w:r>
      <w:r w:rsidRPr="0070034E">
        <w:rPr>
          <w:rFonts w:cs="Times New Roman"/>
          <w:i/>
        </w:rPr>
        <w:t>Vavilov</w:t>
      </w:r>
      <w:r w:rsidRPr="0070034E">
        <w:rPr>
          <w:rFonts w:cs="Times New Roman"/>
        </w:rPr>
        <w:t xml:space="preserve">, and they should continue to be applied in accordance with the foundational common law principle of </w:t>
      </w:r>
      <w:r w:rsidRPr="0070034E">
        <w:rPr>
          <w:rFonts w:cs="Times New Roman"/>
          <w:i/>
        </w:rPr>
        <w:t>stare decisis</w:t>
      </w:r>
      <w:r w:rsidRPr="0070034E">
        <w:rPr>
          <w:rFonts w:cs="Times New Roman"/>
        </w:rPr>
        <w:t>.</w:t>
      </w:r>
    </w:p>
    <w:p w14:paraId="0E74105E"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As explained, </w:t>
      </w:r>
      <w:r w:rsidRPr="0070034E">
        <w:rPr>
          <w:rFonts w:eastAsia="Times New Roman" w:cs="Times New Roman"/>
          <w:i/>
          <w:szCs w:val="24"/>
        </w:rPr>
        <w:t xml:space="preserve">Vavilov </w:t>
      </w:r>
      <w:r w:rsidRPr="0070034E">
        <w:rPr>
          <w:rFonts w:eastAsia="Times New Roman" w:cs="Times New Roman"/>
          <w:szCs w:val="24"/>
        </w:rPr>
        <w:t xml:space="preserve">recognized the continued relevance and application of prior jurisprudence insofar as that jurisprudence is consistent with </w:t>
      </w:r>
      <w:r w:rsidRPr="0070034E">
        <w:rPr>
          <w:rFonts w:eastAsia="Times New Roman" w:cs="Times New Roman"/>
          <w:i/>
          <w:szCs w:val="24"/>
        </w:rPr>
        <w:t>Vavilov</w:t>
      </w:r>
      <w:r w:rsidRPr="0070034E">
        <w:rPr>
          <w:rFonts w:eastAsia="Times New Roman" w:cs="Times New Roman"/>
          <w:szCs w:val="24"/>
        </w:rPr>
        <w:t xml:space="preserve">’s framework for determining the appropriate standard of review and its principles governing robust reasonableness review. Nothing in </w:t>
      </w:r>
      <w:r w:rsidRPr="0070034E">
        <w:rPr>
          <w:rFonts w:eastAsia="Times New Roman" w:cs="Times New Roman"/>
          <w:i/>
          <w:szCs w:val="24"/>
        </w:rPr>
        <w:t>Vavilov</w:t>
      </w:r>
      <w:r w:rsidRPr="0070034E">
        <w:rPr>
          <w:rFonts w:eastAsia="Times New Roman" w:cs="Times New Roman"/>
          <w:szCs w:val="24"/>
        </w:rPr>
        <w:t xml:space="preserve"> contradicts the principles that: (1) subordinate legislation “must be consistent both with specific provisions of the enabling statute and with its overriding purpose or object”, (2) the challenged subordinate legislation and the enabling statute are to be interpreted using a broad and purposive approach to statutory interpretation and (3) a review of the </w:t>
      </w:r>
      <w:r w:rsidRPr="0070034E">
        <w:rPr>
          <w:rFonts w:eastAsia="Times New Roman" w:cs="Times New Roman"/>
          <w:i/>
          <w:iCs/>
          <w:szCs w:val="24"/>
        </w:rPr>
        <w:t xml:space="preserve">vires </w:t>
      </w:r>
      <w:r w:rsidRPr="0070034E">
        <w:rPr>
          <w:rFonts w:eastAsia="Times New Roman" w:cs="Times New Roman"/>
          <w:szCs w:val="24"/>
        </w:rPr>
        <w:t>of subordinate legislation does not involve assessing policy merits.</w:t>
      </w:r>
    </w:p>
    <w:p w14:paraId="15A497AE" w14:textId="77777777" w:rsidR="00DB7512" w:rsidRPr="0070034E" w:rsidRDefault="00DB7512" w:rsidP="00DB7512">
      <w:pPr>
        <w:pStyle w:val="ParaNoNdepar-AltN"/>
        <w:rPr>
          <w:rFonts w:cs="Times New Roman"/>
        </w:rPr>
      </w:pPr>
      <w:r w:rsidRPr="0070034E">
        <w:rPr>
          <w:rFonts w:cs="Times New Roman"/>
        </w:rPr>
        <w:t xml:space="preserve">The principle that subordinate legislation benefits from a presumption of validity has been criticized by some for being inconsistent with </w:t>
      </w:r>
      <w:proofErr w:type="spellStart"/>
      <w:r w:rsidRPr="0070034E">
        <w:rPr>
          <w:rFonts w:cs="Times New Roman"/>
          <w:i/>
        </w:rPr>
        <w:t>Vavilov</w:t>
      </w:r>
      <w:proofErr w:type="spellEnd"/>
      <w:r w:rsidRPr="0070034E">
        <w:rPr>
          <w:rFonts w:cs="Times New Roman"/>
          <w:i/>
        </w:rPr>
        <w:t xml:space="preserve"> </w:t>
      </w:r>
      <w:r w:rsidRPr="0070034E">
        <w:rPr>
          <w:rFonts w:cs="Times New Roman"/>
        </w:rPr>
        <w:t xml:space="preserve">(see </w:t>
      </w:r>
      <w:proofErr w:type="spellStart"/>
      <w:r w:rsidRPr="0070034E">
        <w:rPr>
          <w:rFonts w:cs="Times New Roman"/>
          <w:i/>
        </w:rPr>
        <w:t>Portnov</w:t>
      </w:r>
      <w:proofErr w:type="spellEnd"/>
      <w:r w:rsidRPr="0070034E">
        <w:rPr>
          <w:rFonts w:cs="Times New Roman"/>
          <w:i/>
        </w:rPr>
        <w:t xml:space="preserve"> v. Canada</w:t>
      </w:r>
      <w:r w:rsidRPr="0070034E">
        <w:rPr>
          <w:rFonts w:cs="Times New Roman"/>
        </w:rPr>
        <w:t xml:space="preserve"> </w:t>
      </w:r>
      <w:r w:rsidRPr="0070034E">
        <w:rPr>
          <w:rFonts w:cs="Times New Roman"/>
          <w:i/>
        </w:rPr>
        <w:t>(Attorney General)</w:t>
      </w:r>
      <w:r w:rsidRPr="0070034E">
        <w:rPr>
          <w:rFonts w:cs="Times New Roman"/>
        </w:rPr>
        <w:t>, 2021 FCA 171, [2021] 4 F.C.R. 501, at paras. 20</w:t>
      </w:r>
      <w:r w:rsidRPr="0070034E">
        <w:rPr>
          <w:rFonts w:cs="Times New Roman"/>
        </w:rPr>
        <w:noBreakHyphen/>
        <w:t xml:space="preserve">22; </w:t>
      </w:r>
      <w:r w:rsidRPr="0070034E">
        <w:rPr>
          <w:rFonts w:cs="Times New Roman"/>
          <w:i/>
        </w:rPr>
        <w:t>Innovative Medicines Canada v. Canada (Attorney General)</w:t>
      </w:r>
      <w:r w:rsidRPr="0070034E">
        <w:rPr>
          <w:rFonts w:cs="Times New Roman"/>
        </w:rPr>
        <w:t>, 2022 FCA 210, 8 Admin. L.R. (7th) 44, at para. 30). However, this criticism is mistaken.</w:t>
      </w:r>
    </w:p>
    <w:p w14:paraId="665BA428" w14:textId="77777777" w:rsidR="00DB7512" w:rsidRPr="0070034E" w:rsidRDefault="00DB7512" w:rsidP="00DB7512">
      <w:pPr>
        <w:pStyle w:val="ParaNoNdepar-AltN"/>
        <w:rPr>
          <w:rFonts w:cs="Times New Roman"/>
        </w:rPr>
      </w:pPr>
      <w:r w:rsidRPr="0070034E">
        <w:rPr>
          <w:rFonts w:cs="Times New Roman"/>
        </w:rPr>
        <w:t xml:space="preserve">In </w:t>
      </w:r>
      <w:r w:rsidRPr="0070034E">
        <w:rPr>
          <w:rFonts w:cs="Times New Roman"/>
          <w:i/>
        </w:rPr>
        <w:t>Katz Group</w:t>
      </w:r>
      <w:r w:rsidRPr="0070034E">
        <w:rPr>
          <w:rFonts w:cs="Times New Roman"/>
        </w:rPr>
        <w:t xml:space="preserve">, our Court explained that this presumption has two aspects: (1) “it places the burden on challengers to demonstrate the invalidity of [subordinate legislation]”; and (2) “it favours an interpretive approach that reconciles the [subordinate legislation] with its enabling statute so that, </w:t>
      </w:r>
      <w:r w:rsidRPr="0070034E">
        <w:rPr>
          <w:rFonts w:cs="Times New Roman"/>
          <w:i/>
        </w:rPr>
        <w:t>where possible</w:t>
      </w:r>
      <w:r w:rsidRPr="0070034E">
        <w:rPr>
          <w:rFonts w:cs="Times New Roman"/>
        </w:rPr>
        <w:t xml:space="preserve">, the [subordinate legislation] is construed in a manner which renders it </w:t>
      </w:r>
      <w:r w:rsidRPr="0070034E">
        <w:rPr>
          <w:rFonts w:cs="Times New Roman"/>
          <w:i/>
        </w:rPr>
        <w:t>intra vires</w:t>
      </w:r>
      <w:r w:rsidRPr="0070034E">
        <w:rPr>
          <w:rFonts w:cs="Times New Roman"/>
        </w:rPr>
        <w:t>” (para. 25 (emphasis in original)).</w:t>
      </w:r>
    </w:p>
    <w:p w14:paraId="64B58A57" w14:textId="77777777" w:rsidR="00DB7512" w:rsidRPr="0070034E" w:rsidRDefault="00DB7512" w:rsidP="00DB7512">
      <w:pPr>
        <w:pStyle w:val="ParaNoNdepar-AltN"/>
        <w:rPr>
          <w:rFonts w:cs="Times New Roman"/>
        </w:rPr>
      </w:pPr>
      <w:r w:rsidRPr="0070034E">
        <w:rPr>
          <w:rFonts w:cs="Times New Roman"/>
        </w:rPr>
        <w:t xml:space="preserve">The first aspect — that the burden is on challengers to demonstrate the invalidity of subordinate legislation — is uncontroversial. Indeed, in </w:t>
      </w:r>
      <w:r w:rsidRPr="0070034E">
        <w:rPr>
          <w:rFonts w:cs="Times New Roman"/>
          <w:i/>
        </w:rPr>
        <w:t>Vavilov</w:t>
      </w:r>
      <w:r w:rsidRPr="0070034E">
        <w:rPr>
          <w:rFonts w:cs="Times New Roman"/>
        </w:rPr>
        <w:t>, our Court explained that where an administrative decision is reviewed for reasonableness, “[t]he burden is on the party challenging the decision to show that it is unreasonable” (para. 100).</w:t>
      </w:r>
    </w:p>
    <w:p w14:paraId="23891675" w14:textId="77777777" w:rsidR="00DB7512" w:rsidRPr="0070034E" w:rsidRDefault="00DB7512" w:rsidP="00DB7512">
      <w:pPr>
        <w:pStyle w:val="ParaNoNdepar-AltN"/>
        <w:rPr>
          <w:rFonts w:cs="Times New Roman"/>
        </w:rPr>
      </w:pPr>
      <w:r w:rsidRPr="0070034E">
        <w:rPr>
          <w:rFonts w:cs="Times New Roman"/>
        </w:rPr>
        <w:t xml:space="preserve">The second aspect — that, </w:t>
      </w:r>
      <w:r w:rsidRPr="0070034E">
        <w:rPr>
          <w:rFonts w:cs="Times New Roman"/>
          <w:i/>
        </w:rPr>
        <w:t>where possible</w:t>
      </w:r>
      <w:r w:rsidRPr="0070034E">
        <w:rPr>
          <w:rFonts w:cs="Times New Roman"/>
        </w:rPr>
        <w:t xml:space="preserve">, subordinate legislation should be construed in a manner that renders it </w:t>
      </w:r>
      <w:r w:rsidRPr="0070034E">
        <w:rPr>
          <w:rFonts w:cs="Times New Roman"/>
          <w:i/>
        </w:rPr>
        <w:t>intra vires </w:t>
      </w:r>
      <w:r w:rsidRPr="0070034E">
        <w:rPr>
          <w:rFonts w:cs="Times New Roman"/>
        </w:rPr>
        <w:t xml:space="preserve">— is also consistent with </w:t>
      </w:r>
      <w:r w:rsidRPr="0070034E">
        <w:rPr>
          <w:rFonts w:cs="Times New Roman"/>
          <w:i/>
        </w:rPr>
        <w:t>Vavilov</w:t>
      </w:r>
      <w:r w:rsidRPr="0070034E">
        <w:rPr>
          <w:rFonts w:cs="Times New Roman"/>
        </w:rPr>
        <w:t xml:space="preserve">. This aspect does not heighten the burden that challengers would otherwise face pursuant to </w:t>
      </w:r>
      <w:r w:rsidRPr="0070034E">
        <w:rPr>
          <w:rFonts w:cs="Times New Roman"/>
          <w:i/>
        </w:rPr>
        <w:t>Vavilov</w:t>
      </w:r>
      <w:r w:rsidRPr="0070034E">
        <w:rPr>
          <w:rFonts w:cs="Times New Roman"/>
        </w:rPr>
        <w:t xml:space="preserve">. The burden on challengers depends on the applicable standard of review. If the reasonableness standard applies, to overcome the presumption of validity, challengers must demonstrate that the subordinate legislation does not fall within a </w:t>
      </w:r>
      <w:r w:rsidRPr="0070034E">
        <w:rPr>
          <w:rFonts w:cs="Times New Roman"/>
          <w:i/>
        </w:rPr>
        <w:t>reasonable</w:t>
      </w:r>
      <w:r w:rsidRPr="0070034E">
        <w:rPr>
          <w:rFonts w:cs="Times New Roman"/>
        </w:rPr>
        <w:t xml:space="preserve"> interpretation of the delegate’s statutory authority. If the correctness standard applies, challengers can overcome the presumption of validity by demonstrating that the subordinate legislation does not fall within the </w:t>
      </w:r>
      <w:r w:rsidRPr="0070034E">
        <w:rPr>
          <w:rFonts w:cs="Times New Roman"/>
          <w:i/>
        </w:rPr>
        <w:t>correct</w:t>
      </w:r>
      <w:r w:rsidRPr="0070034E">
        <w:rPr>
          <w:rFonts w:cs="Times New Roman"/>
        </w:rPr>
        <w:t xml:space="preserve"> interpretation of the delegate’s statutory authority.</w:t>
      </w:r>
    </w:p>
    <w:p w14:paraId="5D2F3ABA" w14:textId="77777777" w:rsidR="00DB7512" w:rsidRPr="0070034E" w:rsidRDefault="00DB7512" w:rsidP="00DB7512">
      <w:pPr>
        <w:pStyle w:val="ParaNoNdepar-AltN"/>
        <w:rPr>
          <w:rFonts w:eastAsia="Times New Roman" w:cs="Times New Roman"/>
          <w:szCs w:val="24"/>
        </w:rPr>
      </w:pPr>
      <w:r w:rsidRPr="0070034E">
        <w:rPr>
          <w:rFonts w:cs="Times New Roman"/>
        </w:rPr>
        <w:t xml:space="preserve">All of these principles from </w:t>
      </w:r>
      <w:r w:rsidRPr="0070034E">
        <w:rPr>
          <w:rFonts w:cs="Times New Roman"/>
          <w:i/>
        </w:rPr>
        <w:t>Katz Group</w:t>
      </w:r>
      <w:r w:rsidRPr="0070034E">
        <w:rPr>
          <w:rFonts w:cs="Times New Roman"/>
        </w:rPr>
        <w:t xml:space="preserve">, including the principle that subordinate legislation benefits from a presumption of validity, have been repeatedly affirmed by our Court (see </w:t>
      </w:r>
      <w:r w:rsidRPr="0070034E">
        <w:rPr>
          <w:rFonts w:eastAsia="Times New Roman" w:cs="Times New Roman"/>
          <w:i/>
        </w:rPr>
        <w:t>Vavilov</w:t>
      </w:r>
      <w:r w:rsidRPr="0070034E">
        <w:rPr>
          <w:rFonts w:eastAsia="Times New Roman" w:cs="Times New Roman"/>
        </w:rPr>
        <w:t xml:space="preserve">, at paras. 108 and 110; </w:t>
      </w:r>
      <w:r w:rsidRPr="0070034E">
        <w:rPr>
          <w:rFonts w:cs="Times New Roman"/>
          <w:i/>
          <w:iCs/>
        </w:rPr>
        <w:t>References re Greenhouse Gas Pollution Pricing Act</w:t>
      </w:r>
      <w:r w:rsidRPr="0070034E">
        <w:rPr>
          <w:rFonts w:cs="Times New Roman"/>
        </w:rPr>
        <w:t xml:space="preserve">, at para. 87; </w:t>
      </w:r>
      <w:r w:rsidRPr="0070034E">
        <w:rPr>
          <w:rFonts w:eastAsia="Times New Roman" w:cs="Times New Roman"/>
          <w:i/>
          <w:iCs/>
          <w:szCs w:val="24"/>
        </w:rPr>
        <w:t>Reference re</w:t>
      </w:r>
      <w:r w:rsidRPr="0070034E">
        <w:rPr>
          <w:rFonts w:eastAsia="Times New Roman" w:cs="Times New Roman"/>
          <w:szCs w:val="24"/>
        </w:rPr>
        <w:t xml:space="preserve"> </w:t>
      </w:r>
      <w:r w:rsidRPr="0070034E">
        <w:rPr>
          <w:rFonts w:eastAsia="Times New Roman" w:cs="Times New Roman"/>
          <w:i/>
          <w:iCs/>
          <w:szCs w:val="24"/>
        </w:rPr>
        <w:t>Impact Assessment Act</w:t>
      </w:r>
      <w:r w:rsidRPr="0070034E">
        <w:rPr>
          <w:rFonts w:cs="Times New Roman"/>
        </w:rPr>
        <w:t xml:space="preserve">, at para. 283; </w:t>
      </w:r>
      <w:r w:rsidRPr="0070034E">
        <w:rPr>
          <w:rFonts w:eastAsia="Times New Roman" w:cs="Times New Roman"/>
          <w:i/>
          <w:iCs/>
          <w:szCs w:val="24"/>
        </w:rPr>
        <w:t>Canadian Council for Refugees</w:t>
      </w:r>
      <w:r w:rsidRPr="0070034E">
        <w:rPr>
          <w:rFonts w:eastAsia="Times New Roman" w:cs="Times New Roman"/>
          <w:iCs/>
          <w:szCs w:val="24"/>
        </w:rPr>
        <w:t xml:space="preserve">, at para. 54; </w:t>
      </w:r>
      <w:r w:rsidRPr="0070034E">
        <w:rPr>
          <w:rFonts w:eastAsia="Times New Roman" w:cs="Times New Roman"/>
          <w:i/>
          <w:iCs/>
          <w:szCs w:val="24"/>
        </w:rPr>
        <w:t>Green</w:t>
      </w:r>
      <w:r w:rsidRPr="0070034E">
        <w:rPr>
          <w:rFonts w:eastAsia="Times New Roman" w:cs="Times New Roman"/>
          <w:szCs w:val="24"/>
        </w:rPr>
        <w:t xml:space="preserve">, at para. 28; </w:t>
      </w:r>
      <w:r w:rsidRPr="0070034E">
        <w:rPr>
          <w:rFonts w:eastAsia="Times New Roman" w:cs="Times New Roman"/>
          <w:i/>
          <w:iCs/>
          <w:szCs w:val="24"/>
        </w:rPr>
        <w:t>West Fraser Mills</w:t>
      </w:r>
      <w:r w:rsidRPr="0070034E">
        <w:rPr>
          <w:rFonts w:eastAsia="Times New Roman" w:cs="Times New Roman"/>
          <w:szCs w:val="24"/>
        </w:rPr>
        <w:t>, at paras. 12 and 59</w:t>
      </w:r>
      <w:r w:rsidRPr="0070034E">
        <w:rPr>
          <w:rFonts w:cs="Times New Roman"/>
        </w:rPr>
        <w:t xml:space="preserve">). In these circumstances, it would be inconsistent with the common law tradition and the principle of </w:t>
      </w:r>
      <w:r w:rsidRPr="0070034E">
        <w:rPr>
          <w:rFonts w:cs="Times New Roman"/>
          <w:i/>
        </w:rPr>
        <w:t xml:space="preserve">stare decisis </w:t>
      </w:r>
      <w:r w:rsidRPr="0070034E">
        <w:rPr>
          <w:rFonts w:cs="Times New Roman"/>
        </w:rPr>
        <w:t xml:space="preserve">to discard </w:t>
      </w:r>
      <w:r w:rsidRPr="0070034E">
        <w:rPr>
          <w:rFonts w:cs="Times New Roman"/>
          <w:i/>
        </w:rPr>
        <w:t xml:space="preserve">Katz Group </w:t>
      </w:r>
      <w:r w:rsidRPr="0070034E">
        <w:rPr>
          <w:rFonts w:cs="Times New Roman"/>
        </w:rPr>
        <w:t>and the continued application of these principles.</w:t>
      </w:r>
    </w:p>
    <w:p w14:paraId="77ECE28F" w14:textId="77777777" w:rsidR="00DB7512" w:rsidRPr="0070034E" w:rsidRDefault="00DB7512" w:rsidP="00DB7512">
      <w:pPr>
        <w:pStyle w:val="Title3LevelTitre3Niveau"/>
        <w:rPr>
          <w:rFonts w:eastAsia="Times New Roman" w:cs="Times New Roman"/>
          <w:szCs w:val="24"/>
        </w:rPr>
      </w:pPr>
      <w:bookmarkStart w:id="16" w:name="_Toc172041736"/>
      <w:r w:rsidRPr="0070034E">
        <w:rPr>
          <w:rFonts w:cs="Times New Roman"/>
        </w:rPr>
        <w:t>The “Irrelevant”, “Extraneous” or “Completely Unrelated” Threshold Is No Longer Relevant</w:t>
      </w:r>
      <w:bookmarkEnd w:id="16"/>
    </w:p>
    <w:p w14:paraId="55BC84DB" w14:textId="77777777" w:rsidR="00DB7512" w:rsidRPr="0070034E" w:rsidRDefault="00DB7512" w:rsidP="00DB7512">
      <w:pPr>
        <w:pStyle w:val="ParaNoNdepar-AltN"/>
        <w:rPr>
          <w:rFonts w:eastAsia="Times New Roman" w:cs="Times New Roman"/>
          <w:szCs w:val="24"/>
        </w:rPr>
      </w:pPr>
      <w:r w:rsidRPr="0070034E">
        <w:rPr>
          <w:rFonts w:cs="Times New Roman"/>
        </w:rPr>
        <w:t xml:space="preserve">Writing for a majority of the Court of Appeal, Pentelechuk J.A. held that the </w:t>
      </w:r>
      <w:r w:rsidRPr="0070034E">
        <w:rPr>
          <w:rFonts w:cs="Times New Roman"/>
          <w:i/>
          <w:iCs/>
        </w:rPr>
        <w:t>vires</w:t>
      </w:r>
      <w:r w:rsidRPr="0070034E">
        <w:rPr>
          <w:rFonts w:cs="Times New Roman"/>
        </w:rPr>
        <w:t xml:space="preserve"> of the </w:t>
      </w:r>
      <w:r w:rsidRPr="0070034E">
        <w:rPr>
          <w:rFonts w:cs="Times New Roman"/>
          <w:i/>
          <w:iCs/>
        </w:rPr>
        <w:t>Child Support Guidelines</w:t>
      </w:r>
      <w:r w:rsidRPr="0070034E">
        <w:rPr>
          <w:rFonts w:cs="Times New Roman"/>
        </w:rPr>
        <w:t xml:space="preserve"> was to be reviewed on the basis of the “irrelevant”, “extraneous” or “completely unrelated” threshold, instead of on the reasonableness standard in accordance with </w:t>
      </w:r>
      <w:r w:rsidRPr="0070034E">
        <w:rPr>
          <w:rFonts w:cs="Times New Roman"/>
          <w:i/>
          <w:iCs/>
        </w:rPr>
        <w:t>Vavilov</w:t>
      </w:r>
      <w:r w:rsidRPr="0070034E">
        <w:rPr>
          <w:rFonts w:cs="Times New Roman"/>
        </w:rPr>
        <w:t xml:space="preserve">. I disagree. As I explain in this section, the conceptual basis for the “irrelevant”, “extraneous” or “completely unrelated” threshold does not hold in a legal landscape now organized by the principles set out in </w:t>
      </w:r>
      <w:r w:rsidRPr="0070034E">
        <w:rPr>
          <w:rFonts w:cs="Times New Roman"/>
          <w:i/>
        </w:rPr>
        <w:t>Vavilov</w:t>
      </w:r>
      <w:r w:rsidRPr="0070034E">
        <w:rPr>
          <w:rFonts w:cs="Times New Roman"/>
        </w:rPr>
        <w:t>,</w:t>
      </w:r>
      <w:r w:rsidRPr="0070034E">
        <w:rPr>
          <w:rFonts w:cs="Times New Roman"/>
          <w:i/>
        </w:rPr>
        <w:t xml:space="preserve"> </w:t>
      </w:r>
      <w:r w:rsidRPr="0070034E">
        <w:rPr>
          <w:rFonts w:cs="Times New Roman"/>
        </w:rPr>
        <w:t xml:space="preserve">which centre </w:t>
      </w:r>
      <w:proofErr w:type="gramStart"/>
      <w:r w:rsidRPr="0070034E">
        <w:rPr>
          <w:rFonts w:cs="Times New Roman"/>
        </w:rPr>
        <w:t>around</w:t>
      </w:r>
      <w:proofErr w:type="gramEnd"/>
      <w:r w:rsidRPr="0070034E">
        <w:rPr>
          <w:rFonts w:cs="Times New Roman"/>
        </w:rPr>
        <w:t xml:space="preserve"> reasonableness review. This threshold from </w:t>
      </w:r>
      <w:r w:rsidRPr="0070034E">
        <w:rPr>
          <w:rFonts w:cs="Times New Roman"/>
          <w:i/>
        </w:rPr>
        <w:t xml:space="preserve">Katz Group </w:t>
      </w:r>
      <w:r w:rsidRPr="0070034E">
        <w:rPr>
          <w:rFonts w:cs="Times New Roman"/>
        </w:rPr>
        <w:t>is now out of step with these principles; maintaining it would perpetuate uncertainty in the law. Accordingly, the “irrelevant”, “extraneous” or “completely unrelated” threshold</w:t>
      </w:r>
      <w:r w:rsidRPr="0070034E">
        <w:rPr>
          <w:rFonts w:eastAsia="Times New Roman" w:cs="Times New Roman"/>
          <w:szCs w:val="24"/>
        </w:rPr>
        <w:t xml:space="preserve"> does not provide a standalone rule for a </w:t>
      </w:r>
      <w:r w:rsidRPr="0070034E">
        <w:rPr>
          <w:rFonts w:eastAsia="Times New Roman" w:cs="Times New Roman"/>
          <w:i/>
          <w:iCs/>
          <w:szCs w:val="24"/>
        </w:rPr>
        <w:t>vires</w:t>
      </w:r>
      <w:r w:rsidRPr="0070034E">
        <w:rPr>
          <w:rFonts w:eastAsia="Times New Roman" w:cs="Times New Roman"/>
          <w:szCs w:val="24"/>
        </w:rPr>
        <w:t xml:space="preserve"> review.</w:t>
      </w:r>
    </w:p>
    <w:p w14:paraId="3C41979B"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Justice Pentelechuk distinguished between “true regulations”, which create law through the exercise of a legislative function, such as those passed by the GIC, and “bylaws, rules, and regulations made by administrative tribunals or municipal governments” (paras. 20 and 34). She held that the </w:t>
      </w:r>
      <w:r w:rsidRPr="0070034E">
        <w:rPr>
          <w:rFonts w:eastAsia="Times New Roman" w:cs="Times New Roman"/>
          <w:i/>
          <w:iCs/>
          <w:szCs w:val="24"/>
        </w:rPr>
        <w:t xml:space="preserve">vires </w:t>
      </w:r>
      <w:r w:rsidRPr="0070034E">
        <w:rPr>
          <w:rFonts w:eastAsia="Times New Roman" w:cs="Times New Roman"/>
          <w:szCs w:val="24"/>
        </w:rPr>
        <w:t xml:space="preserve">of “true regulations” are not to be reviewed on the reasonableness standard; rather, the appropriate test is whether they are “irrelevant”, “extraneous” or “completely unrelated” to the purpose of their enabling statute, as outlined in </w:t>
      </w:r>
      <w:r w:rsidRPr="0070034E">
        <w:rPr>
          <w:rFonts w:eastAsia="Times New Roman" w:cs="Times New Roman"/>
          <w:i/>
          <w:iCs/>
          <w:szCs w:val="24"/>
        </w:rPr>
        <w:t>Katz Group</w:t>
      </w:r>
      <w:r w:rsidRPr="0070034E">
        <w:rPr>
          <w:rFonts w:eastAsia="Times New Roman" w:cs="Times New Roman"/>
          <w:szCs w:val="24"/>
        </w:rPr>
        <w:t xml:space="preserve">. By contrast, the </w:t>
      </w:r>
      <w:r w:rsidRPr="0070034E">
        <w:rPr>
          <w:rFonts w:eastAsia="Times New Roman" w:cs="Times New Roman"/>
          <w:i/>
          <w:iCs/>
          <w:szCs w:val="24"/>
        </w:rPr>
        <w:t xml:space="preserve">vires </w:t>
      </w:r>
      <w:r w:rsidRPr="0070034E">
        <w:rPr>
          <w:rFonts w:eastAsia="Times New Roman" w:cs="Times New Roman"/>
          <w:szCs w:val="24"/>
        </w:rPr>
        <w:t>of bylaws, rules and regulations made by administrative tribunals or municipal governments are to be reviewed for reasonableness (para. 82). In making this distinction, Pentelechuk J.A. relied on the fact that “true regulations” are subject to a “consultation process culminating in parliamentary review” while “bylaws, rules, and regulations made by administrative tribunals or municipal governments” are not (para. 34).</w:t>
      </w:r>
    </w:p>
    <w:p w14:paraId="3B61EB2D"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According to Pentelechuk J.A., the appropriate standard for reviewing the </w:t>
      </w:r>
      <w:r w:rsidRPr="0070034E">
        <w:rPr>
          <w:rFonts w:eastAsia="Times New Roman" w:cs="Times New Roman"/>
          <w:i/>
          <w:iCs/>
          <w:szCs w:val="24"/>
        </w:rPr>
        <w:t xml:space="preserve">vires </w:t>
      </w:r>
      <w:r w:rsidRPr="0070034E">
        <w:rPr>
          <w:rFonts w:eastAsia="Times New Roman" w:cs="Times New Roman"/>
          <w:szCs w:val="24"/>
        </w:rPr>
        <w:t>of subordinate legislation depends on the identity of the decision maker who enacted it. I disagree. The identity of the decision maker does not determine the standard of review. “Regulations ‘derive their validity from the statute which creates the power, and not from the executive body by which they are made’” (</w:t>
      </w:r>
      <w:r w:rsidRPr="0070034E">
        <w:rPr>
          <w:rFonts w:eastAsia="Times New Roman" w:cs="Times New Roman"/>
          <w:i/>
          <w:iCs/>
          <w:szCs w:val="24"/>
        </w:rPr>
        <w:t>Canadian Council for Refugees</w:t>
      </w:r>
      <w:r w:rsidRPr="0070034E">
        <w:rPr>
          <w:rFonts w:eastAsia="Times New Roman" w:cs="Times New Roman"/>
          <w:szCs w:val="24"/>
        </w:rPr>
        <w:t xml:space="preserve">, at para. 51, citing </w:t>
      </w:r>
      <w:r w:rsidRPr="0070034E">
        <w:rPr>
          <w:rFonts w:eastAsia="Times New Roman" w:cs="Times New Roman"/>
          <w:i/>
          <w:iCs/>
          <w:szCs w:val="24"/>
        </w:rPr>
        <w:t>Reference as to the Validity of the Regulations in relation to Chemicals</w:t>
      </w:r>
      <w:r w:rsidRPr="0070034E">
        <w:rPr>
          <w:rFonts w:eastAsia="Times New Roman" w:cs="Times New Roman"/>
          <w:szCs w:val="24"/>
        </w:rPr>
        <w:t xml:space="preserve">, [1943] S.C.R. 1, at p. 13). In </w:t>
      </w:r>
      <w:r w:rsidRPr="0070034E">
        <w:rPr>
          <w:rFonts w:eastAsia="Times New Roman" w:cs="Times New Roman"/>
          <w:i/>
          <w:iCs/>
          <w:szCs w:val="24"/>
        </w:rPr>
        <w:t>Vavilov</w:t>
      </w:r>
      <w:r w:rsidRPr="0070034E">
        <w:rPr>
          <w:rFonts w:eastAsia="Times New Roman" w:cs="Times New Roman"/>
          <w:szCs w:val="24"/>
        </w:rPr>
        <w:t>, our Court noted the “sheer variety of [administrative] decisions and decision makers” and yet confirmed that reasonableness is a single standard that takes account of this diversity (para. 88).</w:t>
      </w:r>
    </w:p>
    <w:p w14:paraId="3687FD55"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To summarize, unless the legislature has indicated otherwise or if a matter invokes an issue pertaining to the rule of law which would require a review on the basis of correctness, the </w:t>
      </w:r>
      <w:r w:rsidRPr="0070034E">
        <w:rPr>
          <w:rFonts w:eastAsia="Times New Roman" w:cs="Times New Roman"/>
          <w:i/>
          <w:iCs/>
          <w:szCs w:val="24"/>
        </w:rPr>
        <w:t xml:space="preserve">vires </w:t>
      </w:r>
      <w:r w:rsidRPr="0070034E">
        <w:rPr>
          <w:rFonts w:eastAsia="Times New Roman" w:cs="Times New Roman"/>
          <w:szCs w:val="24"/>
        </w:rPr>
        <w:t xml:space="preserve">of subordinate legislation are to be reviewed on the reasonableness standard regardless of the delegate who enacted it, their proximity to the legislative branch or the process by which the subordinate legislation was enacted. Introducing these distinctions into the standard of review framework would be “contrary to the </w:t>
      </w:r>
      <w:proofErr w:type="spellStart"/>
      <w:r w:rsidRPr="0070034E">
        <w:rPr>
          <w:rFonts w:eastAsia="Times New Roman" w:cs="Times New Roman"/>
          <w:i/>
          <w:iCs/>
          <w:szCs w:val="24"/>
        </w:rPr>
        <w:t>Vavilovian</w:t>
      </w:r>
      <w:proofErr w:type="spellEnd"/>
      <w:r w:rsidRPr="0070034E">
        <w:rPr>
          <w:rFonts w:eastAsia="Times New Roman" w:cs="Times New Roman"/>
          <w:i/>
          <w:iCs/>
          <w:szCs w:val="24"/>
        </w:rPr>
        <w:t xml:space="preserve"> </w:t>
      </w:r>
      <w:r w:rsidRPr="0070034E">
        <w:rPr>
          <w:rFonts w:eastAsia="Times New Roman" w:cs="Times New Roman"/>
          <w:szCs w:val="24"/>
        </w:rPr>
        <w:t xml:space="preserve">purposes of simplification and clarity” (P. Daly, </w:t>
      </w:r>
      <w:r w:rsidRPr="0070034E">
        <w:rPr>
          <w:rFonts w:cs="Times New Roman"/>
          <w:i/>
        </w:rPr>
        <w:t>Resisting which Siren’s Call? Auer v Auer, 2022 ABCA 375 and TransAlta Generation Partnership v Alberta (Minister of Municipal Affairs), 2022 ABCA 381</w:t>
      </w:r>
      <w:r w:rsidRPr="0070034E">
        <w:rPr>
          <w:rFonts w:cs="Times New Roman"/>
        </w:rPr>
        <w:t>, November 24 2022 (online)</w:t>
      </w:r>
      <w:r w:rsidRPr="0070034E">
        <w:rPr>
          <w:rFonts w:eastAsia="Times New Roman" w:cs="Times New Roman"/>
          <w:szCs w:val="24"/>
        </w:rPr>
        <w:t>; Daly (2023), at p. 147).</w:t>
      </w:r>
    </w:p>
    <w:p w14:paraId="1A0E7382" w14:textId="77777777" w:rsidR="00DB7512" w:rsidRPr="0070034E" w:rsidRDefault="00DB7512" w:rsidP="00DB7512">
      <w:pPr>
        <w:pStyle w:val="ParaNoNdepar-AltN"/>
        <w:rPr>
          <w:rFonts w:eastAsia="Times New Roman" w:cs="Times New Roman"/>
          <w:szCs w:val="24"/>
        </w:rPr>
      </w:pPr>
      <w:r w:rsidRPr="0070034E">
        <w:rPr>
          <w:rFonts w:cs="Times New Roman"/>
        </w:rPr>
        <w:t xml:space="preserve">In concurring reasons, Feehan J.A. held that while the </w:t>
      </w:r>
      <w:r w:rsidRPr="0070034E">
        <w:rPr>
          <w:rFonts w:cs="Times New Roman"/>
          <w:i/>
          <w:iCs/>
        </w:rPr>
        <w:t xml:space="preserve">vires </w:t>
      </w:r>
      <w:r w:rsidRPr="0070034E">
        <w:rPr>
          <w:rFonts w:cs="Times New Roman"/>
        </w:rPr>
        <w:t xml:space="preserve">of subordinate legislation are to be reviewed for reasonableness pursuant to </w:t>
      </w:r>
      <w:r w:rsidRPr="0070034E">
        <w:rPr>
          <w:rFonts w:cs="Times New Roman"/>
          <w:i/>
          <w:iCs/>
        </w:rPr>
        <w:t>Vavilov</w:t>
      </w:r>
      <w:r w:rsidRPr="0070034E">
        <w:rPr>
          <w:rFonts w:cs="Times New Roman"/>
        </w:rPr>
        <w:t xml:space="preserve">, the “irrelevant”, “extraneous” or “completely unrelated” threshold informs that analysis. He explained that the presumption that subordinate legislation is valid may “be overcome if the regulation is ‘irrelevant’, ‘extraneous’ or ‘completely unrelated’ to the objectives of governing statutes” (para. 123(b)). The chambers judge was of a similar view (see paras. 17 and 78). I reject this approach. The “irrelevant”, “extraneous” or “completely unrelated” threshold should not inform reasonableness review under the </w:t>
      </w:r>
      <w:r w:rsidRPr="0070034E">
        <w:rPr>
          <w:rFonts w:cs="Times New Roman"/>
          <w:i/>
          <w:iCs/>
        </w:rPr>
        <w:t>Vavilov</w:t>
      </w:r>
      <w:r w:rsidRPr="0070034E">
        <w:rPr>
          <w:rFonts w:cs="Times New Roman"/>
          <w:iCs/>
        </w:rPr>
        <w:t xml:space="preserve"> framework</w:t>
      </w:r>
      <w:r w:rsidRPr="0070034E">
        <w:rPr>
          <w:rFonts w:cs="Times New Roman"/>
        </w:rPr>
        <w:t>. This is because that threshold</w:t>
      </w:r>
      <w:r w:rsidRPr="0070034E">
        <w:rPr>
          <w:rFonts w:eastAsia="Times New Roman" w:cs="Times New Roman"/>
          <w:szCs w:val="24"/>
        </w:rPr>
        <w:t xml:space="preserve"> is inconsistent with robust reasonableness review under that framework and because maintaining it would undermine </w:t>
      </w:r>
      <w:r w:rsidRPr="0070034E">
        <w:rPr>
          <w:rFonts w:eastAsia="Times New Roman" w:cs="Times New Roman"/>
          <w:i/>
          <w:iCs/>
          <w:szCs w:val="24"/>
        </w:rPr>
        <w:t>Vavilov</w:t>
      </w:r>
      <w:r w:rsidRPr="0070034E">
        <w:rPr>
          <w:rFonts w:eastAsia="Times New Roman" w:cs="Times New Roman"/>
          <w:szCs w:val="24"/>
        </w:rPr>
        <w:t>’s promise of simplicity, predictability and coherence.</w:t>
      </w:r>
    </w:p>
    <w:p w14:paraId="3771FC99" w14:textId="77777777" w:rsidR="00DB7512" w:rsidRPr="0070034E" w:rsidRDefault="00DB7512" w:rsidP="00DB7512">
      <w:pPr>
        <w:pStyle w:val="ParaNoNdepar-AltN"/>
        <w:rPr>
          <w:rFonts w:eastAsia="Times New Roman" w:cs="Times New Roman"/>
          <w:szCs w:val="24"/>
        </w:rPr>
      </w:pPr>
      <w:r w:rsidRPr="0070034E">
        <w:rPr>
          <w:rFonts w:cs="Times New Roman"/>
        </w:rPr>
        <w:t>Reasonableness review ensures that courts intervene in administrative matters where it is truly necessary to do so to safeguard the legality, rationality and fairness of the administrative process (</w:t>
      </w:r>
      <w:r w:rsidRPr="0070034E">
        <w:rPr>
          <w:rFonts w:cs="Times New Roman"/>
          <w:i/>
          <w:iCs/>
        </w:rPr>
        <w:t>Vavilov</w:t>
      </w:r>
      <w:r w:rsidRPr="0070034E">
        <w:rPr>
          <w:rFonts w:cs="Times New Roman"/>
        </w:rPr>
        <w:t>, at para. 13). While reasonableness review “finds its starting point in the principle of judicial restraint and demonstrates a respect for the distinct role of administrative decision makers”, “[i]t remains a robust form of review” (</w:t>
      </w:r>
      <w:r w:rsidRPr="0070034E">
        <w:rPr>
          <w:rFonts w:eastAsia="Times New Roman" w:cs="Times New Roman"/>
          <w:i/>
          <w:iCs/>
          <w:szCs w:val="24"/>
        </w:rPr>
        <w:t>ibid.</w:t>
      </w:r>
      <w:r w:rsidRPr="0070034E">
        <w:rPr>
          <w:rFonts w:cs="Times New Roman"/>
        </w:rPr>
        <w:t>). By contrast, the “irrelevant”, “extraneous” or “completely unrelated” threshold</w:t>
      </w:r>
      <w:r w:rsidRPr="0070034E">
        <w:rPr>
          <w:rFonts w:eastAsia="Times New Roman" w:cs="Times New Roman"/>
          <w:szCs w:val="24"/>
        </w:rPr>
        <w:t xml:space="preserve"> connotes a very high degree of deference, one that is inconsistent with the degree of scrutiny required under a reasonableness review (see </w:t>
      </w:r>
      <w:r w:rsidRPr="0070034E">
        <w:rPr>
          <w:rFonts w:eastAsia="Times New Roman" w:cs="Times New Roman"/>
          <w:i/>
          <w:iCs/>
          <w:szCs w:val="24"/>
        </w:rPr>
        <w:t>British Columbia (Attorney General) v. Le</w:t>
      </w:r>
      <w:r w:rsidRPr="0070034E">
        <w:rPr>
          <w:rFonts w:eastAsia="Times New Roman" w:cs="Times New Roman"/>
          <w:szCs w:val="24"/>
        </w:rPr>
        <w:t>, 2023 BCCA 200, 482 D.L.R. (4th) 20, at para. 94).</w:t>
      </w:r>
    </w:p>
    <w:p w14:paraId="2AF4402B" w14:textId="77777777" w:rsidR="00DB7512" w:rsidRPr="0070034E" w:rsidRDefault="00DB7512" w:rsidP="00DB7512">
      <w:pPr>
        <w:pStyle w:val="ParaNoNdepar-AltN"/>
        <w:rPr>
          <w:rFonts w:eastAsia="Times New Roman" w:cs="Times New Roman"/>
          <w:szCs w:val="24"/>
        </w:rPr>
      </w:pPr>
      <w:r w:rsidRPr="0070034E">
        <w:rPr>
          <w:rFonts w:cs="Times New Roman"/>
        </w:rPr>
        <w:t>This inconsistency is of particular importance when considering “the concern that an administrative decision maker might interpret the scope of its own authority beyond what the legislature intended” (</w:t>
      </w:r>
      <w:r w:rsidRPr="0070034E">
        <w:rPr>
          <w:rFonts w:cs="Times New Roman"/>
          <w:i/>
          <w:iCs/>
        </w:rPr>
        <w:t>Vavilov</w:t>
      </w:r>
      <w:r w:rsidRPr="0070034E">
        <w:rPr>
          <w:rFonts w:cs="Times New Roman"/>
          <w:iCs/>
        </w:rPr>
        <w:t>,</w:t>
      </w:r>
      <w:r w:rsidRPr="0070034E">
        <w:rPr>
          <w:rFonts w:cs="Times New Roman"/>
        </w:rPr>
        <w:t xml:space="preserve"> at para. 109; see also para. 68). In </w:t>
      </w:r>
      <w:r w:rsidRPr="0070034E">
        <w:rPr>
          <w:rFonts w:cs="Times New Roman"/>
          <w:i/>
          <w:iCs/>
        </w:rPr>
        <w:t>Vavilov</w:t>
      </w:r>
      <w:r w:rsidRPr="0070034E">
        <w:rPr>
          <w:rFonts w:cs="Times New Roman"/>
        </w:rPr>
        <w:t>, our Court explained that robust reasonableness review is “capable of allaying [this] concern” and allows “courts to fulfill their constitutional duty to ensure that administrative bodies have acted within the scope of their lawful authority” (paras. 67 and 109). By contrast, the very high degree of deference that the “irrelevant”, “extraneous” or “completely unrelated” threshold accords statutory delegates in interpreting their authority under their enabling statute does not adequately address this concern. This is demonstrated by Abella J.’s comment that it would take an “egregious case” to strike down subordinate legislation on the basis that it is “irrelevant”, “extraneous” or “completely unrelated” to the purpose of its enabling statute</w:t>
      </w:r>
      <w:r w:rsidRPr="0070034E">
        <w:rPr>
          <w:rFonts w:eastAsia="Times New Roman" w:cs="Times New Roman"/>
          <w:szCs w:val="24"/>
        </w:rPr>
        <w:t xml:space="preserve"> (</w:t>
      </w:r>
      <w:r w:rsidRPr="0070034E">
        <w:rPr>
          <w:rFonts w:eastAsia="Times New Roman" w:cs="Times New Roman"/>
          <w:i/>
          <w:iCs/>
          <w:szCs w:val="24"/>
        </w:rPr>
        <w:t>Katz Group</w:t>
      </w:r>
      <w:r w:rsidRPr="0070034E">
        <w:rPr>
          <w:rFonts w:eastAsia="Times New Roman" w:cs="Times New Roman"/>
          <w:szCs w:val="24"/>
        </w:rPr>
        <w:t xml:space="preserve">, at para. 28, citing </w:t>
      </w:r>
      <w:r w:rsidRPr="0070034E">
        <w:rPr>
          <w:rFonts w:eastAsia="Times New Roman" w:cs="Times New Roman"/>
          <w:i/>
          <w:iCs/>
          <w:szCs w:val="24"/>
        </w:rPr>
        <w:t>Thorne’s Hardware</w:t>
      </w:r>
      <w:r w:rsidRPr="0070034E">
        <w:rPr>
          <w:rFonts w:eastAsia="Times New Roman" w:cs="Times New Roman"/>
          <w:szCs w:val="24"/>
        </w:rPr>
        <w:t>, at p. 111).</w:t>
      </w:r>
    </w:p>
    <w:p w14:paraId="774E6924" w14:textId="77777777" w:rsidR="00DB7512" w:rsidRPr="0070034E" w:rsidRDefault="00DB7512" w:rsidP="00DB7512">
      <w:pPr>
        <w:pStyle w:val="ParaNoNdepar-AltN"/>
        <w:rPr>
          <w:rFonts w:eastAsia="Times New Roman" w:cs="Times New Roman"/>
          <w:szCs w:val="24"/>
        </w:rPr>
      </w:pPr>
      <w:r w:rsidRPr="0070034E">
        <w:rPr>
          <w:rFonts w:cs="Times New Roman"/>
        </w:rPr>
        <w:t xml:space="preserve">Further, </w:t>
      </w:r>
      <w:r w:rsidRPr="0070034E">
        <w:rPr>
          <w:rFonts w:cs="Times New Roman"/>
          <w:i/>
          <w:iCs/>
        </w:rPr>
        <w:t>Vavilov</w:t>
      </w:r>
      <w:r w:rsidRPr="0070034E">
        <w:rPr>
          <w:rFonts w:cs="Times New Roman"/>
        </w:rPr>
        <w:t xml:space="preserve"> sought to bring simplicity, predictability and coherence to the analysis for determining the appropriate standard of review. Our Court noted that reasonableness is a single standard that applies in different contexts (para. 89). </w:t>
      </w:r>
      <w:r w:rsidRPr="0070034E">
        <w:rPr>
          <w:rFonts w:cs="Times New Roman"/>
          <w:i/>
          <w:iCs/>
        </w:rPr>
        <w:t>Vavilov</w:t>
      </w:r>
      <w:r w:rsidRPr="0070034E">
        <w:rPr>
          <w:rFonts w:cs="Times New Roman"/>
        </w:rPr>
        <w:t>’s objective of providing simplicity, predictability and coherence would be undermined if different tests, such as the “irrelevant”, “extraneous” or “completely unrelated” threshold</w:t>
      </w:r>
      <w:r w:rsidRPr="0070034E">
        <w:rPr>
          <w:rFonts w:eastAsia="Times New Roman" w:cs="Times New Roman"/>
          <w:szCs w:val="24"/>
        </w:rPr>
        <w:t>, applied as part of the reasonableness standard. Even if different tests were sufficiently robust, the mere fact of applying them would create undue complexity and fragmentation (Keyes (2022), at pp. 75</w:t>
      </w:r>
      <w:r w:rsidRPr="0070034E">
        <w:rPr>
          <w:rFonts w:eastAsia="Times New Roman" w:cs="Times New Roman"/>
          <w:szCs w:val="24"/>
        </w:rPr>
        <w:noBreakHyphen/>
        <w:t xml:space="preserve">76; see also </w:t>
      </w:r>
      <w:r w:rsidRPr="0070034E">
        <w:rPr>
          <w:rFonts w:eastAsia="Times New Roman" w:cs="Times New Roman"/>
          <w:i/>
          <w:iCs/>
          <w:szCs w:val="24"/>
        </w:rPr>
        <w:t>Innovative Medicines Canada</w:t>
      </w:r>
      <w:r w:rsidRPr="0070034E">
        <w:rPr>
          <w:rFonts w:eastAsia="Times New Roman" w:cs="Times New Roman"/>
          <w:szCs w:val="24"/>
        </w:rPr>
        <w:t>, at para. 35).</w:t>
      </w:r>
    </w:p>
    <w:p w14:paraId="16247AC6"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Ultimately, we should depart from the “irrelevant”, “extraneous” or “completely unrelated” threshold established in </w:t>
      </w:r>
      <w:r w:rsidRPr="0070034E">
        <w:rPr>
          <w:rFonts w:eastAsia="Times New Roman" w:cs="Times New Roman"/>
          <w:i/>
          <w:iCs/>
          <w:szCs w:val="24"/>
        </w:rPr>
        <w:t>Katz Group</w:t>
      </w:r>
      <w:r w:rsidRPr="0070034E">
        <w:rPr>
          <w:rFonts w:eastAsia="Times New Roman" w:cs="Times New Roman"/>
          <w:szCs w:val="24"/>
        </w:rPr>
        <w:t xml:space="preserve"> because its rationale was eroded by </w:t>
      </w:r>
      <w:r w:rsidRPr="0070034E">
        <w:rPr>
          <w:rFonts w:eastAsia="Times New Roman" w:cs="Times New Roman"/>
          <w:i/>
          <w:szCs w:val="24"/>
        </w:rPr>
        <w:t xml:space="preserve">Vavilov </w:t>
      </w:r>
      <w:r w:rsidRPr="0070034E">
        <w:rPr>
          <w:rFonts w:eastAsia="Times New Roman" w:cs="Times New Roman"/>
          <w:szCs w:val="24"/>
        </w:rPr>
        <w:t>and because continuing to maintain it would “create or perpetuate uncertainty in the law” (</w:t>
      </w:r>
      <w:r w:rsidRPr="0070034E">
        <w:rPr>
          <w:rFonts w:eastAsia="Times New Roman" w:cs="Times New Roman"/>
          <w:i/>
          <w:iCs/>
          <w:szCs w:val="24"/>
        </w:rPr>
        <w:t>Vavilov</w:t>
      </w:r>
      <w:r w:rsidRPr="0070034E">
        <w:rPr>
          <w:rFonts w:eastAsia="Times New Roman" w:cs="Times New Roman"/>
          <w:szCs w:val="24"/>
        </w:rPr>
        <w:t xml:space="preserve">, at para. 20; </w:t>
      </w:r>
      <w:r w:rsidRPr="0070034E">
        <w:rPr>
          <w:rFonts w:cs="Times New Roman"/>
          <w:i/>
          <w:iCs/>
          <w:shd w:val="clear" w:color="auto" w:fill="FFFFFF"/>
        </w:rPr>
        <w:t xml:space="preserve">Minister of Indian Affairs and Northern Development v. </w:t>
      </w:r>
      <w:proofErr w:type="spellStart"/>
      <w:r w:rsidRPr="0070034E">
        <w:rPr>
          <w:rFonts w:cs="Times New Roman"/>
          <w:i/>
          <w:iCs/>
          <w:shd w:val="clear" w:color="auto" w:fill="FFFFFF"/>
        </w:rPr>
        <w:t>Ranville</w:t>
      </w:r>
      <w:proofErr w:type="spellEnd"/>
      <w:r w:rsidRPr="0070034E">
        <w:rPr>
          <w:rFonts w:cs="Times New Roman"/>
          <w:shd w:val="clear" w:color="auto" w:fill="FFFFFF"/>
        </w:rPr>
        <w:t xml:space="preserve">, [1982] 2 </w:t>
      </w:r>
      <w:proofErr w:type="spellStart"/>
      <w:r w:rsidRPr="0070034E">
        <w:rPr>
          <w:rFonts w:cs="Times New Roman"/>
          <w:shd w:val="clear" w:color="auto" w:fill="FFFFFF"/>
        </w:rPr>
        <w:t>S.C.R</w:t>
      </w:r>
      <w:proofErr w:type="spellEnd"/>
      <w:r w:rsidRPr="0070034E">
        <w:rPr>
          <w:rFonts w:cs="Times New Roman"/>
          <w:shd w:val="clear" w:color="auto" w:fill="FFFFFF"/>
        </w:rPr>
        <w:t>. 518, at p. 528</w:t>
      </w:r>
      <w:r w:rsidRPr="0070034E">
        <w:rPr>
          <w:rFonts w:eastAsia="Times New Roman" w:cs="Times New Roman"/>
          <w:szCs w:val="24"/>
        </w:rPr>
        <w:t>)</w:t>
      </w:r>
      <w:r w:rsidRPr="0070034E">
        <w:rPr>
          <w:rFonts w:eastAsia="Times New Roman" w:cs="Times New Roman"/>
          <w:iCs/>
          <w:szCs w:val="24"/>
        </w:rPr>
        <w:t>.</w:t>
      </w:r>
    </w:p>
    <w:p w14:paraId="1086B89A" w14:textId="77777777" w:rsidR="00DB7512" w:rsidRPr="0070034E" w:rsidRDefault="00DB7512" w:rsidP="00DB7512">
      <w:pPr>
        <w:pStyle w:val="Title2LevelTitre2Niveau"/>
        <w:rPr>
          <w:rFonts w:eastAsia="Times New Roman" w:cs="Times New Roman"/>
          <w:i w:val="0"/>
          <w:szCs w:val="24"/>
          <w:u w:val="single"/>
        </w:rPr>
      </w:pPr>
      <w:bookmarkStart w:id="17" w:name="_Toc172041737"/>
      <w:r w:rsidRPr="0070034E">
        <w:rPr>
          <w:rFonts w:cs="Times New Roman"/>
        </w:rPr>
        <w:t>How To Conduct a Reasonableness Review of the Vires of Subordinate Legislation Under the Vavilov</w:t>
      </w:r>
      <w:bookmarkEnd w:id="17"/>
      <w:r w:rsidRPr="0070034E">
        <w:rPr>
          <w:rFonts w:cs="Times New Roman"/>
        </w:rPr>
        <w:t xml:space="preserve"> Framework</w:t>
      </w:r>
    </w:p>
    <w:p w14:paraId="1B64A80A"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In conducting a reasonableness review,</w:t>
      </w:r>
      <w:r w:rsidRPr="0070034E">
        <w:rPr>
          <w:rFonts w:eastAsia="Times New Roman" w:cs="Times New Roman"/>
          <w:i/>
          <w:iCs/>
          <w:szCs w:val="24"/>
        </w:rPr>
        <w:t xml:space="preserve"> </w:t>
      </w:r>
      <w:r w:rsidRPr="0070034E">
        <w:rPr>
          <w:rFonts w:eastAsia="Times New Roman" w:cs="Times New Roman"/>
          <w:szCs w:val="24"/>
        </w:rPr>
        <w:t>“the reviewing court asks whether the decision bears the hallmarks of reasonableness — justification, transparency and intelligibility — and whether it is justified in relation to the relevant factual and legal constraints that bear on the decision” (</w:t>
      </w:r>
      <w:r w:rsidRPr="0070034E">
        <w:rPr>
          <w:rFonts w:eastAsia="Times New Roman" w:cs="Times New Roman"/>
          <w:i/>
          <w:iCs/>
          <w:szCs w:val="24"/>
        </w:rPr>
        <w:t>Vavilov</w:t>
      </w:r>
      <w:r w:rsidRPr="0070034E">
        <w:rPr>
          <w:rFonts w:eastAsia="Times New Roman" w:cs="Times New Roman"/>
          <w:szCs w:val="24"/>
        </w:rPr>
        <w:t>, at para. 99). Subordinate legislation benefits from a presumption of validity (</w:t>
      </w:r>
      <w:r w:rsidRPr="0070034E">
        <w:rPr>
          <w:rFonts w:eastAsia="Times New Roman" w:cs="Times New Roman"/>
          <w:i/>
          <w:iCs/>
          <w:szCs w:val="24"/>
        </w:rPr>
        <w:t>Katz Group</w:t>
      </w:r>
      <w:r w:rsidRPr="0070034E">
        <w:rPr>
          <w:rFonts w:eastAsia="Times New Roman" w:cs="Times New Roman"/>
          <w:szCs w:val="24"/>
        </w:rPr>
        <w:t>, at para. 25). The burden is on the party challenging the subordinate legislation to show that it is not reasonably within the scope of the delegate’s authority (</w:t>
      </w:r>
      <w:r w:rsidRPr="0070034E">
        <w:rPr>
          <w:rFonts w:eastAsia="Times New Roman" w:cs="Times New Roman"/>
          <w:i/>
          <w:iCs/>
          <w:szCs w:val="24"/>
        </w:rPr>
        <w:t>Vavilov</w:t>
      </w:r>
      <w:r w:rsidRPr="0070034E">
        <w:rPr>
          <w:rFonts w:eastAsia="Times New Roman" w:cs="Times New Roman"/>
          <w:szCs w:val="24"/>
        </w:rPr>
        <w:t>, at paras. 100 and 109).</w:t>
      </w:r>
    </w:p>
    <w:p w14:paraId="7F8F5508"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i/>
          <w:iCs/>
          <w:szCs w:val="24"/>
        </w:rPr>
        <w:t xml:space="preserve">Vavilov </w:t>
      </w:r>
      <w:r w:rsidRPr="0070034E">
        <w:rPr>
          <w:rFonts w:eastAsia="Times New Roman" w:cs="Times New Roman"/>
          <w:szCs w:val="24"/>
        </w:rPr>
        <w:t xml:space="preserve">recognized two types of fundamental flaws that would make an administrative decision unreasonable: (1) there is a failure of rationality internal to the reasoning process; or (2) the decision is untenable in light of the factual and legal constraints that bear on it (para. 101). In what follows, I will explain how the principles outlined in </w:t>
      </w:r>
      <w:r w:rsidRPr="0070034E">
        <w:rPr>
          <w:rFonts w:eastAsia="Times New Roman" w:cs="Times New Roman"/>
          <w:i/>
          <w:iCs/>
          <w:szCs w:val="24"/>
        </w:rPr>
        <w:t xml:space="preserve">Vavilov </w:t>
      </w:r>
      <w:r w:rsidRPr="0070034E">
        <w:rPr>
          <w:rFonts w:eastAsia="Times New Roman" w:cs="Times New Roman"/>
          <w:szCs w:val="24"/>
        </w:rPr>
        <w:t xml:space="preserve">for conducting reasonableness review apply to a review of the </w:t>
      </w:r>
      <w:r w:rsidRPr="0070034E">
        <w:rPr>
          <w:rFonts w:eastAsia="Times New Roman" w:cs="Times New Roman"/>
          <w:i/>
          <w:iCs/>
          <w:szCs w:val="24"/>
        </w:rPr>
        <w:t xml:space="preserve">vires </w:t>
      </w:r>
      <w:r w:rsidRPr="0070034E">
        <w:rPr>
          <w:rFonts w:eastAsia="Times New Roman" w:cs="Times New Roman"/>
          <w:szCs w:val="24"/>
        </w:rPr>
        <w:t>of subordinate legislation.</w:t>
      </w:r>
    </w:p>
    <w:p w14:paraId="38BE0619" w14:textId="77777777" w:rsidR="00DB7512" w:rsidRPr="0070034E" w:rsidRDefault="00DB7512" w:rsidP="00DB7512">
      <w:pPr>
        <w:pStyle w:val="Title3LevelTitre3Niveau"/>
        <w:rPr>
          <w:rFonts w:eastAsia="Times New Roman" w:cs="Times New Roman"/>
          <w:szCs w:val="24"/>
        </w:rPr>
      </w:pPr>
      <w:bookmarkStart w:id="18" w:name="_Toc172041738"/>
      <w:r w:rsidRPr="0070034E">
        <w:rPr>
          <w:rFonts w:cs="Times New Roman"/>
        </w:rPr>
        <w:t>Reasonableness Review Is Possible in the Absence of Formal Reasons</w:t>
      </w:r>
      <w:bookmarkEnd w:id="18"/>
    </w:p>
    <w:p w14:paraId="6CFCC006"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Most of the time formal reasons are not provided for the enactment of subordinate legislation (</w:t>
      </w:r>
      <w:r w:rsidRPr="0070034E">
        <w:rPr>
          <w:rFonts w:eastAsia="Times New Roman" w:cs="Times New Roman"/>
          <w:i/>
          <w:iCs/>
          <w:szCs w:val="24"/>
        </w:rPr>
        <w:t>Vavilov</w:t>
      </w:r>
      <w:r w:rsidRPr="0070034E">
        <w:rPr>
          <w:rFonts w:eastAsia="Times New Roman" w:cs="Times New Roman"/>
          <w:szCs w:val="24"/>
        </w:rPr>
        <w:t xml:space="preserve">, at para. 137). However, </w:t>
      </w:r>
      <w:r w:rsidRPr="0070034E">
        <w:rPr>
          <w:rFonts w:eastAsia="Times New Roman" w:cs="Times New Roman"/>
          <w:i/>
          <w:iCs/>
          <w:szCs w:val="24"/>
        </w:rPr>
        <w:t xml:space="preserve">Vavilov </w:t>
      </w:r>
      <w:r w:rsidRPr="0070034E">
        <w:rPr>
          <w:rFonts w:eastAsia="Times New Roman" w:cs="Times New Roman"/>
          <w:szCs w:val="24"/>
        </w:rPr>
        <w:t xml:space="preserve">contemplated reasonableness review in the absence of formal reasons, including in the context of a </w:t>
      </w:r>
      <w:r w:rsidRPr="0070034E">
        <w:rPr>
          <w:rFonts w:eastAsia="Times New Roman" w:cs="Times New Roman"/>
          <w:i/>
          <w:iCs/>
          <w:szCs w:val="24"/>
        </w:rPr>
        <w:t xml:space="preserve">vires </w:t>
      </w:r>
      <w:r w:rsidRPr="0070034E">
        <w:rPr>
          <w:rFonts w:eastAsia="Times New Roman" w:cs="Times New Roman"/>
          <w:szCs w:val="24"/>
        </w:rPr>
        <w:t>review of subordinate legislation (</w:t>
      </w:r>
      <w:proofErr w:type="gramStart"/>
      <w:r w:rsidRPr="0070034E">
        <w:rPr>
          <w:rFonts w:eastAsia="Times New Roman" w:cs="Times New Roman"/>
          <w:i/>
          <w:szCs w:val="24"/>
        </w:rPr>
        <w:t>ibid.</w:t>
      </w:r>
      <w:r w:rsidRPr="0070034E">
        <w:rPr>
          <w:rFonts w:eastAsia="Times New Roman" w:cs="Times New Roman"/>
          <w:szCs w:val="24"/>
        </w:rPr>
        <w:t>,</w:t>
      </w:r>
      <w:proofErr w:type="gramEnd"/>
      <w:r w:rsidRPr="0070034E">
        <w:rPr>
          <w:rFonts w:eastAsia="Times New Roman" w:cs="Times New Roman"/>
          <w:szCs w:val="24"/>
        </w:rPr>
        <w:t xml:space="preserve"> referring to </w:t>
      </w:r>
      <w:r w:rsidRPr="0070034E">
        <w:rPr>
          <w:rFonts w:eastAsia="Times New Roman" w:cs="Times New Roman"/>
          <w:i/>
          <w:iCs/>
          <w:szCs w:val="24"/>
        </w:rPr>
        <w:t>Catalyst Paper</w:t>
      </w:r>
      <w:r w:rsidRPr="0070034E">
        <w:rPr>
          <w:rFonts w:eastAsia="Times New Roman" w:cs="Times New Roman"/>
          <w:szCs w:val="24"/>
        </w:rPr>
        <w:t xml:space="preserve"> and</w:t>
      </w:r>
      <w:r w:rsidRPr="0070034E">
        <w:rPr>
          <w:rFonts w:eastAsia="Times New Roman" w:cs="Times New Roman"/>
          <w:i/>
          <w:iCs/>
          <w:szCs w:val="24"/>
        </w:rPr>
        <w:t xml:space="preserve"> Green</w:t>
      </w:r>
      <w:r w:rsidRPr="0070034E">
        <w:rPr>
          <w:rFonts w:eastAsia="Times New Roman" w:cs="Times New Roman"/>
          <w:szCs w:val="24"/>
        </w:rPr>
        <w:t>). “[E]</w:t>
      </w:r>
      <w:proofErr w:type="spellStart"/>
      <w:r w:rsidRPr="0070034E">
        <w:rPr>
          <w:rFonts w:eastAsia="Times New Roman" w:cs="Times New Roman"/>
          <w:szCs w:val="24"/>
        </w:rPr>
        <w:t>ven</w:t>
      </w:r>
      <w:proofErr w:type="spellEnd"/>
      <w:r w:rsidRPr="0070034E">
        <w:rPr>
          <w:rFonts w:eastAsia="Times New Roman" w:cs="Times New Roman"/>
          <w:szCs w:val="24"/>
        </w:rPr>
        <w:t xml:space="preserve"> in such circumstances, the reasoning process that underlies the decision will not usually be opaque” (</w:t>
      </w:r>
      <w:r w:rsidRPr="0070034E">
        <w:rPr>
          <w:rFonts w:eastAsia="Times New Roman" w:cs="Times New Roman"/>
          <w:i/>
          <w:iCs/>
          <w:szCs w:val="24"/>
        </w:rPr>
        <w:t>Vavilov</w:t>
      </w:r>
      <w:r w:rsidRPr="0070034E">
        <w:rPr>
          <w:rFonts w:eastAsia="Times New Roman" w:cs="Times New Roman"/>
          <w:szCs w:val="24"/>
        </w:rPr>
        <w:t>, at para. 137). The reasoning process can often be deduced from various sources.</w:t>
      </w:r>
    </w:p>
    <w:p w14:paraId="375FA94E" w14:textId="77777777" w:rsidR="00DB7512" w:rsidRPr="0070034E" w:rsidRDefault="00DB7512" w:rsidP="00DB7512">
      <w:pPr>
        <w:pStyle w:val="ParaNoNdepar-AltN"/>
        <w:rPr>
          <w:rFonts w:cs="Times New Roman"/>
        </w:rPr>
      </w:pPr>
      <w:r w:rsidRPr="0070034E">
        <w:rPr>
          <w:rFonts w:eastAsia="Times New Roman" w:cs="Times New Roman"/>
          <w:szCs w:val="24"/>
        </w:rPr>
        <w:t xml:space="preserve">In </w:t>
      </w:r>
      <w:r w:rsidRPr="0070034E">
        <w:rPr>
          <w:rFonts w:eastAsia="Times New Roman" w:cs="Times New Roman"/>
          <w:i/>
          <w:iCs/>
          <w:szCs w:val="24"/>
        </w:rPr>
        <w:t>Catalyst Paper</w:t>
      </w:r>
      <w:r w:rsidRPr="0070034E">
        <w:rPr>
          <w:rFonts w:eastAsia="Times New Roman" w:cs="Times New Roman"/>
          <w:szCs w:val="24"/>
        </w:rPr>
        <w:t>, our Court reviewed the validity of municipal taxation bylaws. Chief Justice McLachlin noted that “[t]he reasons for a municipal bylaw are traditionally deduced from the debate, deliberations and the statements of policy that give rise to the bylaw” (para. 29). Courts can also look to regulatory impact analysis statements if they are available. As Mancini explains:</w:t>
      </w:r>
    </w:p>
    <w:p w14:paraId="6BEEEA61" w14:textId="77777777" w:rsidR="00DB7512" w:rsidRPr="0070034E" w:rsidRDefault="00DB7512" w:rsidP="00DB7512">
      <w:pPr>
        <w:pStyle w:val="Citation-AltC"/>
        <w:ind w:firstLine="274"/>
      </w:pPr>
      <w:r w:rsidRPr="0070034E">
        <w:t xml:space="preserve">. . . </w:t>
      </w:r>
      <w:proofErr w:type="gramStart"/>
      <w:r w:rsidRPr="0070034E">
        <w:t>something</w:t>
      </w:r>
      <w:proofErr w:type="gramEnd"/>
      <w:r w:rsidRPr="0070034E">
        <w:t xml:space="preserve"> akin to a form of justification — whether a record of submissions, an accompanying statement of purpose, or specific recitals — may sometimes accompany regulatory action. Specifically — especially in the modern era — the problem of having neither a record nor reasons is less likely to arise. As [John Mark] Keyes noted, the sources for the “reasoning process” of executive legislation “have become increasingly rich as the processes for making it have become more transparent in the latter part of the 20</w:t>
      </w:r>
      <w:r w:rsidRPr="0070034E">
        <w:rPr>
          <w:vertAlign w:val="superscript"/>
        </w:rPr>
        <w:t>th</w:t>
      </w:r>
      <w:r w:rsidRPr="0070034E">
        <w:t> century and into the 21</w:t>
      </w:r>
      <w:r w:rsidRPr="0070034E">
        <w:rPr>
          <w:vertAlign w:val="superscript"/>
        </w:rPr>
        <w:t>st</w:t>
      </w:r>
      <w:r w:rsidRPr="0070034E">
        <w:t>.” At the federal level, statutory instruments, like regulations, “are accompanied by Regulatory Impact Analysis Statements outlining the reasons for regulations and their anticipated impact.” Courts can use Regulatory Impact Analysis Statements to assess the reasonableness of executive legislation by providing insight into the interlocking purposes of the enabling statute and regulatory instrument.</w:t>
      </w:r>
    </w:p>
    <w:p w14:paraId="47A26B4C" w14:textId="77777777" w:rsidR="00DB7512" w:rsidRPr="0070034E" w:rsidRDefault="00DB7512" w:rsidP="00DB7512">
      <w:pPr>
        <w:pStyle w:val="Citation-AltC"/>
      </w:pPr>
    </w:p>
    <w:p w14:paraId="3CFB175B" w14:textId="77777777" w:rsidR="00DB7512" w:rsidRPr="0070034E" w:rsidRDefault="00DB7512" w:rsidP="00DB7512">
      <w:pPr>
        <w:pStyle w:val="Citation-AltC"/>
      </w:pPr>
      <w:r w:rsidRPr="0070034E">
        <w:t>(pp. 278</w:t>
      </w:r>
      <w:r w:rsidRPr="0070034E">
        <w:noBreakHyphen/>
        <w:t xml:space="preserve">79, citing J. M. Keyes, “Judicial Review of Delegated Legislation: The Long and Winding Road to </w:t>
      </w:r>
      <w:r w:rsidRPr="0070034E">
        <w:rPr>
          <w:iCs/>
        </w:rPr>
        <w:t>Vavilov</w:t>
      </w:r>
      <w:r w:rsidRPr="0070034E">
        <w:t>”, in University of Ottawa Faculty of Law, Working Paper No. 2020</w:t>
      </w:r>
      <w:r w:rsidRPr="0070034E">
        <w:noBreakHyphen/>
        <w:t>14 (June 18, 2020), at p. 11, and J. M. Keyes,</w:t>
      </w:r>
      <w:r w:rsidRPr="0070034E">
        <w:rPr>
          <w:i/>
          <w:iCs/>
        </w:rPr>
        <w:t xml:space="preserve"> Executive Legislation </w:t>
      </w:r>
      <w:r w:rsidRPr="0070034E">
        <w:rPr>
          <w:iCs/>
        </w:rPr>
        <w:t>(2nd ed. 2010)</w:t>
      </w:r>
      <w:r w:rsidRPr="0070034E">
        <w:t xml:space="preserve">, at </w:t>
      </w:r>
      <w:proofErr w:type="spellStart"/>
      <w:r w:rsidRPr="0070034E">
        <w:t>ch.</w:t>
      </w:r>
      <w:proofErr w:type="spellEnd"/>
      <w:r w:rsidRPr="0070034E">
        <w:t> 4.)</w:t>
      </w:r>
    </w:p>
    <w:p w14:paraId="07BBC23F" w14:textId="77777777" w:rsidR="00DB7512" w:rsidRPr="0070034E" w:rsidRDefault="00DB7512" w:rsidP="00DB7512">
      <w:pPr>
        <w:pStyle w:val="ParaNoNdepar-AltN"/>
        <w:rPr>
          <w:rFonts w:eastAsia="Times New Roman" w:cs="Times New Roman"/>
          <w:szCs w:val="24"/>
        </w:rPr>
      </w:pPr>
      <w:r w:rsidRPr="0070034E">
        <w:rPr>
          <w:rFonts w:cs="Times New Roman"/>
        </w:rPr>
        <w:t xml:space="preserve">Even where such sources are not available, “it is possible for the record and the context to reveal that a decision was made on the basis of an improper motive or for another impermissible reason, as, for example, in </w:t>
      </w:r>
      <w:r w:rsidRPr="0070034E">
        <w:rPr>
          <w:rFonts w:cs="Times New Roman"/>
          <w:i/>
          <w:iCs/>
        </w:rPr>
        <w:t xml:space="preserve">Roncarelli </w:t>
      </w:r>
      <w:r w:rsidRPr="0070034E">
        <w:rPr>
          <w:rFonts w:cs="Times New Roman"/>
          <w:iCs/>
        </w:rPr>
        <w:t>[</w:t>
      </w:r>
      <w:r w:rsidRPr="0070034E">
        <w:rPr>
          <w:rFonts w:cs="Times New Roman"/>
          <w:i/>
          <w:iCs/>
        </w:rPr>
        <w:t>v. Duplessis</w:t>
      </w:r>
      <w:r w:rsidRPr="0070034E">
        <w:rPr>
          <w:rFonts w:cs="Times New Roman"/>
          <w:iCs/>
        </w:rPr>
        <w:t>, [1959] S.C.R. 121]</w:t>
      </w:r>
      <w:r w:rsidRPr="0070034E">
        <w:rPr>
          <w:rFonts w:cs="Times New Roman"/>
        </w:rPr>
        <w:t>” (</w:t>
      </w:r>
      <w:r w:rsidRPr="0070034E">
        <w:rPr>
          <w:rFonts w:cs="Times New Roman"/>
          <w:i/>
          <w:iCs/>
        </w:rPr>
        <w:t>Vavilov</w:t>
      </w:r>
      <w:r w:rsidRPr="0070034E">
        <w:rPr>
          <w:rFonts w:cs="Times New Roman"/>
        </w:rPr>
        <w:t>, at para. 137). However, importantly, as I explain below, the issue of whether the regulations is a reasonable decision depends on whether the regulations are justifiably (or reasonably) within the scope of the authority delegated by the enabling legislation.</w:t>
      </w:r>
    </w:p>
    <w:p w14:paraId="4917A99A" w14:textId="77777777" w:rsidR="00DB7512" w:rsidRPr="0070034E" w:rsidRDefault="00DB7512" w:rsidP="00DB7512">
      <w:pPr>
        <w:pStyle w:val="Title3LevelTitre3Niveau"/>
        <w:rPr>
          <w:rFonts w:eastAsia="Times New Roman" w:cs="Times New Roman"/>
          <w:szCs w:val="24"/>
        </w:rPr>
      </w:pPr>
      <w:bookmarkStart w:id="19" w:name="_Toc172041739"/>
      <w:r w:rsidRPr="0070034E">
        <w:rPr>
          <w:rFonts w:cs="Times New Roman"/>
        </w:rPr>
        <w:t>Reasonableness Review Is Not an Examination of Policy Merits</w:t>
      </w:r>
      <w:bookmarkEnd w:id="19"/>
    </w:p>
    <w:p w14:paraId="2BD2540F"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Justice Pentelechuk was of the view that applying </w:t>
      </w:r>
      <w:r w:rsidRPr="0070034E">
        <w:rPr>
          <w:rFonts w:eastAsia="Times New Roman" w:cs="Times New Roman"/>
          <w:i/>
          <w:iCs/>
          <w:szCs w:val="24"/>
        </w:rPr>
        <w:t>Vavilov</w:t>
      </w:r>
      <w:r w:rsidRPr="0070034E">
        <w:rPr>
          <w:rFonts w:eastAsia="Times New Roman" w:cs="Times New Roman"/>
          <w:szCs w:val="24"/>
        </w:rPr>
        <w:t xml:space="preserve">’s reasonableness standard when reviewing the </w:t>
      </w:r>
      <w:r w:rsidRPr="0070034E">
        <w:rPr>
          <w:rFonts w:eastAsia="Times New Roman" w:cs="Times New Roman"/>
          <w:i/>
          <w:iCs/>
          <w:szCs w:val="24"/>
        </w:rPr>
        <w:t xml:space="preserve">vires </w:t>
      </w:r>
      <w:r w:rsidRPr="0070034E">
        <w:rPr>
          <w:rFonts w:eastAsia="Times New Roman" w:cs="Times New Roman"/>
          <w:szCs w:val="24"/>
        </w:rPr>
        <w:t>of subordinate legislation would violate the principle of separation of powers because the court would be examining the policy merits of the subordinate legislation (paras. 58</w:t>
      </w:r>
      <w:r w:rsidRPr="0070034E">
        <w:rPr>
          <w:rFonts w:eastAsia="Times New Roman" w:cs="Times New Roman"/>
          <w:szCs w:val="24"/>
        </w:rPr>
        <w:noBreakHyphen/>
        <w:t xml:space="preserve">59 and 63; see also S. Blake, </w:t>
      </w:r>
      <w:r w:rsidRPr="0070034E">
        <w:rPr>
          <w:rFonts w:eastAsia="Times New Roman" w:cs="Times New Roman"/>
          <w:i/>
          <w:szCs w:val="24"/>
        </w:rPr>
        <w:t>Clarity on the standard of review of regulations</w:t>
      </w:r>
      <w:r w:rsidRPr="0070034E">
        <w:rPr>
          <w:rFonts w:eastAsia="Times New Roman" w:cs="Times New Roman"/>
          <w:szCs w:val="24"/>
        </w:rPr>
        <w:t>, December 20, 2022 (online)).</w:t>
      </w:r>
    </w:p>
    <w:p w14:paraId="3EEF987E"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With respect, this concern is misplaced. As Paul </w:t>
      </w:r>
      <w:proofErr w:type="spellStart"/>
      <w:r w:rsidRPr="0070034E">
        <w:rPr>
          <w:rFonts w:eastAsia="Times New Roman" w:cs="Times New Roman"/>
          <w:szCs w:val="24"/>
        </w:rPr>
        <w:t>Salembier</w:t>
      </w:r>
      <w:proofErr w:type="spellEnd"/>
      <w:r w:rsidRPr="0070034E">
        <w:rPr>
          <w:rFonts w:eastAsia="Times New Roman" w:cs="Times New Roman"/>
          <w:szCs w:val="24"/>
        </w:rPr>
        <w:t xml:space="preserve"> explains, “[t]he reasonableness standard does not assess the reasonableness of the rules promulgated by the regulation</w:t>
      </w:r>
      <w:r w:rsidRPr="0070034E">
        <w:rPr>
          <w:rFonts w:eastAsia="Times New Roman" w:cs="Times New Roman"/>
          <w:szCs w:val="24"/>
        </w:rPr>
        <w:noBreakHyphen/>
        <w:t>making authority; rather, it addresses the reasonableness of the regulation</w:t>
      </w:r>
      <w:r w:rsidRPr="0070034E">
        <w:rPr>
          <w:rFonts w:eastAsia="Times New Roman" w:cs="Times New Roman"/>
          <w:szCs w:val="24"/>
        </w:rPr>
        <w:noBreakHyphen/>
        <w:t>making authority’s interpretation of its statutory regulation</w:t>
      </w:r>
      <w:r w:rsidRPr="0070034E">
        <w:rPr>
          <w:rFonts w:eastAsia="Times New Roman" w:cs="Times New Roman"/>
          <w:szCs w:val="24"/>
        </w:rPr>
        <w:noBreakHyphen/>
        <w:t>making power” (</w:t>
      </w:r>
      <w:r w:rsidRPr="0070034E">
        <w:rPr>
          <w:rFonts w:eastAsia="Times New Roman" w:cs="Times New Roman"/>
          <w:i/>
          <w:iCs/>
          <w:szCs w:val="24"/>
        </w:rPr>
        <w:t>Regulatory Law and Practice</w:t>
      </w:r>
      <w:r w:rsidRPr="0070034E">
        <w:rPr>
          <w:rFonts w:eastAsia="Times New Roman" w:cs="Times New Roman"/>
          <w:szCs w:val="24"/>
        </w:rPr>
        <w:t xml:space="preserve"> (3rd ed. 2021), at p. 159). A court’s role is to review the legality or validity of the subordinate legislation, not to review whether it is “necessary, wise, or effective in practice” (</w:t>
      </w:r>
      <w:r w:rsidRPr="0070034E">
        <w:rPr>
          <w:rFonts w:eastAsia="Times New Roman" w:cs="Times New Roman"/>
          <w:i/>
          <w:iCs/>
          <w:szCs w:val="24"/>
        </w:rPr>
        <w:t>Katz Group</w:t>
      </w:r>
      <w:r w:rsidRPr="0070034E">
        <w:rPr>
          <w:rFonts w:eastAsia="Times New Roman" w:cs="Times New Roman"/>
          <w:szCs w:val="24"/>
        </w:rPr>
        <w:t xml:space="preserve">, at para. 27, citing </w:t>
      </w:r>
      <w:proofErr w:type="spellStart"/>
      <w:r w:rsidRPr="0070034E">
        <w:rPr>
          <w:rFonts w:eastAsia="Times New Roman" w:cs="Times New Roman"/>
          <w:i/>
          <w:iCs/>
          <w:szCs w:val="24"/>
        </w:rPr>
        <w:t>Jafari</w:t>
      </w:r>
      <w:proofErr w:type="spellEnd"/>
      <w:r w:rsidRPr="0070034E">
        <w:rPr>
          <w:rFonts w:eastAsia="Times New Roman" w:cs="Times New Roman"/>
          <w:szCs w:val="24"/>
        </w:rPr>
        <w:t>, at p. 604; see also Keyes (2021), at pp. 186</w:t>
      </w:r>
      <w:r w:rsidRPr="0070034E">
        <w:rPr>
          <w:rFonts w:eastAsia="Times New Roman" w:cs="Times New Roman"/>
          <w:szCs w:val="24"/>
        </w:rPr>
        <w:noBreakHyphen/>
        <w:t>88). “It is not an inquiry into the underlying ‘political, economic, social or partisan considerations’” (</w:t>
      </w:r>
      <w:r w:rsidRPr="0070034E">
        <w:rPr>
          <w:rFonts w:eastAsia="Times New Roman" w:cs="Times New Roman"/>
          <w:i/>
          <w:iCs/>
          <w:szCs w:val="24"/>
        </w:rPr>
        <w:t>Katz Group</w:t>
      </w:r>
      <w:r w:rsidRPr="0070034E">
        <w:rPr>
          <w:rFonts w:eastAsia="Times New Roman" w:cs="Times New Roman"/>
          <w:szCs w:val="24"/>
        </w:rPr>
        <w:t xml:space="preserve">, at para. 28, citing </w:t>
      </w:r>
      <w:r w:rsidRPr="0070034E">
        <w:rPr>
          <w:rFonts w:eastAsia="Times New Roman" w:cs="Times New Roman"/>
          <w:i/>
          <w:iCs/>
          <w:szCs w:val="24"/>
        </w:rPr>
        <w:t>Thorne’s Hardware</w:t>
      </w:r>
      <w:r w:rsidRPr="0070034E">
        <w:rPr>
          <w:rFonts w:eastAsia="Times New Roman" w:cs="Times New Roman"/>
          <w:szCs w:val="24"/>
        </w:rPr>
        <w:t>, at pp. 112</w:t>
      </w:r>
      <w:r w:rsidRPr="0070034E">
        <w:rPr>
          <w:rFonts w:eastAsia="Times New Roman" w:cs="Times New Roman"/>
          <w:szCs w:val="24"/>
        </w:rPr>
        <w:noBreakHyphen/>
        <w:t>13)</w:t>
      </w:r>
      <w:r w:rsidRPr="0070034E">
        <w:rPr>
          <w:rFonts w:eastAsia="Times New Roman" w:cs="Times New Roman"/>
          <w:iCs/>
          <w:szCs w:val="24"/>
        </w:rPr>
        <w:t>.</w:t>
      </w:r>
    </w:p>
    <w:p w14:paraId="08B9F9D6"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A court must be mindful of its proper role when reviewing the </w:t>
      </w:r>
      <w:r w:rsidRPr="0070034E">
        <w:rPr>
          <w:rFonts w:eastAsia="Times New Roman" w:cs="Times New Roman"/>
          <w:i/>
          <w:iCs/>
          <w:szCs w:val="24"/>
        </w:rPr>
        <w:t xml:space="preserve">vires </w:t>
      </w:r>
      <w:r w:rsidRPr="0070034E">
        <w:rPr>
          <w:rFonts w:eastAsia="Times New Roman" w:cs="Times New Roman"/>
          <w:szCs w:val="24"/>
        </w:rPr>
        <w:t xml:space="preserve">of subordinate legislation, especially when it relies on the record, other sources </w:t>
      </w:r>
      <w:r w:rsidRPr="0070034E">
        <w:rPr>
          <w:rFonts w:cs="Times New Roman"/>
        </w:rPr>
        <w:t xml:space="preserve">or the context to ascertain the delegate’s reasoning process. </w:t>
      </w:r>
      <w:r w:rsidRPr="0070034E">
        <w:rPr>
          <w:rFonts w:eastAsia="Times New Roman" w:cs="Times New Roman"/>
          <w:szCs w:val="24"/>
        </w:rPr>
        <w:t>Mancini explains:</w:t>
      </w:r>
    </w:p>
    <w:p w14:paraId="61B234F9" w14:textId="77777777" w:rsidR="00DB7512" w:rsidRPr="0070034E" w:rsidRDefault="00DB7512" w:rsidP="00DB7512">
      <w:pPr>
        <w:pStyle w:val="Citation-AltC"/>
        <w:ind w:firstLine="274"/>
      </w:pPr>
      <w:r w:rsidRPr="0070034E">
        <w:t>Importantly courts must organize these various sources properly to preserve the focus on the limiting statutory language. Again, the reasonableness review should not focus on the content of the inputs into the process or the policy merits of those inputs. Rather, courts must key these sources to the analysis of whether the subordinate instrument is consistent with the enabling statute’s text, context, and purpose. For example, Regulatory Impact Analysis Statements can inform a court as to the link between an enabling statute’s purpose and a regulatory aim, much like Hansard evidence. These analyses can help show how the effects of a regulation which, at first blush appear unreasonable, are enabled by the primary legislation. [p. 279]</w:t>
      </w:r>
    </w:p>
    <w:p w14:paraId="0CA71112"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The potential or actual consequences of the subordinate legislation are relevant only insofar as a reviewing court must determine whether the statutory delegate was reasonably authorized to enact subordinate legislation that would have such consequences. Whether those consequences are in themselves necessary, desirable or wise is not the appropriate inquiry.</w:t>
      </w:r>
    </w:p>
    <w:p w14:paraId="0046A680" w14:textId="77777777" w:rsidR="00DB7512" w:rsidRPr="0070034E" w:rsidRDefault="00DB7512" w:rsidP="00DB7512">
      <w:pPr>
        <w:pStyle w:val="Title3LevelTitre3Niveau"/>
        <w:rPr>
          <w:rFonts w:eastAsia="Times New Roman" w:cs="Times New Roman"/>
          <w:szCs w:val="24"/>
        </w:rPr>
      </w:pPr>
      <w:bookmarkStart w:id="20" w:name="_Toc172041740"/>
      <w:r w:rsidRPr="0070034E">
        <w:rPr>
          <w:rFonts w:cs="Times New Roman"/>
        </w:rPr>
        <w:t>The Relevant Constraints</w:t>
      </w:r>
      <w:bookmarkEnd w:id="20"/>
    </w:p>
    <w:p w14:paraId="316E3080" w14:textId="77777777" w:rsidR="00DB7512" w:rsidRPr="0070034E" w:rsidRDefault="00DB7512" w:rsidP="00DB7512">
      <w:pPr>
        <w:pStyle w:val="ParaNoNdepar-AltN"/>
        <w:rPr>
          <w:rFonts w:eastAsia="Times New Roman" w:cs="Times New Roman"/>
          <w:szCs w:val="24"/>
        </w:rPr>
      </w:pPr>
      <w:r w:rsidRPr="0070034E">
        <w:rPr>
          <w:rFonts w:cs="Times New Roman"/>
        </w:rPr>
        <w:t xml:space="preserve">In </w:t>
      </w:r>
      <w:r w:rsidRPr="0070034E">
        <w:rPr>
          <w:rFonts w:cs="Times New Roman"/>
          <w:i/>
          <w:iCs/>
        </w:rPr>
        <w:t>Vavilov</w:t>
      </w:r>
      <w:r w:rsidRPr="0070034E">
        <w:rPr>
          <w:rFonts w:cs="Times New Roman"/>
        </w:rPr>
        <w:t>, our Court explained that “[e]</w:t>
      </w:r>
      <w:proofErr w:type="spellStart"/>
      <w:r w:rsidRPr="0070034E">
        <w:rPr>
          <w:rFonts w:cs="Times New Roman"/>
        </w:rPr>
        <w:t>lements</w:t>
      </w:r>
      <w:proofErr w:type="spellEnd"/>
      <w:r w:rsidRPr="0070034E">
        <w:rPr>
          <w:rFonts w:cs="Times New Roman"/>
        </w:rPr>
        <w:t xml:space="preserve"> of the legal and factual contexts of a decision operate as constraints on the decision maker in the exercise of its delegated powers” (para. 105). Reviewing the </w:t>
      </w:r>
      <w:r w:rsidRPr="0070034E">
        <w:rPr>
          <w:rFonts w:cs="Times New Roman"/>
          <w:i/>
          <w:iCs/>
        </w:rPr>
        <w:t xml:space="preserve">vires </w:t>
      </w:r>
      <w:r w:rsidRPr="0070034E">
        <w:rPr>
          <w:rFonts w:cs="Times New Roman"/>
        </w:rPr>
        <w:t>of subordinate legislation is fundamentally an exercise of statutory interpretation to ensure that the delegate has acted within the scope of their lawful authority under the enabling statute (para. 108; Mancini, at pp. 274</w:t>
      </w:r>
      <w:r w:rsidRPr="0070034E">
        <w:rPr>
          <w:rFonts w:cs="Times New Roman"/>
        </w:rPr>
        <w:noBreakHyphen/>
        <w:t xml:space="preserve">75; see, e.g., </w:t>
      </w:r>
      <w:r w:rsidRPr="0070034E">
        <w:rPr>
          <w:rFonts w:cs="Times New Roman"/>
          <w:i/>
          <w:iCs/>
        </w:rPr>
        <w:t>West Fraser Mills</w:t>
      </w:r>
      <w:r w:rsidRPr="0070034E">
        <w:rPr>
          <w:rFonts w:cs="Times New Roman"/>
        </w:rPr>
        <w:t>, at para. 23).</w:t>
      </w:r>
    </w:p>
    <w:p w14:paraId="6B477A96" w14:textId="77777777" w:rsidR="00DB7512" w:rsidRPr="0070034E" w:rsidRDefault="00DB7512" w:rsidP="00DB7512">
      <w:pPr>
        <w:pStyle w:val="ParaNoNdepar-AltN"/>
        <w:rPr>
          <w:rFonts w:cs="Times New Roman"/>
        </w:rPr>
      </w:pPr>
      <w:r w:rsidRPr="0070034E">
        <w:rPr>
          <w:rFonts w:eastAsia="Times New Roman" w:cs="Times New Roman"/>
          <w:szCs w:val="24"/>
        </w:rPr>
        <w:t xml:space="preserve">Accordingly, the governing statutory scheme, other applicable statutory or common law and the principles of statutory interpretation are particularly relevant constraints when reviewing the </w:t>
      </w:r>
      <w:r w:rsidRPr="0070034E">
        <w:rPr>
          <w:rFonts w:eastAsia="Times New Roman" w:cs="Times New Roman"/>
          <w:i/>
          <w:iCs/>
          <w:szCs w:val="24"/>
        </w:rPr>
        <w:t xml:space="preserve">vires </w:t>
      </w:r>
      <w:r w:rsidRPr="0070034E">
        <w:rPr>
          <w:rFonts w:eastAsia="Times New Roman" w:cs="Times New Roman"/>
          <w:szCs w:val="24"/>
        </w:rPr>
        <w:t>of subordinate legislation (Keyes (2021), at p. 175).</w:t>
      </w:r>
    </w:p>
    <w:p w14:paraId="3036BDC9" w14:textId="77777777" w:rsidR="00DB7512" w:rsidRPr="0070034E" w:rsidRDefault="00DB7512" w:rsidP="00DB7512">
      <w:pPr>
        <w:pStyle w:val="Title4LevelTitre4Niveau"/>
        <w:rPr>
          <w:rFonts w:cs="Times New Roman"/>
          <w:i w:val="0"/>
        </w:rPr>
      </w:pPr>
      <w:r w:rsidRPr="0070034E">
        <w:rPr>
          <w:rFonts w:cs="Times New Roman"/>
        </w:rPr>
        <w:t>Governing Statutory Scheme</w:t>
      </w:r>
    </w:p>
    <w:p w14:paraId="3F1B9412"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“Because administrative decision makers receive their powers by statute, the governing statutory scheme is likely to be the most salient aspect of the legal context relevant to a particular decision” (</w:t>
      </w:r>
      <w:r w:rsidRPr="0070034E">
        <w:rPr>
          <w:rFonts w:eastAsia="Times New Roman" w:cs="Times New Roman"/>
          <w:i/>
          <w:iCs/>
          <w:szCs w:val="24"/>
        </w:rPr>
        <w:t>Vavilov</w:t>
      </w:r>
      <w:r w:rsidRPr="0070034E">
        <w:rPr>
          <w:rFonts w:eastAsia="Times New Roman" w:cs="Times New Roman"/>
          <w:szCs w:val="24"/>
        </w:rPr>
        <w:t>, at paras. 108</w:t>
      </w:r>
      <w:r w:rsidRPr="0070034E">
        <w:rPr>
          <w:rFonts w:eastAsia="Times New Roman" w:cs="Times New Roman"/>
          <w:szCs w:val="24"/>
        </w:rPr>
        <w:noBreakHyphen/>
        <w:t xml:space="preserve">9; Mancini, at </w:t>
      </w:r>
      <w:r w:rsidRPr="0070034E">
        <w:rPr>
          <w:rFonts w:cs="Times New Roman"/>
        </w:rPr>
        <w:t>p. 275</w:t>
      </w:r>
      <w:r w:rsidRPr="0070034E">
        <w:rPr>
          <w:rFonts w:eastAsia="Times New Roman" w:cs="Times New Roman"/>
          <w:szCs w:val="24"/>
        </w:rPr>
        <w:t>)</w:t>
      </w:r>
      <w:r w:rsidRPr="0070034E">
        <w:rPr>
          <w:rFonts w:eastAsia="Times New Roman" w:cs="Times New Roman"/>
          <w:iCs/>
          <w:szCs w:val="24"/>
        </w:rPr>
        <w:t>.</w:t>
      </w:r>
    </w:p>
    <w:p w14:paraId="200C5E64"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The language chosen by the legislature in an enabling statute describes the limits and contours of a delegate’s authority (</w:t>
      </w:r>
      <w:r w:rsidRPr="0070034E">
        <w:rPr>
          <w:rFonts w:eastAsia="Times New Roman" w:cs="Times New Roman"/>
          <w:i/>
          <w:iCs/>
          <w:szCs w:val="24"/>
        </w:rPr>
        <w:t>Vavilov</w:t>
      </w:r>
      <w:r w:rsidRPr="0070034E">
        <w:rPr>
          <w:rFonts w:eastAsia="Times New Roman" w:cs="Times New Roman"/>
          <w:szCs w:val="24"/>
        </w:rPr>
        <w:t>, at para. 110). The legislature may use precise and narrow language to delineate the power in detail, thereby tightly constraining the delegate’s authority. Alternatively, the legislature may use broad, open</w:t>
      </w:r>
      <w:r w:rsidRPr="0070034E">
        <w:rPr>
          <w:rFonts w:eastAsia="Times New Roman" w:cs="Times New Roman"/>
          <w:szCs w:val="24"/>
        </w:rPr>
        <w:noBreakHyphen/>
        <w:t>ended or highly qualitative language, thereby conferring broad authority on the delegate (</w:t>
      </w:r>
      <w:proofErr w:type="gramStart"/>
      <w:r w:rsidRPr="0070034E">
        <w:rPr>
          <w:rFonts w:eastAsia="Times New Roman" w:cs="Times New Roman"/>
          <w:i/>
          <w:szCs w:val="24"/>
        </w:rPr>
        <w:t>ibid.</w:t>
      </w:r>
      <w:r w:rsidRPr="0070034E">
        <w:rPr>
          <w:rFonts w:eastAsia="Times New Roman" w:cs="Times New Roman"/>
          <w:szCs w:val="24"/>
        </w:rPr>
        <w:t>;</w:t>
      </w:r>
      <w:proofErr w:type="gramEnd"/>
      <w:r w:rsidRPr="0070034E">
        <w:rPr>
          <w:rFonts w:eastAsia="Times New Roman" w:cs="Times New Roman"/>
          <w:szCs w:val="24"/>
        </w:rPr>
        <w:t xml:space="preserve"> see also Keyes (2021), at pp. 195</w:t>
      </w:r>
      <w:r w:rsidRPr="0070034E">
        <w:rPr>
          <w:rFonts w:eastAsia="Times New Roman" w:cs="Times New Roman"/>
          <w:szCs w:val="24"/>
        </w:rPr>
        <w:noBreakHyphen/>
        <w:t>96). Statutory delegates must respect the legislature’s choice in this regard. They “must ultimately comply ‘with the rationale and purview’” of their enabling statutory scheme in accordance with its text, context and purpose (</w:t>
      </w:r>
      <w:r w:rsidRPr="0070034E">
        <w:rPr>
          <w:rFonts w:eastAsia="Times New Roman" w:cs="Times New Roman"/>
          <w:i/>
          <w:iCs/>
          <w:szCs w:val="24"/>
        </w:rPr>
        <w:t>Vavilov</w:t>
      </w:r>
      <w:r w:rsidRPr="0070034E">
        <w:rPr>
          <w:rFonts w:eastAsia="Times New Roman" w:cs="Times New Roman"/>
          <w:szCs w:val="24"/>
        </w:rPr>
        <w:t xml:space="preserve">, at para. 108, citing </w:t>
      </w:r>
      <w:r w:rsidRPr="0070034E">
        <w:rPr>
          <w:rFonts w:eastAsia="Times New Roman" w:cs="Times New Roman"/>
          <w:i/>
          <w:iCs/>
          <w:szCs w:val="24"/>
        </w:rPr>
        <w:t>Catalyst Paper</w:t>
      </w:r>
      <w:r w:rsidRPr="0070034E">
        <w:rPr>
          <w:rFonts w:eastAsia="Times New Roman" w:cs="Times New Roman"/>
          <w:szCs w:val="24"/>
        </w:rPr>
        <w:t>, at paras. 15 and 25</w:t>
      </w:r>
      <w:r w:rsidRPr="0070034E">
        <w:rPr>
          <w:rFonts w:eastAsia="Times New Roman" w:cs="Times New Roman"/>
          <w:szCs w:val="24"/>
        </w:rPr>
        <w:noBreakHyphen/>
        <w:t xml:space="preserve">28, and </w:t>
      </w:r>
      <w:r w:rsidRPr="0070034E">
        <w:rPr>
          <w:rFonts w:eastAsia="Times New Roman" w:cs="Times New Roman"/>
          <w:i/>
          <w:iCs/>
          <w:szCs w:val="24"/>
        </w:rPr>
        <w:t>Green</w:t>
      </w:r>
      <w:r w:rsidRPr="0070034E">
        <w:rPr>
          <w:rFonts w:eastAsia="Times New Roman" w:cs="Times New Roman"/>
          <w:szCs w:val="24"/>
        </w:rPr>
        <w:t>, at para. 44).</w:t>
      </w:r>
    </w:p>
    <w:p w14:paraId="158DF2BB" w14:textId="77777777" w:rsidR="00DB7512" w:rsidRPr="0070034E" w:rsidRDefault="00DB7512" w:rsidP="00DB7512">
      <w:pPr>
        <w:pStyle w:val="Title4LevelTitre4Niveau"/>
        <w:rPr>
          <w:rFonts w:cs="Times New Roman"/>
          <w:i w:val="0"/>
        </w:rPr>
      </w:pPr>
      <w:r w:rsidRPr="0070034E">
        <w:rPr>
          <w:rFonts w:cs="Times New Roman"/>
        </w:rPr>
        <w:t>Other Statutory or Common Law</w:t>
      </w:r>
    </w:p>
    <w:p w14:paraId="01A59F98"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The scope of a statutory delegate’s authority may also be constrained by other statutory or common law. Unless the enabling statute provides otherwise, when enacting subordinate legislation, statutory delegates must adopt an interpretation of their authority that is consistent with other legislation and applicable common law principles (</w:t>
      </w:r>
      <w:r w:rsidRPr="0070034E">
        <w:rPr>
          <w:rFonts w:eastAsia="Times New Roman" w:cs="Times New Roman"/>
          <w:i/>
          <w:iCs/>
          <w:szCs w:val="24"/>
        </w:rPr>
        <w:t>Vavilov</w:t>
      </w:r>
      <w:r w:rsidRPr="0070034E">
        <w:rPr>
          <w:rFonts w:eastAsia="Times New Roman" w:cs="Times New Roman"/>
          <w:szCs w:val="24"/>
        </w:rPr>
        <w:t xml:space="preserve">, at para. 111, referring to </w:t>
      </w:r>
      <w:r w:rsidRPr="0070034E">
        <w:rPr>
          <w:rFonts w:eastAsia="Times New Roman" w:cs="Times New Roman"/>
          <w:i/>
          <w:iCs/>
          <w:szCs w:val="24"/>
        </w:rPr>
        <w:t>Katz Group</w:t>
      </w:r>
      <w:r w:rsidRPr="0070034E">
        <w:rPr>
          <w:rFonts w:eastAsia="Times New Roman" w:cs="Times New Roman"/>
          <w:szCs w:val="24"/>
        </w:rPr>
        <w:t>, at paras. 45</w:t>
      </w:r>
      <w:r w:rsidRPr="0070034E">
        <w:rPr>
          <w:rFonts w:eastAsia="Times New Roman" w:cs="Times New Roman"/>
          <w:szCs w:val="24"/>
        </w:rPr>
        <w:noBreakHyphen/>
        <w:t xml:space="preserve">48; </w:t>
      </w:r>
      <w:r w:rsidRPr="0070034E">
        <w:rPr>
          <w:rFonts w:eastAsia="Times New Roman" w:cs="Times New Roman"/>
          <w:i/>
          <w:iCs/>
          <w:szCs w:val="24"/>
        </w:rPr>
        <w:t>Montréal (City) v. Montreal Port Authority</w:t>
      </w:r>
      <w:r w:rsidRPr="0070034E">
        <w:rPr>
          <w:rFonts w:eastAsia="Times New Roman" w:cs="Times New Roman"/>
          <w:szCs w:val="24"/>
        </w:rPr>
        <w:t>, 2010 SCC 14</w:t>
      </w:r>
      <w:r w:rsidRPr="0070034E">
        <w:rPr>
          <w:rFonts w:eastAsia="Times New Roman" w:cs="Times New Roman"/>
        </w:rPr>
        <w:t xml:space="preserve">, </w:t>
      </w:r>
      <w:r w:rsidRPr="0070034E">
        <w:rPr>
          <w:rFonts w:eastAsia="Times New Roman" w:cs="Times New Roman"/>
          <w:szCs w:val="24"/>
        </w:rPr>
        <w:t xml:space="preserve">[2010] 1 S.C.R. 427, at para. 40; </w:t>
      </w:r>
      <w:r w:rsidRPr="0070034E">
        <w:rPr>
          <w:rFonts w:eastAsia="Times New Roman" w:cs="Times New Roman"/>
          <w:i/>
          <w:iCs/>
          <w:szCs w:val="24"/>
        </w:rPr>
        <w:t>Dunsmuir v. New Brunswick</w:t>
      </w:r>
      <w:r w:rsidRPr="0070034E">
        <w:rPr>
          <w:rFonts w:eastAsia="Times New Roman" w:cs="Times New Roman"/>
          <w:szCs w:val="24"/>
        </w:rPr>
        <w:t>, 2008 SCC 9</w:t>
      </w:r>
      <w:r w:rsidRPr="0070034E">
        <w:rPr>
          <w:rFonts w:eastAsia="Times New Roman" w:cs="Times New Roman"/>
        </w:rPr>
        <w:t>, [2008] 1 S.C.R. 190</w:t>
      </w:r>
      <w:r w:rsidRPr="0070034E">
        <w:rPr>
          <w:rFonts w:eastAsia="Times New Roman" w:cs="Times New Roman"/>
          <w:szCs w:val="24"/>
        </w:rPr>
        <w:t xml:space="preserve">, at para. 74; </w:t>
      </w:r>
      <w:r w:rsidRPr="0070034E">
        <w:rPr>
          <w:rFonts w:eastAsia="Times New Roman" w:cs="Times New Roman"/>
          <w:i/>
          <w:iCs/>
          <w:szCs w:val="24"/>
        </w:rPr>
        <w:t xml:space="preserve">Canada (Transport, Infrastructure and Communities) v. </w:t>
      </w:r>
      <w:proofErr w:type="spellStart"/>
      <w:r w:rsidRPr="0070034E">
        <w:rPr>
          <w:rFonts w:eastAsia="Times New Roman" w:cs="Times New Roman"/>
          <w:i/>
          <w:iCs/>
          <w:szCs w:val="24"/>
        </w:rPr>
        <w:t>Farwaha</w:t>
      </w:r>
      <w:proofErr w:type="spellEnd"/>
      <w:r w:rsidRPr="0070034E">
        <w:rPr>
          <w:rFonts w:eastAsia="Times New Roman" w:cs="Times New Roman"/>
          <w:szCs w:val="24"/>
        </w:rPr>
        <w:t xml:space="preserve">, 2014 </w:t>
      </w:r>
      <w:proofErr w:type="spellStart"/>
      <w:r w:rsidRPr="0070034E">
        <w:rPr>
          <w:rFonts w:eastAsia="Times New Roman" w:cs="Times New Roman"/>
          <w:szCs w:val="24"/>
        </w:rPr>
        <w:t>FCA</w:t>
      </w:r>
      <w:proofErr w:type="spellEnd"/>
      <w:r w:rsidRPr="0070034E">
        <w:rPr>
          <w:rFonts w:eastAsia="Times New Roman" w:cs="Times New Roman"/>
          <w:szCs w:val="24"/>
        </w:rPr>
        <w:t xml:space="preserve"> 56</w:t>
      </w:r>
      <w:r w:rsidRPr="0070034E">
        <w:rPr>
          <w:rFonts w:eastAsia="Times New Roman" w:cs="Times New Roman"/>
        </w:rPr>
        <w:t>, [2015] 2 F.C.R. 1006</w:t>
      </w:r>
      <w:r w:rsidRPr="0070034E">
        <w:rPr>
          <w:rFonts w:eastAsia="Times New Roman" w:cs="Times New Roman"/>
          <w:szCs w:val="24"/>
        </w:rPr>
        <w:t>, at paras. 93</w:t>
      </w:r>
      <w:r w:rsidRPr="0070034E">
        <w:rPr>
          <w:rFonts w:eastAsia="Times New Roman" w:cs="Times New Roman"/>
          <w:szCs w:val="24"/>
        </w:rPr>
        <w:noBreakHyphen/>
        <w:t>98; Keyes</w:t>
      </w:r>
      <w:r w:rsidRPr="0070034E">
        <w:rPr>
          <w:rFonts w:eastAsia="Times New Roman" w:cs="Times New Roman"/>
        </w:rPr>
        <w:t xml:space="preserve"> (2021)</w:t>
      </w:r>
      <w:r w:rsidRPr="0070034E">
        <w:rPr>
          <w:rFonts w:eastAsia="Times New Roman" w:cs="Times New Roman"/>
          <w:szCs w:val="24"/>
        </w:rPr>
        <w:t>, at pp. 205</w:t>
      </w:r>
      <w:r w:rsidRPr="0070034E">
        <w:rPr>
          <w:rFonts w:eastAsia="Times New Roman" w:cs="Times New Roman"/>
          <w:szCs w:val="24"/>
        </w:rPr>
        <w:noBreakHyphen/>
        <w:t>6).</w:t>
      </w:r>
    </w:p>
    <w:p w14:paraId="49E82B69" w14:textId="77777777" w:rsidR="00DB7512" w:rsidRPr="0070034E" w:rsidRDefault="00DB7512" w:rsidP="00DB7512">
      <w:pPr>
        <w:pStyle w:val="Title4LevelTitre4Niveau"/>
        <w:rPr>
          <w:rFonts w:cs="Times New Roman"/>
          <w:i w:val="0"/>
        </w:rPr>
      </w:pPr>
      <w:r w:rsidRPr="0070034E">
        <w:rPr>
          <w:rFonts w:cs="Times New Roman"/>
        </w:rPr>
        <w:t xml:space="preserve">Principles of Statutory </w:t>
      </w:r>
      <w:r w:rsidRPr="0070034E">
        <w:rPr>
          <w:rFonts w:cs="Times New Roman"/>
          <w:iCs/>
        </w:rPr>
        <w:t>Interpretation</w:t>
      </w:r>
    </w:p>
    <w:p w14:paraId="6AD646E4"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Statutory delegates are empowered to interpret the scope of their authority when enacting subordinate legislation. Their interpretation must, however, be consistent with the text, context and purpose of the enabling statute (</w:t>
      </w:r>
      <w:r w:rsidRPr="0070034E">
        <w:rPr>
          <w:rFonts w:eastAsia="Times New Roman" w:cs="Times New Roman"/>
          <w:i/>
          <w:iCs/>
          <w:szCs w:val="24"/>
        </w:rPr>
        <w:t>Vavilov</w:t>
      </w:r>
      <w:r w:rsidRPr="0070034E">
        <w:rPr>
          <w:rFonts w:eastAsia="Times New Roman" w:cs="Times New Roman"/>
          <w:szCs w:val="24"/>
        </w:rPr>
        <w:t>, at paras. 120</w:t>
      </w:r>
      <w:r w:rsidRPr="0070034E">
        <w:rPr>
          <w:rFonts w:eastAsia="Times New Roman" w:cs="Times New Roman"/>
          <w:szCs w:val="24"/>
        </w:rPr>
        <w:noBreakHyphen/>
        <w:t>21; Keyes (2021), at p. 193). They must interpret the scope of their authority in accordance with the modern principle of statutory interpretation. The words of the enabling statute must be read “in their entire context and in their grammatical and ordinary sense harmoniously with the scheme of the Act, the object of the Act, and the intention of Parliament” (</w:t>
      </w:r>
      <w:r w:rsidRPr="0070034E">
        <w:rPr>
          <w:rFonts w:eastAsia="Times New Roman" w:cs="Times New Roman"/>
          <w:i/>
          <w:iCs/>
          <w:szCs w:val="24"/>
        </w:rPr>
        <w:t>Rizzo &amp; Rizzo Shoes Ltd. (Re)</w:t>
      </w:r>
      <w:r w:rsidRPr="0070034E">
        <w:rPr>
          <w:rFonts w:eastAsia="Times New Roman" w:cs="Times New Roman"/>
          <w:szCs w:val="24"/>
        </w:rPr>
        <w:t>, [1998] 1 S.C.R. 27, at para. 21</w:t>
      </w:r>
      <w:r w:rsidRPr="0070034E">
        <w:rPr>
          <w:rFonts w:cs="Times New Roman"/>
        </w:rPr>
        <w:t xml:space="preserve">, citing E. A. Driedger, </w:t>
      </w:r>
      <w:r w:rsidRPr="0070034E">
        <w:rPr>
          <w:rFonts w:cs="Times New Roman"/>
          <w:i/>
          <w:iCs/>
        </w:rPr>
        <w:t xml:space="preserve">Construction of Statutes </w:t>
      </w:r>
      <w:r w:rsidRPr="0070034E">
        <w:rPr>
          <w:rFonts w:cs="Times New Roman"/>
        </w:rPr>
        <w:t>(2nd ed. 1983), at p. 87</w:t>
      </w:r>
      <w:r w:rsidRPr="0070034E">
        <w:rPr>
          <w:rFonts w:eastAsia="Times New Roman" w:cs="Times New Roman"/>
          <w:szCs w:val="24"/>
        </w:rPr>
        <w:t>).</w:t>
      </w:r>
    </w:p>
    <w:p w14:paraId="396A85C6"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In conducting a </w:t>
      </w:r>
      <w:r w:rsidRPr="0070034E">
        <w:rPr>
          <w:rFonts w:eastAsia="Times New Roman" w:cs="Times New Roman"/>
          <w:i/>
          <w:iCs/>
          <w:szCs w:val="24"/>
        </w:rPr>
        <w:t xml:space="preserve">vires </w:t>
      </w:r>
      <w:r w:rsidRPr="0070034E">
        <w:rPr>
          <w:rFonts w:eastAsia="Times New Roman" w:cs="Times New Roman"/>
          <w:szCs w:val="24"/>
        </w:rPr>
        <w:t xml:space="preserve">review, a court does not undertake a </w:t>
      </w:r>
      <w:r w:rsidRPr="0070034E">
        <w:rPr>
          <w:rFonts w:eastAsia="Times New Roman" w:cs="Times New Roman"/>
          <w:i/>
          <w:iCs/>
          <w:szCs w:val="24"/>
        </w:rPr>
        <w:t xml:space="preserve">de novo </w:t>
      </w:r>
      <w:r w:rsidRPr="0070034E">
        <w:rPr>
          <w:rFonts w:eastAsia="Times New Roman" w:cs="Times New Roman"/>
          <w:szCs w:val="24"/>
        </w:rPr>
        <w:t>analysis to determine the correct interpretation of the enabling statute and then ask whether, on that interpretation, the delegate had the authority to enact the subordinate legislation. Rather, the court ensures that the delegate’s exercise of authority falls within a reasonable interpretation of the enabling statute, having regard to the relevant constraints.</w:t>
      </w:r>
    </w:p>
    <w:p w14:paraId="469ADAF7" w14:textId="77777777" w:rsidR="00DB7512" w:rsidRPr="0070034E" w:rsidRDefault="00DB7512" w:rsidP="00DB7512">
      <w:pPr>
        <w:pStyle w:val="ParaNoNdepar-AltN"/>
        <w:rPr>
          <w:rFonts w:cs="Times New Roman"/>
        </w:rPr>
      </w:pPr>
      <w:r w:rsidRPr="0070034E">
        <w:rPr>
          <w:rFonts w:eastAsia="Times New Roman" w:cs="Times New Roman"/>
          <w:szCs w:val="24"/>
        </w:rPr>
        <w:t xml:space="preserve">In what follows, I apply the reasonableness standard to review the </w:t>
      </w:r>
      <w:r w:rsidRPr="0070034E">
        <w:rPr>
          <w:rFonts w:eastAsia="Times New Roman" w:cs="Times New Roman"/>
          <w:i/>
          <w:iCs/>
          <w:szCs w:val="24"/>
        </w:rPr>
        <w:t xml:space="preserve">vires </w:t>
      </w:r>
      <w:r w:rsidRPr="0070034E">
        <w:rPr>
          <w:rFonts w:eastAsia="Times New Roman" w:cs="Times New Roman"/>
          <w:szCs w:val="24"/>
        </w:rPr>
        <w:t xml:space="preserve">of the </w:t>
      </w:r>
      <w:r w:rsidRPr="0070034E">
        <w:rPr>
          <w:rFonts w:eastAsia="Times New Roman" w:cs="Times New Roman"/>
          <w:i/>
          <w:iCs/>
          <w:szCs w:val="24"/>
        </w:rPr>
        <w:t>Child Support Guidelines</w:t>
      </w:r>
      <w:r w:rsidRPr="0070034E">
        <w:rPr>
          <w:rFonts w:eastAsia="Times New Roman" w:cs="Times New Roman"/>
          <w:szCs w:val="24"/>
        </w:rPr>
        <w:t>.</w:t>
      </w:r>
    </w:p>
    <w:p w14:paraId="3DCF0DFF" w14:textId="77777777" w:rsidR="00DB7512" w:rsidRPr="0070034E" w:rsidRDefault="00DB7512" w:rsidP="00DB7512">
      <w:pPr>
        <w:pStyle w:val="Title1LevelTitre1Niveau-AltL"/>
        <w:rPr>
          <w:rFonts w:cs="Times New Roman"/>
        </w:rPr>
      </w:pPr>
      <w:bookmarkStart w:id="21" w:name="_Toc172041741"/>
      <w:r w:rsidRPr="0070034E">
        <w:rPr>
          <w:rFonts w:cs="Times New Roman"/>
        </w:rPr>
        <w:t>Analysis</w:t>
      </w:r>
      <w:bookmarkEnd w:id="21"/>
    </w:p>
    <w:p w14:paraId="4B58C86D" w14:textId="77777777" w:rsidR="00DB7512" w:rsidRPr="0070034E" w:rsidRDefault="00DB7512" w:rsidP="00DB7512">
      <w:pPr>
        <w:pStyle w:val="Title2LevelTitre2Niveau"/>
        <w:rPr>
          <w:rFonts w:cs="Times New Roman"/>
          <w:i w:val="0"/>
        </w:rPr>
      </w:pPr>
      <w:bookmarkStart w:id="22" w:name="_Toc172041742"/>
      <w:r w:rsidRPr="0070034E">
        <w:rPr>
          <w:rFonts w:cs="Times New Roman"/>
        </w:rPr>
        <w:t>Overview of the Child Support Guidelines</w:t>
      </w:r>
      <w:bookmarkEnd w:id="22"/>
    </w:p>
    <w:p w14:paraId="280DE0CE" w14:textId="77777777" w:rsidR="00DB7512" w:rsidRPr="0070034E" w:rsidRDefault="00DB7512" w:rsidP="00DB7512">
      <w:pPr>
        <w:pStyle w:val="ParaNoNdepar-AltN"/>
        <w:rPr>
          <w:rFonts w:cs="Times New Roman"/>
        </w:rPr>
      </w:pPr>
      <w:r w:rsidRPr="0070034E">
        <w:rPr>
          <w:rFonts w:eastAsia="Times New Roman" w:cs="Times New Roman"/>
          <w:szCs w:val="24"/>
        </w:rPr>
        <w:t>In Canada, child support has been legislated since 1855. Early statutory schemes vested judges with discretion to determine child support amounts based on need. Judges were thus required to decide upon a reasonable amount of child support for the care of the child (</w:t>
      </w:r>
      <w:r w:rsidRPr="0070034E">
        <w:rPr>
          <w:rFonts w:eastAsia="Times New Roman" w:cs="Times New Roman"/>
          <w:i/>
          <w:iCs/>
          <w:szCs w:val="24"/>
        </w:rPr>
        <w:t>Michel v. Graydon</w:t>
      </w:r>
      <w:r w:rsidRPr="0070034E">
        <w:rPr>
          <w:rFonts w:eastAsia="Times New Roman" w:cs="Times New Roman"/>
          <w:szCs w:val="24"/>
        </w:rPr>
        <w:t>, 2020 SCC 24, [2020] 2 S.C.R. 763, at para. 46)</w:t>
      </w:r>
      <w:r w:rsidRPr="0070034E">
        <w:rPr>
          <w:rFonts w:eastAsia="Times New Roman" w:cs="Times New Roman"/>
          <w:iCs/>
          <w:szCs w:val="24"/>
        </w:rPr>
        <w:t>.</w:t>
      </w:r>
      <w:r w:rsidRPr="0070034E">
        <w:rPr>
          <w:rFonts w:eastAsia="Times New Roman" w:cs="Times New Roman"/>
          <w:i/>
          <w:iCs/>
          <w:szCs w:val="24"/>
        </w:rPr>
        <w:t xml:space="preserve"> </w:t>
      </w:r>
      <w:r w:rsidRPr="0070034E">
        <w:rPr>
          <w:rFonts w:eastAsia="Times New Roman" w:cs="Times New Roman"/>
          <w:szCs w:val="24"/>
        </w:rPr>
        <w:t xml:space="preserve">This discretionary approach was heavily criticized for being “uncertain, inconsistent, and often resulting in unfair awards” (para. 48; J. D. Payne and M. A. Payne, </w:t>
      </w:r>
      <w:r w:rsidRPr="0070034E">
        <w:rPr>
          <w:rFonts w:eastAsia="Times New Roman" w:cs="Times New Roman"/>
          <w:i/>
          <w:iCs/>
          <w:szCs w:val="24"/>
        </w:rPr>
        <w:t>Child Support Guidelines in Canada, 2020</w:t>
      </w:r>
      <w:r w:rsidRPr="0070034E">
        <w:rPr>
          <w:rFonts w:eastAsia="Times New Roman" w:cs="Times New Roman"/>
          <w:szCs w:val="24"/>
        </w:rPr>
        <w:t xml:space="preserve"> (2020), at p. 1). This was in part because “judges, counsel, or parties </w:t>
      </w:r>
      <w:proofErr w:type="spellStart"/>
      <w:r w:rsidRPr="0070034E">
        <w:rPr>
          <w:rFonts w:eastAsia="Times New Roman" w:cs="Times New Roman"/>
          <w:szCs w:val="24"/>
        </w:rPr>
        <w:t>underestimat</w:t>
      </w:r>
      <w:proofErr w:type="spellEnd"/>
      <w:r w:rsidRPr="0070034E">
        <w:rPr>
          <w:rFonts w:eastAsia="Times New Roman" w:cs="Times New Roman"/>
          <w:szCs w:val="24"/>
        </w:rPr>
        <w:t>[</w:t>
      </w:r>
      <w:proofErr w:type="spellStart"/>
      <w:proofErr w:type="gramStart"/>
      <w:r w:rsidRPr="0070034E">
        <w:rPr>
          <w:rFonts w:eastAsia="Times New Roman" w:cs="Times New Roman"/>
          <w:szCs w:val="24"/>
        </w:rPr>
        <w:t>ed</w:t>
      </w:r>
      <w:proofErr w:type="spellEnd"/>
      <w:proofErr w:type="gramEnd"/>
      <w:r w:rsidRPr="0070034E">
        <w:rPr>
          <w:rFonts w:eastAsia="Times New Roman" w:cs="Times New Roman"/>
          <w:szCs w:val="24"/>
        </w:rPr>
        <w:t>] the cost of raising a child” and because courts would insist on proof of the child’s expenses (</w:t>
      </w:r>
      <w:r w:rsidRPr="0070034E">
        <w:rPr>
          <w:rFonts w:eastAsia="Times New Roman" w:cs="Times New Roman"/>
          <w:i/>
          <w:iCs/>
          <w:szCs w:val="24"/>
        </w:rPr>
        <w:t>Michel</w:t>
      </w:r>
      <w:r w:rsidRPr="0070034E">
        <w:rPr>
          <w:rFonts w:eastAsia="Times New Roman" w:cs="Times New Roman"/>
          <w:szCs w:val="24"/>
        </w:rPr>
        <w:t>, at para. 48). This placed the burden of proof on the recipient parent, and where such evidence was not adduced, there was concern that the award would be “subjective and somewhat arbitrary” (</w:t>
      </w:r>
      <w:r w:rsidRPr="0070034E">
        <w:rPr>
          <w:rFonts w:eastAsia="Times New Roman" w:cs="Times New Roman"/>
          <w:i/>
          <w:iCs/>
          <w:szCs w:val="24"/>
        </w:rPr>
        <w:t>ibid.</w:t>
      </w:r>
      <w:r w:rsidRPr="0070034E">
        <w:rPr>
          <w:rFonts w:eastAsia="Times New Roman" w:cs="Times New Roman"/>
          <w:iCs/>
          <w:szCs w:val="24"/>
        </w:rPr>
        <w:t xml:space="preserve">, citing </w:t>
      </w:r>
      <w:r w:rsidRPr="0070034E">
        <w:rPr>
          <w:rFonts w:eastAsia="Times New Roman" w:cs="Times New Roman"/>
          <w:i/>
          <w:iCs/>
          <w:szCs w:val="24"/>
        </w:rPr>
        <w:t xml:space="preserve">Childs v. Childs </w:t>
      </w:r>
      <w:r w:rsidRPr="0070034E">
        <w:rPr>
          <w:rFonts w:eastAsia="Times New Roman" w:cs="Times New Roman"/>
          <w:iCs/>
          <w:szCs w:val="24"/>
        </w:rPr>
        <w:t>(1990), 107 N.B.R. (2d) 176 (C.A.), at para. 6</w:t>
      </w:r>
      <w:r w:rsidRPr="0070034E">
        <w:rPr>
          <w:rFonts w:eastAsia="Times New Roman" w:cs="Times New Roman"/>
          <w:szCs w:val="24"/>
        </w:rPr>
        <w:t>).</w:t>
      </w:r>
    </w:p>
    <w:p w14:paraId="37760532"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As Martin J. explained in her concurring reasons in </w:t>
      </w:r>
      <w:r w:rsidRPr="0070034E">
        <w:rPr>
          <w:rFonts w:eastAsia="Times New Roman" w:cs="Times New Roman"/>
          <w:i/>
          <w:iCs/>
          <w:szCs w:val="24"/>
        </w:rPr>
        <w:t>Michel</w:t>
      </w:r>
      <w:r w:rsidRPr="0070034E">
        <w:rPr>
          <w:rFonts w:eastAsia="Times New Roman" w:cs="Times New Roman"/>
          <w:szCs w:val="24"/>
        </w:rPr>
        <w:t xml:space="preserve">, the objective of the </w:t>
      </w:r>
      <w:r w:rsidRPr="0070034E">
        <w:rPr>
          <w:rFonts w:eastAsia="Times New Roman" w:cs="Times New Roman"/>
          <w:i/>
          <w:iCs/>
          <w:szCs w:val="24"/>
        </w:rPr>
        <w:t>Child Support Guidelines</w:t>
      </w:r>
      <w:r w:rsidRPr="0070034E">
        <w:rPr>
          <w:rFonts w:eastAsia="Times New Roman" w:cs="Times New Roman"/>
          <w:szCs w:val="24"/>
        </w:rPr>
        <w:t xml:space="preserve"> “was to remedy this situation by maintaining the principles core to child support while providing much</w:t>
      </w:r>
      <w:r w:rsidRPr="0070034E">
        <w:rPr>
          <w:rFonts w:eastAsia="Times New Roman" w:cs="Times New Roman"/>
          <w:szCs w:val="24"/>
        </w:rPr>
        <w:noBreakHyphen/>
        <w:t xml:space="preserve">needed certainty, consistency, predictability, and efficiency” (para. 49, citing </w:t>
      </w:r>
      <w:r w:rsidRPr="0070034E">
        <w:rPr>
          <w:rFonts w:eastAsia="Times New Roman" w:cs="Times New Roman"/>
          <w:i/>
          <w:iCs/>
          <w:szCs w:val="24"/>
        </w:rPr>
        <w:t>Francis v. Baker</w:t>
      </w:r>
      <w:r w:rsidRPr="0070034E">
        <w:rPr>
          <w:rFonts w:eastAsia="Times New Roman" w:cs="Times New Roman"/>
          <w:szCs w:val="24"/>
        </w:rPr>
        <w:t>, [1999] 3 S.C.R. 250, at paras. 39</w:t>
      </w:r>
      <w:r w:rsidRPr="0070034E">
        <w:rPr>
          <w:rFonts w:eastAsia="Times New Roman" w:cs="Times New Roman"/>
          <w:szCs w:val="24"/>
        </w:rPr>
        <w:noBreakHyphen/>
        <w:t>40)</w:t>
      </w:r>
      <w:r w:rsidRPr="0070034E">
        <w:rPr>
          <w:rFonts w:eastAsia="Times New Roman" w:cs="Times New Roman"/>
          <w:iCs/>
          <w:szCs w:val="24"/>
        </w:rPr>
        <w:t>.</w:t>
      </w:r>
      <w:r w:rsidRPr="0070034E">
        <w:rPr>
          <w:rFonts w:eastAsia="Times New Roman" w:cs="Times New Roman"/>
          <w:i/>
          <w:iCs/>
          <w:szCs w:val="24"/>
        </w:rPr>
        <w:t xml:space="preserve"> </w:t>
      </w:r>
      <w:r w:rsidRPr="0070034E">
        <w:rPr>
          <w:rFonts w:eastAsia="Times New Roman" w:cs="Times New Roman"/>
          <w:szCs w:val="24"/>
        </w:rPr>
        <w:t xml:space="preserve">The federal, provincial and territorial governments formed a Family Law Committee (“Committee”) to undertake major research studies on child support in Canada (Payne and Payne, at p. 1). The Committee “recommended the application of a child support formula under the </w:t>
      </w:r>
      <w:r w:rsidRPr="0070034E">
        <w:rPr>
          <w:rFonts w:eastAsia="Times New Roman" w:cs="Times New Roman"/>
          <w:i/>
          <w:iCs/>
          <w:szCs w:val="24"/>
        </w:rPr>
        <w:t>Divorce Act</w:t>
      </w:r>
      <w:r w:rsidRPr="0070034E">
        <w:rPr>
          <w:rFonts w:eastAsia="Times New Roman" w:cs="Times New Roman"/>
          <w:szCs w:val="24"/>
        </w:rPr>
        <w:t>, ‘guided by the principle that both parents have a responsibility to meet the financial needs of the children according to their income’” (</w:t>
      </w:r>
      <w:r w:rsidRPr="0070034E">
        <w:rPr>
          <w:rFonts w:eastAsia="Times New Roman" w:cs="Times New Roman"/>
          <w:i/>
          <w:iCs/>
          <w:szCs w:val="24"/>
        </w:rPr>
        <w:t>Michel</w:t>
      </w:r>
      <w:r w:rsidRPr="0070034E">
        <w:rPr>
          <w:rFonts w:eastAsia="Times New Roman" w:cs="Times New Roman"/>
          <w:szCs w:val="24"/>
        </w:rPr>
        <w:t xml:space="preserve">, at para. 49, citing </w:t>
      </w:r>
      <w:r w:rsidRPr="0070034E">
        <w:t xml:space="preserve">Federal/Provincial/Territorial Family Law </w:t>
      </w:r>
      <w:r w:rsidRPr="0070034E">
        <w:rPr>
          <w:rFonts w:eastAsia="Times New Roman" w:cs="Times New Roman"/>
          <w:szCs w:val="24"/>
        </w:rPr>
        <w:t xml:space="preserve">Committee, </w:t>
      </w:r>
      <w:r w:rsidRPr="0070034E">
        <w:rPr>
          <w:rFonts w:eastAsia="Times New Roman" w:cs="Times New Roman"/>
          <w:i/>
          <w:iCs/>
          <w:szCs w:val="24"/>
        </w:rPr>
        <w:t xml:space="preserve">Report and Recommendations on Child Support </w:t>
      </w:r>
      <w:r w:rsidRPr="0070034E">
        <w:rPr>
          <w:rFonts w:eastAsia="Times New Roman" w:cs="Times New Roman"/>
          <w:szCs w:val="24"/>
        </w:rPr>
        <w:t>(1995), at p. i).</w:t>
      </w:r>
      <w:r w:rsidRPr="0070034E">
        <w:rPr>
          <w:rFonts w:eastAsia="Times New Roman" w:cs="Times New Roman"/>
          <w:i/>
          <w:iCs/>
          <w:szCs w:val="24"/>
        </w:rPr>
        <w:t xml:space="preserve"> </w:t>
      </w:r>
      <w:r w:rsidRPr="0070034E">
        <w:rPr>
          <w:rFonts w:eastAsia="Times New Roman" w:cs="Times New Roman"/>
          <w:szCs w:val="24"/>
        </w:rPr>
        <w:t>In 1996, following the Committee’s recommendation, Parliament introduced Bill C</w:t>
      </w:r>
      <w:r w:rsidRPr="0070034E">
        <w:rPr>
          <w:rFonts w:eastAsia="Times New Roman" w:cs="Times New Roman"/>
          <w:szCs w:val="24"/>
        </w:rPr>
        <w:noBreakHyphen/>
        <w:t xml:space="preserve">41, </w:t>
      </w:r>
      <w:r w:rsidRPr="0070034E">
        <w:rPr>
          <w:rFonts w:eastAsia="Times New Roman" w:cs="Times New Roman"/>
          <w:i/>
          <w:iCs/>
          <w:szCs w:val="24"/>
        </w:rPr>
        <w:t xml:space="preserve">An Act to amend the Divorce Act, the Family Orders and Agreements Enforcement Assistance Act, the Garnishment, Attachment and Pension Diversion Act and the Canada Shipping </w:t>
      </w:r>
      <w:r w:rsidRPr="0070034E">
        <w:rPr>
          <w:rFonts w:eastAsia="Times New Roman" w:cs="Times New Roman"/>
          <w:i/>
          <w:szCs w:val="24"/>
        </w:rPr>
        <w:t>Act</w:t>
      </w:r>
      <w:r w:rsidRPr="0070034E">
        <w:rPr>
          <w:rFonts w:eastAsia="Times New Roman" w:cs="Times New Roman"/>
          <w:szCs w:val="24"/>
        </w:rPr>
        <w:t>, 2nd Sess., 35th Parl., 1996</w:t>
      </w:r>
      <w:r w:rsidRPr="0070034E">
        <w:rPr>
          <w:rFonts w:eastAsia="Times New Roman" w:cs="Times New Roman"/>
          <w:szCs w:val="24"/>
        </w:rPr>
        <w:noBreakHyphen/>
        <w:t>97 (as passed by the House of Commons on November 18, 1996). Bill C</w:t>
      </w:r>
      <w:r w:rsidRPr="0070034E">
        <w:rPr>
          <w:rFonts w:eastAsia="Times New Roman" w:cs="Times New Roman"/>
          <w:szCs w:val="24"/>
        </w:rPr>
        <w:noBreakHyphen/>
        <w:t xml:space="preserve">41 amended the </w:t>
      </w:r>
      <w:r w:rsidRPr="0070034E">
        <w:rPr>
          <w:rFonts w:eastAsia="Times New Roman" w:cs="Times New Roman"/>
          <w:i/>
          <w:iCs/>
          <w:szCs w:val="24"/>
        </w:rPr>
        <w:t xml:space="preserve">Divorce Act </w:t>
      </w:r>
      <w:r w:rsidRPr="0070034E">
        <w:rPr>
          <w:rFonts w:eastAsia="Times New Roman" w:cs="Times New Roman"/>
          <w:szCs w:val="24"/>
        </w:rPr>
        <w:t>to expressly authorize the GIC to establish guidelines respecting orders for child support (</w:t>
      </w:r>
      <w:r w:rsidRPr="0070034E">
        <w:rPr>
          <w:rFonts w:eastAsia="Times New Roman" w:cs="Times New Roman"/>
          <w:i/>
          <w:iCs/>
          <w:szCs w:val="24"/>
        </w:rPr>
        <w:t>Divorce Act</w:t>
      </w:r>
      <w:r w:rsidRPr="0070034E">
        <w:rPr>
          <w:rFonts w:eastAsia="Times New Roman" w:cs="Times New Roman"/>
          <w:szCs w:val="24"/>
        </w:rPr>
        <w:t>, s. 26.1(1))</w:t>
      </w:r>
      <w:r w:rsidRPr="0070034E">
        <w:rPr>
          <w:rFonts w:eastAsia="Times New Roman" w:cs="Times New Roman"/>
          <w:iCs/>
          <w:szCs w:val="24"/>
        </w:rPr>
        <w:t>.</w:t>
      </w:r>
    </w:p>
    <w:p w14:paraId="45B21825"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On May 1, 1997, the GIC established the </w:t>
      </w:r>
      <w:r w:rsidRPr="0070034E">
        <w:rPr>
          <w:rFonts w:eastAsia="Times New Roman" w:cs="Times New Roman"/>
          <w:i/>
          <w:iCs/>
          <w:szCs w:val="24"/>
        </w:rPr>
        <w:t>Child Support Guidelines</w:t>
      </w:r>
      <w:r w:rsidRPr="0070034E">
        <w:rPr>
          <w:rFonts w:eastAsia="Times New Roman" w:cs="Times New Roman"/>
          <w:szCs w:val="24"/>
        </w:rPr>
        <w:t xml:space="preserve">, which introduced a “radical change” to child support rights and obligations under the </w:t>
      </w:r>
      <w:r w:rsidRPr="0070034E">
        <w:rPr>
          <w:rFonts w:eastAsia="Times New Roman" w:cs="Times New Roman"/>
          <w:i/>
          <w:iCs/>
          <w:szCs w:val="24"/>
        </w:rPr>
        <w:t xml:space="preserve">Divorce Act </w:t>
      </w:r>
      <w:r w:rsidRPr="0070034E">
        <w:rPr>
          <w:rFonts w:eastAsia="Times New Roman" w:cs="Times New Roman"/>
          <w:szCs w:val="24"/>
        </w:rPr>
        <w:t xml:space="preserve">(Payne </w:t>
      </w:r>
      <w:r w:rsidRPr="0070034E">
        <w:rPr>
          <w:rFonts w:eastAsia="Times New Roman" w:cs="Times New Roman"/>
        </w:rPr>
        <w:t>and</w:t>
      </w:r>
      <w:r w:rsidRPr="0070034E">
        <w:rPr>
          <w:rFonts w:eastAsia="Times New Roman" w:cs="Times New Roman"/>
          <w:szCs w:val="24"/>
        </w:rPr>
        <w:t xml:space="preserve"> Payne, at p. 1). Our Court has described the purpose of the </w:t>
      </w:r>
      <w:r w:rsidRPr="0070034E">
        <w:rPr>
          <w:rFonts w:eastAsia="Times New Roman" w:cs="Times New Roman"/>
          <w:i/>
          <w:iCs/>
          <w:szCs w:val="24"/>
        </w:rPr>
        <w:t xml:space="preserve">Child Support Guidelines </w:t>
      </w:r>
      <w:r w:rsidRPr="0070034E">
        <w:rPr>
          <w:rFonts w:eastAsia="Times New Roman" w:cs="Times New Roman"/>
          <w:szCs w:val="24"/>
        </w:rPr>
        <w:t>as being to “establish fair levels of support for children from both parents upon marriage breakdown, in a predictable and consistent manner” (</w:t>
      </w:r>
      <w:r w:rsidRPr="0070034E">
        <w:rPr>
          <w:rFonts w:eastAsia="Times New Roman" w:cs="Times New Roman"/>
          <w:i/>
          <w:iCs/>
          <w:szCs w:val="24"/>
        </w:rPr>
        <w:t>Francis</w:t>
      </w:r>
      <w:r w:rsidRPr="0070034E">
        <w:rPr>
          <w:rFonts w:eastAsia="Times New Roman" w:cs="Times New Roman"/>
          <w:szCs w:val="24"/>
        </w:rPr>
        <w:t xml:space="preserve">, at para. 39; see also </w:t>
      </w:r>
      <w:r w:rsidRPr="0070034E">
        <w:rPr>
          <w:rFonts w:eastAsia="Times New Roman" w:cs="Times New Roman"/>
          <w:i/>
          <w:iCs/>
          <w:szCs w:val="24"/>
        </w:rPr>
        <w:t>Child Support Guidelines</w:t>
      </w:r>
      <w:r w:rsidRPr="0070034E">
        <w:rPr>
          <w:rFonts w:eastAsia="Times New Roman" w:cs="Times New Roman"/>
          <w:szCs w:val="24"/>
        </w:rPr>
        <w:t xml:space="preserve">, s. 1). While the </w:t>
      </w:r>
      <w:r w:rsidRPr="0070034E">
        <w:rPr>
          <w:rFonts w:eastAsia="Times New Roman" w:cs="Times New Roman"/>
          <w:i/>
          <w:iCs/>
          <w:szCs w:val="24"/>
        </w:rPr>
        <w:t xml:space="preserve">Child Support Guidelines </w:t>
      </w:r>
      <w:r w:rsidRPr="0070034E">
        <w:rPr>
          <w:rFonts w:eastAsia="Times New Roman" w:cs="Times New Roman"/>
          <w:szCs w:val="24"/>
        </w:rPr>
        <w:t>depart from the discretionary model that preceded them, they continue to reflect the following core principles: (1) child support is the right of the child; (2) the right to support survives the breakdown of the child’s parents’ marriage; (3) child support should, as much as possible, provide children with the same standard of living they enjoyed when their parents were together; and (4) the specific amounts of child support owed will vary based upon the income of the payer parent (</w:t>
      </w:r>
      <w:r w:rsidRPr="0070034E">
        <w:rPr>
          <w:rFonts w:eastAsia="Times New Roman" w:cs="Times New Roman"/>
          <w:i/>
          <w:iCs/>
          <w:szCs w:val="24"/>
        </w:rPr>
        <w:t>D.B.S</w:t>
      </w:r>
      <w:r w:rsidRPr="0070034E">
        <w:rPr>
          <w:rFonts w:eastAsia="Times New Roman" w:cs="Times New Roman"/>
          <w:i/>
          <w:szCs w:val="24"/>
        </w:rPr>
        <w:t>.</w:t>
      </w:r>
      <w:r w:rsidRPr="0070034E">
        <w:rPr>
          <w:rFonts w:eastAsia="Times New Roman" w:cs="Times New Roman"/>
          <w:szCs w:val="24"/>
        </w:rPr>
        <w:t xml:space="preserve"> </w:t>
      </w:r>
      <w:r w:rsidRPr="0070034E">
        <w:rPr>
          <w:rFonts w:eastAsia="Times New Roman" w:cs="Times New Roman"/>
          <w:i/>
          <w:iCs/>
          <w:szCs w:val="24"/>
        </w:rPr>
        <w:t>v. S.R.G.</w:t>
      </w:r>
      <w:r w:rsidRPr="0070034E">
        <w:rPr>
          <w:rFonts w:eastAsia="Times New Roman" w:cs="Times New Roman"/>
          <w:szCs w:val="24"/>
        </w:rPr>
        <w:t>, 2006 SCC 37</w:t>
      </w:r>
      <w:r w:rsidRPr="0070034E">
        <w:rPr>
          <w:rFonts w:eastAsia="Times New Roman" w:cs="Times New Roman"/>
        </w:rPr>
        <w:t xml:space="preserve">, </w:t>
      </w:r>
      <w:r w:rsidRPr="0070034E">
        <w:rPr>
          <w:rFonts w:eastAsia="Times New Roman" w:cs="Times New Roman"/>
          <w:szCs w:val="24"/>
        </w:rPr>
        <w:t>[2006] 2 S.C.R. 231, at para. 38).</w:t>
      </w:r>
    </w:p>
    <w:p w14:paraId="5C551A22"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Section 3 of the </w:t>
      </w:r>
      <w:r w:rsidRPr="0070034E">
        <w:rPr>
          <w:rFonts w:eastAsia="Times New Roman" w:cs="Times New Roman"/>
          <w:i/>
          <w:iCs/>
          <w:szCs w:val="24"/>
        </w:rPr>
        <w:t xml:space="preserve">Child Support Guidelines </w:t>
      </w:r>
      <w:r w:rsidRPr="0070034E">
        <w:rPr>
          <w:rFonts w:eastAsia="Times New Roman" w:cs="Times New Roman"/>
          <w:szCs w:val="24"/>
        </w:rPr>
        <w:t xml:space="preserve">“creates a presumptive rule whereby, unless otherwise provided by the </w:t>
      </w:r>
      <w:r w:rsidRPr="0070034E">
        <w:rPr>
          <w:rFonts w:eastAsia="Times New Roman" w:cs="Times New Roman"/>
          <w:i/>
          <w:iCs/>
          <w:szCs w:val="24"/>
        </w:rPr>
        <w:t>Divorce Act</w:t>
      </w:r>
      <w:r w:rsidRPr="0070034E">
        <w:rPr>
          <w:rFonts w:eastAsia="Times New Roman" w:cs="Times New Roman"/>
          <w:szCs w:val="24"/>
        </w:rPr>
        <w:t xml:space="preserve"> or under the Guidelines, the amount of a child support order for children under the age of majority is (a) the amount set out in the applicable </w:t>
      </w:r>
      <w:proofErr w:type="gramStart"/>
      <w:r w:rsidRPr="0070034E">
        <w:rPr>
          <w:rFonts w:eastAsia="Times New Roman" w:cs="Times New Roman"/>
          <w:szCs w:val="24"/>
        </w:rPr>
        <w:t>table .</w:t>
      </w:r>
      <w:proofErr w:type="gramEnd"/>
      <w:r w:rsidRPr="0070034E">
        <w:rPr>
          <w:rFonts w:eastAsia="Times New Roman" w:cs="Times New Roman"/>
          <w:szCs w:val="24"/>
        </w:rPr>
        <w:t xml:space="preserve"> . . and (b) the amount, if any, determined under section 7 of the Guidelines for special or extraordinary expenses” (Payne </w:t>
      </w:r>
      <w:r w:rsidRPr="0070034E">
        <w:rPr>
          <w:rFonts w:eastAsia="Times New Roman" w:cs="Times New Roman"/>
        </w:rPr>
        <w:t>and</w:t>
      </w:r>
      <w:r w:rsidRPr="0070034E">
        <w:rPr>
          <w:rFonts w:eastAsia="Times New Roman" w:cs="Times New Roman"/>
          <w:szCs w:val="24"/>
        </w:rPr>
        <w:t xml:space="preserve"> Payne, at p. 12). The table amount “is a function of the income of the paying parent and the number of children the award is to cover” (</w:t>
      </w:r>
      <w:r w:rsidRPr="0070034E">
        <w:rPr>
          <w:rFonts w:eastAsia="Times New Roman" w:cs="Times New Roman"/>
          <w:i/>
          <w:iCs/>
          <w:szCs w:val="24"/>
        </w:rPr>
        <w:t>Francis</w:t>
      </w:r>
      <w:r w:rsidRPr="0070034E">
        <w:rPr>
          <w:rFonts w:eastAsia="Times New Roman" w:cs="Times New Roman"/>
          <w:szCs w:val="24"/>
        </w:rPr>
        <w:t>, at para. 1). The table “</w:t>
      </w:r>
      <w:proofErr w:type="gramStart"/>
      <w:r w:rsidRPr="0070034E">
        <w:rPr>
          <w:rFonts w:eastAsia="Times New Roman" w:cs="Times New Roman"/>
          <w:szCs w:val="24"/>
        </w:rPr>
        <w:t>focus[</w:t>
      </w:r>
      <w:proofErr w:type="spellStart"/>
      <w:proofErr w:type="gramEnd"/>
      <w:r w:rsidRPr="0070034E">
        <w:rPr>
          <w:rFonts w:eastAsia="Times New Roman" w:cs="Times New Roman"/>
          <w:szCs w:val="24"/>
        </w:rPr>
        <w:t>es</w:t>
      </w:r>
      <w:proofErr w:type="spellEnd"/>
      <w:r w:rsidRPr="0070034E">
        <w:rPr>
          <w:rFonts w:eastAsia="Times New Roman" w:cs="Times New Roman"/>
          <w:szCs w:val="24"/>
        </w:rPr>
        <w:t>] on a system of ‘average’ justice and move[s] away from creating individual justice on a case</w:t>
      </w:r>
      <w:r w:rsidRPr="0070034E">
        <w:rPr>
          <w:rFonts w:eastAsia="Times New Roman" w:cs="Times New Roman"/>
          <w:szCs w:val="24"/>
        </w:rPr>
        <w:noBreakHyphen/>
        <w:t>by</w:t>
      </w:r>
      <w:r w:rsidRPr="0070034E">
        <w:rPr>
          <w:rFonts w:eastAsia="Times New Roman" w:cs="Times New Roman"/>
          <w:szCs w:val="24"/>
        </w:rPr>
        <w:noBreakHyphen/>
        <w:t>case basis” (N. </w:t>
      </w:r>
      <w:proofErr w:type="spellStart"/>
      <w:r w:rsidRPr="0070034E">
        <w:rPr>
          <w:rFonts w:eastAsia="Times New Roman" w:cs="Times New Roman"/>
          <w:szCs w:val="24"/>
        </w:rPr>
        <w:t>Fera</w:t>
      </w:r>
      <w:proofErr w:type="spellEnd"/>
      <w:r w:rsidRPr="0070034E">
        <w:rPr>
          <w:rFonts w:eastAsia="Times New Roman" w:cs="Times New Roman"/>
          <w:szCs w:val="24"/>
        </w:rPr>
        <w:t>, “New Child-Support Guidelines — A Brief Overview” (1997), 25 R.F.L. (4th) 356, at p. 356). The use of the table is “intended to bring about an objective and predictable determination of child support, and bring an end to the subjective, ad hoc [pre</w:t>
      </w:r>
      <w:r w:rsidRPr="0070034E">
        <w:rPr>
          <w:rFonts w:eastAsia="Times New Roman" w:cs="Times New Roman"/>
          <w:szCs w:val="24"/>
        </w:rPr>
        <w:noBreakHyphen/>
      </w:r>
      <w:r w:rsidRPr="0070034E">
        <w:rPr>
          <w:rFonts w:eastAsia="Times New Roman" w:cs="Times New Roman"/>
          <w:i/>
          <w:iCs/>
          <w:szCs w:val="24"/>
        </w:rPr>
        <w:t>Child Support Guidelines</w:t>
      </w:r>
      <w:r w:rsidRPr="0070034E">
        <w:rPr>
          <w:rFonts w:eastAsia="Times New Roman" w:cs="Times New Roman"/>
          <w:szCs w:val="24"/>
        </w:rPr>
        <w:t>] case decisions” (F. </w:t>
      </w:r>
      <w:proofErr w:type="spellStart"/>
      <w:r w:rsidRPr="0070034E">
        <w:rPr>
          <w:rFonts w:eastAsia="Times New Roman" w:cs="Times New Roman"/>
          <w:szCs w:val="24"/>
        </w:rPr>
        <w:t>Hudani</w:t>
      </w:r>
      <w:proofErr w:type="spellEnd"/>
      <w:r w:rsidRPr="0070034E">
        <w:rPr>
          <w:rFonts w:eastAsia="Times New Roman" w:cs="Times New Roman"/>
          <w:szCs w:val="24"/>
        </w:rPr>
        <w:t xml:space="preserve">, ed., </w:t>
      </w:r>
      <w:r w:rsidRPr="0070034E">
        <w:rPr>
          <w:rFonts w:eastAsia="Times New Roman" w:cs="Times New Roman"/>
          <w:i/>
          <w:iCs/>
          <w:szCs w:val="24"/>
        </w:rPr>
        <w:t xml:space="preserve">Wilson on Children and the Law </w:t>
      </w:r>
      <w:r w:rsidRPr="0070034E">
        <w:rPr>
          <w:rFonts w:eastAsia="Times New Roman" w:cs="Times New Roman"/>
          <w:szCs w:val="24"/>
        </w:rPr>
        <w:t>(loose</w:t>
      </w:r>
      <w:r w:rsidRPr="0070034E">
        <w:rPr>
          <w:rFonts w:eastAsia="Times New Roman" w:cs="Times New Roman"/>
          <w:szCs w:val="24"/>
        </w:rPr>
        <w:noBreakHyphen/>
        <w:t>leaf), at § 4.10). Judges may deviate from the table amount in cases involving children over the age of majority (</w:t>
      </w:r>
      <w:r w:rsidRPr="0070034E">
        <w:rPr>
          <w:rFonts w:eastAsia="Times New Roman" w:cs="Times New Roman"/>
          <w:i/>
          <w:iCs/>
          <w:szCs w:val="24"/>
        </w:rPr>
        <w:t>Child Support Guidelines</w:t>
      </w:r>
      <w:r w:rsidRPr="0070034E">
        <w:rPr>
          <w:rFonts w:eastAsia="Times New Roman" w:cs="Times New Roman"/>
          <w:iCs/>
          <w:szCs w:val="24"/>
        </w:rPr>
        <w:t>,</w:t>
      </w:r>
      <w:r w:rsidRPr="0070034E">
        <w:rPr>
          <w:rFonts w:eastAsia="Times New Roman" w:cs="Times New Roman"/>
          <w:i/>
          <w:iCs/>
          <w:szCs w:val="24"/>
        </w:rPr>
        <w:t xml:space="preserve"> </w:t>
      </w:r>
      <w:r w:rsidRPr="0070034E">
        <w:rPr>
          <w:rFonts w:eastAsia="Times New Roman" w:cs="Times New Roman"/>
          <w:szCs w:val="24"/>
        </w:rPr>
        <w:t>s. 3(2)), payer parents with an income over $150,000 (s. 4), special or extraordinary expenses (s. 7), shared parenting time (s. 9(b)) or undue hardship (s. 10).</w:t>
      </w:r>
    </w:p>
    <w:p w14:paraId="47D86A42" w14:textId="77777777" w:rsidR="00DB7512" w:rsidRPr="0070034E" w:rsidRDefault="00DB7512" w:rsidP="00DB7512">
      <w:pPr>
        <w:pStyle w:val="ParaNoNdepar-AltN"/>
        <w:rPr>
          <w:rFonts w:cs="Times New Roman"/>
        </w:rPr>
      </w:pPr>
      <w:r w:rsidRPr="0070034E">
        <w:rPr>
          <w:rFonts w:eastAsia="Times New Roman" w:cs="Times New Roman"/>
          <w:szCs w:val="24"/>
        </w:rPr>
        <w:t xml:space="preserve">A proper construction of a provision of the </w:t>
      </w:r>
      <w:r w:rsidRPr="0070034E">
        <w:rPr>
          <w:rFonts w:eastAsia="Times New Roman" w:cs="Times New Roman"/>
          <w:i/>
          <w:iCs/>
          <w:szCs w:val="24"/>
        </w:rPr>
        <w:t xml:space="preserve">Child Support Guidelines </w:t>
      </w:r>
      <w:r w:rsidRPr="0070034E">
        <w:rPr>
          <w:rFonts w:eastAsia="Times New Roman" w:cs="Times New Roman"/>
          <w:szCs w:val="24"/>
        </w:rPr>
        <w:t>“requires that the objectives of predictability, consistency and efficiency on the one hand, be balanced with those of fairness, flexibility and recognition of the actual ‘condition[s], means, needs and other circumstances of the children’ on the other” (</w:t>
      </w:r>
      <w:proofErr w:type="spellStart"/>
      <w:r w:rsidRPr="0070034E">
        <w:rPr>
          <w:rFonts w:eastAsia="Times New Roman" w:cs="Times New Roman"/>
          <w:i/>
          <w:iCs/>
          <w:szCs w:val="24"/>
        </w:rPr>
        <w:t>Contino</w:t>
      </w:r>
      <w:proofErr w:type="spellEnd"/>
      <w:r w:rsidRPr="0070034E">
        <w:rPr>
          <w:rFonts w:eastAsia="Times New Roman" w:cs="Times New Roman"/>
          <w:i/>
          <w:iCs/>
          <w:szCs w:val="24"/>
        </w:rPr>
        <w:t xml:space="preserve"> v. </w:t>
      </w:r>
      <w:proofErr w:type="spellStart"/>
      <w:r w:rsidRPr="0070034E">
        <w:rPr>
          <w:rFonts w:eastAsia="Times New Roman" w:cs="Times New Roman"/>
          <w:i/>
          <w:iCs/>
          <w:szCs w:val="24"/>
        </w:rPr>
        <w:t>Leonelli</w:t>
      </w:r>
      <w:r w:rsidRPr="0070034E">
        <w:rPr>
          <w:rFonts w:eastAsia="Times New Roman" w:cs="Times New Roman"/>
          <w:i/>
          <w:iCs/>
          <w:szCs w:val="24"/>
        </w:rPr>
        <w:noBreakHyphen/>
        <w:t>Contino</w:t>
      </w:r>
      <w:proofErr w:type="spellEnd"/>
      <w:r w:rsidRPr="0070034E">
        <w:rPr>
          <w:rFonts w:eastAsia="Times New Roman" w:cs="Times New Roman"/>
          <w:szCs w:val="24"/>
        </w:rPr>
        <w:t xml:space="preserve">, 2005 SCC 63, [2005] 3 S.C.R. 217, at para. 33, citing </w:t>
      </w:r>
      <w:r w:rsidRPr="0070034E">
        <w:rPr>
          <w:rFonts w:eastAsia="Times New Roman" w:cs="Times New Roman"/>
          <w:i/>
          <w:iCs/>
          <w:szCs w:val="24"/>
        </w:rPr>
        <w:t>Francis</w:t>
      </w:r>
      <w:r w:rsidRPr="0070034E">
        <w:rPr>
          <w:rFonts w:eastAsia="Times New Roman" w:cs="Times New Roman"/>
          <w:szCs w:val="24"/>
        </w:rPr>
        <w:t>, at para. 40).</w:t>
      </w:r>
    </w:p>
    <w:p w14:paraId="547152FF" w14:textId="77777777" w:rsidR="00DB7512" w:rsidRPr="0070034E" w:rsidRDefault="00DB7512" w:rsidP="00DB7512">
      <w:pPr>
        <w:pStyle w:val="Title2LevelTitre2Niveau"/>
        <w:rPr>
          <w:rFonts w:cs="Times New Roman"/>
          <w:i w:val="0"/>
        </w:rPr>
      </w:pPr>
      <w:bookmarkStart w:id="23" w:name="_Toc172041743"/>
      <w:r w:rsidRPr="0070034E">
        <w:rPr>
          <w:rFonts w:cs="Times New Roman"/>
        </w:rPr>
        <w:t>Mr. Auer’s Challenge</w:t>
      </w:r>
      <w:bookmarkEnd w:id="23"/>
    </w:p>
    <w:p w14:paraId="1A89E57E"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Mr. Auer bears the burden of proving that the </w:t>
      </w:r>
      <w:r w:rsidRPr="0070034E">
        <w:rPr>
          <w:rFonts w:eastAsia="Times New Roman" w:cs="Times New Roman"/>
          <w:i/>
          <w:iCs/>
          <w:szCs w:val="24"/>
        </w:rPr>
        <w:t xml:space="preserve">Child Support Guidelines </w:t>
      </w:r>
      <w:r w:rsidRPr="0070034E">
        <w:rPr>
          <w:rFonts w:eastAsia="Times New Roman" w:cs="Times New Roman"/>
          <w:szCs w:val="24"/>
        </w:rPr>
        <w:t xml:space="preserve">are </w:t>
      </w:r>
      <w:r w:rsidRPr="0070034E">
        <w:rPr>
          <w:rFonts w:eastAsia="Times New Roman" w:cs="Times New Roman"/>
          <w:i/>
          <w:iCs/>
          <w:szCs w:val="24"/>
        </w:rPr>
        <w:t xml:space="preserve">ultra vires </w:t>
      </w:r>
      <w:r w:rsidRPr="0070034E">
        <w:rPr>
          <w:rFonts w:eastAsia="Times New Roman" w:cs="Times New Roman"/>
          <w:szCs w:val="24"/>
        </w:rPr>
        <w:t>(</w:t>
      </w:r>
      <w:r w:rsidRPr="0070034E">
        <w:rPr>
          <w:rFonts w:eastAsia="Times New Roman" w:cs="Times New Roman"/>
          <w:i/>
          <w:iCs/>
          <w:szCs w:val="24"/>
        </w:rPr>
        <w:t>Katz Group</w:t>
      </w:r>
      <w:r w:rsidRPr="0070034E">
        <w:rPr>
          <w:rFonts w:eastAsia="Times New Roman" w:cs="Times New Roman"/>
          <w:szCs w:val="24"/>
        </w:rPr>
        <w:t xml:space="preserve">, at para. 25). He submits that the </w:t>
      </w:r>
      <w:r w:rsidRPr="0070034E">
        <w:rPr>
          <w:rFonts w:eastAsia="Times New Roman" w:cs="Times New Roman"/>
          <w:i/>
          <w:iCs/>
          <w:szCs w:val="24"/>
        </w:rPr>
        <w:t xml:space="preserve">Child Support Guidelines </w:t>
      </w:r>
      <w:r w:rsidRPr="0070034E">
        <w:rPr>
          <w:rFonts w:eastAsia="Times New Roman" w:cs="Times New Roman"/>
          <w:szCs w:val="24"/>
        </w:rPr>
        <w:t xml:space="preserve">are </w:t>
      </w:r>
      <w:r w:rsidRPr="0070034E">
        <w:rPr>
          <w:rFonts w:eastAsia="Times New Roman" w:cs="Times New Roman"/>
          <w:i/>
          <w:iCs/>
          <w:szCs w:val="24"/>
        </w:rPr>
        <w:t xml:space="preserve">ultra vires </w:t>
      </w:r>
      <w:r w:rsidRPr="0070034E">
        <w:rPr>
          <w:rFonts w:eastAsia="Times New Roman" w:cs="Times New Roman"/>
          <w:szCs w:val="24"/>
        </w:rPr>
        <w:t xml:space="preserve">because they violate two constraints on the GIC’s authority. First, the amounts transferred can only be in respect of “direct child costs” and cannot more broadly redistribute income between parents (A.F., at para. 57). Mr. Auer submits that this constraint applies because support awards under the </w:t>
      </w:r>
      <w:r w:rsidRPr="0070034E">
        <w:rPr>
          <w:rFonts w:eastAsia="Times New Roman" w:cs="Times New Roman"/>
          <w:i/>
          <w:iCs/>
          <w:szCs w:val="24"/>
        </w:rPr>
        <w:t xml:space="preserve">Child Support Guidelines </w:t>
      </w:r>
      <w:r w:rsidRPr="0070034E">
        <w:rPr>
          <w:rFonts w:eastAsia="Times New Roman" w:cs="Times New Roman"/>
          <w:szCs w:val="24"/>
        </w:rPr>
        <w:t xml:space="preserve">compensate only for “direct child costs”; “indirect [child] costs” are left to the law of spousal support (para. 56). Second, under s. 26.1(2) of the </w:t>
      </w:r>
      <w:r w:rsidRPr="0070034E">
        <w:rPr>
          <w:rFonts w:eastAsia="Times New Roman" w:cs="Times New Roman"/>
          <w:i/>
          <w:iCs/>
          <w:szCs w:val="24"/>
        </w:rPr>
        <w:t>Divorce Act</w:t>
      </w:r>
      <w:r w:rsidRPr="0070034E">
        <w:rPr>
          <w:rFonts w:eastAsia="Times New Roman" w:cs="Times New Roman"/>
          <w:szCs w:val="24"/>
        </w:rPr>
        <w:t>, child</w:t>
      </w:r>
      <w:r w:rsidRPr="0070034E">
        <w:rPr>
          <w:rFonts w:eastAsia="Times New Roman" w:cs="Times New Roman"/>
          <w:szCs w:val="24"/>
        </w:rPr>
        <w:noBreakHyphen/>
        <w:t>related costs are to be shared according to the parents’ relative abilities to contribute (para. 58).</w:t>
      </w:r>
    </w:p>
    <w:p w14:paraId="3735D8FB"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According to Mr. Auer, the </w:t>
      </w:r>
      <w:r w:rsidRPr="0070034E">
        <w:rPr>
          <w:rFonts w:eastAsia="Times New Roman" w:cs="Times New Roman"/>
          <w:i/>
          <w:iCs/>
          <w:szCs w:val="24"/>
        </w:rPr>
        <w:t>Child Support Guidelines</w:t>
      </w:r>
      <w:r w:rsidRPr="0070034E">
        <w:rPr>
          <w:rFonts w:eastAsia="Times New Roman" w:cs="Times New Roman"/>
          <w:szCs w:val="24"/>
        </w:rPr>
        <w:t xml:space="preserve"> violate these two constraints by requiring the payer parent to bear more than their fair share of direct child</w:t>
      </w:r>
      <w:r w:rsidRPr="0070034E">
        <w:rPr>
          <w:rFonts w:eastAsia="Times New Roman" w:cs="Times New Roman"/>
          <w:szCs w:val="24"/>
        </w:rPr>
        <w:noBreakHyphen/>
        <w:t xml:space="preserve">related costs. This is because the </w:t>
      </w:r>
      <w:r w:rsidRPr="0070034E">
        <w:rPr>
          <w:rFonts w:eastAsia="Times New Roman" w:cs="Times New Roman"/>
          <w:i/>
          <w:iCs/>
          <w:szCs w:val="24"/>
        </w:rPr>
        <w:t>Child Support Guidelines</w:t>
      </w:r>
      <w:r w:rsidRPr="0070034E">
        <w:rPr>
          <w:rFonts w:eastAsia="Times New Roman" w:cs="Times New Roman"/>
          <w:szCs w:val="24"/>
        </w:rPr>
        <w:t xml:space="preserve"> (1) do not take into account the recipient parent’s income; (2) incorrectly assume that parents spend the same linear percentage of income on their children regardless of the parents’ levels of income and the children’s ages; (3) do not take into account government child benefits paid to the recipient parent; (4) do not take into account direct spending on the child by the payer parent when that parent exercises less than 40 percent of annual parenting time; and (5) double count the payer parent’s obligations with respect to special or extraordinary expenses.</w:t>
      </w:r>
    </w:p>
    <w:p w14:paraId="27D1F698" w14:textId="77777777" w:rsidR="00DB7512" w:rsidRPr="0070034E" w:rsidRDefault="00DB7512" w:rsidP="00DB7512">
      <w:pPr>
        <w:pStyle w:val="ParaNoNdepar-AltN"/>
        <w:rPr>
          <w:rFonts w:cs="Times New Roman"/>
        </w:rPr>
      </w:pPr>
      <w:r w:rsidRPr="0070034E">
        <w:rPr>
          <w:rFonts w:eastAsia="Times New Roman" w:cs="Times New Roman"/>
          <w:szCs w:val="24"/>
        </w:rPr>
        <w:t xml:space="preserve">Below, I will review each of Mr. Auer’s submissions, having regard to the GIC’s authority under the </w:t>
      </w:r>
      <w:r w:rsidRPr="0070034E">
        <w:rPr>
          <w:rFonts w:eastAsia="Times New Roman" w:cs="Times New Roman"/>
          <w:i/>
          <w:iCs/>
          <w:szCs w:val="24"/>
        </w:rPr>
        <w:t>Divorce Act</w:t>
      </w:r>
      <w:r w:rsidRPr="0070034E">
        <w:rPr>
          <w:rFonts w:eastAsia="Times New Roman" w:cs="Times New Roman"/>
          <w:szCs w:val="24"/>
        </w:rPr>
        <w:t>.</w:t>
      </w:r>
      <w:r w:rsidRPr="0070034E">
        <w:rPr>
          <w:rFonts w:eastAsia="Times New Roman" w:cs="Times New Roman"/>
          <w:i/>
          <w:iCs/>
          <w:szCs w:val="24"/>
        </w:rPr>
        <w:t xml:space="preserve"> </w:t>
      </w:r>
      <w:r w:rsidRPr="0070034E">
        <w:rPr>
          <w:rFonts w:eastAsia="Times New Roman" w:cs="Times New Roman"/>
          <w:szCs w:val="24"/>
        </w:rPr>
        <w:t xml:space="preserve">I conclude that the </w:t>
      </w:r>
      <w:r w:rsidRPr="0070034E">
        <w:rPr>
          <w:rFonts w:eastAsia="Times New Roman" w:cs="Times New Roman"/>
          <w:i/>
          <w:iCs/>
          <w:szCs w:val="24"/>
        </w:rPr>
        <w:t>Child Support Guidelines</w:t>
      </w:r>
      <w:r w:rsidRPr="0070034E">
        <w:rPr>
          <w:rFonts w:eastAsia="Times New Roman" w:cs="Times New Roman"/>
          <w:szCs w:val="24"/>
        </w:rPr>
        <w:t xml:space="preserve"> are </w:t>
      </w:r>
      <w:r w:rsidRPr="0070034E">
        <w:rPr>
          <w:rFonts w:eastAsia="Times New Roman" w:cs="Times New Roman"/>
          <w:i/>
          <w:iCs/>
          <w:szCs w:val="24"/>
        </w:rPr>
        <w:t>intra vires</w:t>
      </w:r>
      <w:r w:rsidRPr="0070034E">
        <w:rPr>
          <w:rFonts w:eastAsia="Times New Roman" w:cs="Times New Roman"/>
          <w:szCs w:val="24"/>
        </w:rPr>
        <w:t xml:space="preserve"> the GIC.</w:t>
      </w:r>
    </w:p>
    <w:p w14:paraId="3CEDDDCA" w14:textId="77777777" w:rsidR="00DB7512" w:rsidRPr="0070034E" w:rsidRDefault="00DB7512" w:rsidP="00DB7512">
      <w:pPr>
        <w:pStyle w:val="Title2LevelTitre2Niveau"/>
        <w:rPr>
          <w:rFonts w:cs="Times New Roman"/>
          <w:i w:val="0"/>
        </w:rPr>
      </w:pPr>
      <w:bookmarkStart w:id="24" w:name="_Toc172041744"/>
      <w:r w:rsidRPr="0070034E">
        <w:rPr>
          <w:rFonts w:cs="Times New Roman"/>
        </w:rPr>
        <w:t>The Child Support Guidelines</w:t>
      </w:r>
      <w:r w:rsidRPr="0070034E">
        <w:rPr>
          <w:rFonts w:cs="Times New Roman"/>
          <w:i w:val="0"/>
        </w:rPr>
        <w:t xml:space="preserve"> </w:t>
      </w:r>
      <w:r w:rsidRPr="0070034E">
        <w:rPr>
          <w:rFonts w:cs="Times New Roman"/>
        </w:rPr>
        <w:t>Are Within the GIC’s Scope of Authority</w:t>
      </w:r>
      <w:bookmarkEnd w:id="24"/>
    </w:p>
    <w:p w14:paraId="0C626D8C" w14:textId="77777777" w:rsidR="00DB7512" w:rsidRPr="0070034E" w:rsidRDefault="00DB7512" w:rsidP="00DB7512">
      <w:pPr>
        <w:pStyle w:val="Title3LevelTitre3Niveau"/>
        <w:rPr>
          <w:rFonts w:eastAsia="Times New Roman" w:cs="Times New Roman"/>
          <w:szCs w:val="24"/>
        </w:rPr>
      </w:pPr>
      <w:bookmarkStart w:id="25" w:name="_Toc172041745"/>
      <w:r w:rsidRPr="0070034E">
        <w:rPr>
          <w:rFonts w:cs="Times New Roman"/>
        </w:rPr>
        <w:t>The GIC’s Statutory Grant of Authority Is Extremely Broad</w:t>
      </w:r>
      <w:bookmarkEnd w:id="25"/>
    </w:p>
    <w:p w14:paraId="37113B33" w14:textId="77777777" w:rsidR="00DB7512" w:rsidRPr="0070034E" w:rsidRDefault="00DB7512" w:rsidP="00DB7512">
      <w:pPr>
        <w:pStyle w:val="ParaNoNdepar-AltN"/>
        <w:rPr>
          <w:rFonts w:cs="Times New Roman"/>
        </w:rPr>
      </w:pPr>
      <w:r w:rsidRPr="0070034E">
        <w:rPr>
          <w:rFonts w:eastAsia="Times New Roman" w:cs="Times New Roman"/>
          <w:szCs w:val="24"/>
        </w:rPr>
        <w:t xml:space="preserve">Section 26.1(1) of the </w:t>
      </w:r>
      <w:r w:rsidRPr="0070034E">
        <w:rPr>
          <w:rFonts w:eastAsia="Times New Roman" w:cs="Times New Roman"/>
          <w:i/>
          <w:iCs/>
          <w:szCs w:val="24"/>
        </w:rPr>
        <w:t xml:space="preserve">Divorce Act </w:t>
      </w:r>
      <w:r w:rsidRPr="0070034E">
        <w:rPr>
          <w:rFonts w:eastAsia="Times New Roman" w:cs="Times New Roman"/>
          <w:szCs w:val="24"/>
        </w:rPr>
        <w:t>grants the GIC extremely broad authority to establish guidelines respecting orders for child support:</w:t>
      </w:r>
    </w:p>
    <w:p w14:paraId="2B18D4DE" w14:textId="77777777" w:rsidR="00DB7512" w:rsidRPr="0070034E" w:rsidRDefault="00DB7512" w:rsidP="00DB7512">
      <w:pPr>
        <w:pStyle w:val="Citation-AltC"/>
      </w:pPr>
      <w:r w:rsidRPr="0070034E">
        <w:rPr>
          <w:b/>
          <w:bCs/>
        </w:rPr>
        <w:t>26.1 (1)</w:t>
      </w:r>
      <w:r w:rsidRPr="0070034E">
        <w:t xml:space="preserve"> The Governor in Council may establish guidelines respecting orders for child support, including, </w:t>
      </w:r>
      <w:r w:rsidRPr="0070034E">
        <w:rPr>
          <w:u w:val="single"/>
        </w:rPr>
        <w:t>but without limiting the generality of the foregoing</w:t>
      </w:r>
      <w:r w:rsidRPr="0070034E">
        <w:t>, guidelines</w:t>
      </w:r>
    </w:p>
    <w:p w14:paraId="72AB0B1B" w14:textId="77777777" w:rsidR="00DB7512" w:rsidRPr="0070034E" w:rsidRDefault="00DB7512" w:rsidP="00DB7512">
      <w:pPr>
        <w:pStyle w:val="Citation-AltC"/>
        <w:ind w:left="720"/>
        <w:rPr>
          <w:b/>
          <w:bCs/>
        </w:rPr>
      </w:pPr>
    </w:p>
    <w:p w14:paraId="26D60F6F" w14:textId="77777777" w:rsidR="00DB7512" w:rsidRPr="0070034E" w:rsidRDefault="00DB7512" w:rsidP="00DB7512">
      <w:pPr>
        <w:pStyle w:val="Citation-AltC"/>
        <w:ind w:left="1440"/>
      </w:pPr>
      <w:r w:rsidRPr="0070034E">
        <w:rPr>
          <w:b/>
          <w:bCs/>
        </w:rPr>
        <w:t>(a)</w:t>
      </w:r>
      <w:r w:rsidRPr="0070034E">
        <w:t xml:space="preserve"> </w:t>
      </w:r>
      <w:proofErr w:type="gramStart"/>
      <w:r w:rsidRPr="0070034E">
        <w:t>respecting</w:t>
      </w:r>
      <w:proofErr w:type="gramEnd"/>
      <w:r w:rsidRPr="0070034E">
        <w:t xml:space="preserve"> the way in which the amount of an order for child support is to be determined;</w:t>
      </w:r>
    </w:p>
    <w:p w14:paraId="7D1ADC47" w14:textId="77777777" w:rsidR="00DB7512" w:rsidRPr="0070034E" w:rsidRDefault="00DB7512" w:rsidP="00DB7512">
      <w:pPr>
        <w:pStyle w:val="Citation-AltC"/>
        <w:ind w:left="1440"/>
        <w:rPr>
          <w:b/>
          <w:bCs/>
        </w:rPr>
      </w:pPr>
    </w:p>
    <w:p w14:paraId="0A819086" w14:textId="77777777" w:rsidR="00DB7512" w:rsidRPr="0070034E" w:rsidRDefault="00DB7512" w:rsidP="00DB7512">
      <w:pPr>
        <w:pStyle w:val="Citation-AltC"/>
        <w:ind w:left="1440"/>
      </w:pPr>
      <w:r w:rsidRPr="0070034E">
        <w:rPr>
          <w:b/>
          <w:bCs/>
        </w:rPr>
        <w:t xml:space="preserve">(b) </w:t>
      </w:r>
      <w:proofErr w:type="gramStart"/>
      <w:r w:rsidRPr="0070034E">
        <w:t>respecting</w:t>
      </w:r>
      <w:proofErr w:type="gramEnd"/>
      <w:r w:rsidRPr="0070034E">
        <w:t xml:space="preserve"> the circumstances in which discretion may be exercised in the making of an order for child support;</w:t>
      </w:r>
    </w:p>
    <w:p w14:paraId="27921A8E" w14:textId="77777777" w:rsidR="00DB7512" w:rsidRPr="0070034E" w:rsidRDefault="00DB7512" w:rsidP="00DB7512">
      <w:pPr>
        <w:pStyle w:val="Citation-AltC"/>
        <w:ind w:left="1440"/>
        <w:rPr>
          <w:b/>
          <w:bCs/>
        </w:rPr>
      </w:pPr>
    </w:p>
    <w:p w14:paraId="2B118411" w14:textId="77777777" w:rsidR="00DB7512" w:rsidRPr="0070034E" w:rsidRDefault="00DB7512" w:rsidP="00DB7512">
      <w:pPr>
        <w:pStyle w:val="Citation-AltC"/>
        <w:ind w:left="1440"/>
      </w:pPr>
      <w:r w:rsidRPr="0070034E">
        <w:rPr>
          <w:b/>
          <w:bCs/>
        </w:rPr>
        <w:t>(c)</w:t>
      </w:r>
      <w:r w:rsidRPr="0070034E">
        <w:t xml:space="preserve"> </w:t>
      </w:r>
      <w:proofErr w:type="gramStart"/>
      <w:r w:rsidRPr="0070034E">
        <w:t>authorizing</w:t>
      </w:r>
      <w:proofErr w:type="gramEnd"/>
      <w:r w:rsidRPr="0070034E">
        <w:t xml:space="preserve"> a court to require that the amount payable under an order for child support be paid in periodic payments, in a lump sum or in a lump sum and periodic payments;</w:t>
      </w:r>
    </w:p>
    <w:p w14:paraId="5A0448C8" w14:textId="77777777" w:rsidR="00DB7512" w:rsidRPr="0070034E" w:rsidRDefault="00DB7512" w:rsidP="00DB7512">
      <w:pPr>
        <w:pStyle w:val="Citation-AltC"/>
        <w:ind w:left="1440"/>
        <w:rPr>
          <w:b/>
          <w:bCs/>
        </w:rPr>
      </w:pPr>
    </w:p>
    <w:p w14:paraId="7168FADE" w14:textId="77777777" w:rsidR="00DB7512" w:rsidRPr="0070034E" w:rsidRDefault="00DB7512" w:rsidP="00DB7512">
      <w:pPr>
        <w:pStyle w:val="Citation-AltC"/>
        <w:ind w:left="1440"/>
      </w:pPr>
      <w:r w:rsidRPr="0070034E">
        <w:rPr>
          <w:b/>
          <w:bCs/>
        </w:rPr>
        <w:t>(d)</w:t>
      </w:r>
      <w:r w:rsidRPr="0070034E">
        <w:t xml:space="preserve"> authorizing a court to require that the amount payable under an order for child support be paid or secured, or paid and secured, in the manner specified in the order;</w:t>
      </w:r>
    </w:p>
    <w:p w14:paraId="636D0B29" w14:textId="77777777" w:rsidR="00DB7512" w:rsidRPr="0070034E" w:rsidRDefault="00DB7512" w:rsidP="00DB7512">
      <w:pPr>
        <w:pStyle w:val="Citation-AltC"/>
        <w:ind w:left="1440"/>
        <w:rPr>
          <w:b/>
          <w:bCs/>
        </w:rPr>
      </w:pPr>
    </w:p>
    <w:p w14:paraId="69520F1D" w14:textId="77777777" w:rsidR="00DB7512" w:rsidRPr="0070034E" w:rsidRDefault="00DB7512" w:rsidP="00DB7512">
      <w:pPr>
        <w:pStyle w:val="Citation-AltC"/>
        <w:ind w:left="1440"/>
      </w:pPr>
      <w:r w:rsidRPr="0070034E">
        <w:rPr>
          <w:b/>
          <w:bCs/>
        </w:rPr>
        <w:t xml:space="preserve">(e) </w:t>
      </w:r>
      <w:proofErr w:type="gramStart"/>
      <w:r w:rsidRPr="0070034E">
        <w:t>respecting</w:t>
      </w:r>
      <w:proofErr w:type="gramEnd"/>
      <w:r w:rsidRPr="0070034E">
        <w:t xml:space="preserve"> the circumstances that give rise to the making of a variation order in respect of a child support order;</w:t>
      </w:r>
    </w:p>
    <w:p w14:paraId="0C1AC8F8" w14:textId="77777777" w:rsidR="00DB7512" w:rsidRPr="0070034E" w:rsidRDefault="00DB7512" w:rsidP="00DB7512">
      <w:pPr>
        <w:pStyle w:val="Citation-AltC"/>
        <w:ind w:left="1440"/>
        <w:rPr>
          <w:b/>
          <w:bCs/>
        </w:rPr>
      </w:pPr>
    </w:p>
    <w:p w14:paraId="7A9C881D" w14:textId="77777777" w:rsidR="00DB7512" w:rsidRPr="0070034E" w:rsidRDefault="00DB7512" w:rsidP="00DB7512">
      <w:pPr>
        <w:pStyle w:val="Citation-AltC"/>
        <w:ind w:left="1440"/>
      </w:pPr>
      <w:r w:rsidRPr="0070034E">
        <w:rPr>
          <w:b/>
          <w:bCs/>
        </w:rPr>
        <w:t>(f)</w:t>
      </w:r>
      <w:r w:rsidRPr="0070034E">
        <w:t xml:space="preserve"> </w:t>
      </w:r>
      <w:proofErr w:type="gramStart"/>
      <w:r w:rsidRPr="0070034E">
        <w:t>respecting</w:t>
      </w:r>
      <w:proofErr w:type="gramEnd"/>
      <w:r w:rsidRPr="0070034E">
        <w:t xml:space="preserve"> the determination of income for the purposes of the application of the guidelines;</w:t>
      </w:r>
    </w:p>
    <w:p w14:paraId="621EBF50" w14:textId="77777777" w:rsidR="00DB7512" w:rsidRPr="0070034E" w:rsidRDefault="00DB7512" w:rsidP="00DB7512">
      <w:pPr>
        <w:pStyle w:val="Citation-AltC"/>
        <w:ind w:left="1440"/>
        <w:rPr>
          <w:b/>
          <w:bCs/>
        </w:rPr>
      </w:pPr>
    </w:p>
    <w:p w14:paraId="509E46CA" w14:textId="77777777" w:rsidR="00DB7512" w:rsidRPr="0070034E" w:rsidRDefault="00DB7512" w:rsidP="00DB7512">
      <w:pPr>
        <w:pStyle w:val="Citation-AltC"/>
        <w:ind w:left="1440"/>
      </w:pPr>
      <w:r w:rsidRPr="0070034E">
        <w:rPr>
          <w:b/>
          <w:bCs/>
        </w:rPr>
        <w:t>(g)</w:t>
      </w:r>
      <w:r w:rsidRPr="0070034E">
        <w:t xml:space="preserve"> </w:t>
      </w:r>
      <w:proofErr w:type="gramStart"/>
      <w:r w:rsidRPr="0070034E">
        <w:t>authorizing</w:t>
      </w:r>
      <w:proofErr w:type="gramEnd"/>
      <w:r w:rsidRPr="0070034E">
        <w:t xml:space="preserve"> a court to impute income for the purposes of the application of the guidelines; and</w:t>
      </w:r>
    </w:p>
    <w:p w14:paraId="630E8E58" w14:textId="77777777" w:rsidR="00DB7512" w:rsidRPr="0070034E" w:rsidRDefault="00DB7512" w:rsidP="00DB7512">
      <w:pPr>
        <w:pStyle w:val="Citation-AltC"/>
        <w:ind w:left="1440"/>
        <w:rPr>
          <w:b/>
          <w:bCs/>
        </w:rPr>
      </w:pPr>
    </w:p>
    <w:p w14:paraId="4077B370" w14:textId="77777777" w:rsidR="00DB7512" w:rsidRPr="0070034E" w:rsidRDefault="00DB7512" w:rsidP="00DB7512">
      <w:pPr>
        <w:pStyle w:val="Citation-AltC"/>
        <w:ind w:left="1440"/>
      </w:pPr>
      <w:r w:rsidRPr="0070034E">
        <w:rPr>
          <w:b/>
          <w:bCs/>
        </w:rPr>
        <w:t>(h)</w:t>
      </w:r>
      <w:r w:rsidRPr="0070034E">
        <w:t xml:space="preserve"> </w:t>
      </w:r>
      <w:proofErr w:type="gramStart"/>
      <w:r w:rsidRPr="0070034E">
        <w:t>respecting</w:t>
      </w:r>
      <w:proofErr w:type="gramEnd"/>
      <w:r w:rsidRPr="0070034E">
        <w:t xml:space="preserve"> the production of information relevant to an order for child support and providing for sanctions and other consequences when that information is not provided.</w:t>
      </w:r>
    </w:p>
    <w:p w14:paraId="4B2BB7FD" w14:textId="77777777" w:rsidR="00DB7512" w:rsidRPr="0070034E" w:rsidRDefault="00DB7512" w:rsidP="00DB7512">
      <w:pPr>
        <w:pStyle w:val="ParaNoNdepar-AltN"/>
        <w:rPr>
          <w:rFonts w:cs="Times New Roman"/>
        </w:rPr>
      </w:pPr>
      <w:r w:rsidRPr="0070034E">
        <w:rPr>
          <w:rFonts w:eastAsia="Times New Roman" w:cs="Times New Roman"/>
          <w:szCs w:val="24"/>
        </w:rPr>
        <w:t xml:space="preserve">The use of the language “without limiting the generality of the foregoing” confirms that this plenary power is not limited by anything that follows in s. 26.1(1) (see </w:t>
      </w:r>
      <w:r w:rsidRPr="0070034E">
        <w:rPr>
          <w:rFonts w:eastAsia="Times New Roman" w:cs="Times New Roman"/>
          <w:i/>
          <w:szCs w:val="24"/>
        </w:rPr>
        <w:t>Vavilov</w:t>
      </w:r>
      <w:r w:rsidRPr="0070034E">
        <w:rPr>
          <w:rFonts w:eastAsia="Times New Roman" w:cs="Times New Roman"/>
          <w:szCs w:val="24"/>
        </w:rPr>
        <w:t xml:space="preserve">, at para. 110; </w:t>
      </w:r>
      <w:r w:rsidRPr="0070034E">
        <w:rPr>
          <w:rFonts w:eastAsia="Times New Roman" w:cs="Times New Roman"/>
          <w:i/>
          <w:iCs/>
          <w:szCs w:val="24"/>
        </w:rPr>
        <w:t>West Fraser Mills</w:t>
      </w:r>
      <w:r w:rsidRPr="0070034E">
        <w:rPr>
          <w:rFonts w:eastAsia="Times New Roman" w:cs="Times New Roman"/>
          <w:szCs w:val="24"/>
        </w:rPr>
        <w:t>, at para. 10)</w:t>
      </w:r>
      <w:r w:rsidRPr="0070034E">
        <w:rPr>
          <w:rFonts w:eastAsia="Times New Roman" w:cs="Times New Roman"/>
          <w:iCs/>
          <w:szCs w:val="24"/>
        </w:rPr>
        <w:t>.</w:t>
      </w:r>
    </w:p>
    <w:p w14:paraId="673E38C1" w14:textId="77777777" w:rsidR="00DB7512" w:rsidRPr="0070034E" w:rsidRDefault="00DB7512" w:rsidP="00DB7512">
      <w:pPr>
        <w:pStyle w:val="ParaNoNdepar-AltN"/>
        <w:rPr>
          <w:rFonts w:cs="Times New Roman"/>
        </w:rPr>
      </w:pPr>
      <w:r w:rsidRPr="0070034E">
        <w:rPr>
          <w:rFonts w:eastAsia="Times New Roman" w:cs="Times New Roman"/>
          <w:szCs w:val="24"/>
        </w:rPr>
        <w:t>However, this power is not unrestricted. Section 26.1(2) provides as follows:</w:t>
      </w:r>
    </w:p>
    <w:p w14:paraId="591427C4" w14:textId="77777777" w:rsidR="00DB7512" w:rsidRPr="0070034E" w:rsidRDefault="00DB7512" w:rsidP="00DB7512">
      <w:pPr>
        <w:pStyle w:val="Citation-AltC"/>
      </w:pPr>
      <w:r w:rsidRPr="0070034E">
        <w:rPr>
          <w:b/>
          <w:bCs/>
        </w:rPr>
        <w:t xml:space="preserve">(2) </w:t>
      </w:r>
      <w:r w:rsidRPr="0070034E">
        <w:t>The guidelines shall be based on the principle that spouses have a joint financial obligation to maintain the children of the marriage in accordance with their relative abilities to contribute to the performance of that obligation.</w:t>
      </w:r>
    </w:p>
    <w:p w14:paraId="75467A5E"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Mr. Auer interprets “the principle that spouses have a joint financial obligation to maintain the children of the marriage” to mean that both parents must contribute equally to child</w:t>
      </w:r>
      <w:r w:rsidRPr="0070034E">
        <w:rPr>
          <w:rFonts w:eastAsia="Times New Roman" w:cs="Times New Roman"/>
          <w:szCs w:val="24"/>
        </w:rPr>
        <w:noBreakHyphen/>
        <w:t xml:space="preserve">related costs. I acknowledge that the principle under s. 26.1(2) is mandatory; this is made clear by Parliament’s use of the word “shall” (R. Sullivan, </w:t>
      </w:r>
      <w:r w:rsidRPr="0070034E">
        <w:rPr>
          <w:rFonts w:eastAsia="Times New Roman" w:cs="Times New Roman"/>
          <w:i/>
          <w:szCs w:val="24"/>
        </w:rPr>
        <w:t xml:space="preserve">The </w:t>
      </w:r>
      <w:r w:rsidRPr="0070034E">
        <w:rPr>
          <w:rFonts w:eastAsia="Times New Roman" w:cs="Times New Roman"/>
          <w:i/>
          <w:iCs/>
          <w:szCs w:val="24"/>
        </w:rPr>
        <w:t>Construction of Statutes</w:t>
      </w:r>
      <w:r w:rsidRPr="0070034E">
        <w:rPr>
          <w:rFonts w:eastAsia="Times New Roman" w:cs="Times New Roman"/>
          <w:szCs w:val="24"/>
        </w:rPr>
        <w:t xml:space="preserve"> (7th ed. 2022), at § 4.05). However, a plain reading of s. 26.1(2) does not support Mr. Auer’s interpretation.</w:t>
      </w:r>
    </w:p>
    <w:p w14:paraId="2BD16521"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Section 26.1(2) does not require that each parent make an equal financial contribution to maintaining their children. Rather, it states that each parent has a “joint financial obligation to maintain the children of the marriage in accordance with their relative abilities to contribute to the performance of that obligation”. While a “joint financial obligation” means that the parents have a </w:t>
      </w:r>
      <w:r w:rsidRPr="0070034E">
        <w:rPr>
          <w:rFonts w:eastAsia="Times New Roman" w:cs="Times New Roman"/>
          <w:i/>
          <w:iCs/>
          <w:szCs w:val="24"/>
        </w:rPr>
        <w:t xml:space="preserve">shared </w:t>
      </w:r>
      <w:r w:rsidRPr="0070034E">
        <w:rPr>
          <w:rFonts w:eastAsia="Times New Roman" w:cs="Times New Roman"/>
          <w:szCs w:val="24"/>
        </w:rPr>
        <w:t xml:space="preserve">financial obligation to support their children, it does not necessarily mean that this obligation must be </w:t>
      </w:r>
      <w:r w:rsidRPr="0070034E">
        <w:rPr>
          <w:rFonts w:eastAsia="Times New Roman" w:cs="Times New Roman"/>
          <w:i/>
          <w:iCs/>
          <w:szCs w:val="24"/>
        </w:rPr>
        <w:t xml:space="preserve">equal </w:t>
      </w:r>
      <w:r w:rsidRPr="0070034E">
        <w:rPr>
          <w:rFonts w:eastAsia="Times New Roman" w:cs="Times New Roman"/>
          <w:szCs w:val="24"/>
        </w:rPr>
        <w:t>(see C.A. reasons, at para. 112). The constraint under s. 26.1(2) is expressed in broad terms. For example, it does not prescribe a particular method of estimating child</w:t>
      </w:r>
      <w:r w:rsidRPr="0070034E">
        <w:rPr>
          <w:rFonts w:eastAsia="Times New Roman" w:cs="Times New Roman"/>
          <w:szCs w:val="24"/>
        </w:rPr>
        <w:noBreakHyphen/>
        <w:t>related costs or state the percentage of child</w:t>
      </w:r>
      <w:r w:rsidRPr="0070034E">
        <w:rPr>
          <w:rFonts w:eastAsia="Times New Roman" w:cs="Times New Roman"/>
          <w:szCs w:val="24"/>
        </w:rPr>
        <w:noBreakHyphen/>
        <w:t>related costs that each parent must cover. Given this, while s. 26.1(2) constrains the GIC’s extremely broad grant of authority under s. 26.1(1), it does not restrict it as narrowly as Mr. Auer submits.</w:t>
      </w:r>
    </w:p>
    <w:p w14:paraId="1B217BEE" w14:textId="77777777" w:rsidR="00DB7512" w:rsidRPr="0070034E" w:rsidRDefault="00DB7512" w:rsidP="00DB7512">
      <w:pPr>
        <w:pStyle w:val="Title3LevelTitre3Niveau"/>
        <w:rPr>
          <w:rFonts w:eastAsia="Times New Roman" w:cs="Times New Roman"/>
          <w:szCs w:val="24"/>
        </w:rPr>
      </w:pPr>
      <w:bookmarkStart w:id="26" w:name="_Toc172041746"/>
      <w:r w:rsidRPr="0070034E">
        <w:rPr>
          <w:rFonts w:cs="Times New Roman"/>
        </w:rPr>
        <w:t>The GIC Was Authorized Not To Take Into Account the Recipient Parent’s Income in Calculating the Table Amounts</w:t>
      </w:r>
      <w:bookmarkEnd w:id="26"/>
    </w:p>
    <w:p w14:paraId="6E9C243D"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Mr. Auer submits that the presumptive table amounts in the </w:t>
      </w:r>
      <w:r w:rsidRPr="0070034E">
        <w:rPr>
          <w:rFonts w:eastAsia="Times New Roman" w:cs="Times New Roman"/>
          <w:i/>
          <w:iCs/>
          <w:szCs w:val="24"/>
        </w:rPr>
        <w:t xml:space="preserve">Child Support Guidelines </w:t>
      </w:r>
      <w:r w:rsidRPr="0070034E">
        <w:rPr>
          <w:rFonts w:eastAsia="Times New Roman" w:cs="Times New Roman"/>
          <w:szCs w:val="24"/>
        </w:rPr>
        <w:t>violate the requirement in s. 26.1(2) that support awards be based on the parents’ “relative abilities to contribute” by ignoring the recipient parent’s income. In his view, the table amounts cannot be based on the parents’ “relative abilities to contribute” if they are based solely on the payer parent’s income.</w:t>
      </w:r>
    </w:p>
    <w:p w14:paraId="77271CA3"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The formula on which the table amounts are based assumes that the payer parent and recipient parent have the same income (</w:t>
      </w:r>
      <w:r w:rsidRPr="0070034E">
        <w:rPr>
          <w:rFonts w:eastAsia="Times New Roman" w:cs="Times New Roman"/>
        </w:rPr>
        <w:t>chambers judge’s reasons</w:t>
      </w:r>
      <w:r w:rsidRPr="0070034E">
        <w:rPr>
          <w:rFonts w:eastAsia="Times New Roman" w:cs="Times New Roman"/>
          <w:szCs w:val="24"/>
        </w:rPr>
        <w:t>, at para. 86). It only considers the payer parent’s income and seeks to determine the amount that must be transferred from the payer parent to the recipient parent in order to make both households equally well off (Department of Justice</w:t>
      </w:r>
      <w:r w:rsidRPr="0070034E">
        <w:rPr>
          <w:rFonts w:eastAsia="Times New Roman" w:cs="Times New Roman"/>
        </w:rPr>
        <w:t xml:space="preserve"> Canada, </w:t>
      </w:r>
      <w:r w:rsidRPr="0070034E">
        <w:rPr>
          <w:rFonts w:eastAsia="Times New Roman" w:cs="Times New Roman"/>
          <w:szCs w:val="24"/>
        </w:rPr>
        <w:t xml:space="preserve">Child Support Team, </w:t>
      </w:r>
      <w:r w:rsidRPr="0070034E">
        <w:rPr>
          <w:rFonts w:eastAsia="Times New Roman" w:cs="Times New Roman"/>
          <w:i/>
          <w:szCs w:val="24"/>
        </w:rPr>
        <w:t xml:space="preserve">Formula for the Table </w:t>
      </w:r>
      <w:r w:rsidRPr="0070034E">
        <w:rPr>
          <w:rFonts w:eastAsia="Times New Roman" w:cs="Times New Roman"/>
          <w:i/>
        </w:rPr>
        <w:t xml:space="preserve">of </w:t>
      </w:r>
      <w:r w:rsidRPr="0070034E">
        <w:rPr>
          <w:rFonts w:eastAsia="Times New Roman" w:cs="Times New Roman"/>
          <w:i/>
          <w:szCs w:val="24"/>
        </w:rPr>
        <w:t>Amounts Contained in the Federal Child Support Guidelines: A Technical Report</w:t>
      </w:r>
      <w:r w:rsidRPr="0070034E">
        <w:rPr>
          <w:rFonts w:eastAsia="Times New Roman" w:cs="Times New Roman"/>
          <w:szCs w:val="24"/>
        </w:rPr>
        <w:t xml:space="preserve"> </w:t>
      </w:r>
      <w:r w:rsidRPr="0070034E">
        <w:rPr>
          <w:rFonts w:eastAsia="Times New Roman" w:cs="Times New Roman"/>
        </w:rPr>
        <w:t>(1997) (“DOJ Report”)</w:t>
      </w:r>
      <w:r w:rsidRPr="0070034E">
        <w:rPr>
          <w:rFonts w:eastAsia="Times New Roman" w:cs="Times New Roman"/>
          <w:szCs w:val="24"/>
        </w:rPr>
        <w:t xml:space="preserve">, at </w:t>
      </w:r>
      <w:r w:rsidRPr="0070034E">
        <w:rPr>
          <w:rFonts w:eastAsia="Times New Roman" w:cs="Times New Roman"/>
        </w:rPr>
        <w:t>p. 2</w:t>
      </w:r>
      <w:r w:rsidRPr="0070034E">
        <w:rPr>
          <w:rFonts w:eastAsia="Times New Roman" w:cs="Times New Roman"/>
          <w:szCs w:val="24"/>
        </w:rPr>
        <w:t xml:space="preserve">). As our Court explained in </w:t>
      </w:r>
      <w:r w:rsidRPr="0070034E">
        <w:rPr>
          <w:rFonts w:eastAsia="Times New Roman" w:cs="Times New Roman"/>
          <w:i/>
          <w:iCs/>
          <w:szCs w:val="24"/>
        </w:rPr>
        <w:t>D.B.S.</w:t>
      </w:r>
      <w:r w:rsidRPr="0070034E">
        <w:rPr>
          <w:rFonts w:eastAsia="Times New Roman" w:cs="Times New Roman"/>
          <w:szCs w:val="24"/>
        </w:rPr>
        <w:t xml:space="preserve">, the </w:t>
      </w:r>
      <w:r w:rsidRPr="0070034E">
        <w:rPr>
          <w:rFonts w:eastAsia="Times New Roman" w:cs="Times New Roman"/>
          <w:i/>
          <w:iCs/>
          <w:szCs w:val="24"/>
        </w:rPr>
        <w:t xml:space="preserve">Child Support Guidelines </w:t>
      </w:r>
      <w:r w:rsidRPr="0070034E">
        <w:rPr>
          <w:rFonts w:eastAsia="Times New Roman" w:cs="Times New Roman"/>
          <w:szCs w:val="24"/>
        </w:rPr>
        <w:t>move away from pure need</w:t>
      </w:r>
      <w:r w:rsidRPr="0070034E">
        <w:rPr>
          <w:rFonts w:eastAsia="Times New Roman" w:cs="Times New Roman"/>
          <w:szCs w:val="24"/>
        </w:rPr>
        <w:noBreakHyphen/>
        <w:t>based criteria towards an approach based on the payer parent’s income (para. 47). This approach shapes each parent’s free</w:t>
      </w:r>
      <w:r w:rsidRPr="0070034E">
        <w:rPr>
          <w:rFonts w:eastAsia="Times New Roman" w:cs="Times New Roman"/>
          <w:szCs w:val="24"/>
        </w:rPr>
        <w:noBreakHyphen/>
        <w:t xml:space="preserve">standing obligation to support their children commensurate with their income, “with the result that the total amount of child support is determined — and not merely divided — according to the income of the </w:t>
      </w:r>
      <w:proofErr w:type="spellStart"/>
      <w:r w:rsidRPr="0070034E">
        <w:rPr>
          <w:rFonts w:eastAsia="Times New Roman" w:cs="Times New Roman"/>
          <w:szCs w:val="24"/>
        </w:rPr>
        <w:t>payor</w:t>
      </w:r>
      <w:proofErr w:type="spellEnd"/>
      <w:r w:rsidRPr="0070034E">
        <w:rPr>
          <w:rFonts w:eastAsia="Times New Roman" w:cs="Times New Roman"/>
          <w:szCs w:val="24"/>
        </w:rPr>
        <w:t xml:space="preserve"> parent” (para. 48).</w:t>
      </w:r>
    </w:p>
    <w:p w14:paraId="32828962"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Adopting a formula for calculating the table amounts that does not expressly consider the recipient parent’s income falls within a reasonable interpretation of the authority granted to the GIC. It is reasonable to interpret this authority as being conferred as part of the broad grant under s. 26.1(1), which includes the authority to establish guidelines “respecting the way in which the amount of an order for child support is to be determined” and “respecting the determination of income for the purposes of the application of the guidelines”.</w:t>
      </w:r>
    </w:p>
    <w:p w14:paraId="54DD4B4B"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The formula selected by the GIC for calculating the table amounts was recommended by the Committee after extensive research and consultation. In its report, the Committee justified the decision regarding the recipient parent’s income in calculating the table amounts as follows:</w:t>
      </w:r>
    </w:p>
    <w:p w14:paraId="489E5C27" w14:textId="77777777" w:rsidR="00DB7512" w:rsidRPr="0070034E" w:rsidRDefault="00DB7512" w:rsidP="00DB7512">
      <w:pPr>
        <w:pStyle w:val="Citation-AltC"/>
      </w:pPr>
      <w:r w:rsidRPr="0070034E">
        <w:t>Although the formula appears to be based solely on the non</w:t>
      </w:r>
      <w:r w:rsidRPr="0070034E">
        <w:noBreakHyphen/>
        <w:t>custodial parent’s income, this does not imply that the custodial parent does not contribute to the financial needs of the child. On the contrary — because the child lives with the custodial parent and shares the same living standard as this parent, the custodial parent will continue to pay for the remaining expenses in proportion to his/her income. [</w:t>
      </w:r>
      <w:proofErr w:type="gramStart"/>
      <w:r w:rsidRPr="0070034E">
        <w:t>p</w:t>
      </w:r>
      <w:proofErr w:type="gramEnd"/>
      <w:r w:rsidRPr="0070034E">
        <w:t>. i]</w:t>
      </w:r>
    </w:p>
    <w:p w14:paraId="7E42312F" w14:textId="77777777" w:rsidR="00DB7512" w:rsidRPr="0070034E" w:rsidRDefault="00DB7512" w:rsidP="00DB7512">
      <w:pPr>
        <w:pStyle w:val="ParaNoNdepar-AltN"/>
        <w:rPr>
          <w:rFonts w:cs="Times New Roman"/>
        </w:rPr>
      </w:pPr>
      <w:r w:rsidRPr="0070034E">
        <w:rPr>
          <w:rFonts w:eastAsia="Times New Roman" w:cs="Times New Roman"/>
          <w:szCs w:val="24"/>
        </w:rPr>
        <w:t>The Committee considered different options for the formula and how the awards should change with the recipient parent’s income:</w:t>
      </w:r>
    </w:p>
    <w:p w14:paraId="4C65E34A" w14:textId="77777777" w:rsidR="00DB7512" w:rsidRPr="0070034E" w:rsidRDefault="00DB7512" w:rsidP="00DB7512">
      <w:pPr>
        <w:pStyle w:val="Citation-AltC"/>
      </w:pPr>
      <w:r w:rsidRPr="0070034E">
        <w:t>With some other formulas the award rises; with others it falls; while with still others it does not change at all. Thus, there is considerable disagreement over how awards should change with the custodial parent’s income. The Revised Fixed Percentage formula [which was recommended by the Committee] retains the principle common to all fixed percentage systems: the award does not vary with the income of the custodial parent. [</w:t>
      </w:r>
      <w:proofErr w:type="gramStart"/>
      <w:r w:rsidRPr="0070034E">
        <w:t>p</w:t>
      </w:r>
      <w:proofErr w:type="gramEnd"/>
      <w:r w:rsidRPr="0070034E">
        <w:t>. ii]</w:t>
      </w:r>
    </w:p>
    <w:p w14:paraId="7BCD7A9A" w14:textId="77777777" w:rsidR="00DB7512" w:rsidRPr="0070034E" w:rsidRDefault="00DB7512" w:rsidP="00DB7512">
      <w:pPr>
        <w:pStyle w:val="ParaNoNdepar-AltN"/>
        <w:rPr>
          <w:rFonts w:cs="Times New Roman"/>
        </w:rPr>
      </w:pPr>
      <w:r w:rsidRPr="0070034E">
        <w:rPr>
          <w:rFonts w:eastAsia="Times New Roman" w:cs="Times New Roman"/>
          <w:szCs w:val="24"/>
        </w:rPr>
        <w:t>The Committee explained that its recommended approach “is essentially child</w:t>
      </w:r>
      <w:r w:rsidRPr="0070034E">
        <w:rPr>
          <w:rFonts w:eastAsia="Times New Roman" w:cs="Times New Roman"/>
          <w:szCs w:val="24"/>
        </w:rPr>
        <w:noBreakHyphen/>
        <w:t>centred: the child benefits from the standard of living of the non</w:t>
      </w:r>
      <w:r w:rsidRPr="0070034E">
        <w:rPr>
          <w:rFonts w:eastAsia="Times New Roman" w:cs="Times New Roman"/>
          <w:szCs w:val="24"/>
        </w:rPr>
        <w:noBreakHyphen/>
        <w:t>custodial parent before the separation/divorce and should retain this benefit after the separation/divorce” (p. ii).</w:t>
      </w:r>
    </w:p>
    <w:p w14:paraId="14E5554B" w14:textId="77777777" w:rsidR="00DB7512" w:rsidRPr="0070034E" w:rsidRDefault="00DB7512" w:rsidP="00DB7512">
      <w:pPr>
        <w:pStyle w:val="ParaNoNdepar-AltN"/>
        <w:rPr>
          <w:rFonts w:cs="Times New Roman"/>
        </w:rPr>
      </w:pPr>
      <w:r w:rsidRPr="0070034E">
        <w:rPr>
          <w:rFonts w:eastAsia="Times New Roman" w:cs="Times New Roman"/>
          <w:szCs w:val="24"/>
        </w:rPr>
        <w:t>During the debates on Bill C</w:t>
      </w:r>
      <w:r w:rsidRPr="0070034E">
        <w:rPr>
          <w:rFonts w:eastAsia="Times New Roman" w:cs="Times New Roman"/>
          <w:szCs w:val="24"/>
        </w:rPr>
        <w:noBreakHyphen/>
        <w:t xml:space="preserve">41, the then Minister of Justice, Allan Rock, reiterated the Committee’s justifications. He explained that it is fair to assume that the recipient parent is supporting their child in a manner that is proportionate to their income, because the child lives with the recipient parent and their standards of living are inseparable (House of Commons Standing Committee on Justice and Legal Affairs, </w:t>
      </w:r>
      <w:r w:rsidRPr="0070034E">
        <w:rPr>
          <w:rFonts w:eastAsia="Times New Roman" w:cs="Times New Roman"/>
          <w:i/>
          <w:szCs w:val="24"/>
        </w:rPr>
        <w:t>Evidence</w:t>
      </w:r>
      <w:r w:rsidRPr="0070034E">
        <w:rPr>
          <w:rFonts w:eastAsia="Times New Roman" w:cs="Times New Roman"/>
          <w:szCs w:val="24"/>
        </w:rPr>
        <w:t xml:space="preserve">, No. 54, 2nd Sess., 35th Parl., October 21, 1996, at 17:10 to 17:15; Standing Senate Committee on Social Affairs, Science and Technology, </w:t>
      </w:r>
      <w:r w:rsidRPr="0070034E">
        <w:rPr>
          <w:rFonts w:eastAsia="Times New Roman" w:cs="Times New Roman"/>
          <w:i/>
          <w:szCs w:val="24"/>
        </w:rPr>
        <w:t>Proceedings of the Standing Senate Committee on Social Affairs, Science and Technology</w:t>
      </w:r>
      <w:r w:rsidRPr="0070034E">
        <w:rPr>
          <w:rFonts w:eastAsia="Times New Roman" w:cs="Times New Roman"/>
          <w:szCs w:val="24"/>
        </w:rPr>
        <w:t>, No. 17, 2nd Sess., 35th Parl., December 11 and 12, 1996).</w:t>
      </w:r>
    </w:p>
    <w:p w14:paraId="3D05CEBA"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As these justifications make clear, the formula for calculating the table amounts takes into account the ways in which the recipient parent contributes to the financial needs of the child, as required by s. 26.1(2). It does so by assuming that, because the child resides with the recipient parent, that parent will support the child in a manner that is proportionate to their income. This assumption is consistent with the objectives of the </w:t>
      </w:r>
      <w:r w:rsidRPr="0070034E">
        <w:rPr>
          <w:rFonts w:eastAsia="Times New Roman" w:cs="Times New Roman"/>
          <w:i/>
          <w:iCs/>
          <w:szCs w:val="24"/>
        </w:rPr>
        <w:t>Child Support Guidelines</w:t>
      </w:r>
      <w:r w:rsidRPr="0070034E">
        <w:rPr>
          <w:rFonts w:eastAsia="Times New Roman" w:cs="Times New Roman"/>
          <w:szCs w:val="24"/>
        </w:rPr>
        <w:t>, which include establishing a fair standard of support for children that ensures that they continue to benefit from the financial means of both parents after separation (s. 1).</w:t>
      </w:r>
    </w:p>
    <w:p w14:paraId="22D87D0E"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The parties do not dispute that recipient parents contribute to child</w:t>
      </w:r>
      <w:r w:rsidRPr="0070034E">
        <w:rPr>
          <w:rFonts w:eastAsia="Times New Roman" w:cs="Times New Roman"/>
          <w:szCs w:val="24"/>
        </w:rPr>
        <w:noBreakHyphen/>
        <w:t>related costs by virtue of living with the children. While some recipient parents may contribute a larger proportion of their income towards child</w:t>
      </w:r>
      <w:r w:rsidRPr="0070034E">
        <w:rPr>
          <w:rFonts w:eastAsia="Times New Roman" w:cs="Times New Roman"/>
          <w:szCs w:val="24"/>
        </w:rPr>
        <w:noBreakHyphen/>
        <w:t>related costs than others, it was open to the GIC, in establishing a nationwide regime for child support, to assume that recipient parents contribute to child</w:t>
      </w:r>
      <w:r w:rsidRPr="0070034E">
        <w:rPr>
          <w:rFonts w:eastAsia="Times New Roman" w:cs="Times New Roman"/>
          <w:szCs w:val="24"/>
        </w:rPr>
        <w:noBreakHyphen/>
        <w:t xml:space="preserve">related costs in proportion to their income. In reviewing the </w:t>
      </w:r>
      <w:r w:rsidRPr="0070034E">
        <w:rPr>
          <w:rFonts w:eastAsia="Times New Roman" w:cs="Times New Roman"/>
          <w:i/>
          <w:iCs/>
          <w:szCs w:val="24"/>
        </w:rPr>
        <w:t xml:space="preserve">vires </w:t>
      </w:r>
      <w:r w:rsidRPr="0070034E">
        <w:rPr>
          <w:rFonts w:eastAsia="Times New Roman" w:cs="Times New Roman"/>
          <w:szCs w:val="24"/>
        </w:rPr>
        <w:t xml:space="preserve">of the </w:t>
      </w:r>
      <w:r w:rsidRPr="0070034E">
        <w:rPr>
          <w:rFonts w:eastAsia="Times New Roman" w:cs="Times New Roman"/>
          <w:i/>
          <w:iCs/>
          <w:szCs w:val="24"/>
        </w:rPr>
        <w:t>Child Support Guidelines</w:t>
      </w:r>
      <w:r w:rsidRPr="0070034E">
        <w:rPr>
          <w:rFonts w:eastAsia="Times New Roman" w:cs="Times New Roman"/>
          <w:szCs w:val="24"/>
        </w:rPr>
        <w:t>, our Court must not assess the policy merits of that assumption to determine whether it is “necessary, wise, or effective in practice” (</w:t>
      </w:r>
      <w:r w:rsidRPr="0070034E">
        <w:rPr>
          <w:rFonts w:eastAsia="Times New Roman" w:cs="Times New Roman"/>
          <w:i/>
          <w:iCs/>
          <w:szCs w:val="24"/>
        </w:rPr>
        <w:t>Katz Group</w:t>
      </w:r>
      <w:r w:rsidRPr="0070034E">
        <w:rPr>
          <w:rFonts w:eastAsia="Times New Roman" w:cs="Times New Roman"/>
          <w:szCs w:val="24"/>
        </w:rPr>
        <w:t xml:space="preserve">, at para. 27, citing </w:t>
      </w:r>
      <w:proofErr w:type="spellStart"/>
      <w:r w:rsidRPr="0070034E">
        <w:rPr>
          <w:rFonts w:eastAsia="Times New Roman" w:cs="Times New Roman"/>
          <w:i/>
          <w:iCs/>
          <w:szCs w:val="24"/>
        </w:rPr>
        <w:t>Jafari</w:t>
      </w:r>
      <w:proofErr w:type="spellEnd"/>
      <w:r w:rsidRPr="0070034E">
        <w:rPr>
          <w:rFonts w:eastAsia="Times New Roman" w:cs="Times New Roman"/>
          <w:szCs w:val="24"/>
        </w:rPr>
        <w:t>, at p. 604).</w:t>
      </w:r>
    </w:p>
    <w:p w14:paraId="66424080" w14:textId="77777777" w:rsidR="00DB7512" w:rsidRPr="0070034E" w:rsidRDefault="00DB7512" w:rsidP="00DB7512">
      <w:pPr>
        <w:pStyle w:val="ParaNoNdepar-AltN"/>
        <w:rPr>
          <w:rFonts w:cs="Times New Roman"/>
        </w:rPr>
      </w:pPr>
      <w:r w:rsidRPr="0070034E">
        <w:rPr>
          <w:rFonts w:eastAsia="Times New Roman" w:cs="Times New Roman"/>
          <w:szCs w:val="24"/>
        </w:rPr>
        <w:t>For these reasons, I conclude that an interpretation of the GIC’s broad authority to establish guidelines “respecting the way in which the amount of an order for child support is to be determined” and “respecting the determination of income for the purposes of the application of the guidelines” as including the authority to adopt a formula for calculating the table amounts based solely on the payer parent’s income, is reasonable.</w:t>
      </w:r>
    </w:p>
    <w:p w14:paraId="16B1541B" w14:textId="77777777" w:rsidR="00DB7512" w:rsidRPr="0070034E" w:rsidRDefault="00DB7512" w:rsidP="00DB7512">
      <w:pPr>
        <w:pStyle w:val="Title3LevelTitre3Niveau"/>
        <w:rPr>
          <w:rFonts w:eastAsia="Times New Roman" w:cs="Times New Roman"/>
          <w:szCs w:val="24"/>
        </w:rPr>
      </w:pPr>
      <w:bookmarkStart w:id="27" w:name="_Toc172041747"/>
      <w:r w:rsidRPr="0070034E">
        <w:rPr>
          <w:rFonts w:cs="Times New Roman"/>
        </w:rPr>
        <w:t>The GIC Was Authorized To Assume That Parents Spend the Same Linear Percentage of Their Income on Their Children</w:t>
      </w:r>
      <w:bookmarkEnd w:id="27"/>
    </w:p>
    <w:p w14:paraId="2BF44EFA" w14:textId="77777777" w:rsidR="00DB7512" w:rsidRPr="0070034E" w:rsidRDefault="00DB7512" w:rsidP="00DB7512">
      <w:pPr>
        <w:pStyle w:val="ParaNoNdepar-AltN"/>
        <w:rPr>
          <w:rFonts w:cs="Times New Roman"/>
        </w:rPr>
      </w:pPr>
      <w:r w:rsidRPr="0070034E">
        <w:rPr>
          <w:rFonts w:cs="Times New Roman"/>
        </w:rPr>
        <w:t xml:space="preserve">Mr. Auer submits that the </w:t>
      </w:r>
      <w:r w:rsidRPr="0070034E">
        <w:rPr>
          <w:rFonts w:cs="Times New Roman"/>
          <w:i/>
          <w:iCs/>
        </w:rPr>
        <w:t>Child Support Guidelines</w:t>
      </w:r>
      <w:r w:rsidRPr="0070034E">
        <w:rPr>
          <w:rFonts w:cs="Times New Roman"/>
        </w:rPr>
        <w:t xml:space="preserve"> unreasonably assume that parents spend the same linear percentage of income on their children regardless of the parents’ income levels and the children’s ages. In his view, as income rises, the overall amount spent on children increases but the percentage of income spent on children decreases (A.F., at para. 138). He submits that this assumption results in payer parents paying a disproportionate share of child</w:t>
      </w:r>
      <w:r w:rsidRPr="0070034E">
        <w:rPr>
          <w:rFonts w:cs="Times New Roman"/>
        </w:rPr>
        <w:noBreakHyphen/>
        <w:t>related costs.</w:t>
      </w:r>
    </w:p>
    <w:p w14:paraId="56868504" w14:textId="77777777" w:rsidR="00DB7512" w:rsidRPr="0070034E" w:rsidRDefault="00DB7512" w:rsidP="00DB7512">
      <w:pPr>
        <w:pStyle w:val="ParaNoNdepar-AltN"/>
        <w:rPr>
          <w:rFonts w:cs="Times New Roman"/>
        </w:rPr>
      </w:pPr>
      <w:r w:rsidRPr="0070034E">
        <w:rPr>
          <w:rFonts w:eastAsia="Times New Roman" w:cs="Times New Roman"/>
          <w:szCs w:val="24"/>
        </w:rPr>
        <w:t>The table amounts assume that parents spend the same linear percentage of income on their children. The table establishes a fixed monetary amount of support for payer parents whose annual income does not exceed $150,000. Where the payer parent’s annual income exceeds that amount, the amount payable is increased by a designated percentage of the payer parent’s income over $150,000 (Payne and Payne, at p. 382). However, s. 4(b</w:t>
      </w:r>
      <w:proofErr w:type="gramStart"/>
      <w:r w:rsidRPr="0070034E">
        <w:rPr>
          <w:rFonts w:eastAsia="Times New Roman" w:cs="Times New Roman"/>
          <w:szCs w:val="24"/>
        </w:rPr>
        <w:t>)(</w:t>
      </w:r>
      <w:proofErr w:type="gramEnd"/>
      <w:r w:rsidRPr="0070034E">
        <w:rPr>
          <w:rFonts w:eastAsia="Times New Roman" w:cs="Times New Roman"/>
          <w:szCs w:val="24"/>
        </w:rPr>
        <w:t xml:space="preserve">ii) of the </w:t>
      </w:r>
      <w:r w:rsidRPr="0070034E">
        <w:rPr>
          <w:rFonts w:eastAsia="Times New Roman" w:cs="Times New Roman"/>
          <w:i/>
          <w:iCs/>
          <w:szCs w:val="24"/>
        </w:rPr>
        <w:t xml:space="preserve">Child Support Guidelines </w:t>
      </w:r>
      <w:r w:rsidRPr="0070034E">
        <w:rPr>
          <w:rFonts w:eastAsia="Times New Roman" w:cs="Times New Roman"/>
          <w:szCs w:val="24"/>
        </w:rPr>
        <w:t>authorizes a court to depart from the table amount in respect of the payer parent’s income above $150,000 if it considers the table amount to be “inappropriate” having regard to the “condition, means, needs and other circumstances of the children who are entitled to support and the financial ability of each spouse to contribute to the support of the children”.</w:t>
      </w:r>
    </w:p>
    <w:p w14:paraId="01A9CD23" w14:textId="77777777" w:rsidR="00DB7512" w:rsidRPr="0070034E" w:rsidRDefault="00DB7512" w:rsidP="00DB7512">
      <w:pPr>
        <w:pStyle w:val="ParaNoNdepar-AltN"/>
        <w:rPr>
          <w:rFonts w:cs="Times New Roman"/>
        </w:rPr>
      </w:pPr>
      <w:r w:rsidRPr="0070034E">
        <w:rPr>
          <w:rFonts w:eastAsia="Times New Roman" w:cs="Times New Roman"/>
          <w:szCs w:val="24"/>
        </w:rPr>
        <w:t xml:space="preserve">Mr. Auer submits that courts are unlikely to depart from a linear application of the table amounts despite having the discretion to do so (A.F., at para. 139). He asks our Court to consider this reality in assessing the validity of the </w:t>
      </w:r>
      <w:r w:rsidRPr="0070034E">
        <w:rPr>
          <w:rFonts w:eastAsia="Times New Roman" w:cs="Times New Roman"/>
          <w:i/>
          <w:iCs/>
          <w:szCs w:val="24"/>
        </w:rPr>
        <w:t>Child Support Guidelines</w:t>
      </w:r>
      <w:r w:rsidRPr="0070034E">
        <w:rPr>
          <w:rFonts w:eastAsia="Times New Roman" w:cs="Times New Roman"/>
          <w:szCs w:val="24"/>
        </w:rPr>
        <w:t>.</w:t>
      </w:r>
    </w:p>
    <w:p w14:paraId="6A2F73A8" w14:textId="77777777" w:rsidR="00DB7512" w:rsidRPr="0070034E" w:rsidRDefault="00DB7512" w:rsidP="00DB7512">
      <w:pPr>
        <w:pStyle w:val="ParaNoNdepar-AltN"/>
        <w:rPr>
          <w:rFonts w:cs="Times New Roman"/>
        </w:rPr>
      </w:pPr>
      <w:r w:rsidRPr="0070034E">
        <w:rPr>
          <w:rFonts w:eastAsia="Times New Roman" w:cs="Times New Roman"/>
          <w:szCs w:val="24"/>
        </w:rPr>
        <w:t>Under s. 26.1(1</w:t>
      </w:r>
      <w:proofErr w:type="gramStart"/>
      <w:r w:rsidRPr="0070034E">
        <w:rPr>
          <w:rFonts w:eastAsia="Times New Roman" w:cs="Times New Roman"/>
          <w:szCs w:val="24"/>
        </w:rPr>
        <w:t>)(</w:t>
      </w:r>
      <w:proofErr w:type="gramEnd"/>
      <w:r w:rsidRPr="0070034E">
        <w:rPr>
          <w:rFonts w:eastAsia="Times New Roman" w:cs="Times New Roman"/>
          <w:szCs w:val="24"/>
        </w:rPr>
        <w:t xml:space="preserve">b) of the </w:t>
      </w:r>
      <w:r w:rsidRPr="0070034E">
        <w:rPr>
          <w:rFonts w:eastAsia="Times New Roman" w:cs="Times New Roman"/>
          <w:i/>
          <w:szCs w:val="24"/>
        </w:rPr>
        <w:t>Divorce Act</w:t>
      </w:r>
      <w:r w:rsidRPr="0070034E">
        <w:rPr>
          <w:rFonts w:eastAsia="Times New Roman" w:cs="Times New Roman"/>
          <w:szCs w:val="24"/>
        </w:rPr>
        <w:t xml:space="preserve">, the GIC is authorized to establish guidelines “respecting the circumstances in which discretion may be exercised in the making of an order for child support”. Thus, it was plainly open to the GIC to give courts the discretion to depart from the table amounts for annual payer parent incomes exceeding $150,000 if they consider those amounts to be “inappropriate”. Courts have the discretion to decide whether to depart from a linear application of the table amounts. How this discretion is exercised has no bearing on the legality or validity of the </w:t>
      </w:r>
      <w:r w:rsidRPr="0070034E">
        <w:rPr>
          <w:rFonts w:eastAsia="Times New Roman" w:cs="Times New Roman"/>
          <w:i/>
          <w:iCs/>
          <w:szCs w:val="24"/>
        </w:rPr>
        <w:t>Child Support Guidelines</w:t>
      </w:r>
      <w:r w:rsidRPr="0070034E">
        <w:rPr>
          <w:rFonts w:eastAsia="Times New Roman" w:cs="Times New Roman"/>
          <w:szCs w:val="24"/>
        </w:rPr>
        <w:t>.</w:t>
      </w:r>
    </w:p>
    <w:p w14:paraId="3974D9DC" w14:textId="77777777" w:rsidR="00DB7512" w:rsidRPr="0070034E" w:rsidRDefault="00DB7512" w:rsidP="00DB7512">
      <w:pPr>
        <w:pStyle w:val="ParaNoNdepar-AltN"/>
        <w:rPr>
          <w:rFonts w:cs="Times New Roman"/>
        </w:rPr>
      </w:pPr>
      <w:r w:rsidRPr="0070034E">
        <w:rPr>
          <w:rFonts w:eastAsia="Times New Roman" w:cs="Times New Roman"/>
          <w:szCs w:val="24"/>
        </w:rPr>
        <w:t xml:space="preserve">Mr. Auer argues that the </w:t>
      </w:r>
      <w:r w:rsidRPr="0070034E">
        <w:rPr>
          <w:rFonts w:eastAsia="Times New Roman" w:cs="Times New Roman"/>
          <w:i/>
          <w:iCs/>
          <w:szCs w:val="24"/>
        </w:rPr>
        <w:t xml:space="preserve">Child Support Guidelines </w:t>
      </w:r>
      <w:r w:rsidRPr="0070034E">
        <w:rPr>
          <w:rFonts w:eastAsia="Times New Roman" w:cs="Times New Roman"/>
          <w:szCs w:val="24"/>
        </w:rPr>
        <w:t xml:space="preserve">fail to reflect the fact that parents spend different percentages of their income on children at different ages. The </w:t>
      </w:r>
      <w:r w:rsidRPr="0070034E">
        <w:rPr>
          <w:rFonts w:eastAsia="Times New Roman" w:cs="Times New Roman"/>
          <w:i/>
          <w:iCs/>
          <w:szCs w:val="24"/>
        </w:rPr>
        <w:t xml:space="preserve">Child Support Guidelines </w:t>
      </w:r>
      <w:r w:rsidRPr="0070034E">
        <w:rPr>
          <w:rFonts w:eastAsia="Times New Roman" w:cs="Times New Roman"/>
          <w:szCs w:val="24"/>
        </w:rPr>
        <w:t xml:space="preserve">do not consider the ages of the children, except when they are over the age of majority. However, the GIC’s authority under s. 26.1(1) of the </w:t>
      </w:r>
      <w:r w:rsidRPr="0070034E">
        <w:rPr>
          <w:rFonts w:eastAsia="Times New Roman" w:cs="Times New Roman"/>
          <w:i/>
          <w:szCs w:val="24"/>
        </w:rPr>
        <w:t>Divorce Act</w:t>
      </w:r>
      <w:r w:rsidRPr="0070034E">
        <w:rPr>
          <w:rFonts w:eastAsia="Times New Roman" w:cs="Times New Roman"/>
          <w:szCs w:val="24"/>
        </w:rPr>
        <w:t xml:space="preserve">, which includes the authority to establish guidelines “respecting the way in which the amount of an order for child support is to be determined”, can reasonably be interpreted as authorizing guidelines which do not take children’s specific ages into account when calculating child support awards. Mr. Auer has not met the burden of proving that the </w:t>
      </w:r>
      <w:r w:rsidRPr="0070034E">
        <w:rPr>
          <w:rFonts w:eastAsia="Times New Roman" w:cs="Times New Roman"/>
          <w:i/>
          <w:iCs/>
          <w:szCs w:val="24"/>
        </w:rPr>
        <w:t xml:space="preserve">Child Support Guidelines </w:t>
      </w:r>
      <w:r w:rsidRPr="0070034E">
        <w:rPr>
          <w:rFonts w:eastAsia="Times New Roman" w:cs="Times New Roman"/>
          <w:szCs w:val="24"/>
        </w:rPr>
        <w:t>are invalid on this basis (</w:t>
      </w:r>
      <w:r w:rsidRPr="0070034E">
        <w:rPr>
          <w:rFonts w:eastAsia="Times New Roman" w:cs="Times New Roman"/>
          <w:i/>
          <w:iCs/>
          <w:szCs w:val="24"/>
        </w:rPr>
        <w:t>Katz Group</w:t>
      </w:r>
      <w:r w:rsidRPr="0070034E">
        <w:rPr>
          <w:rFonts w:eastAsia="Times New Roman" w:cs="Times New Roman"/>
          <w:szCs w:val="24"/>
        </w:rPr>
        <w:t>, at para. 25).</w:t>
      </w:r>
    </w:p>
    <w:p w14:paraId="52D6AC74" w14:textId="77777777" w:rsidR="00DB7512" w:rsidRPr="0070034E" w:rsidRDefault="00DB7512" w:rsidP="00DB7512">
      <w:pPr>
        <w:pStyle w:val="Title3LevelTitre3Niveau"/>
        <w:rPr>
          <w:rFonts w:cs="Times New Roman"/>
        </w:rPr>
      </w:pPr>
      <w:bookmarkStart w:id="28" w:name="_Toc172041748"/>
      <w:r w:rsidRPr="0070034E">
        <w:rPr>
          <w:rFonts w:cs="Times New Roman"/>
        </w:rPr>
        <w:t>The GIC Was Authorized Not To Take Into Account Government Child Benefits Paid to the Recipient Parent in Calculating Child Support Awards</w:t>
      </w:r>
      <w:bookmarkEnd w:id="28"/>
    </w:p>
    <w:p w14:paraId="10A2CEB0"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formula used to calculate the table amounts does not include the federal Canada Child Benefit and the GST/HST rebate for children paid to the recipient parent (DOJ Report, at p. 5; Payne and Payne, at p. 121). Mr. Auer argues that these benefits increase the recipient parent’s standard of living and decrease the income needs created by the child (A.F., at para. 97). He submits that failing to consider them in calculating the table amounts causes the payer parent to </w:t>
      </w:r>
      <w:proofErr w:type="spellStart"/>
      <w:r w:rsidRPr="0070034E">
        <w:rPr>
          <w:rFonts w:eastAsia="Times New Roman" w:cs="Times New Roman"/>
          <w:szCs w:val="24"/>
        </w:rPr>
        <w:t>overcontribute</w:t>
      </w:r>
      <w:proofErr w:type="spellEnd"/>
      <w:r w:rsidRPr="0070034E">
        <w:rPr>
          <w:rFonts w:eastAsia="Times New Roman" w:cs="Times New Roman"/>
          <w:szCs w:val="24"/>
        </w:rPr>
        <w:t xml:space="preserve">, contrary to the principle under s. 26.1(2) of the </w:t>
      </w:r>
      <w:r w:rsidRPr="0070034E">
        <w:rPr>
          <w:rFonts w:eastAsia="Times New Roman" w:cs="Times New Roman"/>
          <w:i/>
          <w:iCs/>
          <w:szCs w:val="24"/>
        </w:rPr>
        <w:t>Divorce Act</w:t>
      </w:r>
      <w:r w:rsidRPr="0070034E">
        <w:rPr>
          <w:rFonts w:eastAsia="Times New Roman" w:cs="Times New Roman"/>
          <w:szCs w:val="24"/>
        </w:rPr>
        <w:t>.</w:t>
      </w:r>
    </w:p>
    <w:p w14:paraId="50DFE2AB"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w:t>
      </w:r>
      <w:r w:rsidRPr="0070034E">
        <w:rPr>
          <w:rFonts w:eastAsia="Times New Roman" w:cs="Times New Roman"/>
          <w:i/>
          <w:iCs/>
          <w:szCs w:val="24"/>
        </w:rPr>
        <w:t xml:space="preserve">Child Support Guidelines </w:t>
      </w:r>
      <w:r w:rsidRPr="0070034E">
        <w:rPr>
          <w:rFonts w:eastAsia="Times New Roman" w:cs="Times New Roman"/>
          <w:szCs w:val="24"/>
        </w:rPr>
        <w:t>represent a move away from a purely needs</w:t>
      </w:r>
      <w:r w:rsidRPr="0070034E">
        <w:rPr>
          <w:rFonts w:eastAsia="Times New Roman" w:cs="Times New Roman"/>
          <w:szCs w:val="24"/>
        </w:rPr>
        <w:noBreakHyphen/>
        <w:t>based approach towards one that seeks to maximize the amount available to be spent on children while ensuring that payer parents can adequately support themselves (</w:t>
      </w:r>
      <w:r w:rsidRPr="0070034E">
        <w:rPr>
          <w:rFonts w:eastAsia="Times New Roman" w:cs="Times New Roman"/>
          <w:i/>
          <w:iCs/>
          <w:szCs w:val="24"/>
        </w:rPr>
        <w:t>D.B.S.</w:t>
      </w:r>
      <w:r w:rsidRPr="0070034E">
        <w:rPr>
          <w:rFonts w:eastAsia="Times New Roman" w:cs="Times New Roman"/>
          <w:szCs w:val="24"/>
        </w:rPr>
        <w:t>, at para. 54; DOJ Report, at p. 1). Government benefits improve children’s welfare by increasing the ability of recipient parents to spend more on them than would otherwise be possible. These benefits “are deemed to be the government’s contribution to children and [are] not available as income to the receiving parent” (DOJ Report, at p. 5).</w:t>
      </w:r>
    </w:p>
    <w:p w14:paraId="3807A4D2" w14:textId="77777777" w:rsidR="00DB7512" w:rsidRPr="0070034E" w:rsidRDefault="00DB7512" w:rsidP="00DB7512">
      <w:pPr>
        <w:pStyle w:val="ParaNoNdepar-AltN"/>
        <w:rPr>
          <w:rFonts w:cs="Times New Roman"/>
        </w:rPr>
      </w:pPr>
      <w:r w:rsidRPr="0070034E">
        <w:rPr>
          <w:rFonts w:eastAsia="Times New Roman" w:cs="Times New Roman"/>
          <w:szCs w:val="24"/>
        </w:rPr>
        <w:t>Section 26.1(1</w:t>
      </w:r>
      <w:proofErr w:type="gramStart"/>
      <w:r w:rsidRPr="0070034E">
        <w:rPr>
          <w:rFonts w:eastAsia="Times New Roman" w:cs="Times New Roman"/>
          <w:szCs w:val="24"/>
        </w:rPr>
        <w:t>)(</w:t>
      </w:r>
      <w:proofErr w:type="gramEnd"/>
      <w:r w:rsidRPr="0070034E">
        <w:rPr>
          <w:rFonts w:eastAsia="Times New Roman" w:cs="Times New Roman"/>
          <w:szCs w:val="24"/>
        </w:rPr>
        <w:t xml:space="preserve">f) of the </w:t>
      </w:r>
      <w:r w:rsidRPr="0070034E">
        <w:rPr>
          <w:rFonts w:eastAsia="Times New Roman" w:cs="Times New Roman"/>
          <w:i/>
          <w:iCs/>
          <w:szCs w:val="24"/>
        </w:rPr>
        <w:t xml:space="preserve">Divorce Act </w:t>
      </w:r>
      <w:r w:rsidRPr="0070034E">
        <w:rPr>
          <w:rFonts w:eastAsia="Times New Roman" w:cs="Times New Roman"/>
          <w:szCs w:val="24"/>
        </w:rPr>
        <w:t>authorizes the GIC to establish guidelines “respecting the determination of income for the purposes of the application of the guidelines”. The GIC elected not to include government benefits paid to the recipient parent when determining income for the purposes of calculating the table amounts. That decision falls reasonably within the scope of the GIC’s broad authority. Again, it is not for our Court to assess the policy merits of that decision (</w:t>
      </w:r>
      <w:r w:rsidRPr="0070034E">
        <w:rPr>
          <w:rFonts w:eastAsia="Times New Roman" w:cs="Times New Roman"/>
          <w:i/>
          <w:iCs/>
          <w:szCs w:val="24"/>
        </w:rPr>
        <w:t>Katz Group</w:t>
      </w:r>
      <w:r w:rsidRPr="0070034E">
        <w:rPr>
          <w:rFonts w:eastAsia="Times New Roman" w:cs="Times New Roman"/>
          <w:szCs w:val="24"/>
        </w:rPr>
        <w:t>, at paras. 27</w:t>
      </w:r>
      <w:r w:rsidRPr="0070034E">
        <w:rPr>
          <w:rFonts w:eastAsia="Times New Roman" w:cs="Times New Roman"/>
          <w:szCs w:val="24"/>
        </w:rPr>
        <w:noBreakHyphen/>
        <w:t>28).</w:t>
      </w:r>
    </w:p>
    <w:p w14:paraId="184AD8F2" w14:textId="77777777" w:rsidR="00DB7512" w:rsidRPr="0070034E" w:rsidRDefault="00DB7512" w:rsidP="00DB7512">
      <w:pPr>
        <w:pStyle w:val="Title3LevelTitre3Niveau"/>
        <w:rPr>
          <w:rFonts w:eastAsia="Times New Roman" w:cs="Times New Roman"/>
          <w:szCs w:val="24"/>
        </w:rPr>
      </w:pPr>
      <w:bookmarkStart w:id="29" w:name="_Toc172041749"/>
      <w:r w:rsidRPr="0070034E">
        <w:rPr>
          <w:rFonts w:cs="Times New Roman"/>
        </w:rPr>
        <w:t>The GIC Was Authorized Not To Take Into Account the Payer Parent’s Direct Spending When That Parent Exercises Less Than 40 Percent of Annual Parenting Time</w:t>
      </w:r>
      <w:bookmarkEnd w:id="29"/>
    </w:p>
    <w:p w14:paraId="0A71686D" w14:textId="77777777" w:rsidR="00DB7512" w:rsidRPr="0070034E" w:rsidRDefault="00DB7512" w:rsidP="00DB7512">
      <w:pPr>
        <w:pStyle w:val="ParaNoNdepar-AltN"/>
        <w:rPr>
          <w:rFonts w:cs="Times New Roman"/>
        </w:rPr>
      </w:pPr>
      <w:r w:rsidRPr="0070034E">
        <w:rPr>
          <w:rFonts w:eastAsia="Times New Roman" w:cs="Times New Roman"/>
          <w:szCs w:val="24"/>
        </w:rPr>
        <w:t xml:space="preserve">The table amounts do not take into account the payer parent’s direct spending on the child; they “do not assume that the </w:t>
      </w:r>
      <w:proofErr w:type="spellStart"/>
      <w:r w:rsidRPr="0070034E">
        <w:rPr>
          <w:rFonts w:eastAsia="Times New Roman" w:cs="Times New Roman"/>
          <w:szCs w:val="24"/>
        </w:rPr>
        <w:t>payor</w:t>
      </w:r>
      <w:proofErr w:type="spellEnd"/>
      <w:r w:rsidRPr="0070034E">
        <w:rPr>
          <w:rFonts w:eastAsia="Times New Roman" w:cs="Times New Roman"/>
          <w:szCs w:val="24"/>
        </w:rPr>
        <w:t xml:space="preserve"> parent pays for the housing, food, or any other expense for the child” (</w:t>
      </w:r>
      <w:proofErr w:type="spellStart"/>
      <w:r w:rsidRPr="0070034E">
        <w:rPr>
          <w:rFonts w:eastAsia="Times New Roman" w:cs="Times New Roman"/>
          <w:i/>
          <w:iCs/>
          <w:szCs w:val="24"/>
        </w:rPr>
        <w:t>Contino</w:t>
      </w:r>
      <w:proofErr w:type="spellEnd"/>
      <w:r w:rsidRPr="0070034E">
        <w:rPr>
          <w:rFonts w:eastAsia="Times New Roman" w:cs="Times New Roman"/>
          <w:szCs w:val="24"/>
        </w:rPr>
        <w:t xml:space="preserve">, at para. 52). However, s. 9 of the </w:t>
      </w:r>
      <w:r w:rsidRPr="0070034E">
        <w:rPr>
          <w:rFonts w:eastAsia="Times New Roman" w:cs="Times New Roman"/>
          <w:i/>
          <w:iCs/>
          <w:szCs w:val="24"/>
        </w:rPr>
        <w:t>Child Support Guidelines</w:t>
      </w:r>
      <w:r w:rsidRPr="0070034E">
        <w:rPr>
          <w:rFonts w:eastAsia="Times New Roman" w:cs="Times New Roman"/>
          <w:szCs w:val="24"/>
        </w:rPr>
        <w:t xml:space="preserve"> provides that if each spouse exercises at least 40 percent of parenting time with a child over the course of a year, the amount of the child support order must be determined by taking into account: (a) the amounts set out in the applicable tables for each of the spouses; (b) the increased costs of shared parenting time arrangements; and (c) the conditions, means, needs and other circumstances of each spouse and of any child for whom support is sought.</w:t>
      </w:r>
    </w:p>
    <w:p w14:paraId="3BBFCD07"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Once it is established that a payer parent exercises 40 percent or more of annual parenting time, a court may consider the payer parent’s direct spending on the child under s. 9(b). Section 9(b) “recognizes that the </w:t>
      </w:r>
      <w:r w:rsidRPr="0070034E">
        <w:rPr>
          <w:rFonts w:eastAsia="Times New Roman" w:cs="Times New Roman"/>
          <w:i/>
          <w:iCs/>
          <w:szCs w:val="24"/>
        </w:rPr>
        <w:t>total cost</w:t>
      </w:r>
      <w:r w:rsidRPr="0070034E">
        <w:rPr>
          <w:rFonts w:eastAsia="Times New Roman" w:cs="Times New Roman"/>
          <w:szCs w:val="24"/>
        </w:rPr>
        <w:t xml:space="preserve"> of raising children in shared custody situations may be greater than in situations where there is sole custody” (</w:t>
      </w:r>
      <w:proofErr w:type="spellStart"/>
      <w:r w:rsidRPr="0070034E">
        <w:rPr>
          <w:rFonts w:eastAsia="Times New Roman" w:cs="Times New Roman"/>
          <w:i/>
          <w:iCs/>
          <w:szCs w:val="24"/>
        </w:rPr>
        <w:t>Contino</w:t>
      </w:r>
      <w:proofErr w:type="spellEnd"/>
      <w:r w:rsidRPr="0070034E">
        <w:rPr>
          <w:rFonts w:eastAsia="Times New Roman" w:cs="Times New Roman"/>
          <w:szCs w:val="24"/>
        </w:rPr>
        <w:t>, at para. 52 (emphasis in original)). It requires courts “to examine the budgets and actual child care expenses of each parent. These expenses will be apportioned between the parents in accordance with their respective incomes” (para. 53).</w:t>
      </w:r>
    </w:p>
    <w:p w14:paraId="48295E8F"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Mr. Auer submits that it is unreasonable for the table amounts to assume that payer parents do not spend directly on their children in addition to making support payments. In his view, failing to recognize that payer parents may spend directly on their children when they exercise between 0 and 39 percent of annual parenting time violates the principle under s. 26.1(2) of the </w:t>
      </w:r>
      <w:r w:rsidRPr="0070034E">
        <w:rPr>
          <w:rFonts w:eastAsia="Times New Roman" w:cs="Times New Roman"/>
          <w:i/>
          <w:iCs/>
          <w:szCs w:val="24"/>
        </w:rPr>
        <w:t xml:space="preserve">Divorce Act </w:t>
      </w:r>
      <w:r w:rsidRPr="0070034E">
        <w:rPr>
          <w:rFonts w:eastAsia="Times New Roman" w:cs="Times New Roman"/>
          <w:szCs w:val="24"/>
        </w:rPr>
        <w:t xml:space="preserve">that spouses have a joint financial obligation to maintain the children of the marriage in accordance with their relative abilities. He submits that the </w:t>
      </w:r>
      <w:r w:rsidRPr="0070034E">
        <w:rPr>
          <w:rFonts w:eastAsia="Times New Roman" w:cs="Times New Roman"/>
          <w:i/>
          <w:iCs/>
          <w:szCs w:val="24"/>
        </w:rPr>
        <w:t xml:space="preserve">Child Support Guidelines </w:t>
      </w:r>
      <w:r w:rsidRPr="0070034E">
        <w:rPr>
          <w:rFonts w:eastAsia="Times New Roman" w:cs="Times New Roman"/>
          <w:szCs w:val="24"/>
        </w:rPr>
        <w:t xml:space="preserve">are </w:t>
      </w:r>
      <w:r w:rsidRPr="0070034E">
        <w:rPr>
          <w:rFonts w:eastAsia="Times New Roman" w:cs="Times New Roman"/>
          <w:i/>
          <w:iCs/>
          <w:szCs w:val="24"/>
        </w:rPr>
        <w:t xml:space="preserve">ultra vires </w:t>
      </w:r>
      <w:r w:rsidRPr="0070034E">
        <w:rPr>
          <w:rFonts w:eastAsia="Times New Roman" w:cs="Times New Roman"/>
          <w:szCs w:val="24"/>
        </w:rPr>
        <w:t>on this basis.</w:t>
      </w:r>
    </w:p>
    <w:p w14:paraId="761D65B1"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GIC is authorized under s. 26.1(1) of the </w:t>
      </w:r>
      <w:r w:rsidRPr="0070034E">
        <w:rPr>
          <w:rFonts w:eastAsia="Times New Roman" w:cs="Times New Roman"/>
          <w:i/>
          <w:iCs/>
          <w:szCs w:val="24"/>
        </w:rPr>
        <w:t xml:space="preserve">Divorce Act </w:t>
      </w:r>
      <w:r w:rsidRPr="0070034E">
        <w:rPr>
          <w:rFonts w:eastAsia="Times New Roman" w:cs="Times New Roman"/>
          <w:szCs w:val="24"/>
        </w:rPr>
        <w:t>to establish guidelines “respecting the way in which the amount of an order for child support is to be determined” and “respecting the circumstances in which discretion may be exercised in the making of an order for child support”. In my view, this authority permits the GIC to allow courts to consider payer parents’ direct spending on their children only when the payer parent exercises at least 40 percent of annual parenting time. Section 26.1(2) states only that parents have a “joint financial obligation” to maintain their children in accordance with their relative abilities to contribute. It does not require that each parent make an equal financial contribution to child</w:t>
      </w:r>
      <w:r w:rsidRPr="0070034E">
        <w:rPr>
          <w:rFonts w:eastAsia="Times New Roman" w:cs="Times New Roman"/>
          <w:szCs w:val="24"/>
        </w:rPr>
        <w:noBreakHyphen/>
        <w:t>related costs. Thus, the principle in s. 26.1(2) is not violated even if setting the threshold for considering payer parents’ direct spending on their children at 40 percent of annual parenting time results in some payer parents paying more than half of the child</w:t>
      </w:r>
      <w:r w:rsidRPr="0070034E">
        <w:rPr>
          <w:rFonts w:eastAsia="Times New Roman" w:cs="Times New Roman"/>
          <w:szCs w:val="24"/>
        </w:rPr>
        <w:noBreakHyphen/>
        <w:t>related costs.</w:t>
      </w:r>
    </w:p>
    <w:p w14:paraId="60D33E05"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I do not mean to suggest that payer parents </w:t>
      </w:r>
      <w:proofErr w:type="spellStart"/>
      <w:r w:rsidRPr="0070034E">
        <w:rPr>
          <w:rFonts w:eastAsia="Times New Roman" w:cs="Times New Roman"/>
          <w:szCs w:val="24"/>
        </w:rPr>
        <w:t>overcontribute</w:t>
      </w:r>
      <w:proofErr w:type="spellEnd"/>
      <w:r w:rsidRPr="0070034E">
        <w:rPr>
          <w:rFonts w:eastAsia="Times New Roman" w:cs="Times New Roman"/>
          <w:szCs w:val="24"/>
        </w:rPr>
        <w:t>. However, it is important to keep in mind, as counsel for Ms. Auer explained during the hearing, that recipient parents bear many financial responsibilities that are an inherent part of providing primary care for a child (transcript, at pp. 45</w:t>
      </w:r>
      <w:r w:rsidRPr="0070034E">
        <w:rPr>
          <w:rFonts w:eastAsia="Times New Roman" w:cs="Times New Roman"/>
          <w:szCs w:val="24"/>
        </w:rPr>
        <w:noBreakHyphen/>
        <w:t>47). Because the child lives primarily with the recipient parent, the payer parent may not always share in these responsibilities.</w:t>
      </w:r>
    </w:p>
    <w:p w14:paraId="22FF3670"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Furthermore, s. 10(1) of the </w:t>
      </w:r>
      <w:r w:rsidRPr="0070034E">
        <w:rPr>
          <w:rFonts w:eastAsia="Times New Roman" w:cs="Times New Roman"/>
          <w:i/>
          <w:iCs/>
          <w:szCs w:val="24"/>
        </w:rPr>
        <w:t xml:space="preserve">Child Support Guidelines </w:t>
      </w:r>
      <w:r w:rsidRPr="0070034E">
        <w:rPr>
          <w:rFonts w:eastAsia="Times New Roman" w:cs="Times New Roman"/>
          <w:szCs w:val="24"/>
        </w:rPr>
        <w:t>provides that a court may, on either spouse’s application, award an amount of child support that is different from the amount determined under ss. 3 to 5, 8 or 9 if the court finds that the spouse making the request would otherwise suffer undue hardship. Section 10(2) sets out circumstances that may cause a spouse to suffer undue hardship. One such circumstance is that “the spouse has unusually high expenses in relation to exercising parenting time with a child”. Courts therefore retain the discretion to ensure that payer parents contribute to child</w:t>
      </w:r>
      <w:r w:rsidRPr="0070034E">
        <w:rPr>
          <w:rFonts w:eastAsia="Times New Roman" w:cs="Times New Roman"/>
          <w:szCs w:val="24"/>
        </w:rPr>
        <w:noBreakHyphen/>
        <w:t>related costs in accordance with their ability to do so without suffering undue hardship, including as a result of having unusually high expenses in relation to exercising parenting time.</w:t>
      </w:r>
    </w:p>
    <w:p w14:paraId="33D81A64" w14:textId="77777777" w:rsidR="00DB7512" w:rsidRPr="0070034E" w:rsidRDefault="00DB7512" w:rsidP="00DB7512">
      <w:pPr>
        <w:pStyle w:val="ParaNoNdepar-AltN"/>
        <w:rPr>
          <w:rFonts w:cs="Times New Roman"/>
        </w:rPr>
      </w:pPr>
      <w:r w:rsidRPr="0070034E">
        <w:rPr>
          <w:rFonts w:eastAsia="Times New Roman" w:cs="Times New Roman"/>
          <w:szCs w:val="24"/>
        </w:rPr>
        <w:t xml:space="preserve">Interpreting the enabling statute as authorizing the making of guidelines which set the threshold percentage for when a court may consider the increased costs of shared parenting time arrangements is reasonable, as it falls squarely within the GIC’s broad grant of authority and Mr. Auer has not demonstrated that it violates the principle in s. 26.1(2). As mentioned, whether the GIC’s decision was “necessary, wise, or effective in practice” is irrelevant in the context of a </w:t>
      </w:r>
      <w:r w:rsidRPr="0070034E">
        <w:rPr>
          <w:rFonts w:eastAsia="Times New Roman" w:cs="Times New Roman"/>
          <w:i/>
          <w:iCs/>
          <w:szCs w:val="24"/>
        </w:rPr>
        <w:t xml:space="preserve">vires </w:t>
      </w:r>
      <w:r w:rsidRPr="0070034E">
        <w:rPr>
          <w:rFonts w:eastAsia="Times New Roman" w:cs="Times New Roman"/>
          <w:szCs w:val="24"/>
        </w:rPr>
        <w:t>review</w:t>
      </w:r>
      <w:r w:rsidRPr="0070034E">
        <w:rPr>
          <w:rFonts w:eastAsia="Times New Roman" w:cs="Times New Roman"/>
          <w:i/>
          <w:iCs/>
          <w:szCs w:val="24"/>
        </w:rPr>
        <w:t xml:space="preserve"> </w:t>
      </w:r>
      <w:r w:rsidRPr="0070034E">
        <w:rPr>
          <w:rFonts w:eastAsia="Times New Roman" w:cs="Times New Roman"/>
          <w:szCs w:val="24"/>
        </w:rPr>
        <w:t>(</w:t>
      </w:r>
      <w:r w:rsidRPr="0070034E">
        <w:rPr>
          <w:rFonts w:eastAsia="Times New Roman" w:cs="Times New Roman"/>
          <w:i/>
          <w:iCs/>
          <w:szCs w:val="24"/>
        </w:rPr>
        <w:t>Katz Group</w:t>
      </w:r>
      <w:r w:rsidRPr="0070034E">
        <w:rPr>
          <w:rFonts w:eastAsia="Times New Roman" w:cs="Times New Roman"/>
          <w:szCs w:val="24"/>
        </w:rPr>
        <w:t>, at para. 27</w:t>
      </w:r>
      <w:r w:rsidRPr="0070034E">
        <w:rPr>
          <w:rFonts w:cs="Times New Roman"/>
          <w:szCs w:val="24"/>
        </w:rPr>
        <w:t xml:space="preserve">, citing </w:t>
      </w:r>
      <w:proofErr w:type="spellStart"/>
      <w:r w:rsidRPr="0070034E">
        <w:rPr>
          <w:rFonts w:cs="Times New Roman"/>
          <w:i/>
          <w:iCs/>
          <w:szCs w:val="24"/>
        </w:rPr>
        <w:t>Jafari</w:t>
      </w:r>
      <w:proofErr w:type="spellEnd"/>
      <w:r w:rsidRPr="0070034E">
        <w:rPr>
          <w:rFonts w:cs="Times New Roman"/>
          <w:szCs w:val="24"/>
        </w:rPr>
        <w:t>, at p. 604</w:t>
      </w:r>
      <w:r w:rsidRPr="0070034E">
        <w:rPr>
          <w:rFonts w:eastAsia="Times New Roman" w:cs="Times New Roman"/>
          <w:szCs w:val="24"/>
        </w:rPr>
        <w:t>)</w:t>
      </w:r>
      <w:r w:rsidRPr="0070034E">
        <w:rPr>
          <w:rFonts w:eastAsia="Times New Roman" w:cs="Times New Roman"/>
          <w:iCs/>
          <w:szCs w:val="24"/>
        </w:rPr>
        <w:t>.</w:t>
      </w:r>
    </w:p>
    <w:p w14:paraId="04792E8C" w14:textId="77777777" w:rsidR="00DB7512" w:rsidRPr="0070034E" w:rsidRDefault="00DB7512" w:rsidP="00DB7512">
      <w:pPr>
        <w:pStyle w:val="Title3LevelTitre3Niveau"/>
        <w:rPr>
          <w:rFonts w:eastAsia="Times New Roman" w:cs="Times New Roman"/>
          <w:szCs w:val="24"/>
        </w:rPr>
      </w:pPr>
      <w:bookmarkStart w:id="30" w:name="_Toc172041750"/>
      <w:r w:rsidRPr="0070034E">
        <w:rPr>
          <w:rFonts w:cs="Times New Roman"/>
        </w:rPr>
        <w:t>The GIC Was Authorized To Establish a Separate Category of Special or Extraordinary Expenses</w:t>
      </w:r>
      <w:bookmarkEnd w:id="30"/>
    </w:p>
    <w:p w14:paraId="37FB5786"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Section 3(1) of the </w:t>
      </w:r>
      <w:r w:rsidRPr="0070034E">
        <w:rPr>
          <w:rFonts w:eastAsia="Times New Roman" w:cs="Times New Roman"/>
          <w:i/>
          <w:iCs/>
          <w:szCs w:val="24"/>
        </w:rPr>
        <w:t xml:space="preserve">Child Support Guidelines </w:t>
      </w:r>
      <w:r w:rsidRPr="0070034E">
        <w:rPr>
          <w:rFonts w:eastAsia="Times New Roman" w:cs="Times New Roman"/>
          <w:szCs w:val="24"/>
        </w:rPr>
        <w:t>sets out the presumptive rule regarding child support awards: unless otherwise provided, the amount of a child support order for children under the age of majority is (a) the amount set in the applicable table and (b) the amount, if any, determined under s. 7 (special or extraordinary expenses).</w:t>
      </w:r>
    </w:p>
    <w:p w14:paraId="40597F07"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Mr. Auer submits that adding s. 7 expenses to the table amounts in accordance with the presumptive rule results in the “double counting” of child expenses for which the payer parent is responsible because “[a]</w:t>
      </w:r>
      <w:proofErr w:type="spellStart"/>
      <w:r w:rsidRPr="0070034E">
        <w:rPr>
          <w:rFonts w:eastAsia="Times New Roman" w:cs="Times New Roman"/>
          <w:szCs w:val="24"/>
        </w:rPr>
        <w:t>ll</w:t>
      </w:r>
      <w:proofErr w:type="spellEnd"/>
      <w:r w:rsidRPr="0070034E">
        <w:rPr>
          <w:rFonts w:eastAsia="Times New Roman" w:cs="Times New Roman"/>
          <w:szCs w:val="24"/>
        </w:rPr>
        <w:t xml:space="preserve"> conceivable average costs are reflected in the table amount” (A.F., at paras. 121 and 128). He adds that the scale chosen by the GIC to calculate the table amounts “produced high child cost estimates and, therefore, the highest child support awards” (para. 123). Thus, Mr. Auer submits that the </w:t>
      </w:r>
      <w:r w:rsidRPr="0070034E">
        <w:rPr>
          <w:rFonts w:eastAsia="Times New Roman" w:cs="Times New Roman"/>
          <w:i/>
          <w:iCs/>
          <w:szCs w:val="24"/>
        </w:rPr>
        <w:t xml:space="preserve">Child Support Guidelines </w:t>
      </w:r>
      <w:r w:rsidRPr="0070034E">
        <w:rPr>
          <w:rFonts w:eastAsia="Times New Roman" w:cs="Times New Roman"/>
          <w:szCs w:val="24"/>
        </w:rPr>
        <w:t xml:space="preserve">result in the payer parent </w:t>
      </w:r>
      <w:proofErr w:type="spellStart"/>
      <w:r w:rsidRPr="0070034E">
        <w:rPr>
          <w:rFonts w:eastAsia="Times New Roman" w:cs="Times New Roman"/>
          <w:szCs w:val="24"/>
        </w:rPr>
        <w:t>overcontributing</w:t>
      </w:r>
      <w:proofErr w:type="spellEnd"/>
      <w:r w:rsidRPr="0070034E">
        <w:rPr>
          <w:rFonts w:eastAsia="Times New Roman" w:cs="Times New Roman"/>
          <w:szCs w:val="24"/>
        </w:rPr>
        <w:t xml:space="preserve"> to child</w:t>
      </w:r>
      <w:r w:rsidRPr="0070034E">
        <w:rPr>
          <w:rFonts w:eastAsia="Times New Roman" w:cs="Times New Roman"/>
          <w:szCs w:val="24"/>
        </w:rPr>
        <w:noBreakHyphen/>
        <w:t xml:space="preserve">related costs, contrary to s. 26.1(2) of the </w:t>
      </w:r>
      <w:r w:rsidRPr="0070034E">
        <w:rPr>
          <w:rFonts w:eastAsia="Times New Roman" w:cs="Times New Roman"/>
          <w:i/>
          <w:iCs/>
          <w:szCs w:val="24"/>
        </w:rPr>
        <w:t>Divorce Act</w:t>
      </w:r>
      <w:r w:rsidRPr="0070034E">
        <w:rPr>
          <w:rFonts w:eastAsia="Times New Roman" w:cs="Times New Roman"/>
          <w:szCs w:val="24"/>
        </w:rPr>
        <w:t>.</w:t>
      </w:r>
    </w:p>
    <w:p w14:paraId="446B1718"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I reject Mr. Auer’s submission.</w:t>
      </w:r>
    </w:p>
    <w:p w14:paraId="5B61CE9B"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Mr. Auer’s submission is rooted in a purely needs</w:t>
      </w:r>
      <w:r w:rsidRPr="0070034E">
        <w:rPr>
          <w:rFonts w:eastAsia="Times New Roman" w:cs="Times New Roman"/>
          <w:szCs w:val="24"/>
        </w:rPr>
        <w:noBreakHyphen/>
        <w:t>based approach to child support. The underlying theory of a purely needs</w:t>
      </w:r>
      <w:r w:rsidRPr="0070034E">
        <w:rPr>
          <w:rFonts w:eastAsia="Times New Roman" w:cs="Times New Roman"/>
          <w:szCs w:val="24"/>
        </w:rPr>
        <w:noBreakHyphen/>
        <w:t>based regime is that “both parents should provide enough support to their children to meet their needs, and that they should share this obligation proportionate to their incomes” (</w:t>
      </w:r>
      <w:r w:rsidRPr="0070034E">
        <w:rPr>
          <w:rFonts w:eastAsia="Times New Roman" w:cs="Times New Roman"/>
          <w:i/>
          <w:iCs/>
          <w:szCs w:val="24"/>
        </w:rPr>
        <w:t>D.B.S.</w:t>
      </w:r>
      <w:r w:rsidRPr="0070034E">
        <w:rPr>
          <w:rFonts w:eastAsia="Times New Roman" w:cs="Times New Roman"/>
          <w:szCs w:val="24"/>
        </w:rPr>
        <w:t>, at para. 45). A purely needs</w:t>
      </w:r>
      <w:r w:rsidRPr="0070034E">
        <w:rPr>
          <w:rFonts w:eastAsia="Times New Roman" w:cs="Times New Roman"/>
          <w:szCs w:val="24"/>
        </w:rPr>
        <w:noBreakHyphen/>
        <w:t>based approach begins by calculating the child</w:t>
      </w:r>
      <w:r w:rsidRPr="0070034E">
        <w:rPr>
          <w:rFonts w:eastAsia="Times New Roman" w:cs="Times New Roman"/>
          <w:szCs w:val="24"/>
        </w:rPr>
        <w:noBreakHyphen/>
        <w:t>related costs. It then apportions those costs between the parents. If the amount of child support were to be determined solely on the basis of the child’s needs, it would be problematic for the presumptive rule to result in the “double counting” of certain special or extraordinary expenses.</w:t>
      </w:r>
    </w:p>
    <w:p w14:paraId="523FF6CF" w14:textId="77777777" w:rsidR="00DB7512" w:rsidRPr="0070034E" w:rsidRDefault="00DB7512" w:rsidP="00DB7512">
      <w:pPr>
        <w:pStyle w:val="ParaNoNdepar-AltN"/>
        <w:rPr>
          <w:rFonts w:cs="Times New Roman"/>
        </w:rPr>
      </w:pPr>
      <w:r w:rsidRPr="0070034E">
        <w:rPr>
          <w:rFonts w:eastAsia="Times New Roman" w:cs="Times New Roman"/>
          <w:szCs w:val="24"/>
        </w:rPr>
        <w:t xml:space="preserve">However, the </w:t>
      </w:r>
      <w:r w:rsidRPr="0070034E">
        <w:rPr>
          <w:rFonts w:eastAsia="Times New Roman" w:cs="Times New Roman"/>
          <w:i/>
          <w:iCs/>
          <w:szCs w:val="24"/>
        </w:rPr>
        <w:t xml:space="preserve">Child Support Guidelines </w:t>
      </w:r>
      <w:r w:rsidRPr="0070034E">
        <w:rPr>
          <w:rFonts w:eastAsia="Times New Roman" w:cs="Times New Roman"/>
          <w:szCs w:val="24"/>
        </w:rPr>
        <w:t>have eschewed a purely needs</w:t>
      </w:r>
      <w:r w:rsidRPr="0070034E">
        <w:rPr>
          <w:rFonts w:eastAsia="Times New Roman" w:cs="Times New Roman"/>
          <w:szCs w:val="24"/>
        </w:rPr>
        <w:noBreakHyphen/>
        <w:t>based approach to child support (</w:t>
      </w:r>
      <w:r w:rsidRPr="0070034E">
        <w:rPr>
          <w:rFonts w:eastAsia="Times New Roman" w:cs="Times New Roman"/>
          <w:i/>
          <w:iCs/>
          <w:szCs w:val="24"/>
        </w:rPr>
        <w:t>D.B.S.</w:t>
      </w:r>
      <w:r w:rsidRPr="0070034E">
        <w:rPr>
          <w:rFonts w:eastAsia="Times New Roman" w:cs="Times New Roman"/>
          <w:szCs w:val="24"/>
        </w:rPr>
        <w:t xml:space="preserve">, at para. 54). The </w:t>
      </w:r>
      <w:r w:rsidRPr="0070034E">
        <w:rPr>
          <w:rFonts w:eastAsia="Times New Roman" w:cs="Times New Roman"/>
          <w:i/>
          <w:iCs/>
          <w:szCs w:val="24"/>
        </w:rPr>
        <w:t xml:space="preserve">Child Support Guidelines </w:t>
      </w:r>
      <w:r w:rsidRPr="0070034E">
        <w:rPr>
          <w:rFonts w:eastAsia="Times New Roman" w:cs="Times New Roman"/>
          <w:szCs w:val="24"/>
        </w:rPr>
        <w:t>seek to ensure that the child benefits as much as possible from the income of both parents, in accordance with their relative abilities to contribute. Support awards recognize that the child benefitted from the standard of living of the payer parent pre</w:t>
      </w:r>
      <w:r w:rsidRPr="0070034E">
        <w:rPr>
          <w:rFonts w:eastAsia="Times New Roman" w:cs="Times New Roman"/>
          <w:szCs w:val="24"/>
        </w:rPr>
        <w:noBreakHyphen/>
        <w:t>separation and should continue to retain this benefit post</w:t>
      </w:r>
      <w:r w:rsidRPr="0070034E">
        <w:rPr>
          <w:rFonts w:eastAsia="Times New Roman" w:cs="Times New Roman"/>
          <w:szCs w:val="24"/>
        </w:rPr>
        <w:noBreakHyphen/>
        <w:t>separation (Committee, at p. ii; R. Finnie, C. </w:t>
      </w:r>
      <w:proofErr w:type="spellStart"/>
      <w:r w:rsidRPr="0070034E">
        <w:rPr>
          <w:rFonts w:eastAsia="Times New Roman" w:cs="Times New Roman"/>
          <w:szCs w:val="24"/>
        </w:rPr>
        <w:t>Giliberti</w:t>
      </w:r>
      <w:proofErr w:type="spellEnd"/>
      <w:r w:rsidRPr="0070034E">
        <w:rPr>
          <w:rFonts w:eastAsia="Times New Roman" w:cs="Times New Roman"/>
          <w:szCs w:val="24"/>
        </w:rPr>
        <w:t xml:space="preserve"> and D. </w:t>
      </w:r>
      <w:proofErr w:type="spellStart"/>
      <w:r w:rsidRPr="0070034E">
        <w:rPr>
          <w:rFonts w:eastAsia="Times New Roman" w:cs="Times New Roman"/>
          <w:szCs w:val="24"/>
        </w:rPr>
        <w:t>Stripinis</w:t>
      </w:r>
      <w:proofErr w:type="spellEnd"/>
      <w:r w:rsidRPr="0070034E">
        <w:rPr>
          <w:rFonts w:eastAsia="Times New Roman" w:cs="Times New Roman"/>
          <w:szCs w:val="24"/>
        </w:rPr>
        <w:t xml:space="preserve">, </w:t>
      </w:r>
      <w:r w:rsidRPr="0070034E">
        <w:rPr>
          <w:rFonts w:eastAsia="Times New Roman" w:cs="Times New Roman"/>
          <w:i/>
          <w:szCs w:val="24"/>
        </w:rPr>
        <w:t>An Overview of the Research Program to Develop a Canadian Child Support Formula</w:t>
      </w:r>
      <w:r w:rsidRPr="0070034E">
        <w:rPr>
          <w:rFonts w:eastAsia="Times New Roman" w:cs="Times New Roman"/>
          <w:szCs w:val="24"/>
        </w:rPr>
        <w:t xml:space="preserve"> (1995), at p. 28). As the DOJ Report explains at p. 1:</w:t>
      </w:r>
    </w:p>
    <w:p w14:paraId="7AEC4F9E" w14:textId="77777777" w:rsidR="00DB7512" w:rsidRPr="0070034E" w:rsidRDefault="00DB7512" w:rsidP="00DB7512">
      <w:pPr>
        <w:pStyle w:val="Citation-AltC"/>
      </w:pPr>
      <w:r w:rsidRPr="0070034E">
        <w:t>The concept of “cost of raising children” is an illusory theoretical construct. Spending on children is not fixed; it changes as the income of either parent changes. Families with higher incomes spend more on their children than do families of lower income. In the post separation arrangement, the Federal Child Support Guidelines aim to approximate, as closely as possible, the spending on the children that occurred in the pre</w:t>
      </w:r>
      <w:r w:rsidRPr="0070034E">
        <w:noBreakHyphen/>
        <w:t>separation family.</w:t>
      </w:r>
    </w:p>
    <w:p w14:paraId="56B75A3B"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In short, the </w:t>
      </w:r>
      <w:r w:rsidRPr="0070034E">
        <w:rPr>
          <w:rFonts w:eastAsia="Times New Roman" w:cs="Times New Roman"/>
          <w:i/>
          <w:iCs/>
          <w:szCs w:val="24"/>
        </w:rPr>
        <w:t xml:space="preserve">Child Support Guidelines </w:t>
      </w:r>
      <w:r w:rsidRPr="0070034E">
        <w:rPr>
          <w:rFonts w:eastAsia="Times New Roman" w:cs="Times New Roman"/>
          <w:szCs w:val="24"/>
        </w:rPr>
        <w:t>begin with the payer parent’s income and determine the amount of support that that parent must pay to ensure that the child continues to benefit from their income post</w:t>
      </w:r>
      <w:r w:rsidRPr="0070034E">
        <w:rPr>
          <w:rFonts w:eastAsia="Times New Roman" w:cs="Times New Roman"/>
          <w:szCs w:val="24"/>
        </w:rPr>
        <w:noBreakHyphen/>
        <w:t xml:space="preserve">separation. The </w:t>
      </w:r>
      <w:r w:rsidRPr="0070034E">
        <w:rPr>
          <w:rFonts w:eastAsia="Times New Roman" w:cs="Times New Roman"/>
          <w:i/>
          <w:iCs/>
          <w:szCs w:val="24"/>
        </w:rPr>
        <w:t xml:space="preserve">Child Support Guidelines </w:t>
      </w:r>
      <w:r w:rsidRPr="0070034E">
        <w:rPr>
          <w:rFonts w:eastAsia="Times New Roman" w:cs="Times New Roman"/>
          <w:szCs w:val="24"/>
        </w:rPr>
        <w:t xml:space="preserve">do not determine the child’s costs up front and then ask the payer parent to cover a portion of them. It is assumed that “any financial </w:t>
      </w:r>
      <w:r w:rsidRPr="0070034E">
        <w:rPr>
          <w:rFonts w:cs="Times New Roman"/>
        </w:rPr>
        <w:t>contribution</w:t>
      </w:r>
      <w:r w:rsidRPr="0070034E">
        <w:rPr>
          <w:rFonts w:eastAsia="Times New Roman" w:cs="Times New Roman"/>
          <w:szCs w:val="24"/>
        </w:rPr>
        <w:t xml:space="preserve"> from the [payer] parent will typically be used to improve the child’s circumstances” (Payne and Payne, at p. 7).</w:t>
      </w:r>
    </w:p>
    <w:p w14:paraId="530D70C2" w14:textId="77777777" w:rsidR="00DB7512" w:rsidRPr="0070034E" w:rsidRDefault="00DB7512" w:rsidP="00DB7512">
      <w:pPr>
        <w:pStyle w:val="ParaNoNdepar-AltN"/>
        <w:rPr>
          <w:rFonts w:cs="Times New Roman"/>
        </w:rPr>
      </w:pPr>
      <w:r w:rsidRPr="0070034E">
        <w:rPr>
          <w:rFonts w:eastAsia="Times New Roman" w:cs="Times New Roman"/>
          <w:szCs w:val="24"/>
        </w:rPr>
        <w:t>The parent applying for s. 7 expenses must demonstrate that the expenses are necessary in relation to the child’s best interests and are reasonable in relation to the means of the spouses and the child as well as the family’s spending pattern prior to the separation. Where the recipient parent has applied for s. 7 expenses, the payer parent may challenge the necessity or reasonableness of those expenses. A payer parent could argue that the alleged s. 7 expenses are already covered by the table amount. However, it is ultimately up to the court to determine whether the applying parent has established that the s. 7 expenses they seek are necessary and reasonable.</w:t>
      </w:r>
    </w:p>
    <w:p w14:paraId="45ABAED3"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GIC’s broad authority under s. 26.1(1) of the </w:t>
      </w:r>
      <w:r w:rsidRPr="0070034E">
        <w:rPr>
          <w:rFonts w:eastAsia="Times New Roman" w:cs="Times New Roman"/>
          <w:i/>
          <w:iCs/>
          <w:szCs w:val="24"/>
        </w:rPr>
        <w:t xml:space="preserve">Divorce Act </w:t>
      </w:r>
      <w:r w:rsidRPr="0070034E">
        <w:rPr>
          <w:rFonts w:eastAsia="Times New Roman" w:cs="Times New Roman"/>
          <w:szCs w:val="24"/>
        </w:rPr>
        <w:t>to establish guidelines “respecting the way in which the amount of an order for child support is to be determined” clearly entitled the GIC to adopt</w:t>
      </w:r>
      <w:r w:rsidRPr="0070034E">
        <w:rPr>
          <w:rFonts w:eastAsia="Times New Roman" w:cs="Times New Roman"/>
          <w:i/>
          <w:iCs/>
          <w:szCs w:val="24"/>
        </w:rPr>
        <w:t xml:space="preserve"> </w:t>
      </w:r>
      <w:r w:rsidRPr="0070034E">
        <w:rPr>
          <w:rFonts w:eastAsia="Times New Roman" w:cs="Times New Roman"/>
          <w:szCs w:val="24"/>
        </w:rPr>
        <w:t>guidelines that do not focus purely on the child’s needs but instead seek to ensure that the child continues to benefit from the payer parent’s income in accordance with that parent’s ability to contribute. Further, the GIC’s authority to establish guidelines “respecting the circumstances in which discretion may be exercised in the making of an order for child support” entitled the GIC to grant courts the discretion to determine whether to include certain special or extraordinary expenses in a child support award.</w:t>
      </w:r>
    </w:p>
    <w:p w14:paraId="665EA127"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Thus, contrary to Mr. Auer’s assertion, it is not problematic if there is some overlap between the expenses contemplated in the table amounts and “special or extraordinary” expenses under s. 7. The child continues to benefit from the payer parent’s income in accordance with that parent’s ability to contribute. Mr. Auer has not demonstrated that the potential for “double counting” s. 7 expenses arises from an unreasonable interpretation of the authority granted to the GIC in light of the relevant constraints, and has not met the burden of proving that the </w:t>
      </w:r>
      <w:r w:rsidRPr="0070034E">
        <w:rPr>
          <w:rFonts w:eastAsia="Times New Roman" w:cs="Times New Roman"/>
          <w:i/>
          <w:iCs/>
          <w:szCs w:val="24"/>
        </w:rPr>
        <w:t xml:space="preserve">Child Support Guidelines </w:t>
      </w:r>
      <w:r w:rsidRPr="0070034E">
        <w:rPr>
          <w:rFonts w:eastAsia="Times New Roman" w:cs="Times New Roman"/>
          <w:szCs w:val="24"/>
        </w:rPr>
        <w:t xml:space="preserve">are </w:t>
      </w:r>
      <w:r w:rsidRPr="0070034E">
        <w:rPr>
          <w:rFonts w:eastAsia="Times New Roman" w:cs="Times New Roman"/>
          <w:i/>
          <w:iCs/>
          <w:szCs w:val="24"/>
        </w:rPr>
        <w:t>ultra vires</w:t>
      </w:r>
      <w:r w:rsidRPr="0070034E">
        <w:rPr>
          <w:rFonts w:eastAsia="Times New Roman" w:cs="Times New Roman"/>
          <w:szCs w:val="24"/>
        </w:rPr>
        <w:t>.</w:t>
      </w:r>
    </w:p>
    <w:p w14:paraId="57594077" w14:textId="77777777" w:rsidR="00DB7512" w:rsidRPr="0070034E" w:rsidRDefault="00DB7512" w:rsidP="00DB7512">
      <w:pPr>
        <w:pStyle w:val="Title1LevelTitre1Niveau-AltL"/>
        <w:rPr>
          <w:rFonts w:eastAsia="Times New Roman" w:cs="Times New Roman"/>
          <w:szCs w:val="24"/>
        </w:rPr>
      </w:pPr>
      <w:bookmarkStart w:id="31" w:name="_Toc172041751"/>
      <w:r w:rsidRPr="0070034E">
        <w:rPr>
          <w:rFonts w:cs="Times New Roman"/>
        </w:rPr>
        <w:t>Conclusion</w:t>
      </w:r>
      <w:bookmarkEnd w:id="31"/>
    </w:p>
    <w:p w14:paraId="160AF345"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reasonableness standard under the </w:t>
      </w:r>
      <w:r w:rsidRPr="0070034E">
        <w:rPr>
          <w:rFonts w:eastAsia="Times New Roman" w:cs="Times New Roman"/>
          <w:i/>
          <w:iCs/>
          <w:szCs w:val="24"/>
        </w:rPr>
        <w:t>Vavilov</w:t>
      </w:r>
      <w:r w:rsidRPr="0070034E">
        <w:rPr>
          <w:rFonts w:eastAsia="Times New Roman" w:cs="Times New Roman"/>
          <w:iCs/>
          <w:szCs w:val="24"/>
        </w:rPr>
        <w:t xml:space="preserve"> framework presumptively </w:t>
      </w:r>
      <w:r w:rsidRPr="0070034E">
        <w:rPr>
          <w:rFonts w:eastAsia="Times New Roman" w:cs="Times New Roman"/>
          <w:szCs w:val="24"/>
        </w:rPr>
        <w:t xml:space="preserve">applies when reviewing the </w:t>
      </w:r>
      <w:r w:rsidRPr="0070034E">
        <w:rPr>
          <w:rFonts w:eastAsia="Times New Roman" w:cs="Times New Roman"/>
          <w:i/>
          <w:iCs/>
          <w:szCs w:val="24"/>
        </w:rPr>
        <w:t xml:space="preserve">vires </w:t>
      </w:r>
      <w:r w:rsidRPr="0070034E">
        <w:rPr>
          <w:rFonts w:eastAsia="Times New Roman" w:cs="Times New Roman"/>
          <w:szCs w:val="24"/>
        </w:rPr>
        <w:t xml:space="preserve">of subordinate legislation. </w:t>
      </w:r>
      <w:r w:rsidRPr="0070034E">
        <w:rPr>
          <w:rFonts w:eastAsia="Times New Roman" w:cs="Times New Roman"/>
          <w:i/>
          <w:iCs/>
          <w:szCs w:val="24"/>
        </w:rPr>
        <w:t xml:space="preserve">Katz Group </w:t>
      </w:r>
      <w:r w:rsidRPr="0070034E">
        <w:rPr>
          <w:rFonts w:eastAsia="Times New Roman" w:cs="Times New Roman"/>
          <w:szCs w:val="24"/>
        </w:rPr>
        <w:t xml:space="preserve">continues to provide helpful guidance. However, for subordinate legislation to be </w:t>
      </w:r>
      <w:r w:rsidRPr="0070034E">
        <w:rPr>
          <w:rFonts w:eastAsia="Times New Roman" w:cs="Times New Roman"/>
          <w:i/>
          <w:iCs/>
          <w:szCs w:val="24"/>
        </w:rPr>
        <w:t xml:space="preserve">ultra vires </w:t>
      </w:r>
      <w:r w:rsidRPr="0070034E">
        <w:rPr>
          <w:rFonts w:eastAsia="Times New Roman" w:cs="Times New Roman"/>
          <w:szCs w:val="24"/>
        </w:rPr>
        <w:t xml:space="preserve">on the basis that it is inconsistent with the purpose of the enabling statute, it no longer needs to be “irrelevant”, “extraneous” or “completely unrelated” to that statutory purpose. Continuing to maintain this threshold from </w:t>
      </w:r>
      <w:r w:rsidRPr="0070034E">
        <w:rPr>
          <w:rFonts w:eastAsia="Times New Roman" w:cs="Times New Roman"/>
          <w:i/>
          <w:iCs/>
          <w:szCs w:val="24"/>
        </w:rPr>
        <w:t xml:space="preserve">Katz Group </w:t>
      </w:r>
      <w:r w:rsidRPr="0070034E">
        <w:rPr>
          <w:rFonts w:eastAsia="Times New Roman" w:cs="Times New Roman"/>
          <w:szCs w:val="24"/>
        </w:rPr>
        <w:t>would be inconsistent with robust reasonableness review</w:t>
      </w:r>
      <w:r w:rsidRPr="0070034E">
        <w:rPr>
          <w:rFonts w:eastAsia="Times New Roman" w:cs="Times New Roman"/>
          <w:i/>
          <w:iCs/>
          <w:szCs w:val="24"/>
        </w:rPr>
        <w:t xml:space="preserve"> </w:t>
      </w:r>
      <w:r w:rsidRPr="0070034E">
        <w:rPr>
          <w:rFonts w:eastAsia="Times New Roman" w:cs="Times New Roman"/>
          <w:szCs w:val="24"/>
        </w:rPr>
        <w:t xml:space="preserve">and would undermine </w:t>
      </w:r>
      <w:r w:rsidRPr="0070034E">
        <w:rPr>
          <w:rFonts w:eastAsia="Times New Roman" w:cs="Times New Roman"/>
          <w:i/>
          <w:iCs/>
          <w:szCs w:val="24"/>
        </w:rPr>
        <w:t>Vavilov</w:t>
      </w:r>
      <w:r w:rsidRPr="0070034E">
        <w:rPr>
          <w:rFonts w:eastAsia="Times New Roman" w:cs="Times New Roman"/>
          <w:szCs w:val="24"/>
        </w:rPr>
        <w:t>’s</w:t>
      </w:r>
      <w:r w:rsidRPr="0070034E">
        <w:rPr>
          <w:rFonts w:eastAsia="Times New Roman" w:cs="Times New Roman"/>
          <w:i/>
          <w:iCs/>
          <w:szCs w:val="24"/>
        </w:rPr>
        <w:t xml:space="preserve"> </w:t>
      </w:r>
      <w:r w:rsidRPr="0070034E">
        <w:rPr>
          <w:rFonts w:eastAsia="Times New Roman" w:cs="Times New Roman"/>
          <w:szCs w:val="24"/>
        </w:rPr>
        <w:t>promise of simplicity, predictability and coherence.</w:t>
      </w:r>
    </w:p>
    <w:p w14:paraId="3D234FF8"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w:t>
      </w:r>
      <w:r w:rsidRPr="0070034E">
        <w:rPr>
          <w:rFonts w:eastAsia="Times New Roman" w:cs="Times New Roman"/>
          <w:i/>
          <w:iCs/>
          <w:szCs w:val="24"/>
        </w:rPr>
        <w:t xml:space="preserve">Child Support Guidelines </w:t>
      </w:r>
      <w:r w:rsidRPr="0070034E">
        <w:rPr>
          <w:rFonts w:eastAsia="Times New Roman" w:cs="Times New Roman"/>
          <w:szCs w:val="24"/>
        </w:rPr>
        <w:t xml:space="preserve">fall reasonably within the GIC’s scope of authority under s. 26.1 of the </w:t>
      </w:r>
      <w:r w:rsidRPr="0070034E">
        <w:rPr>
          <w:rFonts w:eastAsia="Times New Roman" w:cs="Times New Roman"/>
          <w:i/>
          <w:iCs/>
          <w:szCs w:val="24"/>
        </w:rPr>
        <w:t>Divorce Act</w:t>
      </w:r>
      <w:r w:rsidRPr="0070034E">
        <w:rPr>
          <w:rFonts w:eastAsia="Times New Roman" w:cs="Times New Roman"/>
          <w:iCs/>
          <w:szCs w:val="24"/>
        </w:rPr>
        <w:t xml:space="preserve">, </w:t>
      </w:r>
      <w:r w:rsidRPr="0070034E">
        <w:rPr>
          <w:rFonts w:eastAsia="Times New Roman" w:cs="Times New Roman"/>
          <w:szCs w:val="24"/>
        </w:rPr>
        <w:t xml:space="preserve">having regard to the relevant constraints. Under s. 26.1(1), the GIC is granted extremely broad authority to establish guidelines respecting child support. Section 26.1(2) constrains this authority by requiring that the guidelines be based on the principle that spouses have a joint financial obligation to maintain the children of the marriage in accordance with their relative abilities to contribute. The </w:t>
      </w:r>
      <w:r w:rsidRPr="0070034E">
        <w:rPr>
          <w:rFonts w:eastAsia="Times New Roman" w:cs="Times New Roman"/>
          <w:i/>
          <w:iCs/>
          <w:szCs w:val="24"/>
        </w:rPr>
        <w:t xml:space="preserve">Child Support Guidelines </w:t>
      </w:r>
      <w:r w:rsidRPr="0070034E">
        <w:rPr>
          <w:rFonts w:eastAsia="Times New Roman" w:cs="Times New Roman"/>
          <w:szCs w:val="24"/>
        </w:rPr>
        <w:t>respect this constraint.</w:t>
      </w:r>
    </w:p>
    <w:p w14:paraId="0EBFB5E3"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 xml:space="preserve">The GIC was entitled to choose an approach to calculating child support that (1) does not take into account the recipient parent’s income; (2) assumes that parents spend the same linear percentage of income on their children regardless of the parents’ levels of income and the children’s ages; (3) does not take into account government child benefits paid to recipient parents; (4) does not take into account direct spending on the child by the payer parent when that parent exercises less than 40 percent of annual parenting time; and (5) risks double counting certain special or extraordinary expenses. Each of these decisions fell squarely within the scope of the authority delegated to the GIC under the </w:t>
      </w:r>
      <w:r w:rsidRPr="0070034E">
        <w:rPr>
          <w:rFonts w:eastAsia="Times New Roman" w:cs="Times New Roman"/>
          <w:i/>
          <w:iCs/>
          <w:szCs w:val="24"/>
        </w:rPr>
        <w:t>Divorce Act</w:t>
      </w:r>
      <w:r w:rsidRPr="0070034E">
        <w:rPr>
          <w:rFonts w:eastAsia="Times New Roman" w:cs="Times New Roman"/>
          <w:iCs/>
          <w:szCs w:val="24"/>
        </w:rPr>
        <w:t>.</w:t>
      </w:r>
    </w:p>
    <w:p w14:paraId="6BB1824E" w14:textId="77777777" w:rsidR="00DB7512" w:rsidRPr="0070034E" w:rsidRDefault="00DB7512" w:rsidP="00DB7512">
      <w:pPr>
        <w:pStyle w:val="ParaNoNdepar-AltN"/>
        <w:rPr>
          <w:rFonts w:eastAsia="Times New Roman" w:cs="Times New Roman"/>
          <w:szCs w:val="24"/>
        </w:rPr>
      </w:pPr>
      <w:r w:rsidRPr="0070034E">
        <w:rPr>
          <w:rFonts w:eastAsia="Times New Roman" w:cs="Times New Roman"/>
          <w:szCs w:val="24"/>
        </w:rPr>
        <w:t>The appeal is dismissed with costs to the respondent Aysel Igorevna Auer.</w:t>
      </w:r>
    </w:p>
    <w:p w14:paraId="67FCFC42" w14:textId="1AD713A0" w:rsidR="009B57B3" w:rsidRPr="0070034E" w:rsidRDefault="009B57B3" w:rsidP="00C85B92">
      <w:pPr>
        <w:pStyle w:val="SCCNormalDoubleSpacing"/>
        <w:spacing w:after="480"/>
      </w:pPr>
      <w:r w:rsidRPr="0070034E">
        <w:tab/>
      </w:r>
      <w:r w:rsidR="00656313" w:rsidRPr="0070034E">
        <w:rPr>
          <w:i/>
        </w:rPr>
        <w:t>Appeal</w:t>
      </w:r>
      <w:r w:rsidR="00E02008" w:rsidRPr="0070034E">
        <w:rPr>
          <w:szCs w:val="24"/>
        </w:rPr>
        <w:t xml:space="preserve"> </w:t>
      </w:r>
      <w:r w:rsidR="00E02008" w:rsidRPr="0070034E">
        <w:rPr>
          <w:i/>
        </w:rPr>
        <w:t>dismissed with costs.</w:t>
      </w:r>
    </w:p>
    <w:p w14:paraId="43E8348D" w14:textId="779E8744" w:rsidR="003F2943" w:rsidRPr="0070034E" w:rsidRDefault="00D91B1D" w:rsidP="00C85B92">
      <w:pPr>
        <w:pStyle w:val="SCCLawFirm"/>
        <w:spacing w:after="480"/>
      </w:pPr>
      <w:r w:rsidRPr="0070034E">
        <w:tab/>
        <w:t>Solicitor</w:t>
      </w:r>
      <w:r w:rsidR="000B1D50" w:rsidRPr="0070034E">
        <w:t>s</w:t>
      </w:r>
      <w:r w:rsidR="00C85B92" w:rsidRPr="0070034E">
        <w:t xml:space="preserve"> for the appellant: </w:t>
      </w:r>
      <w:r w:rsidRPr="0070034E">
        <w:t xml:space="preserve">Jensen </w:t>
      </w:r>
      <w:proofErr w:type="spellStart"/>
      <w:r w:rsidRPr="0070034E">
        <w:t>Shawa</w:t>
      </w:r>
      <w:proofErr w:type="spellEnd"/>
      <w:r w:rsidRPr="0070034E">
        <w:t xml:space="preserve"> Solomon </w:t>
      </w:r>
      <w:proofErr w:type="spellStart"/>
      <w:r w:rsidRPr="0070034E">
        <w:t>Duguid</w:t>
      </w:r>
      <w:proofErr w:type="spellEnd"/>
      <w:r w:rsidRPr="0070034E">
        <w:t xml:space="preserve"> Hawkes, Calgary</w:t>
      </w:r>
      <w:r w:rsidR="00C84BAE" w:rsidRPr="0070034E">
        <w:t>; Ronald Robinson</w:t>
      </w:r>
      <w:r w:rsidR="00C84BAE" w:rsidRPr="0070034E">
        <w:rPr>
          <w:rFonts w:asciiTheme="minorHAnsi" w:eastAsiaTheme="minorHAnsi" w:hAnsiTheme="minorHAnsi" w:cstheme="minorBidi"/>
          <w:i w:val="0"/>
          <w:sz w:val="22"/>
          <w:szCs w:val="22"/>
          <w:lang w:eastAsia="en-US"/>
        </w:rPr>
        <w:t xml:space="preserve"> </w:t>
      </w:r>
      <w:r w:rsidR="00C84BAE" w:rsidRPr="0070034E">
        <w:t>Barrister &amp; Solicitor, Calgary</w:t>
      </w:r>
      <w:r w:rsidR="004507D5" w:rsidRPr="0070034E">
        <w:t>; Paul Daly Law Professional Corporation, Ottawa</w:t>
      </w:r>
      <w:r w:rsidRPr="0070034E">
        <w:t>.</w:t>
      </w:r>
    </w:p>
    <w:p w14:paraId="0F5263FC" w14:textId="14D62E0F" w:rsidR="003F2943" w:rsidRPr="0070034E" w:rsidRDefault="00D91B1D" w:rsidP="00C85B92">
      <w:pPr>
        <w:pStyle w:val="SCCLawFirm"/>
        <w:spacing w:after="480"/>
      </w:pPr>
      <w:r w:rsidRPr="0070034E">
        <w:tab/>
        <w:t>Solicitor</w:t>
      </w:r>
      <w:r w:rsidR="000B1D50" w:rsidRPr="0070034E">
        <w:t>s</w:t>
      </w:r>
      <w:r w:rsidRPr="0070034E">
        <w:t xml:space="preserve"> for the respondent</w:t>
      </w:r>
      <w:r w:rsidR="000B1D50" w:rsidRPr="0070034E">
        <w:t xml:space="preserve"> Aysel Igorevna Auer</w:t>
      </w:r>
      <w:r w:rsidR="00C85B92" w:rsidRPr="0070034E">
        <w:t>: </w:t>
      </w:r>
      <w:r w:rsidRPr="0070034E">
        <w:t xml:space="preserve">Huizinga Di </w:t>
      </w:r>
      <w:proofErr w:type="spellStart"/>
      <w:r w:rsidRPr="0070034E">
        <w:t>Toppa</w:t>
      </w:r>
      <w:proofErr w:type="spellEnd"/>
      <w:r w:rsidRPr="0070034E">
        <w:t xml:space="preserve"> Coles &amp; Layton, Edmonton.</w:t>
      </w:r>
    </w:p>
    <w:p w14:paraId="33889A32" w14:textId="58D71CB9" w:rsidR="003F2943" w:rsidRPr="0070034E" w:rsidRDefault="000B1D50" w:rsidP="00C85B92">
      <w:pPr>
        <w:pStyle w:val="SCCLawFirm"/>
        <w:spacing w:after="480"/>
      </w:pPr>
      <w:r w:rsidRPr="0070034E">
        <w:tab/>
        <w:t xml:space="preserve">Solicitor </w:t>
      </w:r>
      <w:r w:rsidR="00D91B1D" w:rsidRPr="0070034E">
        <w:t>for the respondent</w:t>
      </w:r>
      <w:r w:rsidRPr="0070034E">
        <w:t xml:space="preserve"> the Attorney General of Canada</w:t>
      </w:r>
      <w:r w:rsidR="00C85B92" w:rsidRPr="0070034E">
        <w:t>: </w:t>
      </w:r>
      <w:r w:rsidR="00D91B1D" w:rsidRPr="0070034E">
        <w:t>Attorney General of Canada</w:t>
      </w:r>
      <w:r w:rsidR="004507D5" w:rsidRPr="0070034E">
        <w:t xml:space="preserve">, Department of Justice, National Litigation </w:t>
      </w:r>
      <w:r w:rsidR="006B3149" w:rsidRPr="0070034E">
        <w:t xml:space="preserve">Sector </w:t>
      </w:r>
      <w:r w:rsidR="004507D5" w:rsidRPr="0070034E">
        <w:t>— Ontario Regional Office</w:t>
      </w:r>
      <w:r w:rsidR="00D91B1D" w:rsidRPr="0070034E">
        <w:t>, Toronto</w:t>
      </w:r>
      <w:r w:rsidR="00D56539" w:rsidRPr="0070034E">
        <w:t xml:space="preserve">; Attorney General of Canada, Department of Justice, National Litigation </w:t>
      </w:r>
      <w:r w:rsidR="006B3149" w:rsidRPr="0070034E">
        <w:t>Sector</w:t>
      </w:r>
      <w:r w:rsidR="00D56539" w:rsidRPr="0070034E">
        <w:t xml:space="preserve"> — Prairie Regional Office, Edmonton</w:t>
      </w:r>
      <w:r w:rsidR="00D91B1D" w:rsidRPr="0070034E">
        <w:t>.</w:t>
      </w:r>
    </w:p>
    <w:p w14:paraId="2A7FB08A" w14:textId="7623EC40" w:rsidR="002E4C40" w:rsidRPr="0070034E" w:rsidRDefault="002E4C40" w:rsidP="00C85B92">
      <w:pPr>
        <w:pStyle w:val="SCCLawFirm"/>
        <w:spacing w:after="480"/>
      </w:pPr>
      <w:r w:rsidRPr="0070034E">
        <w:tab/>
        <w:t>Solicitor for the intervener t</w:t>
      </w:r>
      <w:r w:rsidR="00C85B92" w:rsidRPr="0070034E">
        <w:t>he Attorney General of Ontario: </w:t>
      </w:r>
      <w:r w:rsidR="00A80C15" w:rsidRPr="0070034E">
        <w:t xml:space="preserve">Ministry of the Attorney General, Crown Law Office — Civil, </w:t>
      </w:r>
      <w:r w:rsidRPr="0070034E">
        <w:t>Toronto.</w:t>
      </w:r>
    </w:p>
    <w:p w14:paraId="61C3F256" w14:textId="068F17D5" w:rsidR="007B745E" w:rsidRPr="0070034E" w:rsidRDefault="007B745E" w:rsidP="00C85B92">
      <w:pPr>
        <w:pStyle w:val="SCCLawFirm"/>
        <w:spacing w:after="480"/>
      </w:pPr>
      <w:r w:rsidRPr="0070034E">
        <w:tab/>
        <w:t xml:space="preserve">Solicitor for the intervener </w:t>
      </w:r>
      <w:r w:rsidR="00C85B92" w:rsidRPr="0070034E">
        <w:t>the Attorney General of Quebec: </w:t>
      </w:r>
      <w:r w:rsidR="00A80C15" w:rsidRPr="0070034E">
        <w:t>Ministère de la Justice du Québec</w:t>
      </w:r>
      <w:r w:rsidRPr="0070034E">
        <w:t>, Québec.</w:t>
      </w:r>
    </w:p>
    <w:p w14:paraId="437B79F4" w14:textId="6D7EA947" w:rsidR="003F2943" w:rsidRPr="0070034E" w:rsidRDefault="00D91B1D" w:rsidP="00C85B92">
      <w:pPr>
        <w:pStyle w:val="SCCLawFirm"/>
        <w:spacing w:after="480"/>
      </w:pPr>
      <w:r w:rsidRPr="0070034E">
        <w:tab/>
        <w:t xml:space="preserve">Solicitor for the intervener </w:t>
      </w:r>
      <w:r w:rsidR="002E4C40" w:rsidRPr="0070034E">
        <w:t xml:space="preserve">the </w:t>
      </w:r>
      <w:r w:rsidRPr="0070034E">
        <w:t>Attorn</w:t>
      </w:r>
      <w:r w:rsidR="00C85B92" w:rsidRPr="0070034E">
        <w:t>ey General of British Columbia: </w:t>
      </w:r>
      <w:r w:rsidR="00A80C15" w:rsidRPr="0070034E">
        <w:t>Ministry of Attorney General of British Columbia, Legal Services Branch, Vancouver</w:t>
      </w:r>
      <w:r w:rsidRPr="0070034E">
        <w:t>.</w:t>
      </w:r>
    </w:p>
    <w:p w14:paraId="3A0DA646" w14:textId="421449E2" w:rsidR="007B745E" w:rsidRPr="0070034E" w:rsidRDefault="007B745E" w:rsidP="00C85B92">
      <w:pPr>
        <w:pStyle w:val="SCCLawFirm"/>
        <w:spacing w:after="480"/>
      </w:pPr>
      <w:r w:rsidRPr="0070034E">
        <w:tab/>
        <w:t>Solicitor for the intervener the At</w:t>
      </w:r>
      <w:r w:rsidR="008B7ECC" w:rsidRPr="0070034E">
        <w:t xml:space="preserve">torney General of Saskatchewan: Saskatchewan </w:t>
      </w:r>
      <w:r w:rsidR="008C707E" w:rsidRPr="0070034E">
        <w:t>Ministry of Justice and Attorney General</w:t>
      </w:r>
      <w:r w:rsidRPr="0070034E">
        <w:t>, Regina.</w:t>
      </w:r>
    </w:p>
    <w:p w14:paraId="6BB59A41" w14:textId="10C44FD2" w:rsidR="003F2943" w:rsidRPr="0070034E" w:rsidRDefault="00D91B1D" w:rsidP="00C85B92">
      <w:pPr>
        <w:pStyle w:val="SCCLawFirm"/>
        <w:spacing w:after="480"/>
      </w:pPr>
      <w:r w:rsidRPr="0070034E">
        <w:tab/>
        <w:t xml:space="preserve">Solicitors for the intervener </w:t>
      </w:r>
      <w:r w:rsidR="002E4C40" w:rsidRPr="0070034E">
        <w:t xml:space="preserve">the </w:t>
      </w:r>
      <w:r w:rsidRPr="0070034E">
        <w:t>Trial Lawyers A</w:t>
      </w:r>
      <w:r w:rsidR="00C85B92" w:rsidRPr="0070034E">
        <w:t>ssociation of British Columbia: </w:t>
      </w:r>
      <w:r w:rsidRPr="0070034E">
        <w:t>Hunter Litigation Chambers, Vancouver.</w:t>
      </w:r>
    </w:p>
    <w:p w14:paraId="596C1D36" w14:textId="0E5CBF14" w:rsidR="003F2943" w:rsidRPr="0070034E" w:rsidRDefault="00D91B1D" w:rsidP="00C85B92">
      <w:pPr>
        <w:pStyle w:val="SCCLawFirm"/>
        <w:spacing w:after="480"/>
      </w:pPr>
      <w:r w:rsidRPr="0070034E">
        <w:tab/>
        <w:t>Solicitors for the intervener</w:t>
      </w:r>
      <w:r w:rsidR="002E4C40" w:rsidRPr="0070034E">
        <w:t>s</w:t>
      </w:r>
      <w:r w:rsidRPr="0070034E">
        <w:t xml:space="preserve"> </w:t>
      </w:r>
      <w:r w:rsidR="00FF67B9" w:rsidRPr="0070034E">
        <w:t xml:space="preserve">the </w:t>
      </w:r>
      <w:r w:rsidRPr="0070034E">
        <w:t>HIV &amp; AIDS Legal Clinic Ontario and</w:t>
      </w:r>
      <w:r w:rsidR="006E2638" w:rsidRPr="0070034E">
        <w:t xml:space="preserve"> the</w:t>
      </w:r>
      <w:r w:rsidR="00C85B92" w:rsidRPr="0070034E">
        <w:t xml:space="preserve"> Health Justice Program: </w:t>
      </w:r>
      <w:proofErr w:type="spellStart"/>
      <w:r w:rsidRPr="0070034E">
        <w:t>Paliare</w:t>
      </w:r>
      <w:proofErr w:type="spellEnd"/>
      <w:r w:rsidRPr="0070034E">
        <w:t xml:space="preserve"> Roland Rosenberg Rothstein, Toronto.</w:t>
      </w:r>
    </w:p>
    <w:p w14:paraId="38D70026" w14:textId="0D8C0718" w:rsidR="003F2943" w:rsidRPr="0070034E" w:rsidRDefault="00D91B1D" w:rsidP="00C85B92">
      <w:pPr>
        <w:pStyle w:val="SCCLawFirm"/>
        <w:spacing w:after="480"/>
      </w:pPr>
      <w:r w:rsidRPr="0070034E">
        <w:tab/>
        <w:t xml:space="preserve">Solicitors for the intervener </w:t>
      </w:r>
      <w:r w:rsidR="002E4C40" w:rsidRPr="0070034E">
        <w:t xml:space="preserve">the </w:t>
      </w:r>
      <w:r w:rsidR="00C85B92" w:rsidRPr="0070034E">
        <w:t>Canadian Council for Refugees: </w:t>
      </w:r>
      <w:r w:rsidR="000E1CAF" w:rsidRPr="0070034E">
        <w:t xml:space="preserve">Jamie </w:t>
      </w:r>
      <w:proofErr w:type="spellStart"/>
      <w:r w:rsidR="000E1CAF" w:rsidRPr="0070034E">
        <w:t>Liew</w:t>
      </w:r>
      <w:proofErr w:type="spellEnd"/>
      <w:r w:rsidR="000E1CAF" w:rsidRPr="0070034E">
        <w:t xml:space="preserve">, Ottawa; </w:t>
      </w:r>
      <w:proofErr w:type="spellStart"/>
      <w:r w:rsidRPr="0070034E">
        <w:t>Lehal</w:t>
      </w:r>
      <w:proofErr w:type="spellEnd"/>
      <w:r w:rsidRPr="0070034E">
        <w:t xml:space="preserve"> </w:t>
      </w:r>
      <w:r w:rsidR="00171EC9" w:rsidRPr="0070034E">
        <w:t>Law Corporation</w:t>
      </w:r>
      <w:r w:rsidRPr="0070034E">
        <w:t>, Delta</w:t>
      </w:r>
      <w:r w:rsidR="00F94E24" w:rsidRPr="0070034E">
        <w:t xml:space="preserve"> (B.C.)</w:t>
      </w:r>
      <w:r w:rsidRPr="0070034E">
        <w:t>.</w:t>
      </w:r>
    </w:p>
    <w:p w14:paraId="0D502ABF" w14:textId="6BEB0A15" w:rsidR="003F2943" w:rsidRPr="0070034E" w:rsidRDefault="00D91B1D" w:rsidP="00C85B92">
      <w:pPr>
        <w:pStyle w:val="SCCLawFirm"/>
        <w:spacing w:after="480"/>
      </w:pPr>
      <w:r w:rsidRPr="0070034E">
        <w:tab/>
        <w:t xml:space="preserve">Solicitor for the intervener </w:t>
      </w:r>
      <w:r w:rsidR="002E4C40" w:rsidRPr="0070034E">
        <w:t>t</w:t>
      </w:r>
      <w:r w:rsidR="00C85B92" w:rsidRPr="0070034E">
        <w:t>he City of Calgary: </w:t>
      </w:r>
      <w:r w:rsidRPr="0070034E">
        <w:t>City of Calgary</w:t>
      </w:r>
      <w:r w:rsidR="00A65E0D" w:rsidRPr="0070034E">
        <w:t>, Law/Legal Services and Security</w:t>
      </w:r>
      <w:r w:rsidRPr="0070034E">
        <w:t>, Calgary.</w:t>
      </w:r>
    </w:p>
    <w:p w14:paraId="14DC8D9F" w14:textId="4C8A7B58" w:rsidR="003F2943" w:rsidRPr="0070034E" w:rsidRDefault="00D91B1D" w:rsidP="00C85B92">
      <w:pPr>
        <w:pStyle w:val="SCCLawFirm"/>
        <w:spacing w:after="480"/>
      </w:pPr>
      <w:r w:rsidRPr="0070034E">
        <w:tab/>
        <w:t>Solicitors for the intervener</w:t>
      </w:r>
      <w:r w:rsidR="002E4C40" w:rsidRPr="0070034E">
        <w:t>s the</w:t>
      </w:r>
      <w:r w:rsidRPr="0070034E">
        <w:t xml:space="preserve"> Chicken Farmers of Canada, </w:t>
      </w:r>
      <w:r w:rsidR="002E4C40" w:rsidRPr="0070034E">
        <w:t xml:space="preserve">the </w:t>
      </w:r>
      <w:r w:rsidRPr="0070034E">
        <w:t xml:space="preserve">Egg Farmers of Canada, </w:t>
      </w:r>
      <w:r w:rsidR="002E4C40" w:rsidRPr="0070034E">
        <w:t xml:space="preserve">the </w:t>
      </w:r>
      <w:r w:rsidRPr="0070034E">
        <w:t>Turkey Farmers of Canada and</w:t>
      </w:r>
      <w:r w:rsidR="002E4C40" w:rsidRPr="0070034E">
        <w:t xml:space="preserve"> the</w:t>
      </w:r>
      <w:r w:rsidRPr="0070034E">
        <w:t xml:space="preserve"> C</w:t>
      </w:r>
      <w:r w:rsidR="00C85B92" w:rsidRPr="0070034E">
        <w:t>anadian Hatching Egg Producers: </w:t>
      </w:r>
      <w:r w:rsidRPr="0070034E">
        <w:t>Conway Baxter Wilson, Ottawa.</w:t>
      </w:r>
    </w:p>
    <w:p w14:paraId="4FD325DA" w14:textId="1EAE6F66" w:rsidR="003F2943" w:rsidRPr="0070034E" w:rsidRDefault="00D91B1D" w:rsidP="00C85B92">
      <w:pPr>
        <w:pStyle w:val="SCCLawFirm"/>
        <w:spacing w:after="480"/>
      </w:pPr>
      <w:r w:rsidRPr="0070034E">
        <w:tab/>
        <w:t xml:space="preserve">Solicitors for the intervener </w:t>
      </w:r>
      <w:r w:rsidR="002E4C40" w:rsidRPr="0070034E">
        <w:t>t</w:t>
      </w:r>
      <w:r w:rsidRPr="0070034E">
        <w:t>he National Association of P</w:t>
      </w:r>
      <w:r w:rsidR="00C85B92" w:rsidRPr="0070034E">
        <w:t>harmacy Regulatory Authorities: </w:t>
      </w:r>
      <w:r w:rsidRPr="0070034E">
        <w:t>Shores Jardine, Edmonton.</w:t>
      </w:r>
    </w:p>
    <w:p w14:paraId="6737BFE3" w14:textId="40C9E359" w:rsidR="003F2943" w:rsidRPr="0070034E" w:rsidRDefault="00D91B1D" w:rsidP="00C85B92">
      <w:pPr>
        <w:pStyle w:val="SCCLawFirm"/>
        <w:spacing w:after="480"/>
        <w:rPr>
          <w:lang w:val="fr-CA"/>
        </w:rPr>
      </w:pPr>
      <w:r w:rsidRPr="0070034E">
        <w:tab/>
      </w:r>
      <w:r w:rsidRPr="0070034E">
        <w:rPr>
          <w:lang w:val="fr-CA"/>
        </w:rPr>
        <w:t>Solicitors for the intervener Association québécoise des avocats et avoc</w:t>
      </w:r>
      <w:r w:rsidR="00C85B92" w:rsidRPr="0070034E">
        <w:rPr>
          <w:lang w:val="fr-CA"/>
        </w:rPr>
        <w:t>ates en droit de l’immigration: </w:t>
      </w:r>
      <w:r w:rsidRPr="0070034E">
        <w:rPr>
          <w:lang w:val="fr-CA"/>
        </w:rPr>
        <w:t>Hasa Avocats Inc., Montréal.</w:t>
      </w:r>
    </w:p>
    <w:p w14:paraId="268CFFF9" w14:textId="474CF2B5" w:rsidR="003F2943" w:rsidRPr="0070034E" w:rsidRDefault="00D91B1D" w:rsidP="00C85B92">
      <w:pPr>
        <w:pStyle w:val="SCCLawFirm"/>
        <w:spacing w:after="480"/>
      </w:pPr>
      <w:r w:rsidRPr="0070034E">
        <w:rPr>
          <w:lang w:val="fr-CA"/>
        </w:rPr>
        <w:tab/>
      </w:r>
      <w:r w:rsidRPr="0070034E">
        <w:t xml:space="preserve">Solicitor for the intervener </w:t>
      </w:r>
      <w:r w:rsidR="002E4C40" w:rsidRPr="0070034E">
        <w:t xml:space="preserve">the </w:t>
      </w:r>
      <w:r w:rsidRPr="0070034E">
        <w:t>Workers’ Compensation Boa</w:t>
      </w:r>
      <w:r w:rsidR="00C85B92" w:rsidRPr="0070034E">
        <w:t>rd of British Columbia: </w:t>
      </w:r>
      <w:r w:rsidR="002E4C40" w:rsidRPr="0070034E">
        <w:t>Workers’</w:t>
      </w:r>
      <w:r w:rsidRPr="0070034E">
        <w:t xml:space="preserve"> Compensation Board of British Columbia, Richmond.</w:t>
      </w:r>
    </w:p>
    <w:p w14:paraId="07F5A2CB" w14:textId="611DCF7A" w:rsidR="003F2943" w:rsidRPr="0070034E" w:rsidRDefault="00D91B1D" w:rsidP="00C85B92">
      <w:pPr>
        <w:pStyle w:val="SCCLawFirm"/>
        <w:spacing w:after="480"/>
      </w:pPr>
      <w:r w:rsidRPr="0070034E">
        <w:tab/>
        <w:t>Solicitor</w:t>
      </w:r>
      <w:r w:rsidR="002E4C40" w:rsidRPr="0070034E">
        <w:t>s</w:t>
      </w:r>
      <w:r w:rsidRPr="0070034E">
        <w:t xml:space="preserve"> for the intervener </w:t>
      </w:r>
      <w:r w:rsidR="002E4C40" w:rsidRPr="0070034E">
        <w:t xml:space="preserve">the </w:t>
      </w:r>
      <w:r w:rsidRPr="0070034E">
        <w:t xml:space="preserve">Canadian </w:t>
      </w:r>
      <w:r w:rsidR="00C85B92" w:rsidRPr="0070034E">
        <w:t>Association of Refugee Lawyers: </w:t>
      </w:r>
      <w:r w:rsidRPr="0070034E">
        <w:t>Refugee Law Office, Toronto</w:t>
      </w:r>
      <w:r w:rsidR="000E1CAF" w:rsidRPr="0070034E">
        <w:t>; Landings, Toronto</w:t>
      </w:r>
      <w:r w:rsidRPr="0070034E">
        <w:t>.</w:t>
      </w:r>
    </w:p>
    <w:p w14:paraId="54856BC3" w14:textId="107F6A9A" w:rsidR="003F2943" w:rsidRPr="0070034E" w:rsidRDefault="00D91B1D" w:rsidP="00C85B92">
      <w:pPr>
        <w:pStyle w:val="SCCLawFirm"/>
        <w:spacing w:after="480"/>
      </w:pPr>
      <w:r w:rsidRPr="0070034E">
        <w:tab/>
        <w:t>Solicitors for the intervener</w:t>
      </w:r>
      <w:r w:rsidR="007B745E" w:rsidRPr="0070034E">
        <w:t xml:space="preserve"> the</w:t>
      </w:r>
      <w:r w:rsidR="00C85B92" w:rsidRPr="0070034E">
        <w:t xml:space="preserve"> Advocates for the Rule of Law: </w:t>
      </w:r>
      <w:r w:rsidRPr="0070034E">
        <w:t>Henein Hutchison Robitaille, Toronto.</w:t>
      </w:r>
    </w:p>
    <w:p w14:paraId="69517817" w14:textId="4A731ADA" w:rsidR="003F2943" w:rsidRDefault="00D91B1D" w:rsidP="007B745E">
      <w:pPr>
        <w:pStyle w:val="SCCLawFirm"/>
      </w:pPr>
      <w:r w:rsidRPr="0070034E">
        <w:tab/>
        <w:t xml:space="preserve">Solicitor for the intervener </w:t>
      </w:r>
      <w:r w:rsidR="007B745E" w:rsidRPr="0070034E">
        <w:t xml:space="preserve">the </w:t>
      </w:r>
      <w:r w:rsidR="00C85B92" w:rsidRPr="0070034E">
        <w:t>Ecojustice Canada Society: </w:t>
      </w:r>
      <w:r w:rsidRPr="0070034E">
        <w:t>Ecojustice Canada Society, Toronto.</w:t>
      </w:r>
    </w:p>
    <w:sectPr w:rsidR="003F2943" w:rsidSect="000648CC">
      <w:headerReference w:type="even" r:id="rId12"/>
      <w:headerReference w:type="default" r:id="rId13"/>
      <w:footerReference w:type="even" r:id="rId14"/>
      <w:footerReference w:type="default" r:id="rId15"/>
      <w:headerReference w:type="first" r:id="rId16"/>
      <w:footerReference w:type="first" r:id="rId17"/>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4A312" w14:textId="77777777" w:rsidR="00744DAA" w:rsidRDefault="00744DAA">
      <w:r>
        <w:separator/>
      </w:r>
    </w:p>
  </w:endnote>
  <w:endnote w:type="continuationSeparator" w:id="0">
    <w:p w14:paraId="19B0042A" w14:textId="77777777" w:rsidR="00744DAA" w:rsidRDefault="00744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869D2" w14:textId="77777777"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91BEE" w14:textId="77777777" w:rsidR="00316BE3" w:rsidRDefault="00316B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D5C8C" w14:textId="77777777" w:rsidR="00316BE3" w:rsidRDefault="00316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2AAED" w14:textId="77777777" w:rsidR="00744DAA" w:rsidRDefault="00744DAA">
      <w:r>
        <w:separator/>
      </w:r>
    </w:p>
  </w:footnote>
  <w:footnote w:type="continuationSeparator" w:id="0">
    <w:p w14:paraId="04C0AF8F" w14:textId="77777777" w:rsidR="00744DAA" w:rsidRDefault="00744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23B72" w14:textId="77777777"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E14A3" w14:textId="0FF6772A" w:rsidR="00450352" w:rsidRPr="00316BE3" w:rsidRDefault="00450352" w:rsidP="00316B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6ED2" w14:textId="77777777" w:rsidR="00316BE3" w:rsidRDefault="00316B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B2C65"/>
    <w:multiLevelType w:val="hybridMultilevel"/>
    <w:tmpl w:val="4E9A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5191A"/>
    <w:multiLevelType w:val="hybridMultilevel"/>
    <w:tmpl w:val="4C66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3" w15:restartNumberingAfterBreak="0">
    <w:nsid w:val="54283EE8"/>
    <w:multiLevelType w:val="multilevel"/>
    <w:tmpl w:val="91CA84A2"/>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ascii="Times New Roman" w:eastAsiaTheme="minorHAnsi" w:hAnsi="Times New Roman" w:cstheme="minorBid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8890202"/>
    <w:multiLevelType w:val="hybridMultilevel"/>
    <w:tmpl w:val="45ECC79C"/>
    <w:lvl w:ilvl="0" w:tplc="1946D698">
      <w:start w:val="1"/>
      <w:numFmt w:val="decimal"/>
      <w:lvlText w:val="(%1)"/>
      <w:lvlJc w:val="left"/>
      <w:pPr>
        <w:ind w:left="1104" w:hanging="624"/>
      </w:pPr>
      <w:rPr>
        <w:rFonts w:hint="default"/>
      </w:rPr>
    </w:lvl>
    <w:lvl w:ilvl="1" w:tplc="0C0C0019" w:tentative="1">
      <w:start w:val="1"/>
      <w:numFmt w:val="lowerLetter"/>
      <w:lvlText w:val="%2."/>
      <w:lvlJc w:val="left"/>
      <w:pPr>
        <w:ind w:left="1560" w:hanging="360"/>
      </w:pPr>
    </w:lvl>
    <w:lvl w:ilvl="2" w:tplc="0C0C001B" w:tentative="1">
      <w:start w:val="1"/>
      <w:numFmt w:val="lowerRoman"/>
      <w:lvlText w:val="%3."/>
      <w:lvlJc w:val="right"/>
      <w:pPr>
        <w:ind w:left="2280" w:hanging="180"/>
      </w:pPr>
    </w:lvl>
    <w:lvl w:ilvl="3" w:tplc="0C0C000F" w:tentative="1">
      <w:start w:val="1"/>
      <w:numFmt w:val="decimal"/>
      <w:lvlText w:val="%4."/>
      <w:lvlJc w:val="left"/>
      <w:pPr>
        <w:ind w:left="3000" w:hanging="360"/>
      </w:pPr>
    </w:lvl>
    <w:lvl w:ilvl="4" w:tplc="0C0C0019" w:tentative="1">
      <w:start w:val="1"/>
      <w:numFmt w:val="lowerLetter"/>
      <w:lvlText w:val="%5."/>
      <w:lvlJc w:val="left"/>
      <w:pPr>
        <w:ind w:left="3720" w:hanging="360"/>
      </w:pPr>
    </w:lvl>
    <w:lvl w:ilvl="5" w:tplc="0C0C001B" w:tentative="1">
      <w:start w:val="1"/>
      <w:numFmt w:val="lowerRoman"/>
      <w:lvlText w:val="%6."/>
      <w:lvlJc w:val="right"/>
      <w:pPr>
        <w:ind w:left="4440" w:hanging="180"/>
      </w:pPr>
    </w:lvl>
    <w:lvl w:ilvl="6" w:tplc="0C0C000F" w:tentative="1">
      <w:start w:val="1"/>
      <w:numFmt w:val="decimal"/>
      <w:lvlText w:val="%7."/>
      <w:lvlJc w:val="left"/>
      <w:pPr>
        <w:ind w:left="5160" w:hanging="360"/>
      </w:pPr>
    </w:lvl>
    <w:lvl w:ilvl="7" w:tplc="0C0C0019" w:tentative="1">
      <w:start w:val="1"/>
      <w:numFmt w:val="lowerLetter"/>
      <w:lvlText w:val="%8."/>
      <w:lvlJc w:val="left"/>
      <w:pPr>
        <w:ind w:left="5880" w:hanging="360"/>
      </w:pPr>
    </w:lvl>
    <w:lvl w:ilvl="8" w:tplc="0C0C001B" w:tentative="1">
      <w:start w:val="1"/>
      <w:numFmt w:val="lowerRoman"/>
      <w:lvlText w:val="%9."/>
      <w:lvlJc w:val="right"/>
      <w:pPr>
        <w:ind w:left="6600" w:hanging="180"/>
      </w:pPr>
    </w:lvl>
  </w:abstractNum>
  <w:num w:numId="1">
    <w:abstractNumId w:val="3"/>
  </w:num>
  <w:num w:numId="2">
    <w:abstractNumId w:val="2"/>
  </w:num>
  <w:num w:numId="3">
    <w:abstractNumId w:val="2"/>
    <w:lvlOverride w:ilvl="0">
      <w:lvl w:ilvl="0">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3C67"/>
    <w:rsid w:val="00025198"/>
    <w:rsid w:val="0004295F"/>
    <w:rsid w:val="00054708"/>
    <w:rsid w:val="00055710"/>
    <w:rsid w:val="000578A3"/>
    <w:rsid w:val="000648CC"/>
    <w:rsid w:val="000711CF"/>
    <w:rsid w:val="00072488"/>
    <w:rsid w:val="00091595"/>
    <w:rsid w:val="00092097"/>
    <w:rsid w:val="0009602C"/>
    <w:rsid w:val="000A1299"/>
    <w:rsid w:val="000A3D3A"/>
    <w:rsid w:val="000B1D50"/>
    <w:rsid w:val="000B4570"/>
    <w:rsid w:val="000C59B8"/>
    <w:rsid w:val="000C6AF0"/>
    <w:rsid w:val="000D23E0"/>
    <w:rsid w:val="000E1CAF"/>
    <w:rsid w:val="000E499C"/>
    <w:rsid w:val="001006EB"/>
    <w:rsid w:val="00104F33"/>
    <w:rsid w:val="00111DE2"/>
    <w:rsid w:val="00116B38"/>
    <w:rsid w:val="00122209"/>
    <w:rsid w:val="0012423E"/>
    <w:rsid w:val="0013342C"/>
    <w:rsid w:val="00135406"/>
    <w:rsid w:val="00135972"/>
    <w:rsid w:val="0013611F"/>
    <w:rsid w:val="001426A9"/>
    <w:rsid w:val="00154D7C"/>
    <w:rsid w:val="001570B0"/>
    <w:rsid w:val="0015752C"/>
    <w:rsid w:val="00157737"/>
    <w:rsid w:val="00165277"/>
    <w:rsid w:val="00170592"/>
    <w:rsid w:val="00171EC9"/>
    <w:rsid w:val="0018477B"/>
    <w:rsid w:val="00186351"/>
    <w:rsid w:val="00195C82"/>
    <w:rsid w:val="00195D83"/>
    <w:rsid w:val="001A00C1"/>
    <w:rsid w:val="001A3972"/>
    <w:rsid w:val="001A6055"/>
    <w:rsid w:val="001B33E0"/>
    <w:rsid w:val="001B4573"/>
    <w:rsid w:val="001C4507"/>
    <w:rsid w:val="001C779F"/>
    <w:rsid w:val="001D181D"/>
    <w:rsid w:val="001D2AC1"/>
    <w:rsid w:val="001D3AFB"/>
    <w:rsid w:val="001D4E88"/>
    <w:rsid w:val="00211DFE"/>
    <w:rsid w:val="00220FC2"/>
    <w:rsid w:val="002222F4"/>
    <w:rsid w:val="0022350C"/>
    <w:rsid w:val="00224FC0"/>
    <w:rsid w:val="00225B50"/>
    <w:rsid w:val="00225EA4"/>
    <w:rsid w:val="00226EAF"/>
    <w:rsid w:val="00231F3A"/>
    <w:rsid w:val="00234199"/>
    <w:rsid w:val="00236E3D"/>
    <w:rsid w:val="002406EE"/>
    <w:rsid w:val="00243EC8"/>
    <w:rsid w:val="00246A83"/>
    <w:rsid w:val="00270D93"/>
    <w:rsid w:val="002744A3"/>
    <w:rsid w:val="002745CC"/>
    <w:rsid w:val="00282CDD"/>
    <w:rsid w:val="00290FAA"/>
    <w:rsid w:val="002A3C6C"/>
    <w:rsid w:val="002A43BE"/>
    <w:rsid w:val="002B22E9"/>
    <w:rsid w:val="002B7924"/>
    <w:rsid w:val="002D28C3"/>
    <w:rsid w:val="002D39A4"/>
    <w:rsid w:val="002E4C40"/>
    <w:rsid w:val="002E6705"/>
    <w:rsid w:val="002F71EA"/>
    <w:rsid w:val="00301D08"/>
    <w:rsid w:val="0030329A"/>
    <w:rsid w:val="00303780"/>
    <w:rsid w:val="003057B6"/>
    <w:rsid w:val="0031086F"/>
    <w:rsid w:val="0031414C"/>
    <w:rsid w:val="00314E01"/>
    <w:rsid w:val="00316BE3"/>
    <w:rsid w:val="0032089D"/>
    <w:rsid w:val="003310DE"/>
    <w:rsid w:val="003323B0"/>
    <w:rsid w:val="00346E9B"/>
    <w:rsid w:val="0035169A"/>
    <w:rsid w:val="0035259D"/>
    <w:rsid w:val="0035266F"/>
    <w:rsid w:val="003573EF"/>
    <w:rsid w:val="00364B18"/>
    <w:rsid w:val="003878D8"/>
    <w:rsid w:val="003A125D"/>
    <w:rsid w:val="003A4C70"/>
    <w:rsid w:val="003B2018"/>
    <w:rsid w:val="003B215F"/>
    <w:rsid w:val="003B37B6"/>
    <w:rsid w:val="003C6423"/>
    <w:rsid w:val="003C799C"/>
    <w:rsid w:val="003D0399"/>
    <w:rsid w:val="003D7D76"/>
    <w:rsid w:val="003E1C71"/>
    <w:rsid w:val="003F2943"/>
    <w:rsid w:val="003F327B"/>
    <w:rsid w:val="00406166"/>
    <w:rsid w:val="0040704B"/>
    <w:rsid w:val="00410A55"/>
    <w:rsid w:val="00411300"/>
    <w:rsid w:val="00415417"/>
    <w:rsid w:val="00426659"/>
    <w:rsid w:val="0043324C"/>
    <w:rsid w:val="00440BFF"/>
    <w:rsid w:val="00450352"/>
    <w:rsid w:val="004507D5"/>
    <w:rsid w:val="00454BDB"/>
    <w:rsid w:val="00464800"/>
    <w:rsid w:val="00465132"/>
    <w:rsid w:val="00480C90"/>
    <w:rsid w:val="00481AAA"/>
    <w:rsid w:val="0048396F"/>
    <w:rsid w:val="00493C18"/>
    <w:rsid w:val="004A600C"/>
    <w:rsid w:val="004A6118"/>
    <w:rsid w:val="004A6FFC"/>
    <w:rsid w:val="004B797A"/>
    <w:rsid w:val="004C478D"/>
    <w:rsid w:val="004C7E46"/>
    <w:rsid w:val="004D12A2"/>
    <w:rsid w:val="004E0C49"/>
    <w:rsid w:val="004E1A29"/>
    <w:rsid w:val="004E2C26"/>
    <w:rsid w:val="004F36FF"/>
    <w:rsid w:val="004F3AF2"/>
    <w:rsid w:val="004F61D0"/>
    <w:rsid w:val="005125A8"/>
    <w:rsid w:val="00521AE8"/>
    <w:rsid w:val="00527180"/>
    <w:rsid w:val="00537DE5"/>
    <w:rsid w:val="005415A1"/>
    <w:rsid w:val="0054201E"/>
    <w:rsid w:val="00555291"/>
    <w:rsid w:val="00563C6A"/>
    <w:rsid w:val="00566AD1"/>
    <w:rsid w:val="00580D5A"/>
    <w:rsid w:val="00583EDE"/>
    <w:rsid w:val="00585039"/>
    <w:rsid w:val="005A1E91"/>
    <w:rsid w:val="005A6079"/>
    <w:rsid w:val="005E4698"/>
    <w:rsid w:val="005E672A"/>
    <w:rsid w:val="005F1AFB"/>
    <w:rsid w:val="00605205"/>
    <w:rsid w:val="00610539"/>
    <w:rsid w:val="00613969"/>
    <w:rsid w:val="00625C35"/>
    <w:rsid w:val="00647106"/>
    <w:rsid w:val="00656313"/>
    <w:rsid w:val="006565F4"/>
    <w:rsid w:val="00664BA2"/>
    <w:rsid w:val="0067445F"/>
    <w:rsid w:val="00684EEA"/>
    <w:rsid w:val="0069689B"/>
    <w:rsid w:val="006A1551"/>
    <w:rsid w:val="006A22FF"/>
    <w:rsid w:val="006A38C8"/>
    <w:rsid w:val="006B0511"/>
    <w:rsid w:val="006B3149"/>
    <w:rsid w:val="006B5FF5"/>
    <w:rsid w:val="006E2638"/>
    <w:rsid w:val="006F30AF"/>
    <w:rsid w:val="006F3D97"/>
    <w:rsid w:val="0070034E"/>
    <w:rsid w:val="00701759"/>
    <w:rsid w:val="00705C15"/>
    <w:rsid w:val="0071600E"/>
    <w:rsid w:val="007208D1"/>
    <w:rsid w:val="00727D3D"/>
    <w:rsid w:val="00744DAA"/>
    <w:rsid w:val="00747288"/>
    <w:rsid w:val="00747DD3"/>
    <w:rsid w:val="007549C8"/>
    <w:rsid w:val="00754A0B"/>
    <w:rsid w:val="00766D14"/>
    <w:rsid w:val="00767A0F"/>
    <w:rsid w:val="00781C77"/>
    <w:rsid w:val="007A05F6"/>
    <w:rsid w:val="007A64A0"/>
    <w:rsid w:val="007B6F4A"/>
    <w:rsid w:val="007B745E"/>
    <w:rsid w:val="007E1C47"/>
    <w:rsid w:val="007E268C"/>
    <w:rsid w:val="007E337A"/>
    <w:rsid w:val="007E5C70"/>
    <w:rsid w:val="007F2FF5"/>
    <w:rsid w:val="007F3F08"/>
    <w:rsid w:val="00803393"/>
    <w:rsid w:val="008042EF"/>
    <w:rsid w:val="00804CC6"/>
    <w:rsid w:val="0081089F"/>
    <w:rsid w:val="00817190"/>
    <w:rsid w:val="00820EE5"/>
    <w:rsid w:val="008260E2"/>
    <w:rsid w:val="008322BD"/>
    <w:rsid w:val="00833E0A"/>
    <w:rsid w:val="00834F73"/>
    <w:rsid w:val="00864CF8"/>
    <w:rsid w:val="0086641C"/>
    <w:rsid w:val="00872437"/>
    <w:rsid w:val="00872819"/>
    <w:rsid w:val="00874914"/>
    <w:rsid w:val="00891422"/>
    <w:rsid w:val="00892E1A"/>
    <w:rsid w:val="008958CA"/>
    <w:rsid w:val="008A3F29"/>
    <w:rsid w:val="008B5A05"/>
    <w:rsid w:val="008B660A"/>
    <w:rsid w:val="008B7ECC"/>
    <w:rsid w:val="008C01DA"/>
    <w:rsid w:val="008C707E"/>
    <w:rsid w:val="008E5829"/>
    <w:rsid w:val="008F78E9"/>
    <w:rsid w:val="0090797F"/>
    <w:rsid w:val="0091175D"/>
    <w:rsid w:val="00911989"/>
    <w:rsid w:val="009179F9"/>
    <w:rsid w:val="00933E5E"/>
    <w:rsid w:val="00935218"/>
    <w:rsid w:val="009403F3"/>
    <w:rsid w:val="00946F20"/>
    <w:rsid w:val="009555B7"/>
    <w:rsid w:val="009567AA"/>
    <w:rsid w:val="009602E8"/>
    <w:rsid w:val="00967374"/>
    <w:rsid w:val="00976164"/>
    <w:rsid w:val="009937E5"/>
    <w:rsid w:val="00996BCE"/>
    <w:rsid w:val="009A343A"/>
    <w:rsid w:val="009A5F9D"/>
    <w:rsid w:val="009B2F23"/>
    <w:rsid w:val="009B57B3"/>
    <w:rsid w:val="009C35AC"/>
    <w:rsid w:val="009C5B92"/>
    <w:rsid w:val="009D2920"/>
    <w:rsid w:val="009D5AEB"/>
    <w:rsid w:val="009E7D3F"/>
    <w:rsid w:val="009F0E33"/>
    <w:rsid w:val="00A030CE"/>
    <w:rsid w:val="00A12E91"/>
    <w:rsid w:val="00A149DF"/>
    <w:rsid w:val="00A15A08"/>
    <w:rsid w:val="00A1755C"/>
    <w:rsid w:val="00A21B90"/>
    <w:rsid w:val="00A41805"/>
    <w:rsid w:val="00A42DCD"/>
    <w:rsid w:val="00A52AFB"/>
    <w:rsid w:val="00A548CB"/>
    <w:rsid w:val="00A5521C"/>
    <w:rsid w:val="00A6145D"/>
    <w:rsid w:val="00A643E7"/>
    <w:rsid w:val="00A65E0D"/>
    <w:rsid w:val="00A73C38"/>
    <w:rsid w:val="00A80C15"/>
    <w:rsid w:val="00AB670D"/>
    <w:rsid w:val="00AD0765"/>
    <w:rsid w:val="00AE3A02"/>
    <w:rsid w:val="00AE4535"/>
    <w:rsid w:val="00AF03C5"/>
    <w:rsid w:val="00AF4399"/>
    <w:rsid w:val="00B000D8"/>
    <w:rsid w:val="00B00F75"/>
    <w:rsid w:val="00B04351"/>
    <w:rsid w:val="00B07818"/>
    <w:rsid w:val="00B10E5C"/>
    <w:rsid w:val="00B11076"/>
    <w:rsid w:val="00B145B6"/>
    <w:rsid w:val="00B21340"/>
    <w:rsid w:val="00B21B40"/>
    <w:rsid w:val="00B24D03"/>
    <w:rsid w:val="00B279EB"/>
    <w:rsid w:val="00B30694"/>
    <w:rsid w:val="00B41823"/>
    <w:rsid w:val="00B460C5"/>
    <w:rsid w:val="00B50C81"/>
    <w:rsid w:val="00B517A1"/>
    <w:rsid w:val="00B557F8"/>
    <w:rsid w:val="00B815FC"/>
    <w:rsid w:val="00B87F2A"/>
    <w:rsid w:val="00B93FBC"/>
    <w:rsid w:val="00B941D9"/>
    <w:rsid w:val="00BA6706"/>
    <w:rsid w:val="00BA7DA0"/>
    <w:rsid w:val="00BB2EE4"/>
    <w:rsid w:val="00BC2108"/>
    <w:rsid w:val="00BD0E9E"/>
    <w:rsid w:val="00BD1BEC"/>
    <w:rsid w:val="00BD32FF"/>
    <w:rsid w:val="00C02092"/>
    <w:rsid w:val="00C061C4"/>
    <w:rsid w:val="00C06BCE"/>
    <w:rsid w:val="00C1062D"/>
    <w:rsid w:val="00C12CA7"/>
    <w:rsid w:val="00C206E1"/>
    <w:rsid w:val="00C24D91"/>
    <w:rsid w:val="00C53F14"/>
    <w:rsid w:val="00C600CF"/>
    <w:rsid w:val="00C6084F"/>
    <w:rsid w:val="00C62A66"/>
    <w:rsid w:val="00C6455B"/>
    <w:rsid w:val="00C71458"/>
    <w:rsid w:val="00C77613"/>
    <w:rsid w:val="00C828E7"/>
    <w:rsid w:val="00C84BAE"/>
    <w:rsid w:val="00C85B92"/>
    <w:rsid w:val="00C86719"/>
    <w:rsid w:val="00C90954"/>
    <w:rsid w:val="00C921DD"/>
    <w:rsid w:val="00CA6391"/>
    <w:rsid w:val="00CB6A11"/>
    <w:rsid w:val="00CC34BD"/>
    <w:rsid w:val="00CE161A"/>
    <w:rsid w:val="00CE3171"/>
    <w:rsid w:val="00CF1601"/>
    <w:rsid w:val="00D0172F"/>
    <w:rsid w:val="00D03E78"/>
    <w:rsid w:val="00D05DB1"/>
    <w:rsid w:val="00D068A7"/>
    <w:rsid w:val="00D17476"/>
    <w:rsid w:val="00D30851"/>
    <w:rsid w:val="00D32086"/>
    <w:rsid w:val="00D36E37"/>
    <w:rsid w:val="00D37A3F"/>
    <w:rsid w:val="00D4431D"/>
    <w:rsid w:val="00D4667A"/>
    <w:rsid w:val="00D55854"/>
    <w:rsid w:val="00D56539"/>
    <w:rsid w:val="00D63A1C"/>
    <w:rsid w:val="00D63F6D"/>
    <w:rsid w:val="00D7516F"/>
    <w:rsid w:val="00D8579F"/>
    <w:rsid w:val="00D91B1D"/>
    <w:rsid w:val="00D95F8E"/>
    <w:rsid w:val="00D9685B"/>
    <w:rsid w:val="00DA0590"/>
    <w:rsid w:val="00DB7512"/>
    <w:rsid w:val="00DB7BEA"/>
    <w:rsid w:val="00DC1739"/>
    <w:rsid w:val="00DC1788"/>
    <w:rsid w:val="00DD3087"/>
    <w:rsid w:val="00DE0DD0"/>
    <w:rsid w:val="00DE1FCB"/>
    <w:rsid w:val="00DE319C"/>
    <w:rsid w:val="00DF0CA8"/>
    <w:rsid w:val="00DF2B48"/>
    <w:rsid w:val="00DF49A7"/>
    <w:rsid w:val="00E02008"/>
    <w:rsid w:val="00E07EE2"/>
    <w:rsid w:val="00E07FD1"/>
    <w:rsid w:val="00E1461C"/>
    <w:rsid w:val="00E14BA9"/>
    <w:rsid w:val="00E176D8"/>
    <w:rsid w:val="00E24573"/>
    <w:rsid w:val="00E25E1E"/>
    <w:rsid w:val="00E27EE7"/>
    <w:rsid w:val="00E334D2"/>
    <w:rsid w:val="00E35404"/>
    <w:rsid w:val="00E35622"/>
    <w:rsid w:val="00E45109"/>
    <w:rsid w:val="00E47B7A"/>
    <w:rsid w:val="00E56A44"/>
    <w:rsid w:val="00E60269"/>
    <w:rsid w:val="00E70FE5"/>
    <w:rsid w:val="00E77932"/>
    <w:rsid w:val="00E97830"/>
    <w:rsid w:val="00ED133F"/>
    <w:rsid w:val="00EE643C"/>
    <w:rsid w:val="00EF0683"/>
    <w:rsid w:val="00EF69D2"/>
    <w:rsid w:val="00EF766E"/>
    <w:rsid w:val="00F0070C"/>
    <w:rsid w:val="00F00EB7"/>
    <w:rsid w:val="00F271CD"/>
    <w:rsid w:val="00F36AB6"/>
    <w:rsid w:val="00F37A09"/>
    <w:rsid w:val="00F409CE"/>
    <w:rsid w:val="00F4379D"/>
    <w:rsid w:val="00F472B5"/>
    <w:rsid w:val="00F50D2D"/>
    <w:rsid w:val="00F56C8B"/>
    <w:rsid w:val="00F6373B"/>
    <w:rsid w:val="00F66810"/>
    <w:rsid w:val="00F72990"/>
    <w:rsid w:val="00F73950"/>
    <w:rsid w:val="00F846D9"/>
    <w:rsid w:val="00F84DF4"/>
    <w:rsid w:val="00F85C97"/>
    <w:rsid w:val="00F90550"/>
    <w:rsid w:val="00F94E24"/>
    <w:rsid w:val="00FA43E9"/>
    <w:rsid w:val="00FB37D2"/>
    <w:rsid w:val="00FC4EFB"/>
    <w:rsid w:val="00FD068D"/>
    <w:rsid w:val="00FD4F28"/>
    <w:rsid w:val="00FE6784"/>
    <w:rsid w:val="00FF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54D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346E9B"/>
    <w:rPr>
      <w:color w:val="660000"/>
      <w:u w:val="none"/>
    </w:rPr>
  </w:style>
  <w:style w:type="character" w:styleId="CommentReference">
    <w:name w:val="annotation reference"/>
    <w:basedOn w:val="DefaultParagraphFont"/>
    <w:uiPriority w:val="99"/>
    <w:semiHidden/>
    <w:unhideWhenUsed/>
    <w:rsid w:val="004507D5"/>
    <w:rPr>
      <w:sz w:val="16"/>
      <w:szCs w:val="16"/>
    </w:rPr>
  </w:style>
  <w:style w:type="paragraph" w:styleId="CommentText">
    <w:name w:val="annotation text"/>
    <w:basedOn w:val="Normal"/>
    <w:link w:val="CommentTextChar"/>
    <w:uiPriority w:val="99"/>
    <w:unhideWhenUsed/>
    <w:rsid w:val="004507D5"/>
    <w:rPr>
      <w:sz w:val="20"/>
    </w:rPr>
  </w:style>
  <w:style w:type="character" w:customStyle="1" w:styleId="CommentTextChar">
    <w:name w:val="Comment Text Char"/>
    <w:basedOn w:val="DefaultParagraphFont"/>
    <w:link w:val="CommentText"/>
    <w:uiPriority w:val="99"/>
    <w:rsid w:val="004507D5"/>
  </w:style>
  <w:style w:type="paragraph" w:styleId="CommentSubject">
    <w:name w:val="annotation subject"/>
    <w:basedOn w:val="CommentText"/>
    <w:next w:val="CommentText"/>
    <w:link w:val="CommentSubjectChar"/>
    <w:uiPriority w:val="99"/>
    <w:semiHidden/>
    <w:unhideWhenUsed/>
    <w:rsid w:val="004507D5"/>
    <w:rPr>
      <w:b/>
      <w:bCs/>
    </w:rPr>
  </w:style>
  <w:style w:type="character" w:customStyle="1" w:styleId="CommentSubjectChar">
    <w:name w:val="Comment Subject Char"/>
    <w:basedOn w:val="CommentTextChar"/>
    <w:link w:val="CommentSubject"/>
    <w:uiPriority w:val="99"/>
    <w:semiHidden/>
    <w:rsid w:val="004507D5"/>
    <w:rPr>
      <w:b/>
      <w:bCs/>
    </w:rPr>
  </w:style>
  <w:style w:type="character" w:customStyle="1" w:styleId="solexhl">
    <w:name w:val="solexhl"/>
    <w:basedOn w:val="DefaultParagraphFont"/>
    <w:rsid w:val="00B517A1"/>
  </w:style>
  <w:style w:type="paragraph" w:customStyle="1" w:styleId="ParaNoNdepar-AltN">
    <w:name w:val="Para. No. / Nº de par. - Alt N"/>
    <w:link w:val="ParaNoNdepar-AltNChar"/>
    <w:qFormat/>
    <w:rsid w:val="00B87F2A"/>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B87F2A"/>
    <w:rPr>
      <w:rFonts w:eastAsiaTheme="minorEastAsia"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DB7512"/>
    <w:pPr>
      <w:spacing w:after="480"/>
    </w:pPr>
    <w:rPr>
      <w:rFonts w:eastAsiaTheme="minorHAnsi" w:cstheme="minorBidi"/>
      <w:szCs w:val="22"/>
      <w:lang w:eastAsia="en-US"/>
    </w:rPr>
  </w:style>
  <w:style w:type="paragraph" w:customStyle="1" w:styleId="SCCCoram">
    <w:name w:val="SCC.Coram"/>
    <w:basedOn w:val="Normal"/>
    <w:next w:val="Normal"/>
    <w:link w:val="SCCCoramChar"/>
    <w:rsid w:val="00DB7512"/>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DB7512"/>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DB7512"/>
    <w:rPr>
      <w:rFonts w:eastAsiaTheme="minorHAnsi" w:cstheme="minorBidi"/>
      <w:sz w:val="24"/>
      <w:szCs w:val="22"/>
      <w:lang w:eastAsia="en-US"/>
    </w:rPr>
  </w:style>
  <w:style w:type="character" w:customStyle="1" w:styleId="SCCBanSummaryChar">
    <w:name w:val="SCC.BanSummary Char"/>
    <w:basedOn w:val="DefaultParagraphFont"/>
    <w:link w:val="SCCBanSummary"/>
    <w:rsid w:val="00DB7512"/>
    <w:rPr>
      <w:b/>
      <w:sz w:val="24"/>
    </w:rPr>
  </w:style>
  <w:style w:type="table" w:styleId="TableGrid">
    <w:name w:val="Table Grid"/>
    <w:basedOn w:val="TableNormal"/>
    <w:uiPriority w:val="59"/>
    <w:rsid w:val="00DB7512"/>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DB7512"/>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DB7512"/>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DB7512"/>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DB7512"/>
    <w:pPr>
      <w:numPr>
        <w:numId w:val="2"/>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DB7512"/>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DB7512"/>
    <w:pPr>
      <w:numPr>
        <w:ilvl w:val="2"/>
      </w:numPr>
      <w:outlineLvl w:val="2"/>
    </w:pPr>
  </w:style>
  <w:style w:type="paragraph" w:customStyle="1" w:styleId="Title4LevelTitre4Niveau">
    <w:name w:val="Title 4 Level / Titre 4 Niveau"/>
    <w:basedOn w:val="Title3LevelTitre3Niveau"/>
    <w:next w:val="ParaNoNdepar-AltN"/>
    <w:uiPriority w:val="4"/>
    <w:qFormat/>
    <w:rsid w:val="00DB7512"/>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DB7512"/>
    <w:pPr>
      <w:numPr>
        <w:ilvl w:val="4"/>
      </w:numPr>
      <w:outlineLvl w:val="4"/>
    </w:pPr>
  </w:style>
  <w:style w:type="paragraph" w:styleId="TOC1">
    <w:name w:val="toc 1"/>
    <w:basedOn w:val="Normal"/>
    <w:next w:val="Normal"/>
    <w:autoRedefine/>
    <w:uiPriority w:val="39"/>
    <w:unhideWhenUsed/>
    <w:rsid w:val="00DB7512"/>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DB7512"/>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DB7512"/>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DB7512"/>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DB7512"/>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DB7512"/>
    <w:pPr>
      <w:tabs>
        <w:tab w:val="left" w:pos="2160"/>
        <w:tab w:val="right" w:leader="dot" w:pos="8270"/>
      </w:tabs>
      <w:spacing w:after="100"/>
      <w:ind w:left="1800"/>
    </w:pPr>
    <w:rPr>
      <w:noProof/>
    </w:rPr>
  </w:style>
  <w:style w:type="table" w:customStyle="1" w:styleId="TableGrid1">
    <w:name w:val="Table Grid1"/>
    <w:basedOn w:val="TableNormal"/>
    <w:uiPriority w:val="59"/>
    <w:rsid w:val="00DB7512"/>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DB7512"/>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DB7512"/>
    <w:pPr>
      <w:numPr>
        <w:ilvl w:val="5"/>
      </w:numPr>
      <w:outlineLvl w:val="5"/>
    </w:pPr>
    <w:rPr>
      <w:i/>
      <w:u w:val="none"/>
    </w:rPr>
  </w:style>
  <w:style w:type="paragraph" w:styleId="FootnoteText">
    <w:name w:val="footnote text"/>
    <w:basedOn w:val="Normal"/>
    <w:link w:val="FootnoteTextChar"/>
    <w:uiPriority w:val="99"/>
    <w:unhideWhenUsed/>
    <w:rsid w:val="00DB7512"/>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DB7512"/>
  </w:style>
  <w:style w:type="paragraph" w:styleId="ListParagraph">
    <w:name w:val="List Paragraph"/>
    <w:basedOn w:val="Normal"/>
    <w:uiPriority w:val="34"/>
    <w:qFormat/>
    <w:rsid w:val="00DB7512"/>
    <w:pPr>
      <w:ind w:left="720"/>
      <w:contextualSpacing/>
    </w:pPr>
    <w:rPr>
      <w:szCs w:val="24"/>
    </w:rPr>
  </w:style>
  <w:style w:type="paragraph" w:styleId="TOCHeading">
    <w:name w:val="TOC Heading"/>
    <w:basedOn w:val="Heading1"/>
    <w:next w:val="Normal"/>
    <w:uiPriority w:val="39"/>
    <w:unhideWhenUsed/>
    <w:qFormat/>
    <w:rsid w:val="00DB7512"/>
    <w:pPr>
      <w:spacing w:before="240" w:after="0" w:line="259" w:lineRule="auto"/>
      <w:ind w:left="0" w:firstLine="0"/>
      <w:outlineLvl w:val="9"/>
    </w:pPr>
    <w:rPr>
      <w:b w:val="0"/>
      <w:bCs w:val="0"/>
      <w:sz w:val="32"/>
      <w:szCs w:val="32"/>
      <w:lang w:val="en-US" w:eastAsia="en-US"/>
    </w:rPr>
  </w:style>
  <w:style w:type="table" w:customStyle="1" w:styleId="TableGrid2">
    <w:name w:val="Table Grid2"/>
    <w:basedOn w:val="TableNormal"/>
    <w:next w:val="TableGrid"/>
    <w:uiPriority w:val="59"/>
    <w:rsid w:val="00DB7512"/>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lii.ca/t/jt3d6"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scc-csc.ca/cso-dce/2024SCC-CSC36_2_eng.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c-csc.ca/cso-dce/2024SCC-CSC36_1_eng.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69</Pages>
  <Words>15917</Words>
  <Characters>86485</Characters>
  <Application>Microsoft Office Word</Application>
  <DocSecurity>0</DocSecurity>
  <Lines>720</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2024-11-08T00:29:00Z</dcterms:created>
  <dcterms:modified xsi:type="dcterms:W3CDTF">2024-11-08T14:58:00Z</dcterms:modified>
</cp:coreProperties>
</file>