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1E1EA6" w:rsidRPr="001E1EA6" w:rsidTr="002271E2">
        <w:trPr>
          <w:trHeight w:val="2103"/>
        </w:trPr>
        <w:tc>
          <w:tcPr>
            <w:tcW w:w="5000" w:type="pct"/>
            <w:gridSpan w:val="4"/>
          </w:tcPr>
          <w:p w:rsidR="001E1EA6" w:rsidRPr="001E1EA6" w:rsidRDefault="001E1EA6" w:rsidP="001E1EA6">
            <w:pPr>
              <w:jc w:val="center"/>
              <w:rPr>
                <w:b/>
              </w:rPr>
            </w:pPr>
            <w:r w:rsidRPr="001E1EA6">
              <w:rPr>
                <w:b/>
                <w:noProof/>
                <w:lang w:val="fr-CA" w:eastAsia="fr-CA"/>
              </w:rPr>
              <w:drawing>
                <wp:inline distT="0" distB="0" distL="0" distR="0" wp14:anchorId="6D22D7AD" wp14:editId="6CB90666">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rsidR="001E1EA6" w:rsidRPr="001E1EA6" w:rsidRDefault="001E1EA6" w:rsidP="001E1EA6">
            <w:pPr>
              <w:spacing w:before="120" w:after="100" w:afterAutospacing="1"/>
              <w:jc w:val="center"/>
            </w:pPr>
            <w:r w:rsidRPr="001E1EA6">
              <w:rPr>
                <w:b/>
              </w:rPr>
              <w:t>SUPREME COURT OF CANADA</w:t>
            </w:r>
          </w:p>
        </w:tc>
      </w:tr>
      <w:tr w:rsidR="001E1EA6" w:rsidRPr="001E1EA6" w:rsidTr="002271E2">
        <w:tblPrEx>
          <w:tblCellMar>
            <w:top w:w="58" w:type="dxa"/>
            <w:left w:w="58" w:type="dxa"/>
            <w:bottom w:w="58" w:type="dxa"/>
            <w:right w:w="58" w:type="dxa"/>
          </w:tblCellMar>
        </w:tblPrEx>
        <w:trPr>
          <w:cantSplit/>
        </w:trPr>
        <w:tc>
          <w:tcPr>
            <w:tcW w:w="2078" w:type="pct"/>
            <w:gridSpan w:val="2"/>
          </w:tcPr>
          <w:p w:rsidR="001E1EA6" w:rsidRPr="001E1EA6" w:rsidRDefault="001E1EA6" w:rsidP="001E1EA6">
            <w:pPr>
              <w:rPr>
                <w:b/>
                <w:smallCaps/>
              </w:rPr>
            </w:pPr>
          </w:p>
          <w:p w:rsidR="001E1EA6" w:rsidRPr="001E1EA6" w:rsidRDefault="001E1EA6" w:rsidP="001E1EA6">
            <w:pPr>
              <w:rPr>
                <w:b/>
                <w:smallCaps/>
              </w:rPr>
            </w:pPr>
            <w:r w:rsidRPr="001E1EA6">
              <w:rPr>
                <w:b/>
                <w:smallCaps/>
              </w:rPr>
              <w:t>Citation:</w:t>
            </w:r>
            <w:r w:rsidRPr="001E1EA6">
              <w:t xml:space="preserve"> TransAlta Generation Partnership </w:t>
            </w:r>
            <w:r w:rsidRPr="001E1EA6">
              <w:rPr>
                <w:i/>
              </w:rPr>
              <w:t>v.</w:t>
            </w:r>
            <w:r w:rsidRPr="001E1EA6">
              <w:t xml:space="preserve"> Alberta, 2024 SCC 37</w:t>
            </w:r>
          </w:p>
        </w:tc>
        <w:tc>
          <w:tcPr>
            <w:tcW w:w="781" w:type="pct"/>
          </w:tcPr>
          <w:p w:rsidR="001E1EA6" w:rsidRPr="001E1EA6" w:rsidRDefault="001E1EA6" w:rsidP="001E1EA6"/>
        </w:tc>
        <w:tc>
          <w:tcPr>
            <w:tcW w:w="2141" w:type="pct"/>
          </w:tcPr>
          <w:p w:rsidR="001E1EA6" w:rsidRPr="001E1EA6" w:rsidRDefault="001E1EA6" w:rsidP="001E1EA6">
            <w:pPr>
              <w:rPr>
                <w:b/>
                <w:smallCaps/>
              </w:rPr>
            </w:pPr>
          </w:p>
          <w:p w:rsidR="001E1EA6" w:rsidRPr="001E1EA6" w:rsidRDefault="001E1EA6" w:rsidP="001E1EA6">
            <w:pPr>
              <w:jc w:val="both"/>
            </w:pPr>
            <w:r w:rsidRPr="001E1EA6">
              <w:rPr>
                <w:b/>
                <w:smallCaps/>
              </w:rPr>
              <w:t>Appeal Heard:</w:t>
            </w:r>
            <w:r w:rsidRPr="001E1EA6">
              <w:t xml:space="preserve"> April 25, 2024</w:t>
            </w:r>
          </w:p>
          <w:p w:rsidR="001E1EA6" w:rsidRPr="001E1EA6" w:rsidRDefault="001E1EA6" w:rsidP="001E1EA6">
            <w:r w:rsidRPr="001E1EA6">
              <w:rPr>
                <w:b/>
                <w:smallCaps/>
              </w:rPr>
              <w:t>Judgment Rendered:</w:t>
            </w:r>
            <w:r w:rsidRPr="001E1EA6">
              <w:t xml:space="preserve"> November 8, 2024</w:t>
            </w:r>
          </w:p>
          <w:p w:rsidR="001E1EA6" w:rsidRPr="001E1EA6" w:rsidRDefault="001E1EA6" w:rsidP="001E1EA6">
            <w:r w:rsidRPr="001E1EA6">
              <w:rPr>
                <w:b/>
                <w:smallCaps/>
              </w:rPr>
              <w:t>Docket:</w:t>
            </w:r>
            <w:r w:rsidRPr="001E1EA6">
              <w:t xml:space="preserve"> 40570</w:t>
            </w:r>
          </w:p>
        </w:tc>
      </w:tr>
      <w:tr w:rsidR="001E1EA6" w:rsidRPr="001E1EA6" w:rsidTr="002271E2">
        <w:tblPrEx>
          <w:tblCellMar>
            <w:top w:w="58" w:type="dxa"/>
            <w:left w:w="58" w:type="dxa"/>
            <w:bottom w:w="58" w:type="dxa"/>
            <w:right w:w="58" w:type="dxa"/>
          </w:tblCellMar>
        </w:tblPrEx>
        <w:tc>
          <w:tcPr>
            <w:tcW w:w="5000" w:type="pct"/>
            <w:gridSpan w:val="4"/>
          </w:tcPr>
          <w:p w:rsidR="001E1EA6" w:rsidRPr="001E1EA6" w:rsidRDefault="001E1EA6" w:rsidP="001E1EA6"/>
          <w:p w:rsidR="001E1EA6" w:rsidRPr="001E1EA6" w:rsidRDefault="001E1EA6" w:rsidP="001E1EA6">
            <w:pPr>
              <w:rPr>
                <w:b/>
                <w:smallCaps/>
              </w:rPr>
            </w:pPr>
            <w:r w:rsidRPr="001E1EA6">
              <w:rPr>
                <w:b/>
                <w:smallCaps/>
              </w:rPr>
              <w:t>Between:</w:t>
            </w:r>
          </w:p>
          <w:p w:rsidR="001E1EA6" w:rsidRPr="001E1EA6" w:rsidRDefault="001E1EA6" w:rsidP="001E1EA6"/>
          <w:p w:rsidR="00642A42" w:rsidRDefault="001E1EA6" w:rsidP="001E1EA6">
            <w:pPr>
              <w:jc w:val="center"/>
              <w:rPr>
                <w:b/>
              </w:rPr>
            </w:pPr>
            <w:r w:rsidRPr="001E1EA6">
              <w:rPr>
                <w:b/>
              </w:rPr>
              <w:t xml:space="preserve">TransAlta Generation Partnership and </w:t>
            </w:r>
          </w:p>
          <w:p w:rsidR="001E1EA6" w:rsidRPr="001E1EA6" w:rsidRDefault="001E1EA6" w:rsidP="001E1EA6">
            <w:pPr>
              <w:jc w:val="center"/>
              <w:rPr>
                <w:b/>
              </w:rPr>
            </w:pPr>
            <w:r w:rsidRPr="001E1EA6">
              <w:rPr>
                <w:b/>
              </w:rPr>
              <w:t>TransAlta Generation (Keephills 3)</w:t>
            </w:r>
          </w:p>
          <w:p w:rsidR="001E1EA6" w:rsidRPr="001E1EA6" w:rsidRDefault="001E1EA6" w:rsidP="001E1EA6">
            <w:pPr>
              <w:jc w:val="center"/>
            </w:pPr>
            <w:r w:rsidRPr="001E1EA6">
              <w:t>Appellants</w:t>
            </w:r>
          </w:p>
          <w:p w:rsidR="001E1EA6" w:rsidRPr="001E1EA6" w:rsidRDefault="001E1EA6" w:rsidP="001E1EA6"/>
          <w:p w:rsidR="001E1EA6" w:rsidRPr="001E1EA6" w:rsidRDefault="001E1EA6" w:rsidP="001E1EA6">
            <w:pPr>
              <w:jc w:val="center"/>
            </w:pPr>
            <w:r w:rsidRPr="001E1EA6">
              <w:t>and</w:t>
            </w:r>
          </w:p>
          <w:p w:rsidR="001E1EA6" w:rsidRPr="001E1EA6" w:rsidRDefault="001E1EA6" w:rsidP="001E1EA6"/>
          <w:p w:rsidR="001E1EA6" w:rsidRPr="001E1EA6" w:rsidRDefault="001E1EA6" w:rsidP="001E1EA6">
            <w:pPr>
              <w:jc w:val="center"/>
              <w:rPr>
                <w:b/>
              </w:rPr>
            </w:pPr>
            <w:r w:rsidRPr="001E1EA6">
              <w:rPr>
                <w:b/>
              </w:rPr>
              <w:t xml:space="preserve">His Majesty The King in Right of the Province of Alberta and </w:t>
            </w:r>
          </w:p>
          <w:p w:rsidR="001E1EA6" w:rsidRPr="001E1EA6" w:rsidRDefault="001E1EA6" w:rsidP="001E1EA6">
            <w:pPr>
              <w:jc w:val="center"/>
              <w:rPr>
                <w:b/>
              </w:rPr>
            </w:pPr>
            <w:r w:rsidRPr="001E1EA6">
              <w:rPr>
                <w:b/>
              </w:rPr>
              <w:t>Minister of Municipal Affairs for the Province of Alberta</w:t>
            </w:r>
          </w:p>
          <w:p w:rsidR="001E1EA6" w:rsidRPr="001E1EA6" w:rsidRDefault="001E1EA6" w:rsidP="001E1EA6">
            <w:pPr>
              <w:jc w:val="center"/>
            </w:pPr>
            <w:r w:rsidRPr="001E1EA6">
              <w:t>Respondents</w:t>
            </w:r>
          </w:p>
          <w:p w:rsidR="001E1EA6" w:rsidRPr="001E1EA6" w:rsidRDefault="001E1EA6" w:rsidP="001E1EA6"/>
          <w:p w:rsidR="001E1EA6" w:rsidRPr="001E1EA6" w:rsidRDefault="001E1EA6" w:rsidP="001E1EA6">
            <w:pPr>
              <w:jc w:val="center"/>
            </w:pPr>
            <w:r w:rsidRPr="001E1EA6">
              <w:t>- and -</w:t>
            </w:r>
          </w:p>
          <w:p w:rsidR="001E1EA6" w:rsidRPr="001E1EA6" w:rsidRDefault="001E1EA6" w:rsidP="001E1EA6"/>
          <w:p w:rsidR="00BC2670" w:rsidRDefault="001E1EA6" w:rsidP="001E1EA6">
            <w:pPr>
              <w:jc w:val="center"/>
              <w:rPr>
                <w:b/>
              </w:rPr>
            </w:pPr>
            <w:r w:rsidRPr="001E1EA6">
              <w:rPr>
                <w:b/>
              </w:rPr>
              <w:t xml:space="preserve">Attorney General of Ontario, </w:t>
            </w:r>
          </w:p>
          <w:p w:rsidR="001E1EA6" w:rsidRPr="001E1EA6" w:rsidRDefault="001E1EA6" w:rsidP="001E1EA6">
            <w:pPr>
              <w:jc w:val="center"/>
              <w:rPr>
                <w:b/>
              </w:rPr>
            </w:pPr>
            <w:r w:rsidRPr="001E1EA6">
              <w:rPr>
                <w:b/>
              </w:rPr>
              <w:t>Attorney General of Quebec,</w:t>
            </w:r>
          </w:p>
          <w:p w:rsidR="00BC2670" w:rsidRDefault="001E1EA6" w:rsidP="001E1EA6">
            <w:pPr>
              <w:jc w:val="center"/>
              <w:rPr>
                <w:b/>
              </w:rPr>
            </w:pPr>
            <w:r w:rsidRPr="001E1EA6">
              <w:rPr>
                <w:b/>
              </w:rPr>
              <w:t xml:space="preserve">Attorney General of British Columbia, </w:t>
            </w:r>
          </w:p>
          <w:p w:rsidR="001E1EA6" w:rsidRPr="001E1EA6" w:rsidRDefault="001E1EA6" w:rsidP="001E1EA6">
            <w:pPr>
              <w:jc w:val="center"/>
              <w:rPr>
                <w:b/>
              </w:rPr>
            </w:pPr>
            <w:r w:rsidRPr="001E1EA6">
              <w:rPr>
                <w:b/>
              </w:rPr>
              <w:t>Attorney General of Saskatchewan,</w:t>
            </w:r>
          </w:p>
          <w:p w:rsidR="00BC2670" w:rsidRDefault="001E1EA6" w:rsidP="001E1EA6">
            <w:pPr>
              <w:jc w:val="center"/>
              <w:rPr>
                <w:b/>
              </w:rPr>
            </w:pPr>
            <w:r w:rsidRPr="001E1EA6">
              <w:rPr>
                <w:b/>
              </w:rPr>
              <w:t xml:space="preserve">Trial Lawyers Association of British Columbia, </w:t>
            </w:r>
          </w:p>
          <w:p w:rsidR="00BC2670" w:rsidRDefault="001E1EA6" w:rsidP="001E1EA6">
            <w:pPr>
              <w:jc w:val="center"/>
              <w:rPr>
                <w:b/>
              </w:rPr>
            </w:pPr>
            <w:r w:rsidRPr="001E1EA6">
              <w:rPr>
                <w:b/>
              </w:rPr>
              <w:t xml:space="preserve">HIV &amp; AIDS Legal Clinic Ontario, Health Justice Program, </w:t>
            </w:r>
          </w:p>
          <w:p w:rsidR="001E1EA6" w:rsidRPr="001E1EA6" w:rsidRDefault="001E1EA6" w:rsidP="001E1EA6">
            <w:pPr>
              <w:jc w:val="center"/>
              <w:rPr>
                <w:b/>
              </w:rPr>
            </w:pPr>
            <w:r w:rsidRPr="001E1EA6">
              <w:rPr>
                <w:b/>
              </w:rPr>
              <w:t>Chicken Farmers of Canada, Egg Farmers of Canada,</w:t>
            </w:r>
          </w:p>
          <w:p w:rsidR="00BC2670" w:rsidRDefault="001E1EA6" w:rsidP="001E1EA6">
            <w:pPr>
              <w:jc w:val="center"/>
              <w:rPr>
                <w:b/>
              </w:rPr>
            </w:pPr>
            <w:r w:rsidRPr="001E1EA6">
              <w:rPr>
                <w:b/>
              </w:rPr>
              <w:t xml:space="preserve">Turkey Farmers of Canada, Canadian Hatching Egg Producers, </w:t>
            </w:r>
          </w:p>
          <w:p w:rsidR="00BC2670" w:rsidRDefault="001E1EA6" w:rsidP="001E1EA6">
            <w:pPr>
              <w:jc w:val="center"/>
              <w:rPr>
                <w:b/>
              </w:rPr>
            </w:pPr>
            <w:r w:rsidRPr="001E1EA6">
              <w:rPr>
                <w:b/>
              </w:rPr>
              <w:t xml:space="preserve">Workers’ Compensation Board of British Columbia, </w:t>
            </w:r>
          </w:p>
          <w:p w:rsidR="00BC2670" w:rsidRDefault="001E1EA6" w:rsidP="001E1EA6">
            <w:pPr>
              <w:jc w:val="center"/>
              <w:rPr>
                <w:b/>
              </w:rPr>
            </w:pPr>
            <w:r w:rsidRPr="001E1EA6">
              <w:rPr>
                <w:b/>
              </w:rPr>
              <w:t xml:space="preserve">Canadian Association of Refugee Lawyers, </w:t>
            </w:r>
          </w:p>
          <w:p w:rsidR="00B06915" w:rsidRDefault="001E1EA6" w:rsidP="001E1EA6">
            <w:pPr>
              <w:jc w:val="center"/>
              <w:rPr>
                <w:b/>
              </w:rPr>
            </w:pPr>
            <w:r w:rsidRPr="001E1EA6">
              <w:rPr>
                <w:b/>
              </w:rPr>
              <w:t xml:space="preserve">Association québécoise des avocats et avocates en droit de </w:t>
            </w:r>
            <w:proofErr w:type="spellStart"/>
            <w:r w:rsidRPr="001E1EA6">
              <w:rPr>
                <w:b/>
              </w:rPr>
              <w:t>l’immigration</w:t>
            </w:r>
            <w:proofErr w:type="spellEnd"/>
            <w:r w:rsidRPr="001E1EA6">
              <w:rPr>
                <w:b/>
              </w:rPr>
              <w:t>,</w:t>
            </w:r>
          </w:p>
          <w:p w:rsidR="00BC2670" w:rsidRDefault="001E1EA6" w:rsidP="001E1EA6">
            <w:pPr>
              <w:jc w:val="center"/>
              <w:rPr>
                <w:b/>
              </w:rPr>
            </w:pPr>
            <w:bookmarkStart w:id="0" w:name="_GoBack"/>
            <w:bookmarkEnd w:id="0"/>
            <w:r w:rsidRPr="001E1EA6">
              <w:rPr>
                <w:b/>
              </w:rPr>
              <w:t>Advocates for the Rule of Law and</w:t>
            </w:r>
            <w:r w:rsidR="00BC2670">
              <w:rPr>
                <w:b/>
              </w:rPr>
              <w:t xml:space="preserve"> </w:t>
            </w:r>
          </w:p>
          <w:p w:rsidR="001E1EA6" w:rsidRPr="001E1EA6" w:rsidRDefault="001E1EA6" w:rsidP="001E1EA6">
            <w:pPr>
              <w:jc w:val="center"/>
              <w:rPr>
                <w:b/>
              </w:rPr>
            </w:pPr>
            <w:r w:rsidRPr="001E1EA6">
              <w:rPr>
                <w:b/>
              </w:rPr>
              <w:t>National Association of Pharmacy Regulatory Authorities</w:t>
            </w:r>
          </w:p>
          <w:p w:rsidR="001E1EA6" w:rsidRPr="001E1EA6" w:rsidRDefault="001E1EA6" w:rsidP="001E1EA6">
            <w:pPr>
              <w:jc w:val="center"/>
            </w:pPr>
            <w:r w:rsidRPr="001E1EA6">
              <w:t>Interveners</w:t>
            </w:r>
          </w:p>
          <w:p w:rsidR="001E1EA6" w:rsidRPr="001E1EA6" w:rsidRDefault="001E1EA6" w:rsidP="001E1EA6"/>
          <w:p w:rsidR="001E1EA6" w:rsidRPr="001E1EA6" w:rsidRDefault="001E1EA6" w:rsidP="001E1EA6">
            <w:pPr>
              <w:jc w:val="center"/>
              <w:rPr>
                <w:b/>
                <w:smallCaps/>
              </w:rPr>
            </w:pPr>
          </w:p>
          <w:p w:rsidR="001E1EA6" w:rsidRPr="001E1EA6" w:rsidRDefault="001E1EA6" w:rsidP="001E1EA6"/>
          <w:p w:rsidR="001E1EA6" w:rsidRPr="001E1EA6" w:rsidRDefault="001E1EA6" w:rsidP="001E1EA6">
            <w:r w:rsidRPr="001E1EA6">
              <w:rPr>
                <w:b/>
                <w:smallCaps/>
              </w:rPr>
              <w:t>Coram:</w:t>
            </w:r>
            <w:r w:rsidRPr="001E1EA6">
              <w:t xml:space="preserve"> Wagner C.J. and Karakatsanis, Côté, Rowe, Martin, Kasirer, Jamal, O’Bonsawin and Moreau JJ.</w:t>
            </w:r>
          </w:p>
          <w:p w:rsidR="001E1EA6" w:rsidRPr="001E1EA6" w:rsidRDefault="001E1EA6" w:rsidP="001E1EA6">
            <w:pPr>
              <w:rPr>
                <w:b/>
                <w:smallCaps/>
              </w:rPr>
            </w:pPr>
          </w:p>
        </w:tc>
      </w:tr>
      <w:tr w:rsidR="001E1EA6" w:rsidRPr="001E1EA6" w:rsidTr="002271E2">
        <w:tblPrEx>
          <w:tblCellMar>
            <w:top w:w="58" w:type="dxa"/>
            <w:left w:w="58" w:type="dxa"/>
            <w:bottom w:w="58" w:type="dxa"/>
            <w:right w:w="58" w:type="dxa"/>
          </w:tblCellMar>
        </w:tblPrEx>
        <w:trPr>
          <w:cantSplit/>
        </w:trPr>
        <w:tc>
          <w:tcPr>
            <w:tcW w:w="1231" w:type="pct"/>
          </w:tcPr>
          <w:p w:rsidR="001E1EA6" w:rsidRPr="001E1EA6" w:rsidRDefault="001E1EA6" w:rsidP="001E1EA6">
            <w:pPr>
              <w:rPr>
                <w:smallCaps/>
              </w:rPr>
            </w:pPr>
            <w:r w:rsidRPr="008A666E">
              <w:rPr>
                <w:b/>
                <w:smallCaps/>
              </w:rPr>
              <w:lastRenderedPageBreak/>
              <w:t>Reasons for Judgment:</w:t>
            </w:r>
            <w:r w:rsidRPr="001E1EA6">
              <w:rPr>
                <w:smallCaps/>
              </w:rPr>
              <w:t xml:space="preserve"> </w:t>
            </w:r>
          </w:p>
          <w:p w:rsidR="001E1EA6" w:rsidRPr="001E1EA6" w:rsidRDefault="001E1EA6" w:rsidP="001E1EA6">
            <w:r w:rsidRPr="001E1EA6">
              <w:t>(paras. 1 to 65)</w:t>
            </w:r>
          </w:p>
        </w:tc>
        <w:tc>
          <w:tcPr>
            <w:tcW w:w="3769" w:type="pct"/>
            <w:gridSpan w:val="3"/>
          </w:tcPr>
          <w:p w:rsidR="001E1EA6" w:rsidRPr="001E1EA6" w:rsidRDefault="001E1EA6" w:rsidP="001E1EA6">
            <w:r w:rsidRPr="001E1EA6">
              <w:t>Côté J. (Wagner C.J. and Karakatsanis, Rowe, Martin, Kasirer, Jamal, O’Bonsawin and Moreau JJ. concurring)</w:t>
            </w:r>
          </w:p>
        </w:tc>
      </w:tr>
    </w:tbl>
    <w:p w:rsidR="001E1EA6" w:rsidRPr="001E1EA6" w:rsidRDefault="001E1EA6" w:rsidP="001E1EA6">
      <w:pPr>
        <w:rPr>
          <w:rFonts w:eastAsiaTheme="minorHAnsi" w:cstheme="minorBidi"/>
          <w:szCs w:val="24"/>
          <w:lang w:eastAsia="en-US"/>
        </w:rPr>
      </w:pPr>
    </w:p>
    <w:p w:rsidR="001E1EA6" w:rsidRPr="001E1EA6" w:rsidRDefault="001E1EA6" w:rsidP="001E1EA6">
      <w:pPr>
        <w:rPr>
          <w:rFonts w:eastAsiaTheme="minorHAnsi" w:cstheme="minorBidi"/>
          <w:szCs w:val="24"/>
          <w:lang w:eastAsia="en-US"/>
        </w:rPr>
      </w:pPr>
    </w:p>
    <w:p w:rsidR="001E1EA6" w:rsidRPr="001E1EA6" w:rsidRDefault="001E1EA6" w:rsidP="001E1EA6">
      <w:pPr>
        <w:rPr>
          <w:rFonts w:eastAsiaTheme="minorHAnsi" w:cstheme="minorBidi"/>
          <w:szCs w:val="24"/>
          <w:lang w:eastAsia="en-US"/>
        </w:rPr>
      </w:pPr>
      <w:r w:rsidRPr="001E1EA6">
        <w:rPr>
          <w:rFonts w:eastAsiaTheme="minorHAnsi" w:cstheme="minorBidi"/>
          <w:b/>
          <w:smallCaps/>
          <w:szCs w:val="24"/>
          <w:lang w:eastAsia="en-US"/>
        </w:rPr>
        <w:t>Note:</w:t>
      </w:r>
      <w:r w:rsidRPr="001E1EA6">
        <w:rPr>
          <w:rFonts w:eastAsiaTheme="minorHAnsi" w:cstheme="minorBidi"/>
          <w:b/>
          <w:szCs w:val="24"/>
          <w:lang w:eastAsia="en-US"/>
        </w:rPr>
        <w:t xml:space="preserve"> </w:t>
      </w:r>
      <w:r w:rsidRPr="001E1EA6">
        <w:rPr>
          <w:rFonts w:eastAsiaTheme="minorHAnsi" w:cstheme="minorBidi"/>
          <w:szCs w:val="24"/>
          <w:lang w:eastAsia="en-US"/>
        </w:rPr>
        <w:t xml:space="preserve">This document is subject to editorial revision before its reproduction in final form in the </w:t>
      </w:r>
      <w:r w:rsidRPr="001E1EA6">
        <w:rPr>
          <w:rFonts w:eastAsiaTheme="minorHAnsi" w:cstheme="minorBidi"/>
          <w:i/>
          <w:szCs w:val="24"/>
          <w:lang w:eastAsia="en-US"/>
        </w:rPr>
        <w:t>Canada Supreme Court Reports</w:t>
      </w:r>
      <w:r w:rsidRPr="001E1EA6">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1E1EA6" w:rsidRPr="001E1EA6" w:rsidTr="002271E2">
        <w:tc>
          <w:tcPr>
            <w:tcW w:w="1500" w:type="pct"/>
            <w:tcMar>
              <w:top w:w="284" w:type="dxa"/>
            </w:tcMar>
          </w:tcPr>
          <w:p w:rsidR="001E1EA6" w:rsidRPr="001E1EA6" w:rsidRDefault="001E1EA6" w:rsidP="001E1EA6"/>
        </w:tc>
        <w:tc>
          <w:tcPr>
            <w:tcW w:w="2000" w:type="pct"/>
            <w:tcBorders>
              <w:bottom w:val="single" w:sz="4" w:space="0" w:color="auto"/>
            </w:tcBorders>
            <w:tcMar>
              <w:top w:w="284" w:type="dxa"/>
            </w:tcMar>
          </w:tcPr>
          <w:p w:rsidR="001E1EA6" w:rsidRPr="001E1EA6" w:rsidRDefault="001E1EA6" w:rsidP="001E1EA6"/>
        </w:tc>
        <w:tc>
          <w:tcPr>
            <w:tcW w:w="1500" w:type="pct"/>
            <w:tcMar>
              <w:top w:w="284" w:type="dxa"/>
            </w:tcMar>
          </w:tcPr>
          <w:p w:rsidR="001E1EA6" w:rsidRPr="001E1EA6" w:rsidRDefault="001E1EA6" w:rsidP="001E1EA6"/>
        </w:tc>
      </w:tr>
    </w:tbl>
    <w:p w:rsidR="001E1EA6" w:rsidRPr="001E1EA6" w:rsidRDefault="001E1EA6" w:rsidP="001E1EA6">
      <w:pPr>
        <w:rPr>
          <w:rFonts w:eastAsiaTheme="minorHAnsi" w:cstheme="minorBidi"/>
          <w:szCs w:val="24"/>
          <w:lang w:eastAsia="en-US"/>
        </w:rPr>
      </w:pPr>
    </w:p>
    <w:p w:rsidR="001E1EA6" w:rsidRPr="008A666E" w:rsidRDefault="001E1EA6">
      <w:pPr>
        <w:rPr>
          <w:b/>
        </w:rPr>
      </w:pPr>
      <w:r w:rsidRPr="008A666E">
        <w:br w:type="page"/>
      </w:r>
    </w:p>
    <w:p w:rsidR="00A13AF5" w:rsidRPr="008A666E" w:rsidRDefault="001B4A5A">
      <w:pPr>
        <w:pStyle w:val="SCCLsocParty"/>
      </w:pPr>
      <w:r w:rsidRPr="008A666E">
        <w:t>TransAlta Generation Partnership</w:t>
      </w:r>
      <w:r w:rsidR="00003CF5" w:rsidRPr="008A666E">
        <w:t xml:space="preserve"> and</w:t>
      </w:r>
    </w:p>
    <w:p w:rsidR="00A13AF5" w:rsidRPr="008A666E" w:rsidRDefault="001B4A5A" w:rsidP="001660F1">
      <w:pPr>
        <w:pStyle w:val="SCCLsocLastPartyInRole"/>
      </w:pPr>
      <w:r w:rsidRPr="008A666E">
        <w:t>TransAlta Generation (Keephills 3)</w:t>
      </w:r>
      <w:r w:rsidRPr="008A666E">
        <w:rPr>
          <w:rStyle w:val="SCCLsocPartyRole"/>
        </w:rPr>
        <w:tab/>
        <w:t>Appellants</w:t>
      </w:r>
    </w:p>
    <w:p w:rsidR="00A13AF5" w:rsidRPr="008A666E" w:rsidRDefault="001B4A5A" w:rsidP="001660F1">
      <w:pPr>
        <w:pStyle w:val="SCCLsocVersus"/>
      </w:pPr>
      <w:proofErr w:type="gramStart"/>
      <w:r w:rsidRPr="008A666E">
        <w:t>v</w:t>
      </w:r>
      <w:proofErr w:type="gramEnd"/>
      <w:r w:rsidRPr="008A666E">
        <w:t>.</w:t>
      </w:r>
    </w:p>
    <w:p w:rsidR="00A13AF5" w:rsidRPr="008A666E" w:rsidRDefault="001B4A5A">
      <w:pPr>
        <w:pStyle w:val="SCCLsocParty"/>
      </w:pPr>
      <w:r w:rsidRPr="008A666E">
        <w:t xml:space="preserve">His Majesty </w:t>
      </w:r>
      <w:proofErr w:type="gramStart"/>
      <w:r w:rsidR="00003CF5" w:rsidRPr="008A666E">
        <w:t>T</w:t>
      </w:r>
      <w:r w:rsidRPr="008A666E">
        <w:t>he</w:t>
      </w:r>
      <w:proofErr w:type="gramEnd"/>
      <w:r w:rsidRPr="008A666E">
        <w:t xml:space="preserve"> King in R</w:t>
      </w:r>
      <w:r w:rsidR="00003CF5" w:rsidRPr="008A666E">
        <w:t>ight of the Province of Alberta and</w:t>
      </w:r>
    </w:p>
    <w:p w:rsidR="00A13AF5" w:rsidRPr="008A666E" w:rsidRDefault="001B4A5A" w:rsidP="001660F1">
      <w:pPr>
        <w:pStyle w:val="SCCLsocLastPartyInRole"/>
      </w:pPr>
      <w:r w:rsidRPr="008A666E">
        <w:t>Minister of Municipal Affairs for the Province of Alberta</w:t>
      </w:r>
      <w:r w:rsidRPr="008A666E">
        <w:rPr>
          <w:rStyle w:val="SCCLsocPartyRole"/>
        </w:rPr>
        <w:tab/>
        <w:t>Respondents</w:t>
      </w:r>
    </w:p>
    <w:p w:rsidR="00A13AF5" w:rsidRPr="008A666E" w:rsidRDefault="001B4A5A" w:rsidP="001660F1">
      <w:pPr>
        <w:pStyle w:val="SCCLsocOtherPartySeparator"/>
      </w:pPr>
      <w:proofErr w:type="gramStart"/>
      <w:r w:rsidRPr="008A666E">
        <w:t>and</w:t>
      </w:r>
      <w:proofErr w:type="gramEnd"/>
    </w:p>
    <w:p w:rsidR="00D33BDD" w:rsidRPr="008A666E" w:rsidRDefault="00D33BDD" w:rsidP="00D33BDD">
      <w:pPr>
        <w:pStyle w:val="SCCLsocParty"/>
      </w:pPr>
      <w:r w:rsidRPr="008A666E">
        <w:t>Attorney General of Ontario,</w:t>
      </w:r>
    </w:p>
    <w:p w:rsidR="00D33BDD" w:rsidRPr="008A666E" w:rsidRDefault="00D33BDD" w:rsidP="00D33BDD">
      <w:pPr>
        <w:pStyle w:val="SCCLsocParty"/>
      </w:pPr>
      <w:r w:rsidRPr="008A666E">
        <w:t>Attorney General of Quebec,</w:t>
      </w:r>
    </w:p>
    <w:p w:rsidR="00A13AF5" w:rsidRPr="008A666E" w:rsidRDefault="001B4A5A">
      <w:pPr>
        <w:pStyle w:val="SCCLsocParty"/>
      </w:pPr>
      <w:r w:rsidRPr="008A666E">
        <w:t>Attorney General of British Columbia,</w:t>
      </w:r>
    </w:p>
    <w:p w:rsidR="00D33BDD" w:rsidRPr="008A666E" w:rsidRDefault="00D33BDD" w:rsidP="00D33BDD">
      <w:pPr>
        <w:pStyle w:val="SCCLsocParty"/>
      </w:pPr>
      <w:r w:rsidRPr="008A666E">
        <w:t>Attorney General of Saskatchewan,</w:t>
      </w:r>
    </w:p>
    <w:p w:rsidR="00A13AF5" w:rsidRPr="008A666E" w:rsidRDefault="001B4A5A">
      <w:pPr>
        <w:pStyle w:val="SCCLsocParty"/>
      </w:pPr>
      <w:r w:rsidRPr="008A666E">
        <w:t>Trial Lawyers Association of British Columbia,</w:t>
      </w:r>
    </w:p>
    <w:p w:rsidR="00A13AF5" w:rsidRPr="008A666E" w:rsidRDefault="001B4A5A">
      <w:pPr>
        <w:pStyle w:val="SCCLsocParty"/>
      </w:pPr>
      <w:r w:rsidRPr="008A666E">
        <w:t>HIV &amp; AIDS Legal Clinic Ontario</w:t>
      </w:r>
      <w:r w:rsidR="00D33BDD" w:rsidRPr="008A666E">
        <w:t>,</w:t>
      </w:r>
      <w:r w:rsidRPr="008A666E">
        <w:t xml:space="preserve"> Health Justice Program,</w:t>
      </w:r>
    </w:p>
    <w:p w:rsidR="00D33BDD" w:rsidRPr="008A666E" w:rsidRDefault="001B4A5A">
      <w:pPr>
        <w:pStyle w:val="SCCLsocParty"/>
      </w:pPr>
      <w:r w:rsidRPr="008A666E">
        <w:t xml:space="preserve">Chicken Farmers of Canada, Egg Farmers of Canada, </w:t>
      </w:r>
    </w:p>
    <w:p w:rsidR="00A13AF5" w:rsidRPr="008A666E" w:rsidRDefault="00D33BDD">
      <w:pPr>
        <w:pStyle w:val="SCCLsocParty"/>
      </w:pPr>
      <w:r w:rsidRPr="008A666E">
        <w:t>Turkey Farmers of Canada,</w:t>
      </w:r>
      <w:r w:rsidR="001B4A5A" w:rsidRPr="008A666E">
        <w:t xml:space="preserve"> Canadian Hatching Egg Producers,</w:t>
      </w:r>
    </w:p>
    <w:p w:rsidR="00A13AF5" w:rsidRPr="008A666E" w:rsidRDefault="001B4A5A">
      <w:pPr>
        <w:pStyle w:val="SCCLsocParty"/>
      </w:pPr>
      <w:r w:rsidRPr="008A666E">
        <w:t>Workers</w:t>
      </w:r>
      <w:r w:rsidR="00D33BDD" w:rsidRPr="008A666E">
        <w:t>’</w:t>
      </w:r>
      <w:r w:rsidRPr="008A666E">
        <w:t xml:space="preserve"> Compensation Board of British Columbia,</w:t>
      </w:r>
    </w:p>
    <w:p w:rsidR="00A13AF5" w:rsidRPr="008A666E" w:rsidRDefault="001B4A5A">
      <w:pPr>
        <w:pStyle w:val="SCCLsocParty"/>
      </w:pPr>
      <w:r w:rsidRPr="008A666E">
        <w:t>Canadian Association of Refugee Lawyers,</w:t>
      </w:r>
    </w:p>
    <w:p w:rsidR="00A13AF5" w:rsidRPr="008A666E" w:rsidRDefault="001B4A5A">
      <w:pPr>
        <w:pStyle w:val="SCCLsocParty"/>
        <w:rPr>
          <w:lang w:val="fr-CA"/>
        </w:rPr>
      </w:pPr>
      <w:r w:rsidRPr="008A666E">
        <w:rPr>
          <w:lang w:val="fr-CA"/>
        </w:rPr>
        <w:t>Association québécoise des avocats et avocates en droit de l</w:t>
      </w:r>
      <w:r w:rsidR="00D33BDD" w:rsidRPr="008A666E">
        <w:rPr>
          <w:lang w:val="fr-CA"/>
        </w:rPr>
        <w:t>’</w:t>
      </w:r>
      <w:r w:rsidRPr="008A666E">
        <w:rPr>
          <w:lang w:val="fr-CA"/>
        </w:rPr>
        <w:t>immigration,</w:t>
      </w:r>
    </w:p>
    <w:p w:rsidR="00A13AF5" w:rsidRPr="008A666E" w:rsidRDefault="00D33BDD">
      <w:pPr>
        <w:pStyle w:val="SCCLsocParty"/>
      </w:pPr>
      <w:r w:rsidRPr="008A666E">
        <w:t>Advocates for the Rule of Law and</w:t>
      </w:r>
    </w:p>
    <w:p w:rsidR="00A13AF5" w:rsidRPr="008A666E" w:rsidRDefault="001B4A5A" w:rsidP="001660F1">
      <w:pPr>
        <w:pStyle w:val="SCCLsocLastPartyInRole"/>
      </w:pPr>
      <w:r w:rsidRPr="008A666E">
        <w:t>National Association of Pharmacy Regulatory Authorities</w:t>
      </w:r>
      <w:r w:rsidRPr="008A666E">
        <w:rPr>
          <w:rStyle w:val="SCCLsocPartyRole"/>
        </w:rPr>
        <w:tab/>
        <w:t>Interveners</w:t>
      </w:r>
    </w:p>
    <w:p w:rsidR="00426659" w:rsidRPr="008A666E" w:rsidRDefault="00426659" w:rsidP="001660F1">
      <w:pPr>
        <w:spacing w:after="720"/>
        <w:jc w:val="both"/>
        <w:rPr>
          <w:b/>
        </w:rPr>
      </w:pPr>
      <w:r w:rsidRPr="008A666E">
        <w:rPr>
          <w:b/>
        </w:rPr>
        <w:t xml:space="preserve">Indexed as: </w:t>
      </w:r>
      <w:r w:rsidR="00003CF5" w:rsidRPr="008A666E">
        <w:rPr>
          <w:b/>
        </w:rPr>
        <w:t>TransAlta Generation Partnership</w:t>
      </w:r>
      <w:r w:rsidRPr="008A666E">
        <w:rPr>
          <w:b/>
        </w:rPr>
        <w:t xml:space="preserve"> </w:t>
      </w:r>
      <w:r w:rsidRPr="008A666E">
        <w:rPr>
          <w:b/>
          <w:i/>
        </w:rPr>
        <w:t>v.</w:t>
      </w:r>
      <w:r w:rsidRPr="008A666E">
        <w:rPr>
          <w:b/>
        </w:rPr>
        <w:t xml:space="preserve"> </w:t>
      </w:r>
      <w:r w:rsidR="00003CF5" w:rsidRPr="008A666E">
        <w:rPr>
          <w:b/>
        </w:rPr>
        <w:t>Alberta</w:t>
      </w:r>
    </w:p>
    <w:p w:rsidR="00426659" w:rsidRPr="008A666E" w:rsidRDefault="00AE4535" w:rsidP="001660F1">
      <w:pPr>
        <w:pStyle w:val="SCCSystemYear"/>
        <w:spacing w:after="720"/>
        <w:jc w:val="both"/>
      </w:pPr>
      <w:r w:rsidRPr="008A666E">
        <w:t>2024</w:t>
      </w:r>
      <w:r w:rsidR="003D0399" w:rsidRPr="008A666E">
        <w:t xml:space="preserve"> </w:t>
      </w:r>
      <w:r w:rsidR="00426659" w:rsidRPr="008A666E">
        <w:t>SCC </w:t>
      </w:r>
      <w:r w:rsidR="003A61FD" w:rsidRPr="008A666E">
        <w:t>37</w:t>
      </w:r>
    </w:p>
    <w:p w:rsidR="008322BD" w:rsidRPr="008A666E" w:rsidRDefault="009B57B3" w:rsidP="001660F1">
      <w:pPr>
        <w:spacing w:after="720"/>
        <w:jc w:val="both"/>
      </w:pPr>
      <w:r w:rsidRPr="008A666E">
        <w:t>File No.: 40570.</w:t>
      </w:r>
    </w:p>
    <w:p w:rsidR="008322BD" w:rsidRPr="008A666E" w:rsidRDefault="001660F1" w:rsidP="001660F1">
      <w:pPr>
        <w:spacing w:after="720"/>
        <w:jc w:val="both"/>
      </w:pPr>
      <w:r w:rsidRPr="008A666E">
        <w:t>2024: April </w:t>
      </w:r>
      <w:r w:rsidR="00AE4535" w:rsidRPr="008A666E">
        <w:t>25</w:t>
      </w:r>
      <w:r w:rsidR="009B57B3" w:rsidRPr="008A666E">
        <w:t xml:space="preserve">; </w:t>
      </w:r>
      <w:r w:rsidR="00F22DAA" w:rsidRPr="008A666E">
        <w:t>2024:</w:t>
      </w:r>
      <w:r w:rsidR="0074244E" w:rsidRPr="008A666E">
        <w:t> </w:t>
      </w:r>
      <w:r w:rsidR="008041B8" w:rsidRPr="008A666E">
        <w:t>November</w:t>
      </w:r>
      <w:r w:rsidR="0074244E" w:rsidRPr="008A666E">
        <w:t> </w:t>
      </w:r>
      <w:r w:rsidR="008041B8" w:rsidRPr="008A666E">
        <w:t>8</w:t>
      </w:r>
      <w:r w:rsidR="009B57B3" w:rsidRPr="008A666E">
        <w:t>.</w:t>
      </w:r>
    </w:p>
    <w:p w:rsidR="008322BD" w:rsidRPr="008A666E" w:rsidRDefault="009B57B3" w:rsidP="001660F1">
      <w:pPr>
        <w:spacing w:after="720"/>
        <w:jc w:val="both"/>
      </w:pPr>
      <w:r w:rsidRPr="008A666E">
        <w:t xml:space="preserve">Present: </w:t>
      </w:r>
      <w:r w:rsidR="00344062" w:rsidRPr="008A666E">
        <w:t>Wagner </w:t>
      </w:r>
      <w:r w:rsidRPr="008A666E">
        <w:t>C.J. and Karakatsanis, Côté, Rowe, Martin, Kasirer, Jamal, O</w:t>
      </w:r>
      <w:r w:rsidR="00D33BDD" w:rsidRPr="008A666E">
        <w:t>’</w:t>
      </w:r>
      <w:r w:rsidR="00344062" w:rsidRPr="008A666E">
        <w:t>Bonsawin and Moreau </w:t>
      </w:r>
      <w:r w:rsidRPr="008A666E">
        <w:t>JJ.</w:t>
      </w:r>
    </w:p>
    <w:p w:rsidR="008322BD" w:rsidRPr="008A666E" w:rsidRDefault="00656313" w:rsidP="001660F1">
      <w:pPr>
        <w:pStyle w:val="SCCLowerCourtNameLowercase"/>
        <w:spacing w:after="720" w:line="240" w:lineRule="auto"/>
      </w:pPr>
      <w:r w:rsidRPr="008A666E">
        <w:t>o</w:t>
      </w:r>
      <w:r w:rsidR="00170592" w:rsidRPr="008A666E">
        <w:t>n</w:t>
      </w:r>
      <w:r w:rsidR="00224FC0" w:rsidRPr="008A666E">
        <w:t xml:space="preserve"> </w:t>
      </w:r>
      <w:r w:rsidRPr="008A666E">
        <w:t>a</w:t>
      </w:r>
      <w:r w:rsidR="00170592" w:rsidRPr="008A666E">
        <w:t>ppeal</w:t>
      </w:r>
      <w:r w:rsidR="00224FC0" w:rsidRPr="008A666E">
        <w:t xml:space="preserve"> </w:t>
      </w:r>
      <w:r w:rsidR="00170592" w:rsidRPr="008A666E">
        <w:t>from</w:t>
      </w:r>
      <w:r w:rsidR="009567AA" w:rsidRPr="008A666E">
        <w:t xml:space="preserve"> the</w:t>
      </w:r>
      <w:r w:rsidR="00224FC0" w:rsidRPr="008A666E">
        <w:t xml:space="preserve"> </w:t>
      </w:r>
      <w:r w:rsidR="009B57B3" w:rsidRPr="008A666E">
        <w:t>cour</w:t>
      </w:r>
      <w:r w:rsidR="00F22DAA" w:rsidRPr="008A666E">
        <w:t xml:space="preserve">t of appeal </w:t>
      </w:r>
      <w:r w:rsidR="008400BA" w:rsidRPr="008A666E">
        <w:t>for</w:t>
      </w:r>
      <w:r w:rsidR="00F22DAA" w:rsidRPr="008A666E">
        <w:t xml:space="preserve"> alberta</w:t>
      </w:r>
    </w:p>
    <w:p w:rsidR="002F4B55" w:rsidRPr="008A666E" w:rsidRDefault="002F4B55" w:rsidP="002F4B55">
      <w:pPr>
        <w:pStyle w:val="SCCNormalDoubleSpacing"/>
        <w:tabs>
          <w:tab w:val="clear" w:pos="1168"/>
          <w:tab w:val="left" w:pos="1170"/>
        </w:tabs>
        <w:spacing w:after="480"/>
      </w:pPr>
      <w:r w:rsidRPr="008A666E">
        <w:tab/>
      </w:r>
      <w:r w:rsidRPr="008A666E">
        <w:rPr>
          <w:i/>
        </w:rPr>
        <w:t xml:space="preserve">Administrative law — Judicial review — Standard of review — Subordinate legislation — Vires — Administrative discrimination — Property assessment guidelines challenged as ultra vires provincial minister — Standard of review applicable to review of vires of subordinate legislation — Whether guidelines within scope of authority delegated to minister by </w:t>
      </w:r>
      <w:r w:rsidRPr="008A666E">
        <w:rPr>
          <w:i/>
          <w:iCs/>
          <w:szCs w:val="24"/>
        </w:rPr>
        <w:t>enabling statute</w:t>
      </w:r>
      <w:r w:rsidRPr="008A666E">
        <w:rPr>
          <w:i/>
        </w:rPr>
        <w:t xml:space="preserve"> — Whether guidelines violate common law rule against administrative discrimination — Municipal Government Act, R.S.A. 2000, c.</w:t>
      </w:r>
      <w:r w:rsidR="0074244E" w:rsidRPr="008A666E">
        <w:rPr>
          <w:i/>
        </w:rPr>
        <w:t> </w:t>
      </w:r>
      <w:r w:rsidRPr="008A666E">
        <w:rPr>
          <w:i/>
        </w:rPr>
        <w:t>M</w:t>
      </w:r>
      <w:r w:rsidR="0074244E" w:rsidRPr="008A666E">
        <w:rPr>
          <w:i/>
        </w:rPr>
        <w:noBreakHyphen/>
      </w:r>
      <w:r w:rsidRPr="008A666E">
        <w:rPr>
          <w:i/>
        </w:rPr>
        <w:t>26, ss.</w:t>
      </w:r>
      <w:r w:rsidR="0074244E" w:rsidRPr="008A666E">
        <w:rPr>
          <w:i/>
        </w:rPr>
        <w:t> </w:t>
      </w:r>
      <w:r w:rsidRPr="008A666E">
        <w:rPr>
          <w:i/>
        </w:rPr>
        <w:t>322, 322.1 — 2017 Alberta Linear Property Assessment Minister’s Guidelines, ss.</w:t>
      </w:r>
      <w:r w:rsidR="0074244E" w:rsidRPr="008A666E">
        <w:rPr>
          <w:i/>
        </w:rPr>
        <w:t> </w:t>
      </w:r>
      <w:r w:rsidRPr="008A666E">
        <w:rPr>
          <w:i/>
        </w:rPr>
        <w:t>1.003, 2.003.</w:t>
      </w:r>
    </w:p>
    <w:p w:rsidR="002F4B55" w:rsidRPr="008A666E" w:rsidRDefault="002F4B55" w:rsidP="002F4B55">
      <w:pPr>
        <w:pStyle w:val="SCCNormalDoubleSpacing"/>
        <w:tabs>
          <w:tab w:val="clear" w:pos="1168"/>
          <w:tab w:val="left" w:pos="1170"/>
        </w:tabs>
        <w:spacing w:after="480"/>
        <w:rPr>
          <w:iCs/>
          <w:color w:val="000000"/>
        </w:rPr>
      </w:pPr>
      <w:r w:rsidRPr="008A666E">
        <w:rPr>
          <w:i/>
        </w:rPr>
        <w:tab/>
      </w:r>
      <w:r w:rsidRPr="008A666E">
        <w:rPr>
          <w:iCs/>
          <w:color w:val="000000"/>
        </w:rPr>
        <w:t>TransAlta owns coal-fired electric power generation facilities in Alberta. In 2016, TransAlta entered into an off-coal agreement with Alberta. Under that agreement, TransAlta agreed to cease coal-fired emissions on or before December</w:t>
      </w:r>
      <w:r w:rsidR="0074244E" w:rsidRPr="008A666E">
        <w:rPr>
          <w:iCs/>
          <w:color w:val="000000"/>
        </w:rPr>
        <w:t> </w:t>
      </w:r>
      <w:r w:rsidRPr="008A666E">
        <w:rPr>
          <w:iCs/>
          <w:color w:val="000000"/>
        </w:rPr>
        <w:t xml:space="preserve">31, 2030, in exchange for substantial transition payments from Alberta for 14 years to compensate TransAlta for the loss resulting from the reduced life of its coal-fired facilities. TransAlta’s coal-fired facilities are assessed as linear property for municipal taxation purposes. Sections 322 and 322.1 of Alberta’s </w:t>
      </w:r>
      <w:r w:rsidRPr="008A666E">
        <w:rPr>
          <w:i/>
          <w:iCs/>
          <w:color w:val="000000"/>
        </w:rPr>
        <w:t xml:space="preserve">Municipal Government Act </w:t>
      </w:r>
      <w:r w:rsidRPr="008A666E">
        <w:rPr>
          <w:iCs/>
          <w:color w:val="000000"/>
        </w:rPr>
        <w:t>(“</w:t>
      </w:r>
      <w:r w:rsidRPr="008A666E">
        <w:rPr>
          <w:i/>
          <w:iCs/>
          <w:color w:val="000000"/>
        </w:rPr>
        <w:t>MGA</w:t>
      </w:r>
      <w:r w:rsidRPr="008A666E">
        <w:rPr>
          <w:iCs/>
          <w:color w:val="000000"/>
        </w:rPr>
        <w:t>”) authorize the province’s Minister of Municipal Affairs to establish guidelines for assessing the value of linear property.</w:t>
      </w:r>
    </w:p>
    <w:p w:rsidR="002F4B55" w:rsidRPr="008A666E" w:rsidRDefault="002F4B55" w:rsidP="002F4B55">
      <w:pPr>
        <w:pStyle w:val="SCCNormalDoubleSpacing"/>
        <w:tabs>
          <w:tab w:val="clear" w:pos="1168"/>
          <w:tab w:val="left" w:pos="1170"/>
        </w:tabs>
        <w:spacing w:after="480"/>
        <w:rPr>
          <w:szCs w:val="24"/>
        </w:rPr>
      </w:pPr>
      <w:r w:rsidRPr="008A666E">
        <w:rPr>
          <w:iCs/>
          <w:color w:val="000000"/>
        </w:rPr>
        <w:tab/>
        <w:t xml:space="preserve">In 2017, the Minister established the </w:t>
      </w:r>
      <w:r w:rsidRPr="008A666E">
        <w:rPr>
          <w:i/>
        </w:rPr>
        <w:t>2017 Alberta Linear Property Assessment Minister’s Guidelines</w:t>
      </w:r>
      <w:r w:rsidRPr="008A666E">
        <w:rPr>
          <w:i/>
          <w:iCs/>
          <w:color w:val="000000"/>
        </w:rPr>
        <w:t xml:space="preserve"> </w:t>
      </w:r>
      <w:r w:rsidRPr="008A666E">
        <w:rPr>
          <w:iCs/>
          <w:color w:val="000000"/>
        </w:rPr>
        <w:t>(“</w:t>
      </w:r>
      <w:r w:rsidRPr="008A666E">
        <w:rPr>
          <w:i/>
          <w:iCs/>
          <w:color w:val="000000"/>
        </w:rPr>
        <w:t>Linear Guidelines</w:t>
      </w:r>
      <w:r w:rsidRPr="008A666E">
        <w:rPr>
          <w:iCs/>
          <w:color w:val="000000"/>
        </w:rPr>
        <w:t xml:space="preserve">”) under the </w:t>
      </w:r>
      <w:r w:rsidRPr="008A666E">
        <w:rPr>
          <w:i/>
          <w:iCs/>
          <w:color w:val="000000"/>
        </w:rPr>
        <w:t>MGA</w:t>
      </w:r>
      <w:r w:rsidRPr="008A666E">
        <w:rPr>
          <w:iCs/>
          <w:color w:val="000000"/>
        </w:rPr>
        <w:t xml:space="preserve">. Sections 1.003 and 2.003 of the </w:t>
      </w:r>
      <w:r w:rsidRPr="008A666E">
        <w:rPr>
          <w:i/>
          <w:iCs/>
          <w:color w:val="000000"/>
        </w:rPr>
        <w:t>Linear Guidelines</w:t>
      </w:r>
      <w:r w:rsidRPr="008A666E">
        <w:rPr>
          <w:iCs/>
          <w:color w:val="000000"/>
        </w:rPr>
        <w:t xml:space="preserve"> deprive TransAlta of the ability to claim additional depreciation on the basis of the reduction in its facilities’ lifespan arising from the off-coal agreement. TransAlta challenged the </w:t>
      </w:r>
      <w:r w:rsidRPr="008A666E">
        <w:rPr>
          <w:i/>
          <w:iCs/>
          <w:color w:val="000000"/>
        </w:rPr>
        <w:t xml:space="preserve">vires </w:t>
      </w:r>
      <w:r w:rsidRPr="008A666E">
        <w:rPr>
          <w:iCs/>
          <w:color w:val="000000"/>
        </w:rPr>
        <w:t xml:space="preserve">of the </w:t>
      </w:r>
      <w:r w:rsidRPr="008A666E">
        <w:rPr>
          <w:i/>
          <w:iCs/>
          <w:color w:val="000000"/>
        </w:rPr>
        <w:t>Linear Guidelines</w:t>
      </w:r>
      <w:r w:rsidRPr="008A666E">
        <w:rPr>
          <w:iCs/>
          <w:color w:val="000000"/>
        </w:rPr>
        <w:t xml:space="preserve"> </w:t>
      </w:r>
      <w:r w:rsidRPr="008A666E">
        <w:rPr>
          <w:szCs w:val="24"/>
        </w:rPr>
        <w:t>on two bases: (1)</w:t>
      </w:r>
      <w:r w:rsidR="0074244E" w:rsidRPr="008A666E">
        <w:rPr>
          <w:szCs w:val="24"/>
        </w:rPr>
        <w:t> </w:t>
      </w:r>
      <w:r w:rsidRPr="008A666E">
        <w:rPr>
          <w:szCs w:val="24"/>
        </w:rPr>
        <w:t>they violate the common law rule against administrative discrimination; and (2)</w:t>
      </w:r>
      <w:r w:rsidR="0074244E" w:rsidRPr="008A666E">
        <w:rPr>
          <w:szCs w:val="24"/>
        </w:rPr>
        <w:t> </w:t>
      </w:r>
      <w:r w:rsidRPr="008A666E">
        <w:rPr>
          <w:szCs w:val="24"/>
        </w:rPr>
        <w:t xml:space="preserve">they are inconsistent with the purposes of the </w:t>
      </w:r>
      <w:r w:rsidRPr="008A666E">
        <w:rPr>
          <w:i/>
          <w:szCs w:val="24"/>
        </w:rPr>
        <w:t>MGA</w:t>
      </w:r>
      <w:r w:rsidRPr="008A666E">
        <w:rPr>
          <w:szCs w:val="24"/>
        </w:rPr>
        <w:t>.</w:t>
      </w:r>
    </w:p>
    <w:p w:rsidR="002F4B55" w:rsidRPr="008A666E" w:rsidRDefault="002F4B55" w:rsidP="002F4B55">
      <w:pPr>
        <w:pStyle w:val="SCCNormalDoubleSpacing"/>
        <w:tabs>
          <w:tab w:val="clear" w:pos="1168"/>
          <w:tab w:val="left" w:pos="1170"/>
        </w:tabs>
        <w:spacing w:after="480"/>
        <w:rPr>
          <w:iCs/>
          <w:color w:val="000000"/>
        </w:rPr>
      </w:pPr>
      <w:r w:rsidRPr="008A666E">
        <w:rPr>
          <w:iCs/>
          <w:color w:val="000000"/>
        </w:rPr>
        <w:tab/>
        <w:t xml:space="preserve">The chambers judge upheld the validity of the </w:t>
      </w:r>
      <w:r w:rsidRPr="008A666E">
        <w:rPr>
          <w:i/>
          <w:iCs/>
          <w:color w:val="000000"/>
        </w:rPr>
        <w:t>Linear Guidelines</w:t>
      </w:r>
      <w:r w:rsidRPr="008A666E">
        <w:rPr>
          <w:iCs/>
          <w:color w:val="000000"/>
        </w:rPr>
        <w:t xml:space="preserve"> and found that the </w:t>
      </w:r>
      <w:r w:rsidRPr="008A666E">
        <w:rPr>
          <w:i/>
          <w:iCs/>
          <w:color w:val="000000"/>
        </w:rPr>
        <w:t>Linear Guidelines</w:t>
      </w:r>
      <w:r w:rsidRPr="008A666E">
        <w:rPr>
          <w:iCs/>
          <w:color w:val="000000"/>
        </w:rPr>
        <w:t xml:space="preserve"> did not discriminate against TransAlta. The Court of Appeal determined that the </w:t>
      </w:r>
      <w:r w:rsidRPr="008A666E">
        <w:rPr>
          <w:i/>
          <w:iCs/>
          <w:color w:val="000000"/>
        </w:rPr>
        <w:t>Linear Guidelines</w:t>
      </w:r>
      <w:r w:rsidRPr="008A666E">
        <w:rPr>
          <w:iCs/>
          <w:color w:val="000000"/>
        </w:rPr>
        <w:t xml:space="preserve"> did not discriminate against TransAlta and held that the chambers judge did not err in finding that they</w:t>
      </w:r>
      <w:r w:rsidR="003A61FD" w:rsidRPr="008A666E">
        <w:rPr>
          <w:iCs/>
          <w:color w:val="000000"/>
        </w:rPr>
        <w:t xml:space="preserve"> </w:t>
      </w:r>
      <w:r w:rsidRPr="008A666E">
        <w:rPr>
          <w:iCs/>
          <w:color w:val="000000"/>
        </w:rPr>
        <w:t xml:space="preserve">were within the Minister’s authority. </w:t>
      </w:r>
    </w:p>
    <w:p w:rsidR="002F4B55" w:rsidRPr="008A666E" w:rsidRDefault="002F4B55" w:rsidP="002F4B55">
      <w:pPr>
        <w:pStyle w:val="SCCNormalDoubleSpacing"/>
        <w:tabs>
          <w:tab w:val="clear" w:pos="1168"/>
          <w:tab w:val="left" w:pos="1170"/>
        </w:tabs>
        <w:spacing w:after="480"/>
      </w:pPr>
      <w:r w:rsidRPr="008A666E">
        <w:tab/>
      </w:r>
      <w:r w:rsidRPr="008A666E">
        <w:rPr>
          <w:i/>
        </w:rPr>
        <w:t>Held</w:t>
      </w:r>
      <w:r w:rsidRPr="008A666E">
        <w:t>:</w:t>
      </w:r>
      <w:r w:rsidR="0074244E" w:rsidRPr="008A666E">
        <w:t> </w:t>
      </w:r>
      <w:r w:rsidRPr="008A666E">
        <w:t>The appeal should be dismissed.</w:t>
      </w:r>
    </w:p>
    <w:p w:rsidR="002F4B55" w:rsidRPr="008A666E" w:rsidRDefault="002F4B55" w:rsidP="002F4B55">
      <w:pPr>
        <w:pStyle w:val="SCCNormalDoubleSpacing"/>
        <w:spacing w:after="480"/>
      </w:pPr>
      <w:r w:rsidRPr="008A666E">
        <w:tab/>
        <w:t xml:space="preserve">As set out in the companion case </w:t>
      </w:r>
      <w:r w:rsidRPr="008A666E">
        <w:rPr>
          <w:i/>
        </w:rPr>
        <w:t>Auer v. Auer</w:t>
      </w:r>
      <w:r w:rsidRPr="008A666E">
        <w:t xml:space="preserve">, 2024 SCC </w:t>
      </w:r>
      <w:r w:rsidR="00526232" w:rsidRPr="008A666E">
        <w:t>36</w:t>
      </w:r>
      <w:r w:rsidRPr="008A666E">
        <w:t xml:space="preserve">, the reasonableness standard under </w:t>
      </w:r>
      <w:r w:rsidRPr="008A666E">
        <w:rPr>
          <w:i/>
        </w:rPr>
        <w:t>Canada (Minister of Citizenship and Immigration) v. Vavilov</w:t>
      </w:r>
      <w:r w:rsidRPr="008A666E">
        <w:t xml:space="preserve">, 2019 SCC 65, [2019] 4 S.C.R. 653, presumptively applies when reviewing the </w:t>
      </w:r>
      <w:r w:rsidRPr="008A666E">
        <w:rPr>
          <w:i/>
        </w:rPr>
        <w:t xml:space="preserve">vires </w:t>
      </w:r>
      <w:r w:rsidRPr="008A666E">
        <w:t xml:space="preserve">of subordinate legislation. In addition, certain principles from </w:t>
      </w:r>
      <w:r w:rsidRPr="008A666E">
        <w:rPr>
          <w:i/>
        </w:rPr>
        <w:t>Katz Group</w:t>
      </w:r>
      <w:r w:rsidR="006F448D" w:rsidRPr="008A666E">
        <w:rPr>
          <w:i/>
        </w:rPr>
        <w:t xml:space="preserve"> </w:t>
      </w:r>
      <w:r w:rsidRPr="008A666E">
        <w:rPr>
          <w:i/>
        </w:rPr>
        <w:t>Canada Inc. v. Ontario (Health and Long-Term Care)</w:t>
      </w:r>
      <w:r w:rsidRPr="008A666E">
        <w:t>, 2013 SCC 64, [2013] 3 S.C.R. 810, continue to inform reasonableness review, but</w:t>
      </w:r>
      <w:r w:rsidRPr="008A666E">
        <w:rPr>
          <w:szCs w:val="24"/>
        </w:rPr>
        <w:t xml:space="preserve"> the threshold from </w:t>
      </w:r>
      <w:r w:rsidRPr="008A666E">
        <w:rPr>
          <w:i/>
          <w:szCs w:val="24"/>
        </w:rPr>
        <w:t xml:space="preserve">Katz Group </w:t>
      </w:r>
      <w:r w:rsidRPr="008A666E">
        <w:rPr>
          <w:szCs w:val="24"/>
        </w:rPr>
        <w:t xml:space="preserve">used to determine whether subordinate legislation is </w:t>
      </w:r>
      <w:r w:rsidRPr="008A666E">
        <w:rPr>
          <w:i/>
          <w:szCs w:val="24"/>
        </w:rPr>
        <w:t>ultra vires</w:t>
      </w:r>
      <w:r w:rsidRPr="008A666E">
        <w:rPr>
          <w:szCs w:val="24"/>
        </w:rPr>
        <w:t xml:space="preserve"> on the basis that it is inconsistent with the purpose of the enabling statute — that it be irrelevant, extraneous or completely unrelated to that statutory purpose — is no longer applicable to this analysis.</w:t>
      </w:r>
      <w:r w:rsidRPr="008A666E">
        <w:t xml:space="preserve"> As well, the governing statutory scheme, other applicable statutory or common law, and the principles of statutory interpretation are particularly relevant constraints when determining whether subordinate legislation falls reasonably within the scope of the delegate’s authority. In the instant case, no exception to the presumption of reasonableness review applies and thus the reasonableness standard applies when reviewing the </w:t>
      </w:r>
      <w:r w:rsidRPr="008A666E">
        <w:rPr>
          <w:i/>
        </w:rPr>
        <w:t>vires</w:t>
      </w:r>
      <w:r w:rsidRPr="008A666E">
        <w:t xml:space="preserve"> of the </w:t>
      </w:r>
      <w:r w:rsidRPr="008A666E">
        <w:rPr>
          <w:i/>
        </w:rPr>
        <w:t>Linear Guidelines</w:t>
      </w:r>
      <w:r w:rsidRPr="008A666E">
        <w:t xml:space="preserve">. Having regard to the governing statutory scheme, the principles of statutory interpretation, and the common law rule against administrative discrimination, the </w:t>
      </w:r>
      <w:r w:rsidRPr="008A666E">
        <w:rPr>
          <w:i/>
        </w:rPr>
        <w:t>Linear Guidelines</w:t>
      </w:r>
      <w:r w:rsidRPr="008A666E">
        <w:t xml:space="preserve"> are </w:t>
      </w:r>
      <w:r w:rsidRPr="008A666E">
        <w:rPr>
          <w:i/>
        </w:rPr>
        <w:t>intra vires</w:t>
      </w:r>
      <w:r w:rsidRPr="008A666E">
        <w:t xml:space="preserve"> the Minister.</w:t>
      </w:r>
    </w:p>
    <w:p w:rsidR="002F4B55" w:rsidRPr="008A666E" w:rsidRDefault="002F4B55" w:rsidP="002F4B55">
      <w:pPr>
        <w:pStyle w:val="SCCNormalDoubleSpacing"/>
        <w:spacing w:after="480"/>
      </w:pPr>
      <w:r w:rsidRPr="008A666E">
        <w:tab/>
        <w:t>Administrative discrimination arises when subordinate legislation expressly distinguishes among the persons to whom its enabling legislation applies.</w:t>
      </w:r>
      <w:r w:rsidR="006F448D" w:rsidRPr="008A666E">
        <w:t xml:space="preserve"> </w:t>
      </w:r>
      <w:r w:rsidRPr="008A666E">
        <w:t xml:space="preserve">Administrative discrimination is different than discrimination in the context of the </w:t>
      </w:r>
      <w:r w:rsidRPr="008A666E">
        <w:rPr>
          <w:i/>
        </w:rPr>
        <w:t>Canadian Charter of Rights and Freedoms</w:t>
      </w:r>
      <w:r w:rsidRPr="008A666E">
        <w:t xml:space="preserve"> or human rights legislation. It relates to the drawing of distinctions between persons or classes that are discriminatory in a non-pejorative sense, in that they simply do not apply equally to all those engaged in the activity that is the subject of the enactment.</w:t>
      </w:r>
      <w:r w:rsidR="006F448D" w:rsidRPr="008A666E">
        <w:t xml:space="preserve"> </w:t>
      </w:r>
      <w:r w:rsidRPr="008A666E">
        <w:t xml:space="preserve">The common law rule against administrative discrimination provides that subordinate legislation that discriminates in the administrative law sense is invalid unless the discrimination is authorized — either expressly or by necessary implication — by the enabling statute. It is concerned with ensuring that statutory delegates act within the scope of their authority when they distinguish between the persons to whom the enabling legislation applies. The question of statutory authorization to discriminate falls within the reasonableness review to be conducted in a </w:t>
      </w:r>
      <w:r w:rsidRPr="008A666E">
        <w:rPr>
          <w:i/>
        </w:rPr>
        <w:t>vires</w:t>
      </w:r>
      <w:r w:rsidRPr="008A666E">
        <w:t xml:space="preserve"> challenge to subordinate legislation, unless the legislature has indicated otherwise or a question relating to the rule of law </w:t>
      </w:r>
      <w:r w:rsidR="00640413" w:rsidRPr="008A666E">
        <w:t xml:space="preserve">arises </w:t>
      </w:r>
      <w:r w:rsidRPr="008A666E">
        <w:t>which should be reviewed for correctness.</w:t>
      </w:r>
    </w:p>
    <w:p w:rsidR="002F4B55" w:rsidRPr="008A666E" w:rsidRDefault="002F4B55" w:rsidP="002F4B55">
      <w:pPr>
        <w:pStyle w:val="SCCNormalDoubleSpacing"/>
        <w:spacing w:after="480"/>
      </w:pPr>
      <w:r w:rsidRPr="008A666E">
        <w:tab/>
        <w:t xml:space="preserve">In the instant case, the </w:t>
      </w:r>
      <w:r w:rsidRPr="008A666E">
        <w:rPr>
          <w:i/>
        </w:rPr>
        <w:t>Linear Guidelines</w:t>
      </w:r>
      <w:r w:rsidRPr="008A666E">
        <w:t xml:space="preserve"> discriminate against TransAlta and other parties to off-coal agreements by singling them out as being ineligible to claim additional depreciation on the basis of the off-coal agreements. The fact that the </w:t>
      </w:r>
      <w:r w:rsidRPr="008A666E">
        <w:rPr>
          <w:i/>
        </w:rPr>
        <w:t>Linear Guidelines</w:t>
      </w:r>
      <w:r w:rsidRPr="008A666E">
        <w:t xml:space="preserve"> treat all parties to off-coal agreements in the same way does not mean that they are not discriminatory; they treat all parties to off-coal agreements in the same discriminatory way, as compared with owners of linear property who are not parties to off</w:t>
      </w:r>
      <w:r w:rsidR="0074244E" w:rsidRPr="008A666E">
        <w:noBreakHyphen/>
      </w:r>
      <w:r w:rsidRPr="008A666E">
        <w:t xml:space="preserve">coal agreements and expressly distinguish between owners of linear property who are parties to off-coal agreements and those who are not parties to such agreements, though both are subject to the </w:t>
      </w:r>
      <w:r w:rsidRPr="008A666E">
        <w:rPr>
          <w:i/>
        </w:rPr>
        <w:t>MGA</w:t>
      </w:r>
      <w:r w:rsidRPr="008A666E">
        <w:t>.</w:t>
      </w:r>
    </w:p>
    <w:p w:rsidR="002F4B55" w:rsidRPr="008A666E" w:rsidRDefault="002F4B55" w:rsidP="002F4B55">
      <w:pPr>
        <w:pStyle w:val="SCCNormalDoubleSpacing"/>
        <w:spacing w:after="480"/>
      </w:pPr>
      <w:r w:rsidRPr="008A666E">
        <w:tab/>
        <w:t xml:space="preserve">The </w:t>
      </w:r>
      <w:r w:rsidRPr="008A666E">
        <w:rPr>
          <w:i/>
        </w:rPr>
        <w:t>MGA</w:t>
      </w:r>
      <w:r w:rsidRPr="008A666E">
        <w:t xml:space="preserve"> does not expressly authorize the Minister to discriminate against TransAlta; </w:t>
      </w:r>
      <w:r w:rsidRPr="008A666E">
        <w:rPr>
          <w:szCs w:val="24"/>
        </w:rPr>
        <w:t>however, that discrimination is statutorily authorized by necessary implication. To ensure that the assessment of TransAlta’s coal</w:t>
      </w:r>
      <w:r w:rsidRPr="008A666E">
        <w:rPr>
          <w:szCs w:val="24"/>
        </w:rPr>
        <w:noBreakHyphen/>
        <w:t xml:space="preserve">fired facilities was current, correct, fair and equitable in accordance with the purpose of the </w:t>
      </w:r>
      <w:r w:rsidRPr="008A666E">
        <w:rPr>
          <w:i/>
          <w:iCs/>
          <w:szCs w:val="24"/>
        </w:rPr>
        <w:t>MGA</w:t>
      </w:r>
      <w:r w:rsidRPr="008A666E">
        <w:t xml:space="preserve">, </w:t>
      </w:r>
      <w:r w:rsidRPr="008A666E">
        <w:rPr>
          <w:szCs w:val="24"/>
        </w:rPr>
        <w:t xml:space="preserve">it falls within a reasonable interpretation of the Minister’s </w:t>
      </w:r>
      <w:r w:rsidRPr="008A666E">
        <w:t>statutory grant of power to conclude that he was authorized t</w:t>
      </w:r>
      <w:r w:rsidRPr="008A666E">
        <w:rPr>
          <w:szCs w:val="24"/>
        </w:rPr>
        <w:t>o deprive TransAlta of the ability to claim additional depreciation. Transition payments under the off</w:t>
      </w:r>
      <w:r w:rsidR="0074244E" w:rsidRPr="008A666E">
        <w:rPr>
          <w:szCs w:val="24"/>
        </w:rPr>
        <w:noBreakHyphen/>
      </w:r>
      <w:r w:rsidRPr="008A666E">
        <w:rPr>
          <w:szCs w:val="24"/>
        </w:rPr>
        <w:t>coal agreement account for some loss of value to TransAlta’s coal</w:t>
      </w:r>
      <w:r w:rsidRPr="008A666E">
        <w:rPr>
          <w:szCs w:val="24"/>
        </w:rPr>
        <w:noBreakHyphen/>
        <w:t>fired facilities due to their reduced life and the existence of the off</w:t>
      </w:r>
      <w:r w:rsidRPr="008A666E">
        <w:rPr>
          <w:szCs w:val="24"/>
        </w:rPr>
        <w:noBreakHyphen/>
        <w:t>coal agreement is a specification or characteristic of TransAlta’s coal</w:t>
      </w:r>
      <w:r w:rsidRPr="008A666E">
        <w:rPr>
          <w:szCs w:val="24"/>
        </w:rPr>
        <w:noBreakHyphen/>
        <w:t xml:space="preserve">fired facilities that the Minister was authorized to consider in establishing valuation standards for those facilities. </w:t>
      </w:r>
      <w:r w:rsidRPr="008A666E">
        <w:t xml:space="preserve">The </w:t>
      </w:r>
      <w:r w:rsidRPr="008A666E">
        <w:rPr>
          <w:i/>
        </w:rPr>
        <w:t>Linear Guidelines</w:t>
      </w:r>
      <w:r w:rsidRPr="008A666E">
        <w:t xml:space="preserve"> are consistent with the purposes of the </w:t>
      </w:r>
      <w:r w:rsidRPr="008A666E">
        <w:rPr>
          <w:i/>
        </w:rPr>
        <w:t>MGA</w:t>
      </w:r>
      <w:r w:rsidRPr="008A666E">
        <w:t xml:space="preserve"> and do not violate the common law rule against administrative discrimination; they are therefore </w:t>
      </w:r>
      <w:r w:rsidRPr="008A666E">
        <w:rPr>
          <w:i/>
        </w:rPr>
        <w:t>intra vires</w:t>
      </w:r>
      <w:r w:rsidRPr="008A666E">
        <w:t xml:space="preserve"> the Minister.</w:t>
      </w:r>
    </w:p>
    <w:p w:rsidR="007E1C47" w:rsidRPr="008A666E" w:rsidRDefault="002E6705" w:rsidP="001660F1">
      <w:pPr>
        <w:pStyle w:val="SCCNormalDoubleSpacing"/>
        <w:spacing w:after="720" w:line="240" w:lineRule="auto"/>
        <w:rPr>
          <w:b/>
        </w:rPr>
      </w:pPr>
      <w:r w:rsidRPr="008A666E">
        <w:rPr>
          <w:b/>
        </w:rPr>
        <w:t>Cases Cited</w:t>
      </w:r>
    </w:p>
    <w:p w:rsidR="004E2C26" w:rsidRPr="008A666E" w:rsidRDefault="002E6705" w:rsidP="00344062">
      <w:pPr>
        <w:pStyle w:val="SCCNormalDoubleSpacing"/>
        <w:widowControl w:val="0"/>
        <w:spacing w:after="480"/>
      </w:pPr>
      <w:r w:rsidRPr="008A666E">
        <w:tab/>
      </w:r>
      <w:r w:rsidR="00DA32BC" w:rsidRPr="008A666E">
        <w:rPr>
          <w:b/>
        </w:rPr>
        <w:t>Applied:</w:t>
      </w:r>
      <w:r w:rsidR="00DA32BC" w:rsidRPr="008A666E">
        <w:t xml:space="preserve"> </w:t>
      </w:r>
      <w:r w:rsidR="0027270B" w:rsidRPr="008A666E">
        <w:rPr>
          <w:i/>
          <w:iCs/>
          <w:szCs w:val="24"/>
        </w:rPr>
        <w:t>Auer v. Auer</w:t>
      </w:r>
      <w:r w:rsidR="0027270B" w:rsidRPr="008A666E">
        <w:rPr>
          <w:szCs w:val="24"/>
        </w:rPr>
        <w:t xml:space="preserve">, 2024 SCC </w:t>
      </w:r>
      <w:r w:rsidR="00694CAF" w:rsidRPr="008A666E">
        <w:rPr>
          <w:szCs w:val="24"/>
        </w:rPr>
        <w:t>36</w:t>
      </w:r>
      <w:r w:rsidR="0027270B" w:rsidRPr="008A666E">
        <w:rPr>
          <w:szCs w:val="24"/>
        </w:rPr>
        <w:t>;</w:t>
      </w:r>
      <w:r w:rsidR="0027270B" w:rsidRPr="008A666E">
        <w:rPr>
          <w:i/>
          <w:iCs/>
          <w:szCs w:val="24"/>
        </w:rPr>
        <w:t xml:space="preserve"> </w:t>
      </w:r>
      <w:r w:rsidR="00875234" w:rsidRPr="008A666E">
        <w:rPr>
          <w:b/>
        </w:rPr>
        <w:t>referred to:</w:t>
      </w:r>
      <w:r w:rsidR="00875234" w:rsidRPr="008A666E">
        <w:t xml:space="preserve"> </w:t>
      </w:r>
      <w:r w:rsidR="00155126" w:rsidRPr="008A666E">
        <w:rPr>
          <w:i/>
          <w:iCs/>
          <w:szCs w:val="24"/>
        </w:rPr>
        <w:t>Canada (Minister of Citizenship and Immigration) v. Vavilov</w:t>
      </w:r>
      <w:r w:rsidR="00155126" w:rsidRPr="008A666E">
        <w:rPr>
          <w:szCs w:val="24"/>
        </w:rPr>
        <w:t xml:space="preserve">, 2019 SCC 65, [2019] 4 S.C.R. 653; </w:t>
      </w:r>
      <w:r w:rsidR="00A74028" w:rsidRPr="008A666E">
        <w:rPr>
          <w:i/>
          <w:iCs/>
        </w:rPr>
        <w:t>Edmonton (City) v. Edmonton East (</w:t>
      </w:r>
      <w:proofErr w:type="spellStart"/>
      <w:r w:rsidR="00A74028" w:rsidRPr="008A666E">
        <w:rPr>
          <w:i/>
          <w:iCs/>
        </w:rPr>
        <w:t>Capilano</w:t>
      </w:r>
      <w:proofErr w:type="spellEnd"/>
      <w:r w:rsidR="00A74028" w:rsidRPr="008A666E">
        <w:rPr>
          <w:i/>
          <w:iCs/>
        </w:rPr>
        <w:t>) Shopping Centres Ltd.</w:t>
      </w:r>
      <w:r w:rsidR="00A74028" w:rsidRPr="008A666E">
        <w:t>, 2016 SCC 47</w:t>
      </w:r>
      <w:r w:rsidR="00A74028" w:rsidRPr="008A666E">
        <w:rPr>
          <w:szCs w:val="24"/>
        </w:rPr>
        <w:t xml:space="preserve">, [2016] 2 S.C.R. 293; </w:t>
      </w:r>
      <w:r w:rsidR="003073A2" w:rsidRPr="008A666E">
        <w:rPr>
          <w:i/>
          <w:iCs/>
        </w:rPr>
        <w:t>Katz Group Canada Inc. v. Ontario (Health and Long</w:t>
      </w:r>
      <w:r w:rsidR="003073A2" w:rsidRPr="008A666E">
        <w:rPr>
          <w:i/>
          <w:iCs/>
        </w:rPr>
        <w:noBreakHyphen/>
        <w:t>Term Care)</w:t>
      </w:r>
      <w:r w:rsidR="003073A2" w:rsidRPr="008A666E">
        <w:t>, 2013 SCC 64</w:t>
      </w:r>
      <w:r w:rsidR="003073A2" w:rsidRPr="008A666E">
        <w:rPr>
          <w:szCs w:val="24"/>
        </w:rPr>
        <w:t xml:space="preserve">, [2013] 3 S.C.R. 810; </w:t>
      </w:r>
      <w:r w:rsidR="007D2D4E" w:rsidRPr="008A666E">
        <w:rPr>
          <w:i/>
          <w:iCs/>
          <w:szCs w:val="24"/>
        </w:rPr>
        <w:t>References re Greenhouse Gas Pollution Pricing Act</w:t>
      </w:r>
      <w:r w:rsidR="007D2D4E" w:rsidRPr="008A666E">
        <w:rPr>
          <w:szCs w:val="24"/>
        </w:rPr>
        <w:t xml:space="preserve">, 2021 SCC 11, [2021] 1 S.C.R. 175; </w:t>
      </w:r>
      <w:r w:rsidR="008D5CDD" w:rsidRPr="008A666E">
        <w:rPr>
          <w:i/>
          <w:iCs/>
          <w:szCs w:val="24"/>
        </w:rPr>
        <w:t>Reference re</w:t>
      </w:r>
      <w:r w:rsidR="008D5CDD" w:rsidRPr="008A666E">
        <w:rPr>
          <w:szCs w:val="24"/>
        </w:rPr>
        <w:t xml:space="preserve"> </w:t>
      </w:r>
      <w:r w:rsidR="008D5CDD" w:rsidRPr="008A666E">
        <w:rPr>
          <w:i/>
          <w:iCs/>
          <w:szCs w:val="24"/>
        </w:rPr>
        <w:t>Impact Assessment Act</w:t>
      </w:r>
      <w:r w:rsidR="008D5CDD" w:rsidRPr="008A666E">
        <w:rPr>
          <w:szCs w:val="24"/>
        </w:rPr>
        <w:t xml:space="preserve">, 2023 SCC 23; </w:t>
      </w:r>
      <w:r w:rsidR="00FF260E" w:rsidRPr="008A666E">
        <w:rPr>
          <w:i/>
          <w:iCs/>
          <w:szCs w:val="24"/>
        </w:rPr>
        <w:t>Canadian Council for Refugees v. Canada (Citizenship and Immigration)</w:t>
      </w:r>
      <w:r w:rsidR="00FF260E" w:rsidRPr="008A666E">
        <w:rPr>
          <w:szCs w:val="24"/>
        </w:rPr>
        <w:t xml:space="preserve">, 2023 SCC 17; </w:t>
      </w:r>
      <w:r w:rsidR="00FE518B" w:rsidRPr="008A666E">
        <w:rPr>
          <w:i/>
          <w:iCs/>
          <w:szCs w:val="24"/>
        </w:rPr>
        <w:t>Green v. Law Society of Manitoba</w:t>
      </w:r>
      <w:r w:rsidR="00FE518B" w:rsidRPr="008A666E">
        <w:rPr>
          <w:szCs w:val="24"/>
        </w:rPr>
        <w:t xml:space="preserve">, 2017 SCC 20, [2017] 1 S.C.R. 360; </w:t>
      </w:r>
      <w:r w:rsidR="005A2077" w:rsidRPr="008A666E">
        <w:rPr>
          <w:i/>
          <w:iCs/>
          <w:szCs w:val="24"/>
        </w:rPr>
        <w:t>West Fraser Mills Ltd. v. British Columbia (Workers’ Compensation Appeal Tribunal)</w:t>
      </w:r>
      <w:r w:rsidR="005A2077" w:rsidRPr="008A666E">
        <w:rPr>
          <w:szCs w:val="24"/>
        </w:rPr>
        <w:t xml:space="preserve">, 2018 SCC 22, [2018] 1 S.C.R. 635; </w:t>
      </w:r>
      <w:r w:rsidR="00DA2BE3" w:rsidRPr="008A666E">
        <w:rPr>
          <w:i/>
          <w:iCs/>
          <w:szCs w:val="24"/>
        </w:rPr>
        <w:t>La Rose v. Canada</w:t>
      </w:r>
      <w:r w:rsidR="00DA2BE3" w:rsidRPr="008A666E">
        <w:rPr>
          <w:szCs w:val="24"/>
        </w:rPr>
        <w:t xml:space="preserve">, 2023 FCA 241, 488 D.L.R. (4th) 340; </w:t>
      </w:r>
      <w:r w:rsidR="007B0E91" w:rsidRPr="008A666E">
        <w:rPr>
          <w:i/>
          <w:iCs/>
          <w:szCs w:val="24"/>
        </w:rPr>
        <w:t>Rizzo &amp; Rizzo Shoes Ltd. (Re)</w:t>
      </w:r>
      <w:r w:rsidR="007B0E91" w:rsidRPr="008A666E">
        <w:rPr>
          <w:szCs w:val="24"/>
        </w:rPr>
        <w:t xml:space="preserve">, [1998] 1 S.C.R. 27; </w:t>
      </w:r>
      <w:r w:rsidR="00376E5A" w:rsidRPr="008A666E">
        <w:rPr>
          <w:i/>
          <w:iCs/>
        </w:rPr>
        <w:t xml:space="preserve">Fédération des producteurs de fruits et </w:t>
      </w:r>
      <w:proofErr w:type="spellStart"/>
      <w:r w:rsidR="00376E5A" w:rsidRPr="008A666E">
        <w:rPr>
          <w:i/>
          <w:iCs/>
        </w:rPr>
        <w:t>légumes</w:t>
      </w:r>
      <w:proofErr w:type="spellEnd"/>
      <w:r w:rsidR="00376E5A" w:rsidRPr="008A666E">
        <w:rPr>
          <w:i/>
          <w:iCs/>
        </w:rPr>
        <w:t xml:space="preserve"> du Québec v. </w:t>
      </w:r>
      <w:proofErr w:type="spellStart"/>
      <w:r w:rsidR="00376E5A" w:rsidRPr="008A666E">
        <w:rPr>
          <w:i/>
          <w:iCs/>
        </w:rPr>
        <w:t>Conserverie</w:t>
      </w:r>
      <w:proofErr w:type="spellEnd"/>
      <w:r w:rsidR="00376E5A" w:rsidRPr="008A666E">
        <w:rPr>
          <w:i/>
          <w:iCs/>
        </w:rPr>
        <w:t xml:space="preserve"> </w:t>
      </w:r>
      <w:proofErr w:type="spellStart"/>
      <w:r w:rsidR="00376E5A" w:rsidRPr="008A666E">
        <w:rPr>
          <w:i/>
          <w:iCs/>
        </w:rPr>
        <w:t>canadienne</w:t>
      </w:r>
      <w:proofErr w:type="spellEnd"/>
      <w:r w:rsidR="00376E5A" w:rsidRPr="008A666E">
        <w:rPr>
          <w:i/>
          <w:iCs/>
        </w:rPr>
        <w:t xml:space="preserve"> </w:t>
      </w:r>
      <w:proofErr w:type="spellStart"/>
      <w:r w:rsidR="00376E5A" w:rsidRPr="008A666E">
        <w:rPr>
          <w:i/>
          <w:iCs/>
        </w:rPr>
        <w:t>Ltée</w:t>
      </w:r>
      <w:proofErr w:type="spellEnd"/>
      <w:r w:rsidR="00376E5A" w:rsidRPr="008A666E">
        <w:t xml:space="preserve">, [1990] R.J.Q. 2866; </w:t>
      </w:r>
      <w:r w:rsidR="00BF0C9F" w:rsidRPr="008A666E">
        <w:rPr>
          <w:i/>
          <w:iCs/>
        </w:rPr>
        <w:t>Sunshine Village Corp. v. Canada (Parks)</w:t>
      </w:r>
      <w:r w:rsidR="00BF0C9F" w:rsidRPr="008A666E">
        <w:t xml:space="preserve">, 2004 FCA 166, [2004] 3 F.C.R. 600; </w:t>
      </w:r>
      <w:r w:rsidR="00DF4B69" w:rsidRPr="008A666E">
        <w:rPr>
          <w:i/>
          <w:iCs/>
        </w:rPr>
        <w:t>Montréal (City of) v. Arcade Amusements Inc.</w:t>
      </w:r>
      <w:r w:rsidR="00DF4B69" w:rsidRPr="008A666E">
        <w:t xml:space="preserve">, [1985] 1 S.C.R. 368; </w:t>
      </w:r>
      <w:r w:rsidR="00CF1C3B" w:rsidRPr="008A666E">
        <w:rPr>
          <w:i/>
          <w:iCs/>
        </w:rPr>
        <w:t>Forget v. Quebec (Attorney General)</w:t>
      </w:r>
      <w:r w:rsidR="00CF1C3B" w:rsidRPr="008A666E">
        <w:t xml:space="preserve">, [1988] 2 S.C.R. 90; </w:t>
      </w:r>
      <w:r w:rsidR="009402EF" w:rsidRPr="008A666E">
        <w:rPr>
          <w:i/>
          <w:iCs/>
        </w:rPr>
        <w:t>Shell Canada Products Ltd. v. Vancouver (City)</w:t>
      </w:r>
      <w:r w:rsidR="009402EF" w:rsidRPr="008A666E">
        <w:t>, [1994] 1 S.C.R. 231</w:t>
      </w:r>
      <w:r w:rsidR="00E93652" w:rsidRPr="008A666E">
        <w:t>;</w:t>
      </w:r>
      <w:r w:rsidR="00E93652" w:rsidRPr="008A666E">
        <w:rPr>
          <w:i/>
          <w:iCs/>
        </w:rPr>
        <w:t xml:space="preserve"> Edmonton (City) v. Army &amp; Navy Department Stores Ltd.</w:t>
      </w:r>
      <w:r w:rsidR="00E93652" w:rsidRPr="008A666E">
        <w:t>, [2002] A.M.G.B.O. No. 126 (QL)</w:t>
      </w:r>
      <w:r w:rsidR="00B32127" w:rsidRPr="008A666E">
        <w:t>.</w:t>
      </w:r>
    </w:p>
    <w:p w:rsidR="003B215F" w:rsidRPr="008A666E" w:rsidRDefault="002E6705" w:rsidP="001660F1">
      <w:pPr>
        <w:pStyle w:val="SCCNormalDoubleSpacing"/>
        <w:spacing w:after="720" w:line="240" w:lineRule="auto"/>
      </w:pPr>
      <w:r w:rsidRPr="008A666E">
        <w:rPr>
          <w:b/>
        </w:rPr>
        <w:t>Statutes and Regulations Cite</w:t>
      </w:r>
      <w:r w:rsidR="00A41805" w:rsidRPr="008A666E">
        <w:rPr>
          <w:b/>
        </w:rPr>
        <w:t>d</w:t>
      </w:r>
    </w:p>
    <w:p w:rsidR="00D862E3" w:rsidRPr="008A666E" w:rsidRDefault="00D862E3" w:rsidP="00344062">
      <w:pPr>
        <w:pStyle w:val="SCCNormalDoubleSpacing"/>
        <w:spacing w:after="240" w:line="240" w:lineRule="auto"/>
        <w:ind w:left="539" w:hanging="539"/>
        <w:rPr>
          <w:iCs/>
          <w:szCs w:val="24"/>
        </w:rPr>
      </w:pPr>
      <w:r w:rsidRPr="008A666E">
        <w:rPr>
          <w:i/>
          <w:iCs/>
        </w:rPr>
        <w:t>Canadian Charter</w:t>
      </w:r>
      <w:r w:rsidRPr="008A666E">
        <w:rPr>
          <w:i/>
          <w:iCs/>
          <w:color w:val="000000"/>
          <w:szCs w:val="24"/>
        </w:rPr>
        <w:t xml:space="preserve"> </w:t>
      </w:r>
      <w:r w:rsidRPr="008A666E">
        <w:rPr>
          <w:i/>
          <w:iCs/>
        </w:rPr>
        <w:t>of Rights and Freedoms</w:t>
      </w:r>
      <w:r w:rsidRPr="008A666E">
        <w:rPr>
          <w:iCs/>
        </w:rPr>
        <w:t>.</w:t>
      </w:r>
    </w:p>
    <w:p w:rsidR="00542890" w:rsidRPr="008A666E" w:rsidRDefault="00542890" w:rsidP="00344062">
      <w:pPr>
        <w:pStyle w:val="SCCNormalDoubleSpacing"/>
        <w:spacing w:after="240" w:line="240" w:lineRule="auto"/>
        <w:ind w:left="539" w:hanging="539"/>
        <w:rPr>
          <w:i/>
          <w:iCs/>
          <w:szCs w:val="24"/>
        </w:rPr>
      </w:pPr>
      <w:r w:rsidRPr="008A666E">
        <w:rPr>
          <w:i/>
          <w:iCs/>
          <w:szCs w:val="24"/>
        </w:rPr>
        <w:t>Matters Relating to Assessment and Taxation Regulation</w:t>
      </w:r>
      <w:r w:rsidRPr="008A666E">
        <w:rPr>
          <w:szCs w:val="24"/>
        </w:rPr>
        <w:t>, Alta. Reg. 220/2004, s. 8(2).</w:t>
      </w:r>
    </w:p>
    <w:p w:rsidR="00D8161E" w:rsidRPr="008A666E" w:rsidRDefault="00344062" w:rsidP="00344062">
      <w:pPr>
        <w:pStyle w:val="SCCNormalDoubleSpacing"/>
        <w:spacing w:after="240" w:line="240" w:lineRule="auto"/>
        <w:ind w:left="539" w:hanging="539"/>
        <w:rPr>
          <w:i/>
          <w:iCs/>
          <w:szCs w:val="24"/>
        </w:rPr>
      </w:pPr>
      <w:r w:rsidRPr="008A666E">
        <w:t>Ministerial Order No. MAG</w:t>
      </w:r>
      <w:proofErr w:type="gramStart"/>
      <w:r w:rsidRPr="008A666E">
        <w:t>:021</w:t>
      </w:r>
      <w:proofErr w:type="gramEnd"/>
      <w:r w:rsidRPr="008A666E">
        <w:t>/17, December </w:t>
      </w:r>
      <w:r w:rsidR="00D8161E" w:rsidRPr="008A666E">
        <w:t>19, 2017.</w:t>
      </w:r>
    </w:p>
    <w:p w:rsidR="00A149DF" w:rsidRPr="008A666E" w:rsidRDefault="00BA4174" w:rsidP="001660F1">
      <w:pPr>
        <w:pStyle w:val="SCCNormalDoubleSpacing"/>
        <w:spacing w:after="720" w:line="240" w:lineRule="auto"/>
        <w:ind w:left="540" w:hanging="540"/>
      </w:pPr>
      <w:r w:rsidRPr="008A666E">
        <w:rPr>
          <w:i/>
          <w:iCs/>
          <w:szCs w:val="24"/>
        </w:rPr>
        <w:t>Municipal Government Act</w:t>
      </w:r>
      <w:r w:rsidRPr="008A666E">
        <w:rPr>
          <w:szCs w:val="24"/>
        </w:rPr>
        <w:t>, R.S.A. 2000, c. M</w:t>
      </w:r>
      <w:r w:rsidRPr="008A666E">
        <w:rPr>
          <w:szCs w:val="24"/>
        </w:rPr>
        <w:noBreakHyphen/>
        <w:t>26</w:t>
      </w:r>
      <w:r w:rsidR="008431BB" w:rsidRPr="008A666E">
        <w:rPr>
          <w:szCs w:val="24"/>
        </w:rPr>
        <w:t>, ss. </w:t>
      </w:r>
      <w:r w:rsidR="000C5DC0" w:rsidRPr="008A666E">
        <w:rPr>
          <w:szCs w:val="24"/>
        </w:rPr>
        <w:t>1(1</w:t>
      </w:r>
      <w:proofErr w:type="gramStart"/>
      <w:r w:rsidR="000C5DC0" w:rsidRPr="008A666E">
        <w:rPr>
          <w:szCs w:val="24"/>
        </w:rPr>
        <w:t>)(</w:t>
      </w:r>
      <w:proofErr w:type="gramEnd"/>
      <w:r w:rsidR="000C5DC0" w:rsidRPr="008A666E">
        <w:rPr>
          <w:szCs w:val="24"/>
        </w:rPr>
        <w:t xml:space="preserve">n), </w:t>
      </w:r>
      <w:r w:rsidR="008431BB" w:rsidRPr="008A666E">
        <w:rPr>
          <w:szCs w:val="24"/>
        </w:rPr>
        <w:t>284(1)</w:t>
      </w:r>
      <w:r w:rsidR="000C5DC0" w:rsidRPr="008A666E">
        <w:t>(c)</w:t>
      </w:r>
      <w:r w:rsidR="00DD12E0" w:rsidRPr="008A666E">
        <w:t>,</w:t>
      </w:r>
      <w:r w:rsidR="00D13A4C" w:rsidRPr="008A666E">
        <w:t xml:space="preserve"> </w:t>
      </w:r>
      <w:r w:rsidR="00DD12E0" w:rsidRPr="008A666E">
        <w:t>(f.01)</w:t>
      </w:r>
      <w:r w:rsidR="000C5DC0" w:rsidRPr="008A666E">
        <w:t>,</w:t>
      </w:r>
      <w:r w:rsidR="000C5DC0" w:rsidRPr="008A666E">
        <w:rPr>
          <w:szCs w:val="24"/>
        </w:rPr>
        <w:t xml:space="preserve"> </w:t>
      </w:r>
      <w:r w:rsidR="008431BB" w:rsidRPr="008A666E">
        <w:rPr>
          <w:szCs w:val="24"/>
        </w:rPr>
        <w:t>(k)</w:t>
      </w:r>
      <w:r w:rsidR="00755D11" w:rsidRPr="008A666E">
        <w:rPr>
          <w:szCs w:val="24"/>
        </w:rPr>
        <w:t>, 292(1), (2)</w:t>
      </w:r>
      <w:r w:rsidR="00A37A58" w:rsidRPr="008A666E">
        <w:rPr>
          <w:szCs w:val="24"/>
        </w:rPr>
        <w:t>, 322, 322.1</w:t>
      </w:r>
      <w:r w:rsidRPr="008A666E">
        <w:rPr>
          <w:szCs w:val="24"/>
        </w:rPr>
        <w:t>.</w:t>
      </w:r>
    </w:p>
    <w:p w:rsidR="002E6705" w:rsidRPr="008A666E" w:rsidRDefault="002E6705" w:rsidP="001660F1">
      <w:pPr>
        <w:pStyle w:val="SCCNormalDoubleSpacing"/>
        <w:spacing w:after="720" w:line="240" w:lineRule="auto"/>
        <w:rPr>
          <w:b/>
        </w:rPr>
      </w:pPr>
      <w:r w:rsidRPr="008A666E">
        <w:rPr>
          <w:b/>
        </w:rPr>
        <w:t>Authors Cited</w:t>
      </w:r>
    </w:p>
    <w:p w:rsidR="00A149DF" w:rsidRPr="008A666E" w:rsidRDefault="00430EA5" w:rsidP="00344062">
      <w:pPr>
        <w:pStyle w:val="SCCNormalDoubleSpacing"/>
        <w:spacing w:after="240" w:line="240" w:lineRule="auto"/>
        <w:ind w:left="539" w:hanging="539"/>
        <w:rPr>
          <w:iCs/>
          <w:szCs w:val="24"/>
        </w:rPr>
      </w:pPr>
      <w:r w:rsidRPr="008A666E">
        <w:rPr>
          <w:szCs w:val="24"/>
        </w:rPr>
        <w:t xml:space="preserve">Alberta. </w:t>
      </w:r>
      <w:r w:rsidRPr="008A666E">
        <w:rPr>
          <w:i/>
          <w:szCs w:val="24"/>
        </w:rPr>
        <w:t>2017</w:t>
      </w:r>
      <w:r w:rsidRPr="008A666E">
        <w:rPr>
          <w:szCs w:val="24"/>
        </w:rPr>
        <w:t xml:space="preserve"> </w:t>
      </w:r>
      <w:r w:rsidRPr="008A666E">
        <w:rPr>
          <w:i/>
          <w:iCs/>
          <w:szCs w:val="24"/>
        </w:rPr>
        <w:t>Alberta Linear Property Assessment Minister’s Guidelines</w:t>
      </w:r>
      <w:r w:rsidRPr="008A666E">
        <w:rPr>
          <w:iCs/>
          <w:szCs w:val="24"/>
        </w:rPr>
        <w:t>. Edmonton, 2018.</w:t>
      </w:r>
    </w:p>
    <w:p w:rsidR="004225CE" w:rsidRPr="008A666E" w:rsidRDefault="004225CE" w:rsidP="00344062">
      <w:pPr>
        <w:pStyle w:val="SCCNormalDoubleSpacing"/>
        <w:spacing w:after="240" w:line="240" w:lineRule="auto"/>
        <w:ind w:left="539" w:hanging="539"/>
        <w:rPr>
          <w:iCs/>
          <w:szCs w:val="24"/>
        </w:rPr>
      </w:pPr>
      <w:r w:rsidRPr="008A666E">
        <w:t>Alberta Municipal Affairs</w:t>
      </w:r>
      <w:r w:rsidR="00ED2F8A" w:rsidRPr="008A666E">
        <w:t>.</w:t>
      </w:r>
      <w:r w:rsidRPr="008A666E">
        <w:t xml:space="preserve"> </w:t>
      </w:r>
      <w:r w:rsidRPr="008A666E">
        <w:rPr>
          <w:i/>
          <w:iCs/>
        </w:rPr>
        <w:t>Guide to Property Assessment and Taxation in Alberta</w:t>
      </w:r>
      <w:r w:rsidRPr="008A666E">
        <w:rPr>
          <w:iCs/>
        </w:rPr>
        <w:t xml:space="preserve">. </w:t>
      </w:r>
      <w:r w:rsidRPr="008A666E">
        <w:t>Edmonton, 2018.</w:t>
      </w:r>
    </w:p>
    <w:p w:rsidR="002171C5" w:rsidRPr="008A666E" w:rsidRDefault="002171C5" w:rsidP="00344062">
      <w:pPr>
        <w:pStyle w:val="SCCNormalDoubleSpacing"/>
        <w:spacing w:after="240" w:line="240" w:lineRule="auto"/>
        <w:ind w:left="539" w:hanging="539"/>
        <w:rPr>
          <w:iCs/>
          <w:szCs w:val="24"/>
        </w:rPr>
      </w:pPr>
      <w:r w:rsidRPr="008A666E">
        <w:rPr>
          <w:szCs w:val="24"/>
        </w:rPr>
        <w:t xml:space="preserve">Keyes, John Mark. </w:t>
      </w:r>
      <w:r w:rsidRPr="008A666E">
        <w:rPr>
          <w:i/>
          <w:iCs/>
          <w:szCs w:val="24"/>
        </w:rPr>
        <w:t>Executive Legislation</w:t>
      </w:r>
      <w:r w:rsidRPr="008A666E">
        <w:rPr>
          <w:szCs w:val="24"/>
        </w:rPr>
        <w:t>, 3rd</w:t>
      </w:r>
      <w:r w:rsidR="0074244E" w:rsidRPr="008A666E">
        <w:rPr>
          <w:szCs w:val="24"/>
        </w:rPr>
        <w:t xml:space="preserve"> </w:t>
      </w:r>
      <w:r w:rsidRPr="008A666E">
        <w:rPr>
          <w:szCs w:val="24"/>
        </w:rPr>
        <w:t xml:space="preserve">ed. </w:t>
      </w:r>
      <w:r w:rsidR="00344062" w:rsidRPr="008A666E">
        <w:rPr>
          <w:color w:val="000000"/>
        </w:rPr>
        <w:t xml:space="preserve">Toronto: LexisNexis, </w:t>
      </w:r>
      <w:r w:rsidRPr="008A666E">
        <w:rPr>
          <w:szCs w:val="24"/>
        </w:rPr>
        <w:t>2021.</w:t>
      </w:r>
    </w:p>
    <w:p w:rsidR="00811884" w:rsidRPr="008A666E" w:rsidRDefault="00811884" w:rsidP="00344062">
      <w:pPr>
        <w:pStyle w:val="SCCNormalDoubleSpacing"/>
        <w:spacing w:after="240" w:line="240" w:lineRule="auto"/>
        <w:ind w:left="539" w:hanging="539"/>
        <w:rPr>
          <w:szCs w:val="24"/>
        </w:rPr>
      </w:pPr>
      <w:r w:rsidRPr="008A666E">
        <w:rPr>
          <w:szCs w:val="24"/>
        </w:rPr>
        <w:t xml:space="preserve">Mancini, </w:t>
      </w:r>
      <w:r w:rsidR="00344062" w:rsidRPr="008A666E">
        <w:rPr>
          <w:szCs w:val="24"/>
        </w:rPr>
        <w:t>Mark </w:t>
      </w:r>
      <w:r w:rsidRPr="008A666E">
        <w:rPr>
          <w:szCs w:val="24"/>
        </w:rPr>
        <w:t xml:space="preserve">P. “One Rule to Rule Them All: Subordinate Legislation and the Law of Judicial Review” (2024), 55 </w:t>
      </w:r>
      <w:r w:rsidRPr="008A666E">
        <w:rPr>
          <w:i/>
          <w:iCs/>
          <w:szCs w:val="24"/>
        </w:rPr>
        <w:t>Ottawa L. Rev.</w:t>
      </w:r>
      <w:r w:rsidRPr="008A666E">
        <w:rPr>
          <w:szCs w:val="24"/>
        </w:rPr>
        <w:t xml:space="preserve"> 245.</w:t>
      </w:r>
    </w:p>
    <w:p w:rsidR="000E206C" w:rsidRPr="008A666E" w:rsidRDefault="000E206C" w:rsidP="0074244E">
      <w:pPr>
        <w:pStyle w:val="SCCNormalDoubleSpacing"/>
        <w:spacing w:after="720" w:line="240" w:lineRule="auto"/>
        <w:ind w:left="539" w:hanging="539"/>
      </w:pPr>
      <w:proofErr w:type="spellStart"/>
      <w:r w:rsidRPr="008A666E">
        <w:t>Salembier</w:t>
      </w:r>
      <w:proofErr w:type="spellEnd"/>
      <w:r w:rsidRPr="008A666E">
        <w:t xml:space="preserve">, Paul. </w:t>
      </w:r>
      <w:r w:rsidRPr="008A666E">
        <w:rPr>
          <w:i/>
          <w:iCs/>
        </w:rPr>
        <w:t>Regulatory Law and Practice</w:t>
      </w:r>
      <w:r w:rsidRPr="008A666E">
        <w:t xml:space="preserve">, </w:t>
      </w:r>
      <w:r w:rsidR="00344062" w:rsidRPr="008A666E">
        <w:t xml:space="preserve">3rd </w:t>
      </w:r>
      <w:r w:rsidRPr="008A666E">
        <w:t xml:space="preserve">ed. </w:t>
      </w:r>
      <w:r w:rsidRPr="008A666E">
        <w:rPr>
          <w:color w:val="000000"/>
        </w:rPr>
        <w:t xml:space="preserve">Toronto: </w:t>
      </w:r>
      <w:r w:rsidR="00344062" w:rsidRPr="008A666E">
        <w:rPr>
          <w:color w:val="000000"/>
        </w:rPr>
        <w:t xml:space="preserve">LexisNexis, </w:t>
      </w:r>
      <w:r w:rsidRPr="008A666E">
        <w:t>2021.</w:t>
      </w:r>
    </w:p>
    <w:p w:rsidR="00656313" w:rsidRPr="008A666E" w:rsidRDefault="009B57B3" w:rsidP="004C0FA7">
      <w:pPr>
        <w:pStyle w:val="SCCNormalDoubleSpacing"/>
        <w:spacing w:after="720"/>
      </w:pPr>
      <w:r w:rsidRPr="008A666E">
        <w:tab/>
        <w:t xml:space="preserve">APPEAL from a judgment of the </w:t>
      </w:r>
      <w:r w:rsidR="004110FB" w:rsidRPr="008A666E">
        <w:t xml:space="preserve">Alberta </w:t>
      </w:r>
      <w:r w:rsidRPr="008A666E">
        <w:t>Cour</w:t>
      </w:r>
      <w:r w:rsidR="004110FB" w:rsidRPr="008A666E">
        <w:t>t of Appeal (</w:t>
      </w:r>
      <w:r w:rsidR="004D1189" w:rsidRPr="008A666E">
        <w:t>Martin, Hughes and Kirker</w:t>
      </w:r>
      <w:r w:rsidR="0074244E" w:rsidRPr="008A666E">
        <w:t> </w:t>
      </w:r>
      <w:r w:rsidR="004110FB" w:rsidRPr="008A666E">
        <w:t xml:space="preserve">JJ.A.), </w:t>
      </w:r>
      <w:hyperlink r:id="rId9" w:history="1">
        <w:r w:rsidR="009C4CC0" w:rsidRPr="008A666E">
          <w:rPr>
            <w:rStyle w:val="Hyperlink"/>
          </w:rPr>
          <w:t>2022 ABCA 381</w:t>
        </w:r>
      </w:hyperlink>
      <w:r w:rsidR="0043162D" w:rsidRPr="008A666E">
        <w:t xml:space="preserve">, [2022] A.J. No. 1393 (Lexis), 2022 </w:t>
      </w:r>
      <w:proofErr w:type="spellStart"/>
      <w:r w:rsidR="0043162D" w:rsidRPr="008A666E">
        <w:t>CarswellAlta</w:t>
      </w:r>
      <w:proofErr w:type="spellEnd"/>
      <w:r w:rsidR="0043162D" w:rsidRPr="008A666E">
        <w:t xml:space="preserve"> 3387 (WL), affirming a decision of Price</w:t>
      </w:r>
      <w:r w:rsidR="0074244E" w:rsidRPr="008A666E">
        <w:t> </w:t>
      </w:r>
      <w:r w:rsidR="0043162D" w:rsidRPr="008A666E">
        <w:t xml:space="preserve">J., 2021 ABQB 37, [2021] A.J. No. 115 (Lexis), 2021 </w:t>
      </w:r>
      <w:proofErr w:type="spellStart"/>
      <w:r w:rsidR="0043162D" w:rsidRPr="008A666E">
        <w:t>CarswellAlta</w:t>
      </w:r>
      <w:proofErr w:type="spellEnd"/>
      <w:r w:rsidR="0043162D" w:rsidRPr="008A666E">
        <w:t xml:space="preserve"> 174 (WL)</w:t>
      </w:r>
      <w:r w:rsidR="001B4A5A" w:rsidRPr="008A666E">
        <w:t xml:space="preserve">. Appeal </w:t>
      </w:r>
      <w:r w:rsidR="00833320" w:rsidRPr="008A666E">
        <w:t>dismissed</w:t>
      </w:r>
      <w:r w:rsidR="001B4A5A" w:rsidRPr="008A666E">
        <w:t>.</w:t>
      </w:r>
    </w:p>
    <w:p w:rsidR="00A13AF5" w:rsidRPr="008A666E" w:rsidRDefault="001B4A5A" w:rsidP="001660F1">
      <w:pPr>
        <w:pStyle w:val="SCCNormalDoubleSpacing"/>
        <w:spacing w:after="480"/>
      </w:pPr>
      <w:r w:rsidRPr="008A666E">
        <w:rPr>
          <w:rStyle w:val="SCCCounselNameChar"/>
        </w:rPr>
        <w:tab/>
      </w:r>
      <w:r w:rsidR="001660F1" w:rsidRPr="008A666E">
        <w:rPr>
          <w:rStyle w:val="SCCCounselNameChar"/>
        </w:rPr>
        <w:t>Michael </w:t>
      </w:r>
      <w:r w:rsidR="00820E3A" w:rsidRPr="008A666E">
        <w:rPr>
          <w:rStyle w:val="SCCCounselNameChar"/>
        </w:rPr>
        <w:t>J. Donaldson</w:t>
      </w:r>
      <w:r w:rsidR="00820E3A" w:rsidRPr="008A666E">
        <w:rPr>
          <w:rStyle w:val="SCCCounselNameChar"/>
          <w:i w:val="0"/>
        </w:rPr>
        <w:t>,</w:t>
      </w:r>
      <w:r w:rsidR="00820E3A" w:rsidRPr="008A666E">
        <w:rPr>
          <w:rStyle w:val="SCCCounselNameChar"/>
        </w:rPr>
        <w:t xml:space="preserve"> </w:t>
      </w:r>
      <w:proofErr w:type="spellStart"/>
      <w:r w:rsidR="00820E3A" w:rsidRPr="008A666E">
        <w:rPr>
          <w:rStyle w:val="SCCCounselNameChar"/>
        </w:rPr>
        <w:t>K.C</w:t>
      </w:r>
      <w:proofErr w:type="spellEnd"/>
      <w:r w:rsidR="00820E3A" w:rsidRPr="008A666E">
        <w:rPr>
          <w:rStyle w:val="SCCCounselNameChar"/>
        </w:rPr>
        <w:t>.</w:t>
      </w:r>
      <w:r w:rsidR="000563C1" w:rsidRPr="008A666E">
        <w:rPr>
          <w:rStyle w:val="SCCCounselNameChar"/>
          <w:i w:val="0"/>
        </w:rPr>
        <w:t xml:space="preserve">, </w:t>
      </w:r>
      <w:r w:rsidR="00820E3A" w:rsidRPr="008A666E">
        <w:rPr>
          <w:rStyle w:val="SCCCounselNameChar"/>
        </w:rPr>
        <w:t xml:space="preserve">Michael </w:t>
      </w:r>
      <w:proofErr w:type="spellStart"/>
      <w:r w:rsidR="00820E3A" w:rsidRPr="008A666E">
        <w:rPr>
          <w:rStyle w:val="SCCCounselNameChar"/>
        </w:rPr>
        <w:t>Sobkin</w:t>
      </w:r>
      <w:proofErr w:type="spellEnd"/>
      <w:r w:rsidR="000563C1" w:rsidRPr="008A666E">
        <w:rPr>
          <w:rStyle w:val="SCCCounselNameChar"/>
          <w:i w:val="0"/>
        </w:rPr>
        <w:t xml:space="preserve">, </w:t>
      </w:r>
      <w:r w:rsidR="00820E3A" w:rsidRPr="008A666E">
        <w:rPr>
          <w:i/>
        </w:rPr>
        <w:t xml:space="preserve">Andrea Sam </w:t>
      </w:r>
      <w:r w:rsidR="000563C1" w:rsidRPr="008A666E">
        <w:t xml:space="preserve">and </w:t>
      </w:r>
      <w:r w:rsidR="00820E3A" w:rsidRPr="008A666E">
        <w:rPr>
          <w:i/>
        </w:rPr>
        <w:t>Katie Sykes</w:t>
      </w:r>
      <w:r w:rsidRPr="008A666E">
        <w:rPr>
          <w:rStyle w:val="SCCCounselPartyRoleChar"/>
        </w:rPr>
        <w:t>, for the appellant</w:t>
      </w:r>
      <w:r w:rsidR="000563C1" w:rsidRPr="008A666E">
        <w:rPr>
          <w:rStyle w:val="SCCCounselPartyRoleChar"/>
        </w:rPr>
        <w:t>s</w:t>
      </w:r>
      <w:r w:rsidRPr="008A666E">
        <w:rPr>
          <w:rStyle w:val="SCCCounselPartyRoleChar"/>
        </w:rPr>
        <w:t>.</w:t>
      </w:r>
    </w:p>
    <w:p w:rsidR="00A13AF5" w:rsidRPr="008A666E" w:rsidRDefault="001B4A5A" w:rsidP="001660F1">
      <w:pPr>
        <w:pStyle w:val="SCCNormalDoubleSpacing"/>
        <w:spacing w:after="480"/>
      </w:pPr>
      <w:r w:rsidRPr="008A666E">
        <w:rPr>
          <w:rStyle w:val="SCCCounselNameChar"/>
        </w:rPr>
        <w:tab/>
      </w:r>
      <w:r w:rsidR="001660F1" w:rsidRPr="008A666E">
        <w:rPr>
          <w:rStyle w:val="SCCCounselNameChar"/>
        </w:rPr>
        <w:t>Greg </w:t>
      </w:r>
      <w:r w:rsidR="009571C4" w:rsidRPr="008A666E">
        <w:rPr>
          <w:rStyle w:val="SCCCounselNameChar"/>
        </w:rPr>
        <w:t xml:space="preserve">G. </w:t>
      </w:r>
      <w:proofErr w:type="spellStart"/>
      <w:r w:rsidR="009571C4" w:rsidRPr="008A666E">
        <w:rPr>
          <w:rStyle w:val="SCCCounselNameChar"/>
        </w:rPr>
        <w:t>Plester</w:t>
      </w:r>
      <w:proofErr w:type="spellEnd"/>
      <w:r w:rsidR="009571C4" w:rsidRPr="008A666E">
        <w:rPr>
          <w:rStyle w:val="SCCCounselNameChar"/>
          <w:i w:val="0"/>
        </w:rPr>
        <w:t xml:space="preserve">, </w:t>
      </w:r>
      <w:r w:rsidR="001660F1" w:rsidRPr="008A666E">
        <w:rPr>
          <w:i/>
        </w:rPr>
        <w:t>Rebecca </w:t>
      </w:r>
      <w:r w:rsidR="009571C4" w:rsidRPr="008A666E">
        <w:rPr>
          <w:i/>
        </w:rPr>
        <w:t>L. Kos</w:t>
      </w:r>
      <w:r w:rsidR="009571C4" w:rsidRPr="008A666E">
        <w:rPr>
          <w:rStyle w:val="SCCCounselNameChar"/>
        </w:rPr>
        <w:t xml:space="preserve"> </w:t>
      </w:r>
      <w:r w:rsidR="009571C4" w:rsidRPr="008A666E">
        <w:rPr>
          <w:rStyle w:val="SCCCounselNameChar"/>
          <w:i w:val="0"/>
        </w:rPr>
        <w:t xml:space="preserve">and </w:t>
      </w:r>
      <w:r w:rsidR="001660F1" w:rsidRPr="008A666E">
        <w:rPr>
          <w:rStyle w:val="SCCCounselNameChar"/>
        </w:rPr>
        <w:t>Alvin </w:t>
      </w:r>
      <w:r w:rsidR="009571C4" w:rsidRPr="008A666E">
        <w:rPr>
          <w:rStyle w:val="SCCCounselNameChar"/>
        </w:rPr>
        <w:t xml:space="preserve">R. </w:t>
      </w:r>
      <w:proofErr w:type="spellStart"/>
      <w:r w:rsidR="009571C4" w:rsidRPr="008A666E">
        <w:rPr>
          <w:rStyle w:val="SCCCounselNameChar"/>
        </w:rPr>
        <w:t>Kosak</w:t>
      </w:r>
      <w:proofErr w:type="spellEnd"/>
      <w:r w:rsidRPr="008A666E">
        <w:rPr>
          <w:rStyle w:val="SCCCounselPartyRoleChar"/>
        </w:rPr>
        <w:t>, for the respondent.</w:t>
      </w:r>
    </w:p>
    <w:p w:rsidR="004110FB" w:rsidRPr="008A666E" w:rsidRDefault="004110FB" w:rsidP="001660F1">
      <w:pPr>
        <w:pStyle w:val="SCCNormalDoubleSpacing"/>
        <w:spacing w:after="480"/>
      </w:pPr>
      <w:r w:rsidRPr="008A666E">
        <w:rPr>
          <w:rStyle w:val="SCCCounselNameChar"/>
        </w:rPr>
        <w:tab/>
      </w:r>
      <w:r w:rsidR="009571C4" w:rsidRPr="008A666E">
        <w:rPr>
          <w:rStyle w:val="SCCCounselNameChar"/>
        </w:rPr>
        <w:t xml:space="preserve">Judie </w:t>
      </w:r>
      <w:proofErr w:type="spellStart"/>
      <w:r w:rsidR="009571C4" w:rsidRPr="008A666E">
        <w:rPr>
          <w:rStyle w:val="SCCCounselNameChar"/>
        </w:rPr>
        <w:t>Im</w:t>
      </w:r>
      <w:proofErr w:type="spellEnd"/>
      <w:r w:rsidR="009571C4" w:rsidRPr="008A666E">
        <w:rPr>
          <w:rStyle w:val="SCCCounselNameChar"/>
        </w:rPr>
        <w:t xml:space="preserve"> </w:t>
      </w:r>
      <w:r w:rsidR="009571C4" w:rsidRPr="008A666E">
        <w:rPr>
          <w:rStyle w:val="SCCCounselNameChar"/>
          <w:i w:val="0"/>
        </w:rPr>
        <w:t xml:space="preserve">and </w:t>
      </w:r>
      <w:r w:rsidR="009571C4" w:rsidRPr="008A666E">
        <w:rPr>
          <w:rStyle w:val="SCCCounselNameChar"/>
        </w:rPr>
        <w:t xml:space="preserve">Michele </w:t>
      </w:r>
      <w:proofErr w:type="spellStart"/>
      <w:r w:rsidR="009571C4" w:rsidRPr="008A666E">
        <w:rPr>
          <w:rStyle w:val="SCCCounselNameChar"/>
        </w:rPr>
        <w:t>Valentini</w:t>
      </w:r>
      <w:proofErr w:type="spellEnd"/>
      <w:r w:rsidRPr="008A666E">
        <w:rPr>
          <w:rStyle w:val="SCCCounselPartyRoleChar"/>
        </w:rPr>
        <w:t xml:space="preserve">, for the intervener </w:t>
      </w:r>
      <w:r w:rsidR="004F44D2" w:rsidRPr="008A666E">
        <w:rPr>
          <w:rStyle w:val="SCCCounselPartyRoleChar"/>
        </w:rPr>
        <w:t xml:space="preserve">the </w:t>
      </w:r>
      <w:r w:rsidRPr="008A666E">
        <w:rPr>
          <w:rStyle w:val="SCCCounselPartyRoleChar"/>
        </w:rPr>
        <w:t>Attorney General of Ontario.</w:t>
      </w:r>
    </w:p>
    <w:p w:rsidR="004110FB" w:rsidRPr="008A666E" w:rsidRDefault="004110FB" w:rsidP="001660F1">
      <w:pPr>
        <w:pStyle w:val="SCCNormalDoubleSpacing"/>
        <w:spacing w:after="480"/>
      </w:pPr>
      <w:r w:rsidRPr="008A666E">
        <w:rPr>
          <w:rStyle w:val="SCCCounselNameChar"/>
        </w:rPr>
        <w:tab/>
        <w:t xml:space="preserve">Stéphane </w:t>
      </w:r>
      <w:proofErr w:type="spellStart"/>
      <w:r w:rsidRPr="008A666E">
        <w:rPr>
          <w:rStyle w:val="SCCCounselNameChar"/>
        </w:rPr>
        <w:t>Rochette</w:t>
      </w:r>
      <w:proofErr w:type="spellEnd"/>
      <w:r w:rsidRPr="008A666E">
        <w:rPr>
          <w:rStyle w:val="SCCCounselSeparatorChar"/>
        </w:rPr>
        <w:t xml:space="preserve"> and </w:t>
      </w:r>
      <w:r w:rsidRPr="008A666E">
        <w:rPr>
          <w:rStyle w:val="SCCCounselNameChar"/>
        </w:rPr>
        <w:t>Francesca Boucher</w:t>
      </w:r>
      <w:r w:rsidRPr="008A666E">
        <w:rPr>
          <w:rStyle w:val="SCCCounselPartyRoleChar"/>
        </w:rPr>
        <w:t xml:space="preserve">, for the intervener </w:t>
      </w:r>
      <w:r w:rsidR="004F44D2" w:rsidRPr="008A666E">
        <w:rPr>
          <w:rStyle w:val="SCCCounselPartyRoleChar"/>
        </w:rPr>
        <w:t xml:space="preserve">the </w:t>
      </w:r>
      <w:r w:rsidRPr="008A666E">
        <w:rPr>
          <w:rStyle w:val="SCCCounselPartyRoleChar"/>
        </w:rPr>
        <w:t>Attorney General of Quebec.</w:t>
      </w:r>
    </w:p>
    <w:p w:rsidR="00A13AF5" w:rsidRPr="008A666E" w:rsidRDefault="001B4A5A" w:rsidP="001660F1">
      <w:pPr>
        <w:pStyle w:val="SCCNormalDoubleSpacing"/>
        <w:spacing w:after="480"/>
      </w:pPr>
      <w:r w:rsidRPr="008A666E">
        <w:rPr>
          <w:rStyle w:val="SCCCounselNameChar"/>
        </w:rPr>
        <w:tab/>
        <w:t>Emily Lapper</w:t>
      </w:r>
      <w:r w:rsidRPr="008A666E">
        <w:rPr>
          <w:rStyle w:val="SCCCounselSeparatorChar"/>
        </w:rPr>
        <w:t xml:space="preserve"> and </w:t>
      </w:r>
      <w:r w:rsidRPr="008A666E">
        <w:rPr>
          <w:rStyle w:val="SCCCounselNameChar"/>
        </w:rPr>
        <w:t xml:space="preserve">Christine </w:t>
      </w:r>
      <w:proofErr w:type="spellStart"/>
      <w:r w:rsidRPr="008A666E">
        <w:rPr>
          <w:rStyle w:val="SCCCounselNameChar"/>
        </w:rPr>
        <w:t>Bant</w:t>
      </w:r>
      <w:proofErr w:type="spellEnd"/>
      <w:r w:rsidRPr="008A666E">
        <w:rPr>
          <w:rStyle w:val="SCCCounselPartyRoleChar"/>
        </w:rPr>
        <w:t xml:space="preserve">, for the intervener </w:t>
      </w:r>
      <w:r w:rsidR="00581CBF" w:rsidRPr="008A666E">
        <w:rPr>
          <w:rStyle w:val="SCCCounselPartyRoleChar"/>
        </w:rPr>
        <w:t xml:space="preserve">the </w:t>
      </w:r>
      <w:r w:rsidRPr="008A666E">
        <w:rPr>
          <w:rStyle w:val="SCCCounselPartyRoleChar"/>
        </w:rPr>
        <w:t>Attorney General of British Columbia.</w:t>
      </w:r>
    </w:p>
    <w:p w:rsidR="004110FB" w:rsidRPr="008A666E" w:rsidRDefault="004110FB" w:rsidP="001660F1">
      <w:pPr>
        <w:pStyle w:val="SCCNormalDoubleSpacing"/>
        <w:spacing w:after="480"/>
      </w:pPr>
      <w:r w:rsidRPr="008A666E">
        <w:rPr>
          <w:rStyle w:val="SCCCounselNameChar"/>
        </w:rPr>
        <w:tab/>
        <w:t>Kyle McCreary</w:t>
      </w:r>
      <w:r w:rsidR="00110A9C" w:rsidRPr="008A666E">
        <w:rPr>
          <w:rStyle w:val="SCCCounselNameChar"/>
        </w:rPr>
        <w:t xml:space="preserve"> </w:t>
      </w:r>
      <w:r w:rsidR="00110A9C" w:rsidRPr="008A666E">
        <w:rPr>
          <w:rStyle w:val="SCCCounselNameChar"/>
          <w:i w:val="0"/>
        </w:rPr>
        <w:t xml:space="preserve">and </w:t>
      </w:r>
      <w:r w:rsidR="00110A9C" w:rsidRPr="008A666E">
        <w:rPr>
          <w:i/>
        </w:rPr>
        <w:t>Jared Biden</w:t>
      </w:r>
      <w:r w:rsidRPr="008A666E">
        <w:rPr>
          <w:rStyle w:val="SCCCounselPartyRoleChar"/>
        </w:rPr>
        <w:t xml:space="preserve">, for the intervener </w:t>
      </w:r>
      <w:r w:rsidR="00AF41E6" w:rsidRPr="008A666E">
        <w:rPr>
          <w:rStyle w:val="SCCCounselPartyRoleChar"/>
        </w:rPr>
        <w:t xml:space="preserve">the </w:t>
      </w:r>
      <w:r w:rsidRPr="008A666E">
        <w:rPr>
          <w:rStyle w:val="SCCCounselPartyRoleChar"/>
        </w:rPr>
        <w:t>Attorney General for Saskatchewan.</w:t>
      </w:r>
    </w:p>
    <w:p w:rsidR="00A13AF5" w:rsidRPr="008A666E" w:rsidRDefault="001660F1" w:rsidP="001660F1">
      <w:pPr>
        <w:pStyle w:val="SCCNormalDoubleSpacing"/>
        <w:spacing w:after="480"/>
      </w:pPr>
      <w:r w:rsidRPr="008A666E">
        <w:rPr>
          <w:rStyle w:val="SCCCounselNameChar"/>
        </w:rPr>
        <w:tab/>
        <w:t>Aubin </w:t>
      </w:r>
      <w:r w:rsidR="001B4A5A" w:rsidRPr="008A666E">
        <w:rPr>
          <w:rStyle w:val="SCCCounselNameChar"/>
        </w:rPr>
        <w:t>P. Calvert</w:t>
      </w:r>
      <w:r w:rsidR="001B4A5A" w:rsidRPr="008A666E">
        <w:rPr>
          <w:rStyle w:val="SCCCounselSeparatorChar"/>
        </w:rPr>
        <w:t xml:space="preserve"> and </w:t>
      </w:r>
      <w:r w:rsidR="001B4A5A" w:rsidRPr="008A666E">
        <w:rPr>
          <w:rStyle w:val="SCCCounselNameChar"/>
        </w:rPr>
        <w:t xml:space="preserve">Devin </w:t>
      </w:r>
      <w:proofErr w:type="spellStart"/>
      <w:proofErr w:type="gramStart"/>
      <w:r w:rsidR="001B4A5A" w:rsidRPr="008A666E">
        <w:rPr>
          <w:rStyle w:val="SCCCounselNameChar"/>
        </w:rPr>
        <w:t>Eeg</w:t>
      </w:r>
      <w:proofErr w:type="spellEnd"/>
      <w:proofErr w:type="gramEnd"/>
      <w:r w:rsidR="001B4A5A" w:rsidRPr="008A666E">
        <w:rPr>
          <w:rStyle w:val="SCCCounselPartyRoleChar"/>
        </w:rPr>
        <w:t xml:space="preserve">, for the intervener </w:t>
      </w:r>
      <w:r w:rsidR="00733CC6" w:rsidRPr="008A666E">
        <w:rPr>
          <w:rStyle w:val="SCCCounselPartyRoleChar"/>
        </w:rPr>
        <w:t xml:space="preserve">the </w:t>
      </w:r>
      <w:r w:rsidR="001B4A5A" w:rsidRPr="008A666E">
        <w:rPr>
          <w:rStyle w:val="SCCCounselPartyRoleChar"/>
        </w:rPr>
        <w:t>Trial Lawyers Association of British Columbia.</w:t>
      </w:r>
    </w:p>
    <w:p w:rsidR="00A13AF5" w:rsidRPr="008A666E" w:rsidRDefault="001B4A5A" w:rsidP="001660F1">
      <w:pPr>
        <w:pStyle w:val="SCCNormalDoubleSpacing"/>
        <w:spacing w:after="480"/>
      </w:pPr>
      <w:r w:rsidRPr="008A666E">
        <w:rPr>
          <w:rStyle w:val="SCCCounselNameChar"/>
        </w:rPr>
        <w:tab/>
      </w:r>
      <w:proofErr w:type="spellStart"/>
      <w:r w:rsidRPr="008A666E">
        <w:rPr>
          <w:rStyle w:val="SCCCounselNameChar"/>
        </w:rPr>
        <w:t>Mannu</w:t>
      </w:r>
      <w:proofErr w:type="spellEnd"/>
      <w:r w:rsidRPr="008A666E">
        <w:rPr>
          <w:rStyle w:val="SCCCounselNameChar"/>
        </w:rPr>
        <w:t xml:space="preserve"> Chowdhury</w:t>
      </w:r>
      <w:r w:rsidRPr="008A666E">
        <w:rPr>
          <w:rStyle w:val="SCCCounselPartyRoleChar"/>
        </w:rPr>
        <w:t>, for the intervener HIV &amp; AIDS Legal Clinic Ontario and</w:t>
      </w:r>
      <w:r w:rsidR="00517A92" w:rsidRPr="008A666E">
        <w:rPr>
          <w:rStyle w:val="SCCCounselPartyRoleChar"/>
        </w:rPr>
        <w:t xml:space="preserve"> the</w:t>
      </w:r>
      <w:r w:rsidRPr="008A666E">
        <w:rPr>
          <w:rStyle w:val="SCCCounselPartyRoleChar"/>
        </w:rPr>
        <w:t xml:space="preserve"> Health Justice Program.</w:t>
      </w:r>
    </w:p>
    <w:p w:rsidR="00A13AF5" w:rsidRPr="008A666E" w:rsidRDefault="001B4A5A" w:rsidP="001660F1">
      <w:pPr>
        <w:pStyle w:val="SCCNormalDoubleSpacing"/>
        <w:spacing w:after="480"/>
      </w:pPr>
      <w:r w:rsidRPr="008A666E">
        <w:rPr>
          <w:rStyle w:val="SCCCounselNameChar"/>
        </w:rPr>
        <w:tab/>
        <w:t>Alyssa Holland</w:t>
      </w:r>
      <w:r w:rsidRPr="008A666E">
        <w:rPr>
          <w:rStyle w:val="SCCCounselNameChar"/>
          <w:i w:val="0"/>
        </w:rPr>
        <w:t>,</w:t>
      </w:r>
      <w:r w:rsidRPr="008A666E">
        <w:rPr>
          <w:rStyle w:val="SCCCounselNameChar"/>
        </w:rPr>
        <w:t xml:space="preserve"> David Wilson</w:t>
      </w:r>
      <w:r w:rsidRPr="008A666E">
        <w:rPr>
          <w:rStyle w:val="SCCCounselSeparatorChar"/>
        </w:rPr>
        <w:t xml:space="preserve"> and </w:t>
      </w:r>
      <w:r w:rsidRPr="008A666E">
        <w:rPr>
          <w:rStyle w:val="SCCCounselNameChar"/>
        </w:rPr>
        <w:t xml:space="preserve">Julie </w:t>
      </w:r>
      <w:proofErr w:type="spellStart"/>
      <w:r w:rsidRPr="008A666E">
        <w:rPr>
          <w:rStyle w:val="SCCCounselNameChar"/>
        </w:rPr>
        <w:t>Mouris</w:t>
      </w:r>
      <w:proofErr w:type="spellEnd"/>
      <w:r w:rsidRPr="008A666E">
        <w:rPr>
          <w:rStyle w:val="SCCCounselPartyRoleChar"/>
        </w:rPr>
        <w:t>, for the intervener</w:t>
      </w:r>
      <w:r w:rsidR="00517A92" w:rsidRPr="008A666E">
        <w:rPr>
          <w:rStyle w:val="SCCCounselPartyRoleChar"/>
        </w:rPr>
        <w:t>s</w:t>
      </w:r>
      <w:r w:rsidRPr="008A666E">
        <w:rPr>
          <w:rStyle w:val="SCCCounselPartyRoleChar"/>
        </w:rPr>
        <w:t xml:space="preserve"> </w:t>
      </w:r>
      <w:r w:rsidR="00517A92" w:rsidRPr="008A666E">
        <w:rPr>
          <w:rStyle w:val="SCCCounselPartyRoleChar"/>
        </w:rPr>
        <w:t xml:space="preserve">the </w:t>
      </w:r>
      <w:r w:rsidRPr="008A666E">
        <w:rPr>
          <w:rStyle w:val="SCCCounselPartyRoleChar"/>
        </w:rPr>
        <w:t xml:space="preserve">Chicken Farmers of Canada, </w:t>
      </w:r>
      <w:r w:rsidR="00517A92" w:rsidRPr="008A666E">
        <w:rPr>
          <w:rStyle w:val="SCCCounselPartyRoleChar"/>
        </w:rPr>
        <w:t xml:space="preserve">the </w:t>
      </w:r>
      <w:r w:rsidRPr="008A666E">
        <w:rPr>
          <w:rStyle w:val="SCCCounselPartyRoleChar"/>
        </w:rPr>
        <w:t xml:space="preserve">Egg Farmers of Canada, </w:t>
      </w:r>
      <w:r w:rsidR="00517A92" w:rsidRPr="008A666E">
        <w:rPr>
          <w:rStyle w:val="SCCCounselPartyRoleChar"/>
        </w:rPr>
        <w:t xml:space="preserve">the </w:t>
      </w:r>
      <w:r w:rsidRPr="008A666E">
        <w:rPr>
          <w:rStyle w:val="SCCCounselPartyRoleChar"/>
        </w:rPr>
        <w:t xml:space="preserve">Turkey Farmers of Canada and </w:t>
      </w:r>
      <w:r w:rsidR="00517A92" w:rsidRPr="008A666E">
        <w:rPr>
          <w:rStyle w:val="SCCCounselPartyRoleChar"/>
        </w:rPr>
        <w:t xml:space="preserve">the </w:t>
      </w:r>
      <w:r w:rsidRPr="008A666E">
        <w:rPr>
          <w:rStyle w:val="SCCCounselPartyRoleChar"/>
        </w:rPr>
        <w:t>Canadian Hatching Egg Producers.</w:t>
      </w:r>
    </w:p>
    <w:p w:rsidR="00A13AF5" w:rsidRPr="008A666E" w:rsidRDefault="001B4A5A" w:rsidP="001660F1">
      <w:pPr>
        <w:pStyle w:val="SCCNormalDoubleSpacing"/>
        <w:spacing w:after="480"/>
      </w:pPr>
      <w:r w:rsidRPr="008A666E">
        <w:rPr>
          <w:rStyle w:val="SCCCounselNameChar"/>
        </w:rPr>
        <w:tab/>
        <w:t>Johanna Goosen</w:t>
      </w:r>
      <w:r w:rsidRPr="008A666E">
        <w:rPr>
          <w:rStyle w:val="SCCCounselPartyRoleChar"/>
        </w:rPr>
        <w:t xml:space="preserve">, for the intervener </w:t>
      </w:r>
      <w:r w:rsidR="002B7D94" w:rsidRPr="008A666E">
        <w:rPr>
          <w:rStyle w:val="SCCCounselPartyRoleChar"/>
        </w:rPr>
        <w:t xml:space="preserve">the </w:t>
      </w:r>
      <w:r w:rsidRPr="008A666E">
        <w:rPr>
          <w:rStyle w:val="SCCCounselPartyRoleChar"/>
        </w:rPr>
        <w:t>Workers</w:t>
      </w:r>
      <w:r w:rsidR="00D33BDD" w:rsidRPr="008A666E">
        <w:rPr>
          <w:rStyle w:val="SCCCounselPartyRoleChar"/>
        </w:rPr>
        <w:t>’</w:t>
      </w:r>
      <w:r w:rsidRPr="008A666E">
        <w:rPr>
          <w:rStyle w:val="SCCCounselPartyRoleChar"/>
        </w:rPr>
        <w:t xml:space="preserve"> Compensation Board of British Columbia.</w:t>
      </w:r>
    </w:p>
    <w:p w:rsidR="00A13AF5" w:rsidRPr="008A666E" w:rsidRDefault="001660F1" w:rsidP="001660F1">
      <w:pPr>
        <w:pStyle w:val="SCCNormalDoubleSpacing"/>
        <w:spacing w:after="480"/>
      </w:pPr>
      <w:r w:rsidRPr="008A666E">
        <w:rPr>
          <w:rStyle w:val="SCCCounselNameChar"/>
        </w:rPr>
        <w:tab/>
        <w:t>Andrew </w:t>
      </w:r>
      <w:r w:rsidR="001B4A5A" w:rsidRPr="008A666E">
        <w:rPr>
          <w:rStyle w:val="SCCCounselNameChar"/>
        </w:rPr>
        <w:t xml:space="preserve">J. </w:t>
      </w:r>
      <w:proofErr w:type="spellStart"/>
      <w:r w:rsidR="001B4A5A" w:rsidRPr="008A666E">
        <w:rPr>
          <w:rStyle w:val="SCCCounselNameChar"/>
        </w:rPr>
        <w:t>Brouwer</w:t>
      </w:r>
      <w:proofErr w:type="spellEnd"/>
      <w:r w:rsidR="00AD2BE2" w:rsidRPr="008A666E">
        <w:rPr>
          <w:rStyle w:val="SCCCounselNameChar"/>
        </w:rPr>
        <w:t xml:space="preserve"> </w:t>
      </w:r>
      <w:r w:rsidR="00AD2BE2" w:rsidRPr="008A666E">
        <w:rPr>
          <w:rStyle w:val="SCCCounselNameChar"/>
          <w:i w:val="0"/>
        </w:rPr>
        <w:t xml:space="preserve">and </w:t>
      </w:r>
      <w:r w:rsidRPr="008A666E">
        <w:rPr>
          <w:i/>
        </w:rPr>
        <w:t>Erin </w:t>
      </w:r>
      <w:r w:rsidR="00AD2BE2" w:rsidRPr="008A666E">
        <w:rPr>
          <w:i/>
        </w:rPr>
        <w:t>V. Simpson</w:t>
      </w:r>
      <w:r w:rsidR="001B4A5A" w:rsidRPr="008A666E">
        <w:rPr>
          <w:rStyle w:val="SCCCounselPartyRoleChar"/>
        </w:rPr>
        <w:t xml:space="preserve">, for the intervener </w:t>
      </w:r>
      <w:r w:rsidR="00FA490E" w:rsidRPr="008A666E">
        <w:rPr>
          <w:rStyle w:val="SCCCounselPartyRoleChar"/>
        </w:rPr>
        <w:t xml:space="preserve">the </w:t>
      </w:r>
      <w:r w:rsidR="001B4A5A" w:rsidRPr="008A666E">
        <w:rPr>
          <w:rStyle w:val="SCCCounselPartyRoleChar"/>
        </w:rPr>
        <w:t>Canadian Association of Refugee Lawyers.</w:t>
      </w:r>
    </w:p>
    <w:p w:rsidR="00A13AF5" w:rsidRPr="008A666E" w:rsidRDefault="001B4A5A" w:rsidP="001660F1">
      <w:pPr>
        <w:pStyle w:val="SCCNormalDoubleSpacing"/>
        <w:spacing w:after="480"/>
        <w:rPr>
          <w:lang w:val="fr-CA"/>
        </w:rPr>
      </w:pPr>
      <w:r w:rsidRPr="008A666E">
        <w:rPr>
          <w:rStyle w:val="SCCCounselNameChar"/>
        </w:rPr>
        <w:tab/>
      </w:r>
      <w:r w:rsidRPr="008A666E">
        <w:rPr>
          <w:rStyle w:val="SCCCounselNameChar"/>
          <w:lang w:val="fr-CA"/>
        </w:rPr>
        <w:t>Lawrence David</w:t>
      </w:r>
      <w:r w:rsidRPr="008A666E">
        <w:rPr>
          <w:rStyle w:val="SCCCounselSeparatorChar"/>
          <w:lang w:val="fr-CA"/>
        </w:rPr>
        <w:t xml:space="preserve"> and </w:t>
      </w:r>
      <w:proofErr w:type="spellStart"/>
      <w:r w:rsidRPr="008A666E">
        <w:rPr>
          <w:rStyle w:val="SCCCounselNameChar"/>
          <w:lang w:val="fr-CA"/>
        </w:rPr>
        <w:t>Gjergji</w:t>
      </w:r>
      <w:proofErr w:type="spellEnd"/>
      <w:r w:rsidRPr="008A666E">
        <w:rPr>
          <w:rStyle w:val="SCCCounselNameChar"/>
          <w:lang w:val="fr-CA"/>
        </w:rPr>
        <w:t xml:space="preserve"> Hasa</w:t>
      </w:r>
      <w:r w:rsidRPr="008A666E">
        <w:rPr>
          <w:rStyle w:val="SCCCounselPartyRoleChar"/>
          <w:lang w:val="fr-CA"/>
        </w:rPr>
        <w:t>, for the intervener Association québécoise des avocats et avocates en droit de l</w:t>
      </w:r>
      <w:r w:rsidR="00D33BDD" w:rsidRPr="008A666E">
        <w:rPr>
          <w:rStyle w:val="SCCCounselPartyRoleChar"/>
          <w:lang w:val="fr-CA"/>
        </w:rPr>
        <w:t>’</w:t>
      </w:r>
      <w:r w:rsidRPr="008A666E">
        <w:rPr>
          <w:rStyle w:val="SCCCounselPartyRoleChar"/>
          <w:lang w:val="fr-CA"/>
        </w:rPr>
        <w:t>immigration.</w:t>
      </w:r>
    </w:p>
    <w:p w:rsidR="00A13AF5" w:rsidRPr="008A666E" w:rsidRDefault="001B4A5A" w:rsidP="001660F1">
      <w:pPr>
        <w:pStyle w:val="SCCNormalDoubleSpacing"/>
        <w:spacing w:after="480"/>
      </w:pPr>
      <w:r w:rsidRPr="008A666E">
        <w:rPr>
          <w:rStyle w:val="SCCCounselNameChar"/>
          <w:lang w:val="fr-CA"/>
        </w:rPr>
        <w:tab/>
      </w:r>
      <w:proofErr w:type="spellStart"/>
      <w:r w:rsidRPr="008A666E">
        <w:rPr>
          <w:rStyle w:val="SCCCounselNameChar"/>
        </w:rPr>
        <w:t>Ewa</w:t>
      </w:r>
      <w:proofErr w:type="spellEnd"/>
      <w:r w:rsidRPr="008A666E">
        <w:rPr>
          <w:rStyle w:val="SCCCounselNameChar"/>
        </w:rPr>
        <w:t xml:space="preserve"> </w:t>
      </w:r>
      <w:proofErr w:type="spellStart"/>
      <w:r w:rsidRPr="008A666E">
        <w:rPr>
          <w:rStyle w:val="SCCCounselNameChar"/>
        </w:rPr>
        <w:t>Krajewska</w:t>
      </w:r>
      <w:proofErr w:type="spellEnd"/>
      <w:r w:rsidR="00C05105" w:rsidRPr="008A666E">
        <w:rPr>
          <w:rStyle w:val="SCCCounselNameChar"/>
          <w:i w:val="0"/>
        </w:rPr>
        <w:t xml:space="preserve">, </w:t>
      </w:r>
      <w:r w:rsidR="00C05105" w:rsidRPr="008A666E">
        <w:rPr>
          <w:rStyle w:val="SCCCounselNameChar"/>
        </w:rPr>
        <w:t>Peter Henein</w:t>
      </w:r>
      <w:r w:rsidRPr="008A666E">
        <w:rPr>
          <w:rStyle w:val="SCCCounselSeparatorChar"/>
        </w:rPr>
        <w:t xml:space="preserve"> and </w:t>
      </w:r>
      <w:r w:rsidRPr="008A666E">
        <w:rPr>
          <w:rStyle w:val="SCCCounselNameChar"/>
        </w:rPr>
        <w:t>Brandon Chung</w:t>
      </w:r>
      <w:r w:rsidRPr="008A666E">
        <w:rPr>
          <w:rStyle w:val="SCCCounselPartyRoleChar"/>
        </w:rPr>
        <w:t xml:space="preserve">, for the intervener </w:t>
      </w:r>
      <w:r w:rsidR="002664DA" w:rsidRPr="008A666E">
        <w:rPr>
          <w:rStyle w:val="SCCCounselPartyRoleChar"/>
        </w:rPr>
        <w:t xml:space="preserve">the </w:t>
      </w:r>
      <w:r w:rsidRPr="008A666E">
        <w:rPr>
          <w:rStyle w:val="SCCCounselPartyRoleChar"/>
        </w:rPr>
        <w:t>Advocates for the Rule of Law.</w:t>
      </w:r>
    </w:p>
    <w:p w:rsidR="00A13AF5" w:rsidRPr="008A666E" w:rsidRDefault="001660F1" w:rsidP="001E1EA6">
      <w:pPr>
        <w:pStyle w:val="SCCNormalDoubleSpacing"/>
        <w:spacing w:after="480"/>
        <w:rPr>
          <w:rStyle w:val="SCCCounselPartyRoleChar"/>
        </w:rPr>
      </w:pPr>
      <w:r w:rsidRPr="008A666E">
        <w:rPr>
          <w:rStyle w:val="SCCCounselNameChar"/>
        </w:rPr>
        <w:tab/>
        <w:t>William </w:t>
      </w:r>
      <w:r w:rsidR="001B4A5A" w:rsidRPr="008A666E">
        <w:rPr>
          <w:rStyle w:val="SCCCounselNameChar"/>
        </w:rPr>
        <w:t>W. Shores</w:t>
      </w:r>
      <w:r w:rsidR="001B4A5A" w:rsidRPr="008A666E">
        <w:rPr>
          <w:rStyle w:val="SCCCounselNameChar"/>
          <w:i w:val="0"/>
        </w:rPr>
        <w:t>,</w:t>
      </w:r>
      <w:r w:rsidR="001B4A5A" w:rsidRPr="008A666E">
        <w:rPr>
          <w:rStyle w:val="SCCCounselNameChar"/>
        </w:rPr>
        <w:t xml:space="preserve"> K.C.</w:t>
      </w:r>
      <w:r w:rsidR="00755768" w:rsidRPr="008A666E">
        <w:rPr>
          <w:rStyle w:val="SCCCounselNameChar"/>
          <w:i w:val="0"/>
        </w:rPr>
        <w:t>,</w:t>
      </w:r>
      <w:r w:rsidR="001B4A5A" w:rsidRPr="008A666E">
        <w:rPr>
          <w:rStyle w:val="SCCCounselSeparatorChar"/>
        </w:rPr>
        <w:t xml:space="preserve"> and </w:t>
      </w:r>
      <w:r w:rsidRPr="008A666E">
        <w:rPr>
          <w:rStyle w:val="SCCCounselNameChar"/>
        </w:rPr>
        <w:t>Annabritt </w:t>
      </w:r>
      <w:r w:rsidR="001B4A5A" w:rsidRPr="008A666E">
        <w:rPr>
          <w:rStyle w:val="SCCCounselNameChar"/>
        </w:rPr>
        <w:t>N. Chisholm</w:t>
      </w:r>
      <w:r w:rsidR="001B4A5A" w:rsidRPr="008A666E">
        <w:rPr>
          <w:rStyle w:val="SCCCounselPartyRoleChar"/>
        </w:rPr>
        <w:t xml:space="preserve">, for the intervener </w:t>
      </w:r>
      <w:r w:rsidR="000563C1" w:rsidRPr="008A666E">
        <w:rPr>
          <w:rStyle w:val="SCCCounselPartyRoleChar"/>
        </w:rPr>
        <w:t>t</w:t>
      </w:r>
      <w:r w:rsidR="001B4A5A" w:rsidRPr="008A666E">
        <w:rPr>
          <w:rStyle w:val="SCCCounselPartyRoleChar"/>
        </w:rPr>
        <w:t>he National Association of Pharmacy Regulatory Authorities.</w:t>
      </w:r>
      <w:r w:rsidR="004110FB" w:rsidRPr="008A666E">
        <w:rPr>
          <w:rStyle w:val="SCCCounselPartyRoleChar"/>
        </w:rPr>
        <w:t xml:space="preserve"> </w:t>
      </w:r>
    </w:p>
    <w:p w:rsidR="001E1EA6" w:rsidRPr="008A666E" w:rsidRDefault="001E1EA6" w:rsidP="001E1EA6">
      <w:pPr>
        <w:tabs>
          <w:tab w:val="left" w:pos="1134"/>
        </w:tabs>
        <w:spacing w:after="480" w:line="480" w:lineRule="auto"/>
        <w:ind w:firstLine="12"/>
        <w:jc w:val="both"/>
      </w:pPr>
      <w:r w:rsidRPr="008A666E">
        <w:rPr>
          <w:lang w:val="fr-CA"/>
        </w:rPr>
        <w:tab/>
      </w:r>
      <w:r w:rsidRPr="008A666E">
        <w:t>The judgment of the Court was delivered by</w:t>
      </w:r>
    </w:p>
    <w:p w:rsidR="001E1EA6" w:rsidRPr="008A666E" w:rsidRDefault="001E1EA6" w:rsidP="002B2611">
      <w:pPr>
        <w:pStyle w:val="JudgeJuge"/>
        <w:tabs>
          <w:tab w:val="clear" w:pos="1166"/>
          <w:tab w:val="left" w:pos="1134"/>
        </w:tabs>
      </w:pPr>
      <w:r w:rsidRPr="008A666E">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1E1EA6" w:rsidRPr="008A666E" w:rsidTr="002271E2">
        <w:trPr>
          <w:trHeight w:val="432"/>
        </w:trPr>
        <w:tc>
          <w:tcPr>
            <w:tcW w:w="9356" w:type="dxa"/>
            <w:gridSpan w:val="2"/>
          </w:tcPr>
          <w:p w:rsidR="001E1EA6" w:rsidRPr="008A666E" w:rsidRDefault="001E1EA6" w:rsidP="002271E2">
            <w:pPr>
              <w:tabs>
                <w:tab w:val="center" w:pos="4050"/>
              </w:tabs>
              <w:rPr>
                <w:b/>
                <w:szCs w:val="24"/>
                <w:lang w:val="fr-FR"/>
              </w:rPr>
            </w:pPr>
            <w:r w:rsidRPr="008A666E">
              <w:rPr>
                <w:b/>
                <w:szCs w:val="24"/>
              </w:rPr>
              <w:tab/>
            </w:r>
            <w:r w:rsidRPr="008A666E">
              <w:rPr>
                <w:b/>
                <w:szCs w:val="24"/>
                <w:lang w:val="fr-FR"/>
              </w:rPr>
              <w:t>TABLE OF CONTENTS</w:t>
            </w:r>
          </w:p>
          <w:p w:rsidR="001E1EA6" w:rsidRPr="008A666E" w:rsidRDefault="001E1EA6" w:rsidP="002271E2">
            <w:pPr>
              <w:tabs>
                <w:tab w:val="center" w:pos="4050"/>
              </w:tabs>
              <w:rPr>
                <w:b/>
                <w:szCs w:val="24"/>
              </w:rPr>
            </w:pPr>
          </w:p>
        </w:tc>
      </w:tr>
      <w:tr w:rsidR="001E1EA6" w:rsidRPr="008A666E" w:rsidTr="002271E2">
        <w:trPr>
          <w:trHeight w:val="432"/>
        </w:trPr>
        <w:tc>
          <w:tcPr>
            <w:tcW w:w="9356" w:type="dxa"/>
            <w:gridSpan w:val="2"/>
          </w:tcPr>
          <w:p w:rsidR="001E1EA6" w:rsidRPr="008A666E" w:rsidRDefault="001E1EA6" w:rsidP="002271E2">
            <w:pPr>
              <w:tabs>
                <w:tab w:val="center" w:pos="4050"/>
              </w:tabs>
              <w:jc w:val="right"/>
              <w:rPr>
                <w:szCs w:val="24"/>
              </w:rPr>
            </w:pPr>
            <w:r w:rsidRPr="008A666E">
              <w:rPr>
                <w:szCs w:val="24"/>
              </w:rPr>
              <w:t>Paragraph</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noProof/>
                <w:szCs w:val="24"/>
                <w:u w:val="single"/>
              </w:rPr>
            </w:pPr>
            <w:r w:rsidRPr="008A666E">
              <w:rPr>
                <w:noProof/>
                <w:szCs w:val="24"/>
                <w:lang w:bidi="en-US"/>
              </w:rPr>
              <w:t>I.</w:t>
            </w:r>
            <w:r w:rsidRPr="008A666E">
              <w:rPr>
                <w:noProof/>
                <w:szCs w:val="24"/>
              </w:rPr>
              <w:tab/>
            </w:r>
            <w:r w:rsidRPr="008A666E">
              <w:rPr>
                <w:noProof/>
                <w:szCs w:val="24"/>
                <w:u w:val="single"/>
              </w:rPr>
              <w:t>Overview</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noProof/>
                <w:szCs w:val="24"/>
                <w:u w:val="single"/>
              </w:rPr>
            </w:pPr>
            <w:r w:rsidRPr="008A666E">
              <w:rPr>
                <w:noProof/>
                <w:szCs w:val="24"/>
                <w:lang w:bidi="en-US"/>
              </w:rPr>
              <w:t>II.</w:t>
            </w:r>
            <w:r w:rsidRPr="008A666E">
              <w:rPr>
                <w:noProof/>
                <w:szCs w:val="24"/>
              </w:rPr>
              <w:tab/>
            </w:r>
            <w:r w:rsidRPr="008A666E">
              <w:rPr>
                <w:noProof/>
                <w:szCs w:val="24"/>
                <w:u w:val="single"/>
              </w:rPr>
              <w:t>Facts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8</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noProof/>
                <w:szCs w:val="24"/>
                <w:lang w:bidi="en-US"/>
              </w:rPr>
            </w:pPr>
            <w:r w:rsidRPr="008A666E">
              <w:rPr>
                <w:noProof/>
                <w:szCs w:val="24"/>
                <w:lang w:bidi="en-US"/>
              </w:rPr>
              <w:t>III.</w:t>
            </w:r>
            <w:r w:rsidRPr="008A666E">
              <w:rPr>
                <w:noProof/>
                <w:szCs w:val="24"/>
              </w:rPr>
              <w:tab/>
            </w:r>
            <w:r w:rsidRPr="008A666E">
              <w:rPr>
                <w:noProof/>
                <w:szCs w:val="24"/>
                <w:u w:val="single"/>
              </w:rPr>
              <w:t>Judicial History</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9</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noProof/>
                <w:szCs w:val="24"/>
                <w:lang w:bidi="en-US"/>
              </w:rPr>
            </w:pPr>
            <w:bookmarkStart w:id="1" w:name="_Toc163056400"/>
            <w:bookmarkStart w:id="2" w:name="_Toc166665418"/>
            <w:r w:rsidRPr="008A666E">
              <w:rPr>
                <w:noProof/>
                <w:szCs w:val="24"/>
                <w:lang w:bidi="en-US"/>
              </w:rPr>
              <w:t>A.</w:t>
            </w:r>
            <w:r w:rsidRPr="008A666E">
              <w:rPr>
                <w:noProof/>
                <w:szCs w:val="24"/>
              </w:rPr>
              <w:tab/>
            </w:r>
            <w:bookmarkEnd w:id="1"/>
            <w:bookmarkEnd w:id="2"/>
            <w:r w:rsidRPr="008A666E">
              <w:rPr>
                <w:i/>
                <w:noProof/>
                <w:szCs w:val="24"/>
              </w:rPr>
              <w:t>Court of Queen’s Bench of Alberta, 2021 ABQB 37</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9</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i/>
              </w:rPr>
            </w:pPr>
            <w:r w:rsidRPr="008A666E">
              <w:rPr>
                <w:noProof/>
                <w:szCs w:val="24"/>
              </w:rPr>
              <w:t>B.</w:t>
            </w:r>
            <w:r w:rsidRPr="008A666E">
              <w:rPr>
                <w:noProof/>
                <w:szCs w:val="24"/>
              </w:rPr>
              <w:tab/>
            </w:r>
            <w:r w:rsidRPr="008A666E">
              <w:rPr>
                <w:i/>
                <w:noProof/>
                <w:szCs w:val="24"/>
              </w:rPr>
              <w:t>Court of Appeal of Alberta, 2022 ABCA 381</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11</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rPr>
                <w:i/>
                <w:noProof/>
                <w:szCs w:val="24"/>
              </w:rPr>
            </w:pPr>
            <w:r w:rsidRPr="008A666E">
              <w:rPr>
                <w:noProof/>
                <w:szCs w:val="24"/>
                <w:lang w:bidi="en-US"/>
              </w:rPr>
              <w:t>IV.</w:t>
            </w:r>
            <w:r w:rsidRPr="008A666E">
              <w:rPr>
                <w:noProof/>
                <w:szCs w:val="24"/>
              </w:rPr>
              <w:tab/>
            </w:r>
            <w:r w:rsidRPr="008A666E">
              <w:rPr>
                <w:noProof/>
                <w:szCs w:val="24"/>
                <w:u w:val="single"/>
              </w:rPr>
              <w:t>Issues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13</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rPr>
                <w:i/>
                <w:noProof/>
                <w:szCs w:val="24"/>
              </w:rPr>
            </w:pPr>
            <w:r w:rsidRPr="008A666E">
              <w:rPr>
                <w:noProof/>
                <w:szCs w:val="24"/>
                <w:lang w:bidi="en-US"/>
              </w:rPr>
              <w:t>V.</w:t>
            </w:r>
            <w:r w:rsidRPr="008A666E">
              <w:rPr>
                <w:noProof/>
                <w:szCs w:val="24"/>
              </w:rPr>
              <w:tab/>
            </w:r>
            <w:r w:rsidRPr="008A666E">
              <w:rPr>
                <w:noProof/>
                <w:szCs w:val="24"/>
                <w:u w:val="single"/>
              </w:rPr>
              <w:t>Standard of Review</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14</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i/>
                <w:noProof/>
                <w:szCs w:val="24"/>
              </w:rPr>
            </w:pPr>
            <w:r w:rsidRPr="008A666E">
              <w:rPr>
                <w:noProof/>
                <w:szCs w:val="24"/>
                <w:lang w:bidi="en-US"/>
              </w:rPr>
              <w:t>VI.</w:t>
            </w:r>
            <w:r w:rsidRPr="008A666E">
              <w:rPr>
                <w:noProof/>
                <w:szCs w:val="24"/>
              </w:rPr>
              <w:tab/>
            </w:r>
            <w:r w:rsidRPr="008A666E">
              <w:rPr>
                <w:noProof/>
                <w:szCs w:val="24"/>
                <w:u w:val="single"/>
              </w:rPr>
              <w:t>Overview of the Off</w:t>
            </w:r>
            <w:r w:rsidRPr="008A666E">
              <w:rPr>
                <w:noProof/>
                <w:szCs w:val="24"/>
                <w:u w:val="single"/>
              </w:rPr>
              <w:noBreakHyphen/>
              <w:t xml:space="preserve">Coal Agreement, the </w:t>
            </w:r>
            <w:r w:rsidRPr="008A666E">
              <w:rPr>
                <w:i/>
                <w:noProof/>
                <w:szCs w:val="24"/>
                <w:u w:val="single"/>
              </w:rPr>
              <w:t>MGA</w:t>
            </w:r>
            <w:r w:rsidRPr="008A666E">
              <w:rPr>
                <w:noProof/>
                <w:szCs w:val="24"/>
                <w:u w:val="single"/>
              </w:rPr>
              <w:t xml:space="preserve"> and the </w:t>
            </w:r>
            <w:r w:rsidRPr="008A666E">
              <w:rPr>
                <w:i/>
                <w:noProof/>
                <w:szCs w:val="24"/>
                <w:u w:val="single"/>
              </w:rPr>
              <w:t>Linear Guidelines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19</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i/>
                <w:noProof/>
                <w:szCs w:val="24"/>
              </w:rPr>
            </w:pPr>
            <w:r w:rsidRPr="008A666E">
              <w:rPr>
                <w:noProof/>
                <w:szCs w:val="24"/>
                <w:lang w:bidi="en-US"/>
              </w:rPr>
              <w:t>A.</w:t>
            </w:r>
            <w:r w:rsidRPr="008A666E">
              <w:rPr>
                <w:noProof/>
                <w:szCs w:val="24"/>
              </w:rPr>
              <w:tab/>
            </w:r>
            <w:r w:rsidRPr="008A666E">
              <w:rPr>
                <w:i/>
              </w:rPr>
              <w:t>The Off</w:t>
            </w:r>
            <w:r w:rsidRPr="008A666E">
              <w:rPr>
                <w:i/>
              </w:rPr>
              <w:noBreakHyphen/>
              <w:t>Coal Agreement</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19</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noProof/>
                <w:szCs w:val="24"/>
              </w:rPr>
            </w:pPr>
            <w:r w:rsidRPr="008A666E">
              <w:rPr>
                <w:noProof/>
                <w:szCs w:val="24"/>
              </w:rPr>
              <w:t>B.</w:t>
            </w:r>
            <w:r w:rsidRPr="008A666E">
              <w:rPr>
                <w:noProof/>
                <w:szCs w:val="24"/>
              </w:rPr>
              <w:tab/>
            </w:r>
            <w:r w:rsidRPr="008A666E">
              <w:rPr>
                <w:i/>
                <w:noProof/>
                <w:szCs w:val="24"/>
              </w:rPr>
              <w:t xml:space="preserve">The </w:t>
            </w:r>
            <w:r w:rsidRPr="008A666E">
              <w:rPr>
                <w:i/>
                <w:iCs/>
                <w:szCs w:val="24"/>
              </w:rPr>
              <w:t>Municipal Government Act</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22</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noProof/>
                <w:szCs w:val="24"/>
              </w:rPr>
            </w:pPr>
            <w:r w:rsidRPr="008A666E">
              <w:rPr>
                <w:noProof/>
                <w:szCs w:val="24"/>
              </w:rPr>
              <w:t>C.</w:t>
            </w:r>
            <w:r w:rsidRPr="008A666E">
              <w:rPr>
                <w:noProof/>
                <w:szCs w:val="24"/>
              </w:rPr>
              <w:tab/>
            </w:r>
            <w:r w:rsidRPr="008A666E">
              <w:rPr>
                <w:i/>
                <w:noProof/>
                <w:szCs w:val="24"/>
              </w:rPr>
              <w:t>The Linear Guidelines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30</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i/>
                <w:noProof/>
                <w:szCs w:val="24"/>
              </w:rPr>
            </w:pPr>
            <w:r w:rsidRPr="008A666E">
              <w:rPr>
                <w:noProof/>
                <w:szCs w:val="24"/>
                <w:lang w:bidi="en-US"/>
              </w:rPr>
              <w:t>VII.</w:t>
            </w:r>
            <w:r w:rsidRPr="008A666E">
              <w:rPr>
                <w:noProof/>
                <w:szCs w:val="24"/>
              </w:rPr>
              <w:tab/>
            </w:r>
            <w:r w:rsidRPr="008A666E">
              <w:rPr>
                <w:noProof/>
                <w:szCs w:val="24"/>
                <w:u w:val="single"/>
              </w:rPr>
              <w:t>Analysis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37</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i/>
                <w:noProof/>
                <w:szCs w:val="24"/>
              </w:rPr>
            </w:pPr>
            <w:r w:rsidRPr="008A666E">
              <w:rPr>
                <w:noProof/>
                <w:szCs w:val="24"/>
                <w:lang w:bidi="en-US"/>
              </w:rPr>
              <w:t>A.</w:t>
            </w:r>
            <w:r w:rsidRPr="008A666E">
              <w:rPr>
                <w:noProof/>
                <w:szCs w:val="24"/>
              </w:rPr>
              <w:tab/>
            </w:r>
            <w:r w:rsidRPr="008A666E">
              <w:rPr>
                <w:i/>
                <w:noProof/>
                <w:szCs w:val="24"/>
              </w:rPr>
              <w:t>The Common Law Rule Against Administrative Discrimination</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40</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i/>
                <w:noProof/>
                <w:szCs w:val="24"/>
              </w:rPr>
            </w:pPr>
            <w:r w:rsidRPr="008A666E">
              <w:rPr>
                <w:noProof/>
                <w:szCs w:val="24"/>
                <w:lang w:bidi="en-US"/>
              </w:rPr>
              <w:t>B.</w:t>
            </w:r>
            <w:r w:rsidRPr="008A666E">
              <w:rPr>
                <w:noProof/>
                <w:szCs w:val="24"/>
              </w:rPr>
              <w:tab/>
            </w:r>
            <w:r w:rsidRPr="008A666E">
              <w:rPr>
                <w:i/>
                <w:noProof/>
                <w:szCs w:val="24"/>
              </w:rPr>
              <w:t>The Linear Guidelines Discriminate Against Parties to Off</w:t>
            </w:r>
            <w:r w:rsidRPr="008A666E">
              <w:rPr>
                <w:i/>
                <w:noProof/>
                <w:szCs w:val="24"/>
              </w:rPr>
              <w:noBreakHyphen/>
              <w:t>Coal Agreements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45</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i/>
                <w:noProof/>
                <w:szCs w:val="24"/>
              </w:rPr>
            </w:pPr>
            <w:r w:rsidRPr="008A666E">
              <w:rPr>
                <w:noProof/>
                <w:szCs w:val="24"/>
                <w:lang w:bidi="en-US"/>
              </w:rPr>
              <w:t>C.</w:t>
            </w:r>
            <w:r w:rsidRPr="008A666E">
              <w:rPr>
                <w:noProof/>
                <w:szCs w:val="24"/>
              </w:rPr>
              <w:tab/>
            </w:r>
            <w:r w:rsidRPr="008A666E">
              <w:rPr>
                <w:i/>
                <w:noProof/>
                <w:szCs w:val="24"/>
              </w:rPr>
              <w:t>The Minister Is Statutorily Authorized To Discriminate Against Parties to Off</w:t>
            </w:r>
            <w:r w:rsidRPr="008A666E">
              <w:rPr>
                <w:i/>
                <w:noProof/>
                <w:szCs w:val="24"/>
              </w:rPr>
              <w:noBreakHyphen/>
              <w:t>Coal Agreements</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50</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ind w:left="450" w:hanging="450"/>
              <w:jc w:val="both"/>
              <w:rPr>
                <w:noProof/>
                <w:lang w:bidi="en-US"/>
              </w:rPr>
            </w:pPr>
            <w:r w:rsidRPr="008A666E">
              <w:rPr>
                <w:noProof/>
                <w:szCs w:val="24"/>
                <w:lang w:bidi="en-US"/>
              </w:rPr>
              <w:t>D.</w:t>
            </w:r>
            <w:r w:rsidRPr="008A666E">
              <w:rPr>
                <w:noProof/>
                <w:szCs w:val="24"/>
              </w:rPr>
              <w:tab/>
            </w:r>
            <w:r w:rsidRPr="008A666E">
              <w:rPr>
                <w:i/>
              </w:rPr>
              <w:t>The Linear Guidelines Are Consistent With the Scheme and Purposes of the MGA</w:t>
            </w:r>
          </w:p>
        </w:tc>
        <w:tc>
          <w:tcPr>
            <w:tcW w:w="851" w:type="dxa"/>
          </w:tcPr>
          <w:p w:rsidR="001E1EA6" w:rsidRPr="008A666E" w:rsidRDefault="001E1EA6" w:rsidP="002271E2">
            <w:pPr>
              <w:tabs>
                <w:tab w:val="left" w:pos="480"/>
                <w:tab w:val="right" w:leader="dot" w:pos="8270"/>
              </w:tabs>
              <w:spacing w:after="100"/>
              <w:jc w:val="right"/>
              <w:rPr>
                <w:lang w:bidi="en-US"/>
              </w:rPr>
            </w:pPr>
            <w:r w:rsidRPr="008A666E">
              <w:rPr>
                <w:szCs w:val="24"/>
                <w:lang w:bidi="en-US"/>
              </w:rPr>
              <w:t>54</w:t>
            </w:r>
          </w:p>
        </w:tc>
      </w:tr>
      <w:tr w:rsidR="001E1EA6" w:rsidRPr="008A666E" w:rsidTr="002271E2">
        <w:trPr>
          <w:trHeight w:val="432"/>
        </w:trPr>
        <w:tc>
          <w:tcPr>
            <w:tcW w:w="8505" w:type="dxa"/>
          </w:tcPr>
          <w:p w:rsidR="001E1EA6" w:rsidRPr="008A666E" w:rsidRDefault="001E1EA6" w:rsidP="002271E2">
            <w:pPr>
              <w:tabs>
                <w:tab w:val="left" w:pos="480"/>
                <w:tab w:val="right" w:leader="dot" w:pos="8270"/>
              </w:tabs>
              <w:spacing w:after="100"/>
              <w:jc w:val="both"/>
              <w:rPr>
                <w:i/>
                <w:noProof/>
                <w:szCs w:val="24"/>
              </w:rPr>
            </w:pPr>
            <w:r w:rsidRPr="008A666E">
              <w:rPr>
                <w:noProof/>
                <w:szCs w:val="24"/>
                <w:lang w:bidi="en-US"/>
              </w:rPr>
              <w:t>VIII.</w:t>
            </w:r>
            <w:r w:rsidRPr="008A666E">
              <w:rPr>
                <w:noProof/>
                <w:szCs w:val="24"/>
              </w:rPr>
              <w:tab/>
            </w:r>
            <w:r w:rsidRPr="008A666E">
              <w:rPr>
                <w:noProof/>
                <w:szCs w:val="24"/>
                <w:u w:val="single"/>
              </w:rPr>
              <w:t>Conclusion</w:t>
            </w:r>
          </w:p>
        </w:tc>
        <w:tc>
          <w:tcPr>
            <w:tcW w:w="851" w:type="dxa"/>
          </w:tcPr>
          <w:p w:rsidR="001E1EA6" w:rsidRPr="008A666E" w:rsidRDefault="001E1EA6" w:rsidP="002271E2">
            <w:pPr>
              <w:tabs>
                <w:tab w:val="left" w:pos="480"/>
                <w:tab w:val="right" w:leader="dot" w:pos="8270"/>
              </w:tabs>
              <w:spacing w:after="100"/>
              <w:jc w:val="right"/>
              <w:rPr>
                <w:szCs w:val="24"/>
                <w:lang w:bidi="en-US"/>
              </w:rPr>
            </w:pPr>
            <w:r w:rsidRPr="008A666E">
              <w:rPr>
                <w:szCs w:val="24"/>
                <w:lang w:bidi="en-US"/>
              </w:rPr>
              <w:t>61</w:t>
            </w:r>
          </w:p>
        </w:tc>
      </w:tr>
    </w:tbl>
    <w:p w:rsidR="001E1EA6" w:rsidRPr="008A666E" w:rsidRDefault="001E1EA6" w:rsidP="001E1EA6">
      <w:pPr>
        <w:pStyle w:val="Title1LevelTitre1Niveau-AltL"/>
        <w:rPr>
          <w:rFonts w:cs="Times New Roman"/>
        </w:rPr>
      </w:pPr>
      <w:bookmarkStart w:id="3" w:name="_Toc172725986"/>
      <w:r w:rsidRPr="008A666E">
        <w:rPr>
          <w:rFonts w:cs="Times New Roman"/>
        </w:rPr>
        <w:t>Overview</w:t>
      </w:r>
      <w:bookmarkEnd w:id="3"/>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TransAlta Generation Partnership and TransAlta Generation (Keephills 3) (collectively, “TransAlta”) own coal</w:t>
      </w:r>
      <w:r w:rsidRPr="008A666E">
        <w:rPr>
          <w:rFonts w:eastAsia="Times New Roman" w:cs="Times New Roman"/>
          <w:szCs w:val="24"/>
        </w:rPr>
        <w:noBreakHyphen/>
        <w:t>fired electric power generation facilities in Alberta. In 2016, TransAlta entered into an agreement with the Crown in Right of Alberta entitled “Off</w:t>
      </w:r>
      <w:r w:rsidRPr="008A666E">
        <w:rPr>
          <w:rFonts w:eastAsia="Times New Roman" w:cs="Times New Roman"/>
          <w:szCs w:val="24"/>
        </w:rPr>
        <w:noBreakHyphen/>
        <w:t>Coal Agreement”. Under that agreement, TransAlta agreed to cease coal</w:t>
      </w:r>
      <w:r w:rsidRPr="008A666E">
        <w:rPr>
          <w:rFonts w:eastAsia="Times New Roman" w:cs="Times New Roman"/>
          <w:szCs w:val="24"/>
        </w:rPr>
        <w:noBreakHyphen/>
        <w:t>fired emissions by December 31, 2030, in exchange for substantial “transition payments” from Alberta for 14 years to compensate TransAlta for the loss resulting from the reduced life of its coal</w:t>
      </w:r>
      <w:r w:rsidRPr="008A666E">
        <w:rPr>
          <w:rFonts w:eastAsia="Times New Roman" w:cs="Times New Roman"/>
          <w:szCs w:val="24"/>
        </w:rPr>
        <w:noBreakHyphen/>
        <w:t>fired facilities.</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TransAlta challenges the </w:t>
      </w:r>
      <w:r w:rsidRPr="008A666E">
        <w:rPr>
          <w:rFonts w:eastAsia="Times New Roman" w:cs="Times New Roman"/>
          <w:i/>
          <w:iCs/>
          <w:szCs w:val="24"/>
        </w:rPr>
        <w:t xml:space="preserve">vires </w:t>
      </w:r>
      <w:r w:rsidRPr="008A666E">
        <w:rPr>
          <w:rFonts w:eastAsia="Times New Roman" w:cs="Times New Roman"/>
          <w:szCs w:val="24"/>
        </w:rPr>
        <w:t xml:space="preserve">of the </w:t>
      </w:r>
      <w:r w:rsidRPr="008A666E">
        <w:rPr>
          <w:rFonts w:eastAsia="Times New Roman" w:cs="Times New Roman"/>
          <w:i/>
          <w:szCs w:val="24"/>
        </w:rPr>
        <w:t>2017</w:t>
      </w:r>
      <w:r w:rsidRPr="008A666E">
        <w:rPr>
          <w:rFonts w:eastAsia="Times New Roman" w:cs="Times New Roman"/>
          <w:szCs w:val="24"/>
        </w:rPr>
        <w:t xml:space="preserve"> </w:t>
      </w:r>
      <w:r w:rsidRPr="008A666E">
        <w:rPr>
          <w:rFonts w:eastAsia="Times New Roman" w:cs="Times New Roman"/>
          <w:i/>
          <w:iCs/>
          <w:szCs w:val="24"/>
        </w:rPr>
        <w:t xml:space="preserve">Alberta Linear Property Assessment Minister’s Guidelines </w:t>
      </w:r>
      <w:r w:rsidRPr="008A666E">
        <w:rPr>
          <w:rFonts w:eastAsia="Times New Roman" w:cs="Times New Roman"/>
          <w:iCs/>
          <w:szCs w:val="24"/>
        </w:rPr>
        <w:t>(2018)</w:t>
      </w:r>
      <w:r w:rsidRPr="008A666E">
        <w:rPr>
          <w:rFonts w:eastAsia="Times New Roman" w:cs="Times New Roman"/>
          <w:i/>
          <w:iCs/>
          <w:szCs w:val="24"/>
        </w:rPr>
        <w:t xml:space="preserve"> </w:t>
      </w:r>
      <w:r w:rsidRPr="008A666E">
        <w:rPr>
          <w:rFonts w:eastAsia="Times New Roman" w:cs="Times New Roman"/>
          <w:szCs w:val="24"/>
        </w:rPr>
        <w:t>(“</w:t>
      </w:r>
      <w:r w:rsidRPr="008A666E">
        <w:rPr>
          <w:rFonts w:eastAsia="Times New Roman" w:cs="Times New Roman"/>
          <w:i/>
          <w:iCs/>
          <w:szCs w:val="24"/>
        </w:rPr>
        <w:t>Linear Guidelines</w:t>
      </w:r>
      <w:r w:rsidRPr="008A666E">
        <w:rPr>
          <w:rFonts w:eastAsia="Times New Roman" w:cs="Times New Roman"/>
          <w:szCs w:val="24"/>
        </w:rPr>
        <w:t xml:space="preserve">”) issued by the Minister of Municipal Affairs under the </w:t>
      </w:r>
      <w:r w:rsidRPr="008A666E">
        <w:rPr>
          <w:rFonts w:eastAsia="Times New Roman" w:cs="Times New Roman"/>
          <w:i/>
          <w:iCs/>
          <w:szCs w:val="24"/>
        </w:rPr>
        <w:t>Municipal Government Act</w:t>
      </w:r>
      <w:r w:rsidRPr="008A666E">
        <w:rPr>
          <w:rFonts w:eastAsia="Times New Roman" w:cs="Times New Roman"/>
          <w:szCs w:val="24"/>
        </w:rPr>
        <w:t>, R.S.A. 2000, c. M</w:t>
      </w:r>
      <w:r w:rsidRPr="008A666E">
        <w:rPr>
          <w:rFonts w:eastAsia="Times New Roman" w:cs="Times New Roman"/>
          <w:szCs w:val="24"/>
        </w:rPr>
        <w:noBreakHyphen/>
        <w:t>26 (“</w:t>
      </w:r>
      <w:r w:rsidRPr="008A666E">
        <w:rPr>
          <w:rFonts w:eastAsia="Times New Roman" w:cs="Times New Roman"/>
          <w:i/>
          <w:iCs/>
          <w:szCs w:val="24"/>
        </w:rPr>
        <w:t>MGA</w:t>
      </w:r>
      <w:r w:rsidRPr="008A666E">
        <w:rPr>
          <w:rFonts w:eastAsia="Times New Roman" w:cs="Times New Roman"/>
          <w:szCs w:val="24"/>
        </w:rPr>
        <w:t>”). Th</w:t>
      </w:r>
      <w:r w:rsidRPr="008A666E">
        <w:rPr>
          <w:rFonts w:cs="Times New Roman"/>
        </w:rPr>
        <w:t xml:space="preserve">e </w:t>
      </w:r>
      <w:r w:rsidRPr="008A666E">
        <w:rPr>
          <w:rFonts w:cs="Times New Roman"/>
          <w:i/>
          <w:iCs/>
        </w:rPr>
        <w:t>Linear Guidelines</w:t>
      </w:r>
      <w:r w:rsidRPr="008A666E">
        <w:rPr>
          <w:rFonts w:cs="Times New Roman"/>
        </w:rPr>
        <w:t xml:space="preserve"> set out the procedures for assessing all “linear property” for municipal taxation purposes. TransAlta’s coal</w:t>
      </w:r>
      <w:r w:rsidRPr="008A666E">
        <w:rPr>
          <w:rFonts w:cs="Times New Roman"/>
        </w:rPr>
        <w:noBreakHyphen/>
        <w:t xml:space="preserve">fired facilities are considered “linear property”. The </w:t>
      </w:r>
      <w:r w:rsidRPr="008A666E">
        <w:rPr>
          <w:rFonts w:cs="Times New Roman"/>
          <w:i/>
        </w:rPr>
        <w:t>Linear Guidelines</w:t>
      </w:r>
      <w:r w:rsidRPr="008A666E">
        <w:rPr>
          <w:rFonts w:cs="Times New Roman"/>
        </w:rPr>
        <w:t xml:space="preserve"> provide that TransAlta and other parties to off</w:t>
      </w:r>
      <w:r w:rsidRPr="008A666E">
        <w:rPr>
          <w:rFonts w:cs="Times New Roman"/>
        </w:rPr>
        <w:noBreakHyphen/>
        <w:t>coal agreements are ineligible to claim additional depreciation to account for the reduced life of their coal</w:t>
      </w:r>
      <w:r w:rsidRPr="008A666E">
        <w:rPr>
          <w:rFonts w:cs="Times New Roman"/>
        </w:rPr>
        <w:noBreakHyphen/>
        <w:t>fired facilities.</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TransAlta submits that the </w:t>
      </w:r>
      <w:r w:rsidRPr="008A666E">
        <w:rPr>
          <w:rFonts w:eastAsia="Times New Roman" w:cs="Times New Roman"/>
          <w:i/>
          <w:iCs/>
          <w:szCs w:val="24"/>
        </w:rPr>
        <w:t xml:space="preserve">Linear Guidelines </w:t>
      </w:r>
      <w:r w:rsidRPr="008A666E">
        <w:rPr>
          <w:rFonts w:eastAsia="Times New Roman" w:cs="Times New Roman"/>
          <w:szCs w:val="24"/>
        </w:rPr>
        <w:t xml:space="preserve">are </w:t>
      </w:r>
      <w:r w:rsidRPr="008A666E">
        <w:rPr>
          <w:rFonts w:eastAsia="Times New Roman" w:cs="Times New Roman"/>
          <w:i/>
          <w:iCs/>
          <w:szCs w:val="24"/>
        </w:rPr>
        <w:t xml:space="preserve">ultra vires </w:t>
      </w:r>
      <w:r w:rsidRPr="008A666E">
        <w:rPr>
          <w:rFonts w:eastAsia="Times New Roman" w:cs="Times New Roman"/>
          <w:szCs w:val="24"/>
        </w:rPr>
        <w:t>the Minister on two bases: (1) they violate the common law rule against administrative discrimination by discriminating, without statutory authorization, against parties who have entered into off</w:t>
      </w:r>
      <w:r w:rsidRPr="008A666E">
        <w:rPr>
          <w:rFonts w:eastAsia="Times New Roman" w:cs="Times New Roman"/>
          <w:szCs w:val="24"/>
        </w:rPr>
        <w:noBreakHyphen/>
        <w:t xml:space="preserve">coal agreements with Alberta; and (2) they are inconsistent with the purposes of the </w:t>
      </w:r>
      <w:r w:rsidRPr="008A666E">
        <w:rPr>
          <w:rFonts w:eastAsia="Times New Roman" w:cs="Times New Roman"/>
          <w:i/>
          <w:szCs w:val="24"/>
        </w:rPr>
        <w:t>MGA</w:t>
      </w:r>
      <w:r w:rsidRPr="008A666E">
        <w:rPr>
          <w:rFonts w:eastAsia="Times New Roman" w:cs="Times New Roman"/>
          <w:szCs w:val="24"/>
        </w:rPr>
        <w:t>.</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In the companion case, </w:t>
      </w:r>
      <w:r w:rsidRPr="008A666E">
        <w:rPr>
          <w:rFonts w:eastAsia="Times New Roman" w:cs="Times New Roman"/>
          <w:i/>
          <w:iCs/>
          <w:szCs w:val="24"/>
        </w:rPr>
        <w:t>Auer v. Auer</w:t>
      </w:r>
      <w:r w:rsidRPr="008A666E">
        <w:rPr>
          <w:rFonts w:eastAsia="Times New Roman" w:cs="Times New Roman"/>
          <w:szCs w:val="24"/>
        </w:rPr>
        <w:t xml:space="preserve">, 2024 SCC 36, our Court holds that, as established in </w:t>
      </w:r>
      <w:r w:rsidRPr="008A666E">
        <w:rPr>
          <w:rFonts w:eastAsia="Times New Roman" w:cs="Times New Roman"/>
          <w:i/>
          <w:iCs/>
          <w:szCs w:val="24"/>
        </w:rPr>
        <w:t>Canada (Minister of Citizenship and Immigration) v. Vavilov</w:t>
      </w:r>
      <w:r w:rsidRPr="008A666E">
        <w:rPr>
          <w:rFonts w:eastAsia="Times New Roman" w:cs="Times New Roman"/>
          <w:szCs w:val="24"/>
        </w:rPr>
        <w:t>, 2019 SCC 65, [2019] 4 S.C.R. 653,</w:t>
      </w:r>
      <w:r w:rsidRPr="008A666E">
        <w:rPr>
          <w:rFonts w:eastAsia="Times New Roman" w:cs="Times New Roman"/>
          <w:iCs/>
          <w:szCs w:val="24"/>
        </w:rPr>
        <w:t xml:space="preserve"> the reasonableness standard presumptively </w:t>
      </w:r>
      <w:r w:rsidRPr="008A666E">
        <w:rPr>
          <w:rFonts w:eastAsia="Times New Roman" w:cs="Times New Roman"/>
          <w:szCs w:val="24"/>
        </w:rPr>
        <w:t xml:space="preserve">applies when reviewing the </w:t>
      </w:r>
      <w:r w:rsidRPr="008A666E">
        <w:rPr>
          <w:rFonts w:eastAsia="Times New Roman" w:cs="Times New Roman"/>
          <w:i/>
          <w:iCs/>
          <w:szCs w:val="24"/>
        </w:rPr>
        <w:t xml:space="preserve">vires </w:t>
      </w:r>
      <w:r w:rsidRPr="008A666E">
        <w:rPr>
          <w:rFonts w:eastAsia="Times New Roman" w:cs="Times New Roman"/>
          <w:szCs w:val="24"/>
        </w:rPr>
        <w:t>of subordinate legislation. Given that no exception to that presumption applies here, this appeal provides our Court with an opportunity to illustrate how the reasonableness standard of review</w:t>
      </w:r>
      <w:r w:rsidRPr="008A666E">
        <w:rPr>
          <w:rFonts w:eastAsia="Times New Roman" w:cs="Times New Roman"/>
          <w:i/>
          <w:iCs/>
          <w:szCs w:val="24"/>
        </w:rPr>
        <w:t xml:space="preserve"> </w:t>
      </w:r>
      <w:r w:rsidRPr="008A666E">
        <w:rPr>
          <w:rFonts w:eastAsia="Times New Roman" w:cs="Times New Roman"/>
          <w:szCs w:val="24"/>
        </w:rPr>
        <w:t xml:space="preserve">applies to a </w:t>
      </w:r>
      <w:r w:rsidRPr="008A666E">
        <w:rPr>
          <w:rFonts w:eastAsia="Times New Roman" w:cs="Times New Roman"/>
          <w:i/>
          <w:iCs/>
          <w:szCs w:val="24"/>
        </w:rPr>
        <w:t xml:space="preserve">vires </w:t>
      </w:r>
      <w:r w:rsidRPr="008A666E">
        <w:rPr>
          <w:rFonts w:eastAsia="Times New Roman" w:cs="Times New Roman"/>
          <w:szCs w:val="24"/>
        </w:rPr>
        <w:t>review of subordinate legislation when the challenger invokes the common law rule against administrative discrimination.</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As I will explain, the </w:t>
      </w:r>
      <w:r w:rsidRPr="008A666E">
        <w:rPr>
          <w:rFonts w:eastAsia="Times New Roman" w:cs="Times New Roman"/>
          <w:i/>
          <w:iCs/>
          <w:szCs w:val="24"/>
        </w:rPr>
        <w:t xml:space="preserve">Linear Guidelines </w:t>
      </w:r>
      <w:r w:rsidRPr="008A666E">
        <w:rPr>
          <w:rFonts w:eastAsia="Times New Roman" w:cs="Times New Roman"/>
          <w:szCs w:val="24"/>
        </w:rPr>
        <w:t>discriminate against TransAlta and other parties to off</w:t>
      </w:r>
      <w:r w:rsidRPr="008A666E">
        <w:rPr>
          <w:rFonts w:eastAsia="Times New Roman" w:cs="Times New Roman"/>
          <w:szCs w:val="24"/>
        </w:rPr>
        <w:noBreakHyphen/>
        <w:t>coal agreements by depriving them of the ability to claim additional depreciation reflecting the reduced lifespan of their coal</w:t>
      </w:r>
      <w:r w:rsidRPr="008A666E">
        <w:rPr>
          <w:rFonts w:eastAsia="Times New Roman" w:cs="Times New Roman"/>
          <w:szCs w:val="24"/>
        </w:rPr>
        <w:noBreakHyphen/>
        <w:t>fired facilities. However, that discrimination is statutorily authorized by necessary implication. To ensure that the assessment of TransAlta’s coal</w:t>
      </w:r>
      <w:r w:rsidRPr="008A666E">
        <w:rPr>
          <w:rFonts w:eastAsia="Times New Roman" w:cs="Times New Roman"/>
          <w:szCs w:val="24"/>
        </w:rPr>
        <w:noBreakHyphen/>
        <w:t xml:space="preserve">fired facilities was “current, correct, fair and equitable” in accordance with the purposes of the </w:t>
      </w:r>
      <w:r w:rsidRPr="008A666E">
        <w:rPr>
          <w:rFonts w:eastAsia="Times New Roman" w:cs="Times New Roman"/>
          <w:i/>
          <w:iCs/>
          <w:szCs w:val="24"/>
        </w:rPr>
        <w:t xml:space="preserve">MGA </w:t>
      </w:r>
      <w:r w:rsidRPr="008A666E">
        <w:rPr>
          <w:rFonts w:eastAsia="Times New Roman" w:cs="Times New Roman"/>
          <w:szCs w:val="24"/>
        </w:rPr>
        <w:t>(</w:t>
      </w:r>
      <w:r w:rsidRPr="008A666E">
        <w:rPr>
          <w:rFonts w:eastAsia="Times New Roman"/>
          <w:i/>
          <w:iCs/>
        </w:rPr>
        <w:t>Edmonton (City) v. Edmonton East (</w:t>
      </w:r>
      <w:proofErr w:type="spellStart"/>
      <w:r w:rsidRPr="008A666E">
        <w:rPr>
          <w:rFonts w:eastAsia="Times New Roman"/>
          <w:i/>
          <w:iCs/>
        </w:rPr>
        <w:t>Capilano</w:t>
      </w:r>
      <w:proofErr w:type="spellEnd"/>
      <w:r w:rsidRPr="008A666E">
        <w:rPr>
          <w:rFonts w:eastAsia="Times New Roman"/>
          <w:i/>
          <w:iCs/>
        </w:rPr>
        <w:t>) Shopping Centres Ltd.</w:t>
      </w:r>
      <w:r w:rsidRPr="008A666E">
        <w:rPr>
          <w:rFonts w:eastAsia="Times New Roman"/>
        </w:rPr>
        <w:t>, 2016 SCC 47</w:t>
      </w:r>
      <w:r w:rsidRPr="008A666E">
        <w:rPr>
          <w:rFonts w:eastAsia="Times New Roman" w:cs="Times New Roman"/>
          <w:szCs w:val="24"/>
        </w:rPr>
        <w:t xml:space="preserve">, [2016] 2 S.C.R. 293, at para. 46), it falls within a reasonable interpretation of the Minister’s </w:t>
      </w:r>
      <w:r w:rsidRPr="008A666E">
        <w:rPr>
          <w:rFonts w:eastAsia="Times New Roman" w:cs="Times New Roman"/>
        </w:rPr>
        <w:t>statutory grant of power to conclude that he was authorized t</w:t>
      </w:r>
      <w:r w:rsidRPr="008A666E">
        <w:rPr>
          <w:rFonts w:eastAsia="Times New Roman" w:cs="Times New Roman"/>
          <w:szCs w:val="24"/>
        </w:rPr>
        <w:t>o deprive TransAlta of the ability to claim additional depreciation. This is because the transition payments from Alberta to TransAlta under the Off</w:t>
      </w:r>
      <w:r w:rsidRPr="008A666E">
        <w:rPr>
          <w:rFonts w:eastAsia="Times New Roman" w:cs="Times New Roman"/>
          <w:szCs w:val="24"/>
        </w:rPr>
        <w:noBreakHyphen/>
        <w:t>Coal Agreement already account for at least some loss of value to TransAlta’s coal</w:t>
      </w:r>
      <w:r w:rsidRPr="008A666E">
        <w:rPr>
          <w:rFonts w:eastAsia="Times New Roman" w:cs="Times New Roman"/>
          <w:szCs w:val="24"/>
        </w:rPr>
        <w:noBreakHyphen/>
        <w:t>fired facilities due to their reduced life. Further, the existence of the Off</w:t>
      </w:r>
      <w:r w:rsidRPr="008A666E">
        <w:rPr>
          <w:rFonts w:eastAsia="Times New Roman" w:cs="Times New Roman"/>
          <w:szCs w:val="24"/>
        </w:rPr>
        <w:noBreakHyphen/>
        <w:t>Coal Agreement is a “specification” or “characteristic” of TransAlta’s coal</w:t>
      </w:r>
      <w:r w:rsidRPr="008A666E">
        <w:rPr>
          <w:rFonts w:eastAsia="Times New Roman" w:cs="Times New Roman"/>
          <w:szCs w:val="24"/>
        </w:rPr>
        <w:noBreakHyphen/>
        <w:t>fired facilities that the Minister was authorized to consider in establishing valuation standards for those facilities.</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Given my conclusion that it is a reasonable interpretation of the Minister’s statutory grant of power to conclude that discrimination is statutorily authorized by necessary implication, it follows that the </w:t>
      </w:r>
      <w:r w:rsidRPr="008A666E">
        <w:rPr>
          <w:rFonts w:eastAsia="Times New Roman" w:cs="Times New Roman"/>
          <w:i/>
          <w:szCs w:val="24"/>
        </w:rPr>
        <w:t xml:space="preserve">Linear Guidelines </w:t>
      </w:r>
      <w:r w:rsidRPr="008A666E">
        <w:rPr>
          <w:rFonts w:eastAsia="Times New Roman" w:cs="Times New Roman"/>
          <w:szCs w:val="24"/>
        </w:rPr>
        <w:t xml:space="preserve">are consistent with the purposes of the </w:t>
      </w:r>
      <w:r w:rsidRPr="008A666E">
        <w:rPr>
          <w:rFonts w:eastAsia="Times New Roman" w:cs="Times New Roman"/>
          <w:i/>
          <w:szCs w:val="24"/>
        </w:rPr>
        <w:t>MGA</w:t>
      </w:r>
      <w:r w:rsidRPr="008A666E">
        <w:rPr>
          <w:rFonts w:eastAsia="Times New Roman" w:cs="Times New Roman"/>
          <w:szCs w:val="24"/>
        </w:rPr>
        <w:t xml:space="preserve">. To reiterate, the </w:t>
      </w:r>
      <w:r w:rsidRPr="008A666E">
        <w:rPr>
          <w:rFonts w:eastAsia="Times New Roman" w:cs="Times New Roman"/>
          <w:i/>
          <w:szCs w:val="24"/>
        </w:rPr>
        <w:t>Linear Guidelines</w:t>
      </w:r>
      <w:r w:rsidRPr="008A666E">
        <w:rPr>
          <w:rFonts w:eastAsia="Times New Roman" w:cs="Times New Roman"/>
          <w:szCs w:val="24"/>
        </w:rPr>
        <w:t xml:space="preserve"> serve to ensure that tax assessments are “current, correct, fair and equitable” in accordance with the purposes of the </w:t>
      </w:r>
      <w:r w:rsidRPr="008A666E">
        <w:rPr>
          <w:rFonts w:eastAsia="Times New Roman" w:cs="Times New Roman"/>
          <w:i/>
          <w:iCs/>
          <w:szCs w:val="24"/>
        </w:rPr>
        <w:t>MGA</w:t>
      </w:r>
      <w:r w:rsidRPr="008A666E">
        <w:rPr>
          <w:rFonts w:eastAsia="Times New Roman" w:cs="Times New Roman"/>
          <w:szCs w:val="24"/>
        </w:rPr>
        <w:t>.</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Thus, having regard to the governing statutory scheme, the principles of statutory interpretation, and the common law rule against administrative discrimination, I conclude that the </w:t>
      </w:r>
      <w:r w:rsidRPr="008A666E">
        <w:rPr>
          <w:rFonts w:eastAsia="Times New Roman" w:cs="Times New Roman"/>
          <w:i/>
          <w:iCs/>
          <w:szCs w:val="24"/>
        </w:rPr>
        <w:t xml:space="preserve">Linear Guidelines </w:t>
      </w:r>
      <w:r w:rsidRPr="008A666E">
        <w:rPr>
          <w:rFonts w:eastAsia="Times New Roman" w:cs="Times New Roman"/>
          <w:szCs w:val="24"/>
        </w:rPr>
        <w:t xml:space="preserve">are </w:t>
      </w:r>
      <w:r w:rsidRPr="008A666E">
        <w:rPr>
          <w:rFonts w:eastAsia="Times New Roman" w:cs="Times New Roman"/>
          <w:i/>
          <w:iCs/>
          <w:szCs w:val="24"/>
        </w:rPr>
        <w:t xml:space="preserve">intra vires </w:t>
      </w:r>
      <w:r w:rsidRPr="008A666E">
        <w:rPr>
          <w:rFonts w:eastAsia="Times New Roman" w:cs="Times New Roman"/>
          <w:szCs w:val="24"/>
        </w:rPr>
        <w:t>the Minister.</w:t>
      </w:r>
    </w:p>
    <w:p w:rsidR="001E1EA6" w:rsidRPr="008A666E" w:rsidRDefault="001E1EA6" w:rsidP="001E1EA6">
      <w:pPr>
        <w:pStyle w:val="Title1LevelTitre1Niveau-AltL"/>
        <w:rPr>
          <w:rFonts w:cs="Times New Roman"/>
        </w:rPr>
      </w:pPr>
      <w:bookmarkStart w:id="4" w:name="_Toc172725987"/>
      <w:r w:rsidRPr="008A666E">
        <w:rPr>
          <w:rFonts w:cs="Times New Roman"/>
        </w:rPr>
        <w:t>Facts</w:t>
      </w:r>
      <w:bookmarkEnd w:id="4"/>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TransAlta’s coal</w:t>
      </w:r>
      <w:r w:rsidRPr="008A666E">
        <w:rPr>
          <w:rFonts w:eastAsia="Times New Roman" w:cs="Times New Roman"/>
          <w:szCs w:val="24"/>
        </w:rPr>
        <w:noBreakHyphen/>
        <w:t>fired facilities are assessed as “linear property” for municipal taxation purposes. Section 284(1</w:t>
      </w:r>
      <w:proofErr w:type="gramStart"/>
      <w:r w:rsidRPr="008A666E">
        <w:rPr>
          <w:rFonts w:eastAsia="Times New Roman" w:cs="Times New Roman"/>
          <w:szCs w:val="24"/>
        </w:rPr>
        <w:t>)(</w:t>
      </w:r>
      <w:proofErr w:type="gramEnd"/>
      <w:r w:rsidRPr="008A666E">
        <w:rPr>
          <w:rFonts w:eastAsia="Times New Roman" w:cs="Times New Roman"/>
          <w:szCs w:val="24"/>
        </w:rPr>
        <w:t xml:space="preserve">k) of the </w:t>
      </w:r>
      <w:r w:rsidRPr="008A666E">
        <w:rPr>
          <w:rFonts w:eastAsia="Times New Roman" w:cs="Times New Roman"/>
          <w:i/>
          <w:iCs/>
          <w:szCs w:val="24"/>
        </w:rPr>
        <w:t>MGA</w:t>
      </w:r>
      <w:r w:rsidRPr="008A666E">
        <w:rPr>
          <w:rFonts w:eastAsia="Times New Roman" w:cs="Times New Roman"/>
          <w:szCs w:val="24"/>
        </w:rPr>
        <w:t xml:space="preserve"> defines “linear property”, and ss. 322 and 322.1 authorize the Minister of Municipal Affairs to establish guidelines for assessing the value of linear property. In 2017, the Minister established the </w:t>
      </w:r>
      <w:r w:rsidRPr="008A666E">
        <w:rPr>
          <w:rFonts w:eastAsia="Times New Roman" w:cs="Times New Roman"/>
          <w:i/>
          <w:iCs/>
          <w:szCs w:val="24"/>
        </w:rPr>
        <w:t>Linear Guidelines</w:t>
      </w:r>
      <w:r w:rsidRPr="008A666E">
        <w:rPr>
          <w:rFonts w:eastAsia="Times New Roman" w:cs="Times New Roman"/>
          <w:iCs/>
          <w:szCs w:val="24"/>
        </w:rPr>
        <w:t xml:space="preserve">, which </w:t>
      </w:r>
      <w:r w:rsidRPr="008A666E">
        <w:rPr>
          <w:rFonts w:eastAsia="Times New Roman" w:cs="Times New Roman"/>
          <w:szCs w:val="24"/>
        </w:rPr>
        <w:t>provide that “[t]here will be no recognition [of] or adjustment [to depreciation] in Schedule C or Schedule D as a result of the cessation or reduction of coal</w:t>
      </w:r>
      <w:r w:rsidRPr="008A666E">
        <w:rPr>
          <w:rFonts w:eastAsia="Times New Roman" w:cs="Times New Roman"/>
          <w:szCs w:val="24"/>
        </w:rPr>
        <w:noBreakHyphen/>
        <w:t>fired emissions on or before December 31, 2030 arising from an Off</w:t>
      </w:r>
      <w:r w:rsidRPr="008A666E">
        <w:rPr>
          <w:rFonts w:eastAsia="Times New Roman" w:cs="Times New Roman"/>
          <w:szCs w:val="24"/>
        </w:rPr>
        <w:noBreakHyphen/>
        <w:t xml:space="preserve">Coal Agreement or Provincial or Federal legislation” (s. 1.003(d)). TransAlta brought an application for judicial review challenging the </w:t>
      </w:r>
      <w:r w:rsidRPr="008A666E">
        <w:rPr>
          <w:rFonts w:eastAsia="Times New Roman" w:cs="Times New Roman"/>
          <w:i/>
          <w:iCs/>
          <w:szCs w:val="24"/>
        </w:rPr>
        <w:t xml:space="preserve">vires </w:t>
      </w:r>
      <w:r w:rsidRPr="008A666E">
        <w:rPr>
          <w:rFonts w:eastAsia="Times New Roman" w:cs="Times New Roman"/>
          <w:szCs w:val="24"/>
        </w:rPr>
        <w:t xml:space="preserve">of the </w:t>
      </w:r>
      <w:r w:rsidRPr="008A666E">
        <w:rPr>
          <w:rFonts w:eastAsia="Times New Roman" w:cs="Times New Roman"/>
          <w:i/>
          <w:iCs/>
          <w:szCs w:val="24"/>
        </w:rPr>
        <w:t xml:space="preserve">Linear Guidelines </w:t>
      </w:r>
      <w:r w:rsidRPr="008A666E">
        <w:rPr>
          <w:rFonts w:eastAsia="Times New Roman" w:cs="Times New Roman"/>
          <w:szCs w:val="24"/>
        </w:rPr>
        <w:t>on several bases, including that they discriminate against TransAlta by depriving it, without statutory authorization, of the right to claim a form of depreciation that is available to linear property that is not subject to an off</w:t>
      </w:r>
      <w:r w:rsidRPr="008A666E">
        <w:rPr>
          <w:rFonts w:eastAsia="Times New Roman" w:cs="Times New Roman"/>
          <w:szCs w:val="24"/>
        </w:rPr>
        <w:noBreakHyphen/>
        <w:t>coal agreement.</w:t>
      </w:r>
    </w:p>
    <w:p w:rsidR="001E1EA6" w:rsidRPr="008A666E" w:rsidRDefault="001E1EA6" w:rsidP="001E1EA6">
      <w:pPr>
        <w:pStyle w:val="Title1LevelTitre1Niveau-AltL"/>
        <w:rPr>
          <w:rFonts w:cs="Times New Roman"/>
        </w:rPr>
      </w:pPr>
      <w:bookmarkStart w:id="5" w:name="_Toc172725988"/>
      <w:r w:rsidRPr="008A666E">
        <w:rPr>
          <w:rFonts w:cs="Times New Roman"/>
        </w:rPr>
        <w:t>Judicial History</w:t>
      </w:r>
      <w:bookmarkEnd w:id="5"/>
    </w:p>
    <w:p w:rsidR="001E1EA6" w:rsidRPr="008A666E" w:rsidRDefault="001E1EA6" w:rsidP="001E1EA6">
      <w:pPr>
        <w:pStyle w:val="Title2LevelTitre2Niveau"/>
        <w:rPr>
          <w:rFonts w:eastAsia="Times New Roman" w:cs="Times New Roman"/>
          <w:iCs/>
          <w:szCs w:val="24"/>
        </w:rPr>
      </w:pPr>
      <w:bookmarkStart w:id="6" w:name="_Toc172725989"/>
      <w:r w:rsidRPr="008A666E">
        <w:rPr>
          <w:rFonts w:cs="Times New Roman"/>
        </w:rPr>
        <w:t>Court of Queen’s Bench of Alberta</w:t>
      </w:r>
      <w:bookmarkEnd w:id="6"/>
      <w:r w:rsidRPr="008A666E">
        <w:rPr>
          <w:noProof/>
          <w:szCs w:val="24"/>
        </w:rPr>
        <w:t>,</w:t>
      </w:r>
      <w:r w:rsidRPr="008A666E">
        <w:rPr>
          <w:i w:val="0"/>
          <w:noProof/>
          <w:szCs w:val="24"/>
        </w:rPr>
        <w:t xml:space="preserve"> </w:t>
      </w:r>
      <w:r w:rsidRPr="008A666E">
        <w:rPr>
          <w:noProof/>
          <w:szCs w:val="24"/>
        </w:rPr>
        <w:t>2021 ABQB 37</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chambers judge upheld the validity of the </w:t>
      </w:r>
      <w:r w:rsidRPr="008A666E">
        <w:rPr>
          <w:rFonts w:eastAsia="Times New Roman" w:cs="Times New Roman"/>
          <w:i/>
          <w:iCs/>
          <w:szCs w:val="24"/>
        </w:rPr>
        <w:t>Linear Guidelines</w:t>
      </w:r>
      <w:r w:rsidRPr="008A666E">
        <w:rPr>
          <w:rFonts w:eastAsia="Times New Roman" w:cs="Times New Roman"/>
          <w:szCs w:val="24"/>
        </w:rPr>
        <w:t xml:space="preserve">. She noted that, following </w:t>
      </w:r>
      <w:r w:rsidRPr="008A666E">
        <w:rPr>
          <w:rFonts w:eastAsia="Times New Roman" w:cs="Times New Roman"/>
          <w:i/>
          <w:iCs/>
          <w:szCs w:val="24"/>
        </w:rPr>
        <w:t>Vavilov</w:t>
      </w:r>
      <w:r w:rsidRPr="008A666E">
        <w:rPr>
          <w:rFonts w:eastAsia="Times New Roman" w:cs="Times New Roman"/>
          <w:szCs w:val="24"/>
        </w:rPr>
        <w:t xml:space="preserve">, the reasonableness standard applies when assessing the </w:t>
      </w:r>
      <w:r w:rsidRPr="008A666E">
        <w:rPr>
          <w:rFonts w:eastAsia="Times New Roman" w:cs="Times New Roman"/>
          <w:i/>
          <w:iCs/>
          <w:szCs w:val="24"/>
        </w:rPr>
        <w:t xml:space="preserve">vires </w:t>
      </w:r>
      <w:r w:rsidRPr="008A666E">
        <w:rPr>
          <w:rFonts w:eastAsia="Times New Roman" w:cs="Times New Roman"/>
          <w:szCs w:val="24"/>
        </w:rPr>
        <w:t xml:space="preserve">of subordinate legislation. However, her application of the reasonableness standard was largely informed by </w:t>
      </w:r>
      <w:r w:rsidRPr="008A666E">
        <w:rPr>
          <w:rFonts w:eastAsia="Times New Roman" w:cs="Times New Roman"/>
          <w:i/>
          <w:iCs/>
          <w:szCs w:val="24"/>
        </w:rPr>
        <w:t>Katz Group Canada Inc</w:t>
      </w:r>
      <w:r w:rsidRPr="008A666E">
        <w:rPr>
          <w:rFonts w:eastAsia="Times New Roman"/>
          <w:i/>
          <w:iCs/>
        </w:rPr>
        <w:t>.</w:t>
      </w:r>
      <w:r w:rsidRPr="008A666E">
        <w:rPr>
          <w:rFonts w:eastAsia="Times New Roman" w:cs="Times New Roman"/>
          <w:i/>
          <w:iCs/>
          <w:szCs w:val="24"/>
        </w:rPr>
        <w:t xml:space="preserve"> v. Ontario (Health and Long</w:t>
      </w:r>
      <w:r w:rsidRPr="008A666E">
        <w:rPr>
          <w:rFonts w:eastAsia="Times New Roman" w:cs="Times New Roman"/>
          <w:i/>
          <w:iCs/>
          <w:szCs w:val="24"/>
        </w:rPr>
        <w:noBreakHyphen/>
        <w:t>Term Care)</w:t>
      </w:r>
      <w:r w:rsidRPr="008A666E">
        <w:rPr>
          <w:rFonts w:eastAsia="Times New Roman" w:cs="Times New Roman"/>
          <w:szCs w:val="24"/>
        </w:rPr>
        <w:t xml:space="preserve">, 2013 SCC 64, [2013] 3 S.C.R. 810. In her view, the </w:t>
      </w:r>
      <w:r w:rsidRPr="008A666E">
        <w:rPr>
          <w:rFonts w:eastAsia="Times New Roman" w:cs="Times New Roman"/>
          <w:i/>
          <w:iCs/>
          <w:szCs w:val="24"/>
        </w:rPr>
        <w:t>Linear Guidelines</w:t>
      </w:r>
      <w:r w:rsidRPr="008A666E">
        <w:rPr>
          <w:rFonts w:eastAsia="Times New Roman" w:cs="Times New Roman"/>
          <w:szCs w:val="24"/>
        </w:rPr>
        <w:t xml:space="preserve"> were not “irrelevant”, “extraneous” or “completely unrelated” to the purposes of the </w:t>
      </w:r>
      <w:r w:rsidRPr="008A666E">
        <w:rPr>
          <w:rFonts w:eastAsia="Times New Roman" w:cs="Times New Roman"/>
          <w:i/>
          <w:iCs/>
          <w:szCs w:val="24"/>
        </w:rPr>
        <w:t xml:space="preserve">MGA </w:t>
      </w:r>
      <w:r w:rsidRPr="008A666E">
        <w:rPr>
          <w:rFonts w:eastAsia="Times New Roman" w:cs="Times New Roman"/>
          <w:szCs w:val="24"/>
        </w:rPr>
        <w:t xml:space="preserve">(para. 57, referring to </w:t>
      </w:r>
      <w:r w:rsidRPr="008A666E">
        <w:rPr>
          <w:rFonts w:eastAsia="Times New Roman" w:cs="Times New Roman"/>
          <w:i/>
          <w:szCs w:val="24"/>
        </w:rPr>
        <w:t>Katz Group</w:t>
      </w:r>
      <w:r w:rsidRPr="008A666E">
        <w:rPr>
          <w:rFonts w:eastAsia="Times New Roman" w:cs="Times New Roman"/>
          <w:szCs w:val="24"/>
        </w:rPr>
        <w:t xml:space="preserve">, at para. 28). The </w:t>
      </w:r>
      <w:r w:rsidRPr="008A666E">
        <w:rPr>
          <w:rFonts w:eastAsia="Times New Roman" w:cs="Times New Roman"/>
          <w:i/>
          <w:iCs/>
          <w:szCs w:val="24"/>
        </w:rPr>
        <w:t>MGA</w:t>
      </w:r>
      <w:r w:rsidRPr="008A666E">
        <w:rPr>
          <w:rFonts w:eastAsia="Times New Roman" w:cs="Times New Roman"/>
          <w:szCs w:val="24"/>
        </w:rPr>
        <w:t xml:space="preserve"> granted the Minister broad authority to establish valuation standards for regulated property, such as TransAlta’s coal</w:t>
      </w:r>
      <w:r w:rsidRPr="008A666E">
        <w:rPr>
          <w:rFonts w:eastAsia="Times New Roman" w:cs="Times New Roman"/>
          <w:szCs w:val="24"/>
        </w:rPr>
        <w:noBreakHyphen/>
        <w:t>fired facilities. The Minister was not limited to adopting the market value standard.</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chambers judge found that the </w:t>
      </w:r>
      <w:r w:rsidRPr="008A666E">
        <w:rPr>
          <w:rFonts w:eastAsia="Times New Roman" w:cs="Times New Roman"/>
          <w:i/>
          <w:iCs/>
          <w:szCs w:val="24"/>
        </w:rPr>
        <w:t xml:space="preserve">Linear Guidelines </w:t>
      </w:r>
      <w:r w:rsidRPr="008A666E">
        <w:rPr>
          <w:rFonts w:eastAsia="Times New Roman" w:cs="Times New Roman"/>
          <w:szCs w:val="24"/>
        </w:rPr>
        <w:t xml:space="preserve">did not discriminate against TransAlta for two reasons. First, they did not deprive TransAlta of a form of depreciation to which it was previously entitled. Second, they did not deprive TransAlta of a form of depreciation applicable to other types of linear property. However, she explained that even if the </w:t>
      </w:r>
      <w:r w:rsidRPr="008A666E">
        <w:rPr>
          <w:rFonts w:eastAsia="Times New Roman" w:cs="Times New Roman"/>
          <w:i/>
          <w:iCs/>
          <w:szCs w:val="24"/>
        </w:rPr>
        <w:t>Linear Guidelines</w:t>
      </w:r>
      <w:r w:rsidRPr="008A666E">
        <w:rPr>
          <w:rFonts w:eastAsia="Times New Roman" w:cs="Times New Roman"/>
          <w:szCs w:val="24"/>
        </w:rPr>
        <w:t xml:space="preserve"> were discriminatory, the Minister was authorized by the </w:t>
      </w:r>
      <w:r w:rsidRPr="008A666E">
        <w:rPr>
          <w:rFonts w:eastAsia="Times New Roman" w:cs="Times New Roman"/>
          <w:i/>
          <w:iCs/>
          <w:szCs w:val="24"/>
        </w:rPr>
        <w:t xml:space="preserve">MGA </w:t>
      </w:r>
      <w:r w:rsidRPr="008A666E">
        <w:rPr>
          <w:rFonts w:eastAsia="Times New Roman" w:cs="Times New Roman"/>
          <w:szCs w:val="24"/>
        </w:rPr>
        <w:t>to discriminate against TransAlta because “the creation and implementation of an assessment regime necessarily includes drawing distinctions among various types of properties” (para. 73).</w:t>
      </w:r>
    </w:p>
    <w:p w:rsidR="001E1EA6" w:rsidRPr="008A666E" w:rsidRDefault="001E1EA6" w:rsidP="001E1EA6">
      <w:pPr>
        <w:pStyle w:val="Title2LevelTitre2Niveau"/>
        <w:rPr>
          <w:rFonts w:eastAsia="Times New Roman" w:cs="Times New Roman"/>
          <w:iCs/>
          <w:szCs w:val="24"/>
        </w:rPr>
      </w:pPr>
      <w:bookmarkStart w:id="7" w:name="_Toc172725990"/>
      <w:r w:rsidRPr="008A666E">
        <w:rPr>
          <w:rFonts w:cs="Times New Roman"/>
        </w:rPr>
        <w:t>Court of Appeal of Alberta</w:t>
      </w:r>
      <w:bookmarkEnd w:id="7"/>
      <w:r w:rsidRPr="008A666E">
        <w:rPr>
          <w:noProof/>
          <w:szCs w:val="24"/>
        </w:rPr>
        <w:t>, 2022 ABCA 381</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Court of Appeal unanimously dismissed TransAlta’s appeal. Regarding the standard of review, the court held that the principles articulated in </w:t>
      </w:r>
      <w:r w:rsidRPr="008A666E">
        <w:rPr>
          <w:rFonts w:eastAsia="Times New Roman" w:cs="Times New Roman"/>
          <w:i/>
          <w:iCs/>
          <w:szCs w:val="24"/>
        </w:rPr>
        <w:t>Katz Group</w:t>
      </w:r>
      <w:r w:rsidRPr="008A666E">
        <w:rPr>
          <w:rFonts w:eastAsia="Times New Roman" w:cs="Times New Roman"/>
          <w:szCs w:val="24"/>
        </w:rPr>
        <w:t xml:space="preserve"> were not overtaken or modified by </w:t>
      </w:r>
      <w:r w:rsidRPr="008A666E">
        <w:rPr>
          <w:rFonts w:eastAsia="Times New Roman" w:cs="Times New Roman"/>
          <w:i/>
          <w:iCs/>
          <w:szCs w:val="24"/>
        </w:rPr>
        <w:t>Vavilov</w:t>
      </w:r>
      <w:r w:rsidRPr="008A666E">
        <w:rPr>
          <w:rFonts w:eastAsia="Times New Roman" w:cs="Times New Roman"/>
          <w:iCs/>
          <w:szCs w:val="24"/>
        </w:rPr>
        <w:t>.</w:t>
      </w:r>
      <w:r w:rsidRPr="008A666E">
        <w:rPr>
          <w:rFonts w:eastAsia="Times New Roman" w:cs="Times New Roman"/>
          <w:i/>
          <w:iCs/>
          <w:szCs w:val="24"/>
        </w:rPr>
        <w:t xml:space="preserve"> </w:t>
      </w:r>
      <w:r w:rsidRPr="008A666E">
        <w:rPr>
          <w:rFonts w:eastAsia="Times New Roman" w:cs="Times New Roman"/>
          <w:szCs w:val="24"/>
        </w:rPr>
        <w:t xml:space="preserve">Applying </w:t>
      </w:r>
      <w:r w:rsidRPr="008A666E">
        <w:rPr>
          <w:rFonts w:eastAsia="Times New Roman" w:cs="Times New Roman"/>
          <w:i/>
          <w:iCs/>
          <w:szCs w:val="24"/>
        </w:rPr>
        <w:t>Katz Group</w:t>
      </w:r>
      <w:r w:rsidRPr="008A666E">
        <w:rPr>
          <w:rFonts w:eastAsia="Times New Roman" w:cs="Times New Roman"/>
          <w:szCs w:val="24"/>
        </w:rPr>
        <w:t xml:space="preserve">, the court held that the chambers judge did not err in finding that the </w:t>
      </w:r>
      <w:r w:rsidRPr="008A666E">
        <w:rPr>
          <w:rFonts w:eastAsia="Times New Roman" w:cs="Times New Roman"/>
          <w:i/>
          <w:iCs/>
          <w:szCs w:val="24"/>
        </w:rPr>
        <w:t xml:space="preserve">Linear Guidelines </w:t>
      </w:r>
      <w:r w:rsidRPr="008A666E">
        <w:rPr>
          <w:rFonts w:eastAsia="Times New Roman" w:cs="Times New Roman"/>
          <w:szCs w:val="24"/>
        </w:rPr>
        <w:t>were within the Minister’s authority.</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court determined that the </w:t>
      </w:r>
      <w:r w:rsidRPr="008A666E">
        <w:rPr>
          <w:rFonts w:eastAsia="Times New Roman" w:cs="Times New Roman"/>
          <w:i/>
          <w:iCs/>
          <w:szCs w:val="24"/>
        </w:rPr>
        <w:t>Linear Guidelines</w:t>
      </w:r>
      <w:r w:rsidRPr="008A666E">
        <w:rPr>
          <w:rFonts w:eastAsia="Times New Roman" w:cs="Times New Roman"/>
          <w:szCs w:val="24"/>
        </w:rPr>
        <w:t xml:space="preserve"> did not discriminate against TransAlta since the impugned provisions applied to all coal</w:t>
      </w:r>
      <w:r w:rsidRPr="008A666E">
        <w:rPr>
          <w:rFonts w:eastAsia="Times New Roman" w:cs="Times New Roman"/>
          <w:szCs w:val="24"/>
        </w:rPr>
        <w:noBreakHyphen/>
        <w:t>fired facilities subject to off</w:t>
      </w:r>
      <w:r w:rsidRPr="008A666E">
        <w:rPr>
          <w:rFonts w:eastAsia="Times New Roman" w:cs="Times New Roman"/>
          <w:szCs w:val="24"/>
        </w:rPr>
        <w:noBreakHyphen/>
        <w:t>coal agreements, not just to those owned by TransAlta. In the court’s view, the Minister was authorized to distinguish between coal</w:t>
      </w:r>
      <w:r w:rsidRPr="008A666E">
        <w:rPr>
          <w:rFonts w:eastAsia="Times New Roman" w:cs="Times New Roman"/>
          <w:szCs w:val="24"/>
        </w:rPr>
        <w:noBreakHyphen/>
        <w:t>fired facilities and other types of electric power generation properties because the Minister was generally authorized to make regulations respecting “</w:t>
      </w:r>
      <w:proofErr w:type="gramStart"/>
      <w:r w:rsidRPr="008A666E">
        <w:rPr>
          <w:rFonts w:eastAsia="Times New Roman" w:cs="Times New Roman"/>
          <w:szCs w:val="24"/>
        </w:rPr>
        <w:t>any .</w:t>
      </w:r>
      <w:proofErr w:type="gramEnd"/>
      <w:r w:rsidRPr="008A666E">
        <w:rPr>
          <w:rFonts w:eastAsia="Times New Roman" w:cs="Times New Roman"/>
          <w:szCs w:val="24"/>
        </w:rPr>
        <w:t xml:space="preserve"> . . matter considered necessary to carry out the intent of” the </w:t>
      </w:r>
      <w:r w:rsidRPr="008A666E">
        <w:rPr>
          <w:rFonts w:eastAsia="Times New Roman" w:cs="Times New Roman"/>
          <w:i/>
          <w:iCs/>
          <w:szCs w:val="24"/>
        </w:rPr>
        <w:t>MGA</w:t>
      </w:r>
      <w:r w:rsidRPr="008A666E">
        <w:rPr>
          <w:rFonts w:eastAsia="Times New Roman" w:cs="Times New Roman"/>
          <w:iCs/>
          <w:szCs w:val="24"/>
        </w:rPr>
        <w:t>,</w:t>
      </w:r>
      <w:r w:rsidRPr="008A666E">
        <w:rPr>
          <w:rFonts w:eastAsia="Times New Roman" w:cs="Times New Roman"/>
          <w:szCs w:val="24"/>
        </w:rPr>
        <w:t xml:space="preserve"> and drawing distinctions between different classes of properties was a “necessary incident” of the authority to establish a property valuation regime (paras. 84</w:t>
      </w:r>
      <w:r w:rsidRPr="008A666E">
        <w:rPr>
          <w:rFonts w:eastAsia="Times New Roman" w:cs="Times New Roman"/>
          <w:szCs w:val="24"/>
        </w:rPr>
        <w:noBreakHyphen/>
        <w:t>85).</w:t>
      </w:r>
    </w:p>
    <w:p w:rsidR="001E1EA6" w:rsidRPr="008A666E" w:rsidRDefault="001E1EA6" w:rsidP="001E1EA6">
      <w:pPr>
        <w:pStyle w:val="Title1LevelTitre1Niveau-AltL"/>
        <w:rPr>
          <w:rFonts w:cs="Times New Roman"/>
        </w:rPr>
      </w:pPr>
      <w:bookmarkStart w:id="8" w:name="_Toc172725991"/>
      <w:r w:rsidRPr="008A666E">
        <w:rPr>
          <w:rFonts w:cs="Times New Roman"/>
        </w:rPr>
        <w:t>Issues</w:t>
      </w:r>
      <w:bookmarkEnd w:id="8"/>
    </w:p>
    <w:p w:rsidR="001E1EA6" w:rsidRPr="008A666E" w:rsidRDefault="001E1EA6" w:rsidP="001E1EA6">
      <w:pPr>
        <w:pStyle w:val="ParaNoNdepar-AltN"/>
        <w:rPr>
          <w:rFonts w:eastAsia="Times New Roman" w:cs="Times New Roman"/>
          <w:szCs w:val="24"/>
        </w:rPr>
      </w:pPr>
      <w:r w:rsidRPr="008A666E">
        <w:rPr>
          <w:rFonts w:cs="Times New Roman"/>
        </w:rPr>
        <w:t>The issues on appeal are as follows:</w:t>
      </w:r>
    </w:p>
    <w:p w:rsidR="001E1EA6" w:rsidRPr="008A666E" w:rsidRDefault="001E1EA6" w:rsidP="001E1EA6">
      <w:pPr>
        <w:pStyle w:val="ParaNoNdepar-AltN"/>
        <w:numPr>
          <w:ilvl w:val="6"/>
          <w:numId w:val="1"/>
        </w:numPr>
        <w:ind w:left="1526"/>
        <w:rPr>
          <w:rFonts w:eastAsia="Times New Roman" w:cs="Times New Roman"/>
        </w:rPr>
      </w:pPr>
      <w:r w:rsidRPr="008A666E">
        <w:rPr>
          <w:rFonts w:eastAsia="Times New Roman" w:cs="Times New Roman"/>
        </w:rPr>
        <w:t xml:space="preserve">What is the applicable standard of review when reviewing the </w:t>
      </w:r>
      <w:r w:rsidRPr="008A666E">
        <w:rPr>
          <w:rFonts w:eastAsia="Times New Roman" w:cs="Times New Roman"/>
          <w:i/>
          <w:iCs/>
        </w:rPr>
        <w:t>vires</w:t>
      </w:r>
      <w:r w:rsidRPr="008A666E">
        <w:rPr>
          <w:rFonts w:eastAsia="Times New Roman" w:cs="Times New Roman"/>
        </w:rPr>
        <w:t xml:space="preserve"> of subordinate legislation?</w:t>
      </w:r>
    </w:p>
    <w:p w:rsidR="001E1EA6" w:rsidRPr="008A666E" w:rsidRDefault="001E1EA6" w:rsidP="001E1EA6">
      <w:pPr>
        <w:pStyle w:val="ParaNoNdepar-AltN"/>
        <w:numPr>
          <w:ilvl w:val="6"/>
          <w:numId w:val="1"/>
        </w:numPr>
        <w:ind w:left="1526"/>
        <w:rPr>
          <w:rFonts w:eastAsia="Times New Roman" w:cs="Times New Roman"/>
          <w:szCs w:val="24"/>
        </w:rPr>
      </w:pPr>
      <w:r w:rsidRPr="008A666E">
        <w:rPr>
          <w:rFonts w:eastAsia="Times New Roman" w:cs="Times New Roman"/>
          <w:szCs w:val="24"/>
        </w:rPr>
        <w:t xml:space="preserve">Are the </w:t>
      </w:r>
      <w:r w:rsidRPr="008A666E">
        <w:rPr>
          <w:rFonts w:eastAsia="Times New Roman" w:cs="Times New Roman"/>
          <w:i/>
          <w:iCs/>
          <w:szCs w:val="24"/>
        </w:rPr>
        <w:t>Linear Guidelines ultra vires</w:t>
      </w:r>
      <w:r w:rsidRPr="008A666E">
        <w:rPr>
          <w:rFonts w:eastAsia="Times New Roman" w:cs="Times New Roman"/>
          <w:szCs w:val="24"/>
        </w:rPr>
        <w:t xml:space="preserve"> the Minister under the </w:t>
      </w:r>
      <w:r w:rsidRPr="008A666E">
        <w:rPr>
          <w:rFonts w:eastAsia="Times New Roman" w:cs="Times New Roman"/>
          <w:i/>
          <w:iCs/>
          <w:szCs w:val="24"/>
        </w:rPr>
        <w:t>MGA</w:t>
      </w:r>
      <w:r w:rsidRPr="008A666E">
        <w:rPr>
          <w:rFonts w:eastAsia="Times New Roman" w:cs="Times New Roman"/>
          <w:szCs w:val="24"/>
        </w:rPr>
        <w:t>?</w:t>
      </w:r>
    </w:p>
    <w:p w:rsidR="001E1EA6" w:rsidRPr="008A666E" w:rsidRDefault="001E1EA6" w:rsidP="001E1EA6">
      <w:pPr>
        <w:pStyle w:val="Title1LevelTitre1Niveau-AltL"/>
        <w:rPr>
          <w:rFonts w:cs="Times New Roman"/>
        </w:rPr>
      </w:pPr>
      <w:bookmarkStart w:id="9" w:name="_Toc172725992"/>
      <w:r w:rsidRPr="008A666E">
        <w:rPr>
          <w:rFonts w:cs="Times New Roman"/>
        </w:rPr>
        <w:t>Standard of Review</w:t>
      </w:r>
      <w:bookmarkEnd w:id="9"/>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As set out in the companion case, </w:t>
      </w:r>
      <w:r w:rsidRPr="008A666E">
        <w:rPr>
          <w:rFonts w:eastAsia="Times New Roman" w:cs="Times New Roman"/>
          <w:i/>
          <w:iCs/>
          <w:szCs w:val="24"/>
        </w:rPr>
        <w:t>Auer</w:t>
      </w:r>
      <w:r w:rsidRPr="008A666E">
        <w:rPr>
          <w:rFonts w:eastAsia="Times New Roman" w:cs="Times New Roman"/>
          <w:szCs w:val="24"/>
        </w:rPr>
        <w:t xml:space="preserve">, the reasonableness standard under </w:t>
      </w:r>
      <w:r w:rsidRPr="008A666E">
        <w:rPr>
          <w:rFonts w:eastAsia="Times New Roman" w:cs="Times New Roman"/>
          <w:i/>
          <w:iCs/>
          <w:szCs w:val="24"/>
        </w:rPr>
        <w:t xml:space="preserve">Vavilov </w:t>
      </w:r>
      <w:r w:rsidRPr="008A666E">
        <w:rPr>
          <w:rFonts w:eastAsia="Times New Roman" w:cs="Times New Roman"/>
          <w:iCs/>
          <w:szCs w:val="24"/>
        </w:rPr>
        <w:t xml:space="preserve">presumptively </w:t>
      </w:r>
      <w:r w:rsidRPr="008A666E">
        <w:rPr>
          <w:rFonts w:eastAsia="Times New Roman" w:cs="Times New Roman"/>
          <w:szCs w:val="24"/>
        </w:rPr>
        <w:t xml:space="preserve">applies when reviewing the </w:t>
      </w:r>
      <w:r w:rsidRPr="008A666E">
        <w:rPr>
          <w:rFonts w:eastAsia="Times New Roman" w:cs="Times New Roman"/>
          <w:i/>
          <w:iCs/>
          <w:szCs w:val="24"/>
        </w:rPr>
        <w:t xml:space="preserve">vires </w:t>
      </w:r>
      <w:r w:rsidRPr="008A666E">
        <w:rPr>
          <w:rFonts w:eastAsia="Times New Roman" w:cs="Times New Roman"/>
          <w:szCs w:val="24"/>
        </w:rPr>
        <w:t xml:space="preserve">of subordinate legislation. No exception to the presumption of reasonableness review applies in this case. Indeed, the legislature has not indicated that the </w:t>
      </w:r>
      <w:r w:rsidRPr="008A666E">
        <w:rPr>
          <w:rFonts w:eastAsia="Times New Roman" w:cs="Times New Roman"/>
          <w:i/>
          <w:szCs w:val="24"/>
        </w:rPr>
        <w:t xml:space="preserve">Linear Guidelines </w:t>
      </w:r>
      <w:r w:rsidRPr="008A666E">
        <w:rPr>
          <w:rFonts w:eastAsia="Times New Roman" w:cs="Times New Roman"/>
          <w:szCs w:val="24"/>
        </w:rPr>
        <w:t xml:space="preserve">must be reviewed on a different standard, and the rule of law does not require that the correctness standard apply. Thus, the reasonableness standard applies when reviewing the </w:t>
      </w:r>
      <w:r w:rsidRPr="008A666E">
        <w:rPr>
          <w:rFonts w:eastAsia="Times New Roman" w:cs="Times New Roman"/>
          <w:i/>
          <w:szCs w:val="24"/>
        </w:rPr>
        <w:t xml:space="preserve">vires </w:t>
      </w:r>
      <w:r w:rsidRPr="008A666E">
        <w:rPr>
          <w:rFonts w:eastAsia="Times New Roman" w:cs="Times New Roman"/>
          <w:szCs w:val="24"/>
        </w:rPr>
        <w:t xml:space="preserve">of the </w:t>
      </w:r>
      <w:r w:rsidRPr="008A666E">
        <w:rPr>
          <w:rFonts w:eastAsia="Times New Roman" w:cs="Times New Roman"/>
          <w:i/>
          <w:szCs w:val="24"/>
        </w:rPr>
        <w:t>Linear Guidelines</w:t>
      </w:r>
      <w:r w:rsidRPr="008A666E">
        <w:rPr>
          <w:rFonts w:eastAsia="Times New Roman" w:cs="Times New Roman"/>
          <w:szCs w:val="24"/>
        </w:rPr>
        <w:t>.</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As explained in </w:t>
      </w:r>
      <w:r w:rsidRPr="008A666E">
        <w:rPr>
          <w:rFonts w:eastAsia="Times New Roman" w:cs="Times New Roman"/>
          <w:i/>
          <w:szCs w:val="24"/>
        </w:rPr>
        <w:t>Auer</w:t>
      </w:r>
      <w:r w:rsidRPr="008A666E">
        <w:rPr>
          <w:rFonts w:eastAsia="Times New Roman" w:cs="Times New Roman"/>
          <w:szCs w:val="24"/>
        </w:rPr>
        <w:t xml:space="preserve">, </w:t>
      </w:r>
      <w:r w:rsidRPr="008A666E">
        <w:rPr>
          <w:rFonts w:eastAsia="Times New Roman" w:cs="Times New Roman"/>
          <w:i/>
          <w:iCs/>
          <w:szCs w:val="24"/>
        </w:rPr>
        <w:t>Katz Group</w:t>
      </w:r>
      <w:r w:rsidRPr="008A666E">
        <w:rPr>
          <w:rFonts w:eastAsia="Times New Roman" w:cs="Times New Roman"/>
          <w:szCs w:val="24"/>
        </w:rPr>
        <w:t xml:space="preserve"> continues to provide helpful guidance and inform reasonableness review. In particular, the following principles from </w:t>
      </w:r>
      <w:r w:rsidRPr="008A666E">
        <w:rPr>
          <w:rFonts w:eastAsia="Times New Roman" w:cs="Times New Roman"/>
          <w:i/>
          <w:iCs/>
          <w:szCs w:val="24"/>
        </w:rPr>
        <w:t xml:space="preserve">Katz Group </w:t>
      </w:r>
      <w:r w:rsidRPr="008A666E">
        <w:rPr>
          <w:rFonts w:eastAsia="Times New Roman" w:cs="Times New Roman"/>
          <w:szCs w:val="24"/>
        </w:rPr>
        <w:t>continue to apply:</w:t>
      </w:r>
    </w:p>
    <w:p w:rsidR="001E1EA6" w:rsidRPr="008A666E" w:rsidRDefault="001E1EA6" w:rsidP="001E1EA6">
      <w:pPr>
        <w:pStyle w:val="ParaNoNdepar-AltN"/>
        <w:numPr>
          <w:ilvl w:val="0"/>
          <w:numId w:val="4"/>
        </w:numPr>
        <w:ind w:left="1526"/>
        <w:rPr>
          <w:rFonts w:eastAsia="Times New Roman" w:cs="Times New Roman"/>
          <w:szCs w:val="24"/>
        </w:rPr>
      </w:pPr>
      <w:r w:rsidRPr="008A666E">
        <w:rPr>
          <w:rFonts w:eastAsia="Times New Roman" w:cs="Times New Roman"/>
          <w:szCs w:val="24"/>
        </w:rPr>
        <w:t>Subordinate legislation “must be consistent both with specific provisions of the enabling statute and with its overriding purpose or object” (</w:t>
      </w:r>
      <w:r w:rsidRPr="008A666E">
        <w:rPr>
          <w:rFonts w:eastAsia="Times New Roman" w:cs="Times New Roman"/>
          <w:i/>
          <w:iCs/>
          <w:szCs w:val="24"/>
        </w:rPr>
        <w:t>References re Greenhouse Gas Pollution Pricing Act</w:t>
      </w:r>
      <w:r w:rsidRPr="008A666E">
        <w:rPr>
          <w:rFonts w:eastAsia="Times New Roman" w:cs="Times New Roman"/>
          <w:szCs w:val="24"/>
        </w:rPr>
        <w:t>, 2021 SCC 11, [2021] 1 S.C.R. 175 (“</w:t>
      </w:r>
      <w:r w:rsidRPr="008A666E">
        <w:rPr>
          <w:rFonts w:eastAsia="Times New Roman" w:cs="Times New Roman"/>
          <w:i/>
          <w:szCs w:val="24"/>
        </w:rPr>
        <w:t>GGPPA</w:t>
      </w:r>
      <w:r w:rsidRPr="008A666E">
        <w:rPr>
          <w:rFonts w:eastAsia="Times New Roman" w:cs="Times New Roman"/>
          <w:szCs w:val="24"/>
        </w:rPr>
        <w:t xml:space="preserve">”), at para. 87; see also </w:t>
      </w:r>
      <w:r w:rsidRPr="008A666E">
        <w:rPr>
          <w:rFonts w:eastAsia="Times New Roman" w:cs="Times New Roman"/>
          <w:i/>
          <w:szCs w:val="24"/>
        </w:rPr>
        <w:t>Vavilov</w:t>
      </w:r>
      <w:r w:rsidRPr="008A666E">
        <w:rPr>
          <w:rFonts w:eastAsia="Times New Roman" w:cs="Times New Roman"/>
          <w:szCs w:val="24"/>
        </w:rPr>
        <w:t xml:space="preserve">, at paras. 108 and 110; </w:t>
      </w:r>
      <w:r w:rsidRPr="008A666E">
        <w:rPr>
          <w:rFonts w:eastAsia="Times New Roman" w:cs="Times New Roman"/>
          <w:i/>
          <w:iCs/>
          <w:szCs w:val="24"/>
        </w:rPr>
        <w:t>Reference re</w:t>
      </w:r>
      <w:r w:rsidRPr="008A666E">
        <w:rPr>
          <w:rFonts w:eastAsia="Times New Roman" w:cs="Times New Roman"/>
          <w:szCs w:val="24"/>
        </w:rPr>
        <w:t xml:space="preserve"> </w:t>
      </w:r>
      <w:r w:rsidRPr="008A666E">
        <w:rPr>
          <w:rFonts w:eastAsia="Times New Roman" w:cs="Times New Roman"/>
          <w:i/>
          <w:iCs/>
          <w:szCs w:val="24"/>
        </w:rPr>
        <w:t>Impact Assessment Act</w:t>
      </w:r>
      <w:r w:rsidRPr="008A666E">
        <w:rPr>
          <w:rFonts w:eastAsia="Times New Roman" w:cs="Times New Roman"/>
          <w:szCs w:val="24"/>
        </w:rPr>
        <w:t xml:space="preserve">, 2023 SCC 23, at para. 283, </w:t>
      </w:r>
      <w:r w:rsidRPr="008A666E">
        <w:rPr>
          <w:rFonts w:eastAsia="Times New Roman" w:cs="Times New Roman"/>
          <w:iCs/>
          <w:szCs w:val="24"/>
        </w:rPr>
        <w:t>per</w:t>
      </w:r>
      <w:r w:rsidRPr="008A666E">
        <w:rPr>
          <w:rFonts w:eastAsia="Times New Roman" w:cs="Times New Roman"/>
          <w:szCs w:val="24"/>
        </w:rPr>
        <w:t xml:space="preserve"> Karakatsanis and Jamal JJ., dissenting in part, but not on this point).</w:t>
      </w:r>
    </w:p>
    <w:p w:rsidR="001E1EA6" w:rsidRPr="008A666E" w:rsidRDefault="001E1EA6" w:rsidP="001E1EA6">
      <w:pPr>
        <w:pStyle w:val="ParaNoNdepar-AltN"/>
        <w:numPr>
          <w:ilvl w:val="0"/>
          <w:numId w:val="4"/>
        </w:numPr>
        <w:ind w:left="1526"/>
        <w:rPr>
          <w:rFonts w:eastAsia="Times New Roman" w:cs="Times New Roman"/>
          <w:szCs w:val="24"/>
        </w:rPr>
      </w:pPr>
      <w:r w:rsidRPr="008A666E">
        <w:rPr>
          <w:rFonts w:eastAsia="Times New Roman" w:cs="Times New Roman"/>
          <w:szCs w:val="24"/>
        </w:rPr>
        <w:t>Subordinate legislation continues to benefit from a presumption of validity (</w:t>
      </w:r>
      <w:r w:rsidRPr="008A666E">
        <w:rPr>
          <w:rFonts w:eastAsia="Times New Roman" w:cs="Times New Roman"/>
          <w:i/>
          <w:iCs/>
          <w:szCs w:val="24"/>
        </w:rPr>
        <w:t>Canadian Council for Refugees v. Canada (Citizenship and Immigration)</w:t>
      </w:r>
      <w:r w:rsidRPr="008A666E">
        <w:rPr>
          <w:rFonts w:eastAsia="Times New Roman" w:cs="Times New Roman"/>
          <w:szCs w:val="24"/>
        </w:rPr>
        <w:t>, 2023 SCC 17, at para. 54).</w:t>
      </w:r>
    </w:p>
    <w:p w:rsidR="001E1EA6" w:rsidRPr="008A666E" w:rsidRDefault="001E1EA6" w:rsidP="001E1EA6">
      <w:pPr>
        <w:pStyle w:val="ParaNoNdepar-AltN"/>
        <w:numPr>
          <w:ilvl w:val="0"/>
          <w:numId w:val="4"/>
        </w:numPr>
        <w:ind w:left="1526"/>
        <w:rPr>
          <w:rFonts w:eastAsia="Times New Roman" w:cs="Times New Roman"/>
          <w:szCs w:val="24"/>
        </w:rPr>
      </w:pPr>
      <w:r w:rsidRPr="008A666E">
        <w:rPr>
          <w:rFonts w:eastAsia="Times New Roman" w:cs="Times New Roman"/>
          <w:szCs w:val="24"/>
        </w:rPr>
        <w:t xml:space="preserve">The challenged subordinate legislation and the enabling statute are to be interpreted using a broad and purposive approach to statutory interpretation (see </w:t>
      </w:r>
      <w:r w:rsidRPr="008A666E">
        <w:rPr>
          <w:rFonts w:eastAsia="Times New Roman" w:cs="Times New Roman"/>
          <w:i/>
          <w:iCs/>
          <w:szCs w:val="24"/>
        </w:rPr>
        <w:t>Green v. Law Society of Manitoba</w:t>
      </w:r>
      <w:r w:rsidRPr="008A666E">
        <w:rPr>
          <w:rFonts w:eastAsia="Times New Roman" w:cs="Times New Roman"/>
          <w:szCs w:val="24"/>
        </w:rPr>
        <w:t xml:space="preserve">, 2017 SCC 20, [2017] 1 S.C.R. 360, at para. 28; </w:t>
      </w:r>
      <w:r w:rsidRPr="008A666E">
        <w:rPr>
          <w:rFonts w:eastAsia="Times New Roman" w:cs="Times New Roman"/>
          <w:i/>
          <w:iCs/>
          <w:szCs w:val="24"/>
        </w:rPr>
        <w:t>West Fraser Mills Ltd. v. British Columbia (Workers’ Compensation Appeal Tribunal)</w:t>
      </w:r>
      <w:r w:rsidRPr="008A666E">
        <w:rPr>
          <w:rFonts w:eastAsia="Times New Roman" w:cs="Times New Roman"/>
          <w:szCs w:val="24"/>
        </w:rPr>
        <w:t>, 2018 SCC 22, [2018] 1 S.C.R. 635, at para. 12).</w:t>
      </w:r>
    </w:p>
    <w:p w:rsidR="001E1EA6" w:rsidRPr="008A666E" w:rsidRDefault="001E1EA6" w:rsidP="001E1EA6">
      <w:pPr>
        <w:pStyle w:val="ParaNoNdepar-AltN"/>
        <w:numPr>
          <w:ilvl w:val="0"/>
          <w:numId w:val="4"/>
        </w:numPr>
        <w:ind w:left="1526"/>
        <w:rPr>
          <w:rFonts w:eastAsia="Times New Roman" w:cs="Times New Roman"/>
          <w:szCs w:val="24"/>
        </w:rPr>
      </w:pPr>
      <w:r w:rsidRPr="008A666E">
        <w:rPr>
          <w:rFonts w:eastAsia="Times New Roman" w:cs="Times New Roman"/>
          <w:szCs w:val="24"/>
        </w:rPr>
        <w:t xml:space="preserve">A review of the </w:t>
      </w:r>
      <w:r w:rsidRPr="008A666E">
        <w:rPr>
          <w:rFonts w:eastAsia="Times New Roman" w:cs="Times New Roman"/>
          <w:i/>
          <w:iCs/>
          <w:szCs w:val="24"/>
        </w:rPr>
        <w:t xml:space="preserve">vires </w:t>
      </w:r>
      <w:r w:rsidRPr="008A666E">
        <w:rPr>
          <w:rFonts w:eastAsia="Times New Roman" w:cs="Times New Roman"/>
          <w:szCs w:val="24"/>
        </w:rPr>
        <w:t>of subordinate legislation does not involve assessing policy merits. Courts are to review only the legality or validity of subordinate legislation (</w:t>
      </w:r>
      <w:r w:rsidRPr="008A666E">
        <w:rPr>
          <w:rFonts w:eastAsia="Times New Roman" w:cs="Times New Roman"/>
          <w:i/>
          <w:iCs/>
          <w:szCs w:val="24"/>
        </w:rPr>
        <w:t>West Fraser Mills</w:t>
      </w:r>
      <w:r w:rsidRPr="008A666E">
        <w:rPr>
          <w:rFonts w:eastAsia="Times New Roman" w:cs="Times New Roman"/>
          <w:szCs w:val="24"/>
        </w:rPr>
        <w:t xml:space="preserve">, at para. 59, </w:t>
      </w:r>
      <w:r w:rsidRPr="008A666E">
        <w:rPr>
          <w:rFonts w:eastAsia="Times New Roman" w:cs="Times New Roman"/>
          <w:iCs/>
          <w:szCs w:val="24"/>
        </w:rPr>
        <w:t>per</w:t>
      </w:r>
      <w:r w:rsidRPr="008A666E">
        <w:rPr>
          <w:rFonts w:eastAsia="Times New Roman" w:cs="Times New Roman"/>
          <w:szCs w:val="24"/>
        </w:rPr>
        <w:t xml:space="preserve"> Côté J., dissenting, but not on this point; </w:t>
      </w:r>
      <w:r w:rsidRPr="008A666E">
        <w:rPr>
          <w:rFonts w:eastAsia="Times New Roman" w:cs="Times New Roman"/>
          <w:i/>
          <w:iCs/>
          <w:szCs w:val="24"/>
        </w:rPr>
        <w:t>La Rose v. Canada</w:t>
      </w:r>
      <w:r w:rsidRPr="008A666E">
        <w:rPr>
          <w:rFonts w:eastAsia="Times New Roman" w:cs="Times New Roman"/>
          <w:szCs w:val="24"/>
        </w:rPr>
        <w:t>, 2023 FCA 241, 488 D.L.R. (4th) 340, at para. 28).</w:t>
      </w:r>
    </w:p>
    <w:p w:rsidR="001E1EA6" w:rsidRPr="008A666E" w:rsidRDefault="001E1EA6" w:rsidP="001E1EA6">
      <w:pPr>
        <w:pStyle w:val="ParaNoNdepar-AltN"/>
        <w:rPr>
          <w:rFonts w:cs="Times New Roman"/>
        </w:rPr>
      </w:pPr>
      <w:r w:rsidRPr="008A666E">
        <w:rPr>
          <w:rFonts w:eastAsia="Times New Roman" w:cs="Times New Roman"/>
          <w:szCs w:val="24"/>
        </w:rPr>
        <w:t xml:space="preserve">At the same time, for subordinate legislation to be </w:t>
      </w:r>
      <w:r w:rsidRPr="008A666E">
        <w:rPr>
          <w:rFonts w:eastAsia="Times New Roman" w:cs="Times New Roman"/>
          <w:i/>
          <w:iCs/>
          <w:szCs w:val="24"/>
        </w:rPr>
        <w:t xml:space="preserve">ultra vires </w:t>
      </w:r>
      <w:r w:rsidRPr="008A666E">
        <w:rPr>
          <w:rFonts w:eastAsia="Times New Roman" w:cs="Times New Roman"/>
          <w:szCs w:val="24"/>
        </w:rPr>
        <w:t xml:space="preserve">on the basis that it is inconsistent with the purpose of the enabling statute, it no longer needs to be “irrelevant”, “extraneous” or “completely unrelated” to that statutory purpose (see </w:t>
      </w:r>
      <w:r w:rsidRPr="008A666E">
        <w:rPr>
          <w:rFonts w:eastAsia="Times New Roman" w:cs="Times New Roman"/>
          <w:i/>
          <w:szCs w:val="24"/>
        </w:rPr>
        <w:t>Auer</w:t>
      </w:r>
      <w:r w:rsidRPr="008A666E">
        <w:rPr>
          <w:rFonts w:eastAsia="Times New Roman" w:cs="Times New Roman"/>
          <w:szCs w:val="24"/>
        </w:rPr>
        <w:t xml:space="preserve">, at paras. 4, 41 and 49; see also </w:t>
      </w:r>
      <w:r w:rsidRPr="008A666E">
        <w:rPr>
          <w:rFonts w:eastAsia="Times New Roman" w:cs="Times New Roman"/>
          <w:i/>
          <w:szCs w:val="24"/>
        </w:rPr>
        <w:t>Katz Group</w:t>
      </w:r>
      <w:r w:rsidRPr="008A666E">
        <w:rPr>
          <w:rFonts w:eastAsia="Times New Roman" w:cs="Times New Roman"/>
          <w:szCs w:val="24"/>
        </w:rPr>
        <w:t xml:space="preserve">, at para. 28). Continuing to maintain this threshold from </w:t>
      </w:r>
      <w:r w:rsidRPr="008A666E">
        <w:rPr>
          <w:rFonts w:eastAsia="Times New Roman" w:cs="Times New Roman"/>
          <w:i/>
          <w:iCs/>
          <w:szCs w:val="24"/>
        </w:rPr>
        <w:t xml:space="preserve">Katz Group </w:t>
      </w:r>
      <w:r w:rsidRPr="008A666E">
        <w:rPr>
          <w:rFonts w:eastAsia="Times New Roman" w:cs="Times New Roman"/>
          <w:szCs w:val="24"/>
        </w:rPr>
        <w:t>would be inconsistent with the robust reasonableness review</w:t>
      </w:r>
      <w:r w:rsidRPr="008A666E">
        <w:rPr>
          <w:rFonts w:eastAsia="Times New Roman" w:cs="Times New Roman"/>
          <w:i/>
          <w:iCs/>
          <w:szCs w:val="24"/>
        </w:rPr>
        <w:t xml:space="preserve"> </w:t>
      </w:r>
      <w:r w:rsidRPr="008A666E">
        <w:rPr>
          <w:rFonts w:eastAsia="Times New Roman" w:cs="Times New Roman"/>
          <w:iCs/>
          <w:szCs w:val="24"/>
        </w:rPr>
        <w:t xml:space="preserve">introduced by </w:t>
      </w:r>
      <w:r w:rsidRPr="008A666E">
        <w:rPr>
          <w:rFonts w:eastAsia="Times New Roman" w:cs="Times New Roman"/>
          <w:i/>
          <w:iCs/>
          <w:szCs w:val="24"/>
        </w:rPr>
        <w:t xml:space="preserve">Vavilov </w:t>
      </w:r>
      <w:r w:rsidRPr="008A666E">
        <w:rPr>
          <w:rFonts w:eastAsia="Times New Roman" w:cs="Times New Roman"/>
          <w:szCs w:val="24"/>
        </w:rPr>
        <w:t xml:space="preserve">and would undermine </w:t>
      </w:r>
      <w:r w:rsidRPr="008A666E">
        <w:rPr>
          <w:rFonts w:eastAsia="Times New Roman" w:cs="Times New Roman"/>
          <w:i/>
          <w:iCs/>
          <w:szCs w:val="24"/>
        </w:rPr>
        <w:t>Vavilov</w:t>
      </w:r>
      <w:r w:rsidRPr="008A666E">
        <w:rPr>
          <w:rFonts w:eastAsia="Times New Roman" w:cs="Times New Roman"/>
          <w:iCs/>
          <w:szCs w:val="24"/>
        </w:rPr>
        <w:t>’s</w:t>
      </w:r>
      <w:r w:rsidRPr="008A666E">
        <w:rPr>
          <w:rFonts w:eastAsia="Times New Roman" w:cs="Times New Roman"/>
          <w:i/>
          <w:iCs/>
          <w:szCs w:val="24"/>
        </w:rPr>
        <w:t xml:space="preserve"> </w:t>
      </w:r>
      <w:r w:rsidRPr="008A666E">
        <w:rPr>
          <w:rFonts w:eastAsia="Times New Roman" w:cs="Times New Roman"/>
          <w:szCs w:val="24"/>
        </w:rPr>
        <w:t>promise of simplicity, coherence and predictability.</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Reviewing the </w:t>
      </w:r>
      <w:r w:rsidRPr="008A666E">
        <w:rPr>
          <w:rFonts w:eastAsia="Times New Roman" w:cs="Times New Roman"/>
          <w:i/>
          <w:iCs/>
          <w:szCs w:val="24"/>
        </w:rPr>
        <w:t xml:space="preserve">vires </w:t>
      </w:r>
      <w:r w:rsidRPr="008A666E">
        <w:rPr>
          <w:rFonts w:eastAsia="Times New Roman" w:cs="Times New Roman"/>
          <w:szCs w:val="24"/>
        </w:rPr>
        <w:t>of subordinate legislation is fundamentally an exercise of statutory interpretation to ensure that the delegate has acted within the scope of their lawful authority under the enabling statute (</w:t>
      </w:r>
      <w:r w:rsidRPr="008A666E">
        <w:rPr>
          <w:rFonts w:eastAsia="Times New Roman" w:cs="Times New Roman"/>
          <w:i/>
          <w:iCs/>
          <w:szCs w:val="24"/>
        </w:rPr>
        <w:t>Vavilov</w:t>
      </w:r>
      <w:r w:rsidRPr="008A666E">
        <w:rPr>
          <w:rFonts w:eastAsia="Times New Roman" w:cs="Times New Roman"/>
          <w:szCs w:val="24"/>
        </w:rPr>
        <w:t xml:space="preserve">, at para. 108; M. P. Mancini, “One Rule to Rule Them All: Subordinate Legislation and the Law of Judicial Review” (2024), 55 </w:t>
      </w:r>
      <w:r w:rsidRPr="008A666E">
        <w:rPr>
          <w:rFonts w:eastAsia="Times New Roman" w:cs="Times New Roman"/>
          <w:i/>
          <w:iCs/>
          <w:szCs w:val="24"/>
        </w:rPr>
        <w:t>Ottawa L. Rev.</w:t>
      </w:r>
      <w:r w:rsidRPr="008A666E">
        <w:rPr>
          <w:rFonts w:eastAsia="Times New Roman" w:cs="Times New Roman"/>
          <w:szCs w:val="24"/>
        </w:rPr>
        <w:t xml:space="preserve"> 245, at pp. 274</w:t>
      </w:r>
      <w:r w:rsidRPr="008A666E">
        <w:rPr>
          <w:rFonts w:eastAsia="Times New Roman" w:cs="Times New Roman"/>
          <w:szCs w:val="24"/>
        </w:rPr>
        <w:noBreakHyphen/>
        <w:t xml:space="preserve">75; see, e.g., </w:t>
      </w:r>
      <w:r w:rsidRPr="008A666E">
        <w:rPr>
          <w:rFonts w:eastAsia="Times New Roman" w:cs="Times New Roman"/>
          <w:i/>
          <w:iCs/>
          <w:szCs w:val="24"/>
        </w:rPr>
        <w:t>West Fraser Mills</w:t>
      </w:r>
      <w:r w:rsidRPr="008A666E">
        <w:rPr>
          <w:rFonts w:eastAsia="Times New Roman" w:cs="Times New Roman"/>
          <w:szCs w:val="24"/>
        </w:rPr>
        <w:t>, at para. 23). This exercise must be carried out in accordance with the modern principle of statutory interpretation (</w:t>
      </w:r>
      <w:r w:rsidRPr="008A666E">
        <w:rPr>
          <w:rFonts w:eastAsia="Times New Roman" w:cs="Times New Roman"/>
          <w:i/>
          <w:szCs w:val="24"/>
        </w:rPr>
        <w:t>Vavilov</w:t>
      </w:r>
      <w:r w:rsidRPr="008A666E">
        <w:rPr>
          <w:rFonts w:eastAsia="Times New Roman" w:cs="Times New Roman"/>
          <w:szCs w:val="24"/>
        </w:rPr>
        <w:t>, at paras. 120</w:t>
      </w:r>
      <w:r w:rsidRPr="008A666E">
        <w:rPr>
          <w:rFonts w:eastAsia="Times New Roman" w:cs="Times New Roman"/>
          <w:szCs w:val="24"/>
        </w:rPr>
        <w:noBreakHyphen/>
        <w:t xml:space="preserve">21; </w:t>
      </w:r>
      <w:r w:rsidRPr="008A666E">
        <w:rPr>
          <w:rFonts w:eastAsia="Times New Roman" w:cs="Times New Roman"/>
          <w:i/>
          <w:iCs/>
          <w:szCs w:val="24"/>
        </w:rPr>
        <w:t>Rizzo &amp; Rizzo Shoes Ltd. (Re)</w:t>
      </w:r>
      <w:r w:rsidRPr="008A666E">
        <w:rPr>
          <w:rFonts w:eastAsia="Times New Roman" w:cs="Times New Roman"/>
          <w:szCs w:val="24"/>
        </w:rPr>
        <w:t>, [1998] 1 S.C.R. 27, at para. 21)</w:t>
      </w:r>
      <w:r w:rsidRPr="008A666E">
        <w:rPr>
          <w:rFonts w:eastAsia="Times New Roman" w:cs="Times New Roman"/>
          <w:iCs/>
          <w:szCs w:val="24"/>
        </w:rPr>
        <w:t>.</w:t>
      </w:r>
      <w:r w:rsidRPr="008A666E">
        <w:rPr>
          <w:rFonts w:eastAsia="Times New Roman" w:cs="Times New Roman"/>
          <w:szCs w:val="24"/>
        </w:rPr>
        <w:t xml:space="preserve"> The governing statutory scheme, other applicable statutory or common law, and the principles of statutory interpretation are particularly relevant constraints</w:t>
      </w:r>
      <w:r w:rsidRPr="008A666E">
        <w:rPr>
          <w:rFonts w:eastAsia="Times New Roman" w:cs="Times New Roman"/>
          <w:i/>
          <w:iCs/>
          <w:szCs w:val="24"/>
        </w:rPr>
        <w:t xml:space="preserve"> </w:t>
      </w:r>
      <w:r w:rsidRPr="008A666E">
        <w:rPr>
          <w:rFonts w:eastAsia="Times New Roman" w:cs="Times New Roman"/>
          <w:szCs w:val="24"/>
        </w:rPr>
        <w:t>when determining whether the subordinate legislation at issue falls reasonably within the scope of the delegate’s authority</w:t>
      </w:r>
      <w:r w:rsidRPr="008A666E">
        <w:rPr>
          <w:rFonts w:eastAsia="Calibri" w:cs="Times New Roman"/>
          <w:sz w:val="22"/>
        </w:rPr>
        <w:t xml:space="preserve"> </w:t>
      </w:r>
      <w:r w:rsidRPr="008A666E">
        <w:rPr>
          <w:rFonts w:eastAsia="Times New Roman" w:cs="Times New Roman"/>
          <w:szCs w:val="24"/>
        </w:rPr>
        <w:t xml:space="preserve">(J. M. Keyes, </w:t>
      </w:r>
      <w:r w:rsidRPr="008A666E">
        <w:rPr>
          <w:rFonts w:eastAsia="Times New Roman" w:cs="Times New Roman"/>
          <w:i/>
          <w:iCs/>
          <w:szCs w:val="24"/>
        </w:rPr>
        <w:t>Executive Legislation</w:t>
      </w:r>
      <w:r w:rsidRPr="008A666E">
        <w:rPr>
          <w:rFonts w:eastAsia="Times New Roman" w:cs="Times New Roman"/>
          <w:szCs w:val="24"/>
        </w:rPr>
        <w:t xml:space="preserve"> (3rd ed. 2021), at p. 175).</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Before I begin this analysis, I provide an overview of the Off</w:t>
      </w:r>
      <w:r w:rsidRPr="008A666E">
        <w:rPr>
          <w:rFonts w:eastAsia="Times New Roman" w:cs="Times New Roman"/>
          <w:szCs w:val="24"/>
        </w:rPr>
        <w:noBreakHyphen/>
        <w:t>Coal Agreement and the relevant legislation.</w:t>
      </w:r>
    </w:p>
    <w:p w:rsidR="001E1EA6" w:rsidRPr="008A666E" w:rsidRDefault="001E1EA6" w:rsidP="001E1EA6">
      <w:pPr>
        <w:pStyle w:val="Title1LevelTitre1Niveau-AltL"/>
        <w:rPr>
          <w:rFonts w:eastAsia="Times New Roman" w:cs="Times New Roman"/>
          <w:szCs w:val="24"/>
        </w:rPr>
      </w:pPr>
      <w:bookmarkStart w:id="10" w:name="_Toc172725993"/>
      <w:r w:rsidRPr="008A666E">
        <w:rPr>
          <w:rFonts w:cs="Times New Roman"/>
        </w:rPr>
        <w:t>Overview of the Off</w:t>
      </w:r>
      <w:r w:rsidRPr="008A666E">
        <w:rPr>
          <w:rFonts w:cs="Times New Roman"/>
        </w:rPr>
        <w:noBreakHyphen/>
        <w:t xml:space="preserve">Coal Agreement, the </w:t>
      </w:r>
      <w:r w:rsidRPr="008A666E">
        <w:rPr>
          <w:rFonts w:cs="Times New Roman"/>
          <w:i/>
          <w:iCs/>
        </w:rPr>
        <w:t>MGA</w:t>
      </w:r>
      <w:r w:rsidRPr="008A666E">
        <w:rPr>
          <w:rFonts w:cs="Times New Roman"/>
        </w:rPr>
        <w:t xml:space="preserve"> and the </w:t>
      </w:r>
      <w:r w:rsidRPr="008A666E">
        <w:rPr>
          <w:rFonts w:cs="Times New Roman"/>
          <w:i/>
          <w:iCs/>
        </w:rPr>
        <w:t>Linear Guidelines</w:t>
      </w:r>
      <w:bookmarkEnd w:id="10"/>
    </w:p>
    <w:p w:rsidR="001E1EA6" w:rsidRPr="008A666E" w:rsidRDefault="001E1EA6" w:rsidP="001E1EA6">
      <w:pPr>
        <w:pStyle w:val="Title2LevelTitre2Niveau"/>
        <w:rPr>
          <w:rFonts w:eastAsia="Times New Roman" w:cs="Times New Roman"/>
          <w:iCs/>
          <w:szCs w:val="24"/>
        </w:rPr>
      </w:pPr>
      <w:bookmarkStart w:id="11" w:name="_Toc172725994"/>
      <w:r w:rsidRPr="008A666E">
        <w:rPr>
          <w:rFonts w:cs="Times New Roman"/>
        </w:rPr>
        <w:t>The Off</w:t>
      </w:r>
      <w:r w:rsidRPr="008A666E">
        <w:rPr>
          <w:rFonts w:cs="Times New Roman"/>
        </w:rPr>
        <w:noBreakHyphen/>
        <w:t>Coal Agreement</w:t>
      </w:r>
      <w:bookmarkEnd w:id="11"/>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TransAlta entered into the Off</w:t>
      </w:r>
      <w:r w:rsidRPr="008A666E">
        <w:rPr>
          <w:rFonts w:eastAsia="Times New Roman" w:cs="Times New Roman"/>
          <w:szCs w:val="24"/>
        </w:rPr>
        <w:noBreakHyphen/>
        <w:t>Coal Agreement with Alberta on November 24, 2016. TransAlta agreed to cease coal</w:t>
      </w:r>
      <w:r w:rsidRPr="008A666E">
        <w:rPr>
          <w:rFonts w:eastAsia="Times New Roman" w:cs="Times New Roman"/>
          <w:szCs w:val="24"/>
        </w:rPr>
        <w:noBreakHyphen/>
        <w:t>fired emissions on or before December 31, 2030 (Off</w:t>
      </w:r>
      <w:r w:rsidRPr="008A666E">
        <w:rPr>
          <w:rFonts w:eastAsia="Times New Roman" w:cs="Times New Roman"/>
          <w:szCs w:val="24"/>
        </w:rPr>
        <w:noBreakHyphen/>
        <w:t>Coal Agreement, s. 2, reproduced in A.R., at p. 151). In exchange, Alberta agreed to make 14 annual transition payments of $39,851,704.60 to TransAlta (s. 3(a)).</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The Off</w:t>
      </w:r>
      <w:r w:rsidRPr="008A666E">
        <w:rPr>
          <w:rFonts w:eastAsia="Times New Roman" w:cs="Times New Roman"/>
          <w:szCs w:val="24"/>
        </w:rPr>
        <w:noBreakHyphen/>
        <w:t>Coal Agreement does not expressly refer to property taxes or depreciation. However, the amount of the transition payments was calculated by taking the net book value of the coal</w:t>
      </w:r>
      <w:r w:rsidRPr="008A666E">
        <w:rPr>
          <w:rFonts w:eastAsia="Times New Roman" w:cs="Times New Roman"/>
          <w:szCs w:val="24"/>
        </w:rPr>
        <w:noBreakHyphen/>
        <w:t xml:space="preserve">fired facilities as provided by </w:t>
      </w:r>
      <w:proofErr w:type="spellStart"/>
      <w:r w:rsidRPr="008A666E">
        <w:rPr>
          <w:rFonts w:eastAsia="Times New Roman" w:cs="Times New Roman"/>
          <w:szCs w:val="24"/>
        </w:rPr>
        <w:t>TransAlta</w:t>
      </w:r>
      <w:proofErr w:type="spellEnd"/>
      <w:r w:rsidRPr="008A666E">
        <w:rPr>
          <w:rFonts w:eastAsia="Times New Roman" w:cs="Times New Roman"/>
          <w:szCs w:val="24"/>
        </w:rPr>
        <w:t>, “[p]</w:t>
      </w:r>
      <w:proofErr w:type="spellStart"/>
      <w:r w:rsidRPr="008A666E">
        <w:rPr>
          <w:rFonts w:eastAsia="Times New Roman" w:cs="Times New Roman"/>
          <w:szCs w:val="24"/>
        </w:rPr>
        <w:t>ro</w:t>
      </w:r>
      <w:proofErr w:type="spellEnd"/>
      <w:r w:rsidRPr="008A666E">
        <w:rPr>
          <w:rFonts w:eastAsia="Times New Roman" w:cs="Times New Roman"/>
          <w:szCs w:val="24"/>
        </w:rPr>
        <w:noBreakHyphen/>
        <w:t>rated by percentage of life remaining after 2030 to give proxy for 2030 [net book value]: divided by remaining years under federal end</w:t>
      </w:r>
      <w:r w:rsidRPr="008A666E">
        <w:rPr>
          <w:rFonts w:eastAsia="Times New Roman" w:cs="Times New Roman"/>
          <w:szCs w:val="24"/>
        </w:rPr>
        <w:noBreakHyphen/>
        <w:t>of</w:t>
      </w:r>
      <w:r w:rsidRPr="008A666E">
        <w:rPr>
          <w:rFonts w:eastAsia="Times New Roman" w:cs="Times New Roman"/>
          <w:szCs w:val="24"/>
        </w:rPr>
        <w:noBreakHyphen/>
        <w:t xml:space="preserve">life as of November 2016, then multiplied by years stranded” (Sch. A). </w:t>
      </w:r>
      <w:proofErr w:type="gramStart"/>
      <w:r w:rsidRPr="008A666E">
        <w:rPr>
          <w:rFonts w:eastAsia="Times New Roman" w:cs="Times New Roman"/>
          <w:szCs w:val="24"/>
        </w:rPr>
        <w:t>This</w:t>
      </w:r>
      <w:proofErr w:type="gramEnd"/>
      <w:r w:rsidRPr="008A666E">
        <w:rPr>
          <w:rFonts w:eastAsia="Times New Roman" w:cs="Times New Roman"/>
          <w:szCs w:val="24"/>
        </w:rPr>
        <w:t xml:space="preserve"> formula demonstrates that the transition payments account for at least some loss of value to TransAlta’s coal</w:t>
      </w:r>
      <w:r w:rsidRPr="008A666E">
        <w:rPr>
          <w:rFonts w:eastAsia="Times New Roman" w:cs="Times New Roman"/>
          <w:szCs w:val="24"/>
        </w:rPr>
        <w:noBreakHyphen/>
        <w:t>fired facilities arising from their reduced lifespan under the Off</w:t>
      </w:r>
      <w:r w:rsidRPr="008A666E">
        <w:rPr>
          <w:rFonts w:eastAsia="Times New Roman" w:cs="Times New Roman"/>
          <w:szCs w:val="24"/>
        </w:rPr>
        <w:noBreakHyphen/>
        <w:t>Coal Agreement. As the Court of Appeal noted, “[i]t is evident on the face of the Off</w:t>
      </w:r>
      <w:r w:rsidRPr="008A666E">
        <w:rPr>
          <w:rFonts w:eastAsia="Times New Roman" w:cs="Times New Roman"/>
          <w:szCs w:val="24"/>
        </w:rPr>
        <w:noBreakHyphen/>
        <w:t>Coal Agreements that the Province sought to address some loss of value arising from the reduced life of the appellants’ coal</w:t>
      </w:r>
      <w:r w:rsidRPr="008A666E">
        <w:rPr>
          <w:rFonts w:eastAsia="Times New Roman" w:cs="Times New Roman"/>
          <w:szCs w:val="24"/>
        </w:rPr>
        <w:noBreakHyphen/>
        <w:t>fired electricity generation plants and to treat affected companies equivalently” (para. 23).</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Further, it is noteworthy that the Off</w:t>
      </w:r>
      <w:r w:rsidRPr="008A666E">
        <w:rPr>
          <w:rFonts w:eastAsia="Times New Roman" w:cs="Times New Roman"/>
          <w:szCs w:val="24"/>
        </w:rPr>
        <w:noBreakHyphen/>
        <w:t>Coal Agreement provides that it runs with the facilities. Indeed, TransAlta may transfer title to or ownership interest in its facilities with Alberta’s consent, but only if any new owner agrees to be bound by the terms of the Off</w:t>
      </w:r>
      <w:r w:rsidRPr="008A666E">
        <w:rPr>
          <w:rFonts w:eastAsia="Times New Roman" w:cs="Times New Roman"/>
          <w:szCs w:val="24"/>
        </w:rPr>
        <w:noBreakHyphen/>
        <w:t>Coal Agreement (s. 11(n)).</w:t>
      </w:r>
    </w:p>
    <w:p w:rsidR="001E1EA6" w:rsidRPr="008A666E" w:rsidRDefault="001E1EA6" w:rsidP="001E1EA6">
      <w:pPr>
        <w:pStyle w:val="Title2LevelTitre2Niveau"/>
        <w:rPr>
          <w:rFonts w:eastAsia="Times New Roman" w:cs="Times New Roman"/>
          <w:iCs/>
          <w:szCs w:val="24"/>
        </w:rPr>
      </w:pPr>
      <w:bookmarkStart w:id="12" w:name="_Toc172725995"/>
      <w:r w:rsidRPr="008A666E">
        <w:rPr>
          <w:rFonts w:cs="Times New Roman"/>
        </w:rPr>
        <w:t xml:space="preserve">The </w:t>
      </w:r>
      <w:r w:rsidRPr="008A666E">
        <w:rPr>
          <w:rFonts w:eastAsia="Times New Roman" w:cs="Times New Roman"/>
          <w:iCs/>
          <w:szCs w:val="24"/>
        </w:rPr>
        <w:t>Municipal Government Act</w:t>
      </w:r>
      <w:bookmarkEnd w:id="12"/>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w:t>
      </w:r>
      <w:r w:rsidRPr="008A666E">
        <w:rPr>
          <w:rFonts w:eastAsia="Times New Roman" w:cs="Times New Roman"/>
          <w:i/>
          <w:iCs/>
          <w:szCs w:val="24"/>
        </w:rPr>
        <w:t xml:space="preserve">MGA </w:t>
      </w:r>
      <w:r w:rsidRPr="008A666E">
        <w:rPr>
          <w:rFonts w:eastAsia="Times New Roman" w:cs="Times New Roman"/>
          <w:szCs w:val="24"/>
        </w:rPr>
        <w:t>regulates property assessment and taxation in Alberta (</w:t>
      </w:r>
      <w:proofErr w:type="spellStart"/>
      <w:r w:rsidRPr="008A666E">
        <w:rPr>
          <w:rFonts w:eastAsia="Times New Roman" w:cs="Times New Roman"/>
          <w:i/>
          <w:iCs/>
          <w:szCs w:val="24"/>
        </w:rPr>
        <w:t>Capilano</w:t>
      </w:r>
      <w:proofErr w:type="spellEnd"/>
      <w:r w:rsidRPr="008A666E">
        <w:rPr>
          <w:rFonts w:eastAsia="Times New Roman" w:cs="Times New Roman"/>
          <w:szCs w:val="24"/>
        </w:rPr>
        <w:t xml:space="preserve">, at para. 9; Alberta Municipal Affairs, </w:t>
      </w:r>
      <w:r w:rsidRPr="008A666E">
        <w:rPr>
          <w:rFonts w:eastAsia="Times New Roman" w:cs="Times New Roman"/>
          <w:i/>
          <w:iCs/>
          <w:szCs w:val="24"/>
        </w:rPr>
        <w:t xml:space="preserve">Guide to Property Assessment and Taxation in Alberta </w:t>
      </w:r>
      <w:r w:rsidRPr="008A666E">
        <w:rPr>
          <w:rFonts w:eastAsia="Times New Roman" w:cs="Times New Roman"/>
          <w:szCs w:val="24"/>
        </w:rPr>
        <w:t>(2018)</w:t>
      </w:r>
      <w:r w:rsidRPr="008A666E">
        <w:rPr>
          <w:rFonts w:eastAsia="Times New Roman"/>
        </w:rPr>
        <w:t xml:space="preserve"> (“</w:t>
      </w:r>
      <w:r w:rsidRPr="008A666E">
        <w:rPr>
          <w:rFonts w:eastAsia="Times New Roman"/>
          <w:i/>
          <w:iCs/>
        </w:rPr>
        <w:t>Guide</w:t>
      </w:r>
      <w:r w:rsidRPr="008A666E">
        <w:rPr>
          <w:rFonts w:eastAsia="Times New Roman"/>
        </w:rPr>
        <w:t>”)</w:t>
      </w:r>
      <w:r w:rsidRPr="008A666E">
        <w:rPr>
          <w:rFonts w:eastAsia="Times New Roman" w:cs="Times New Roman"/>
          <w:szCs w:val="24"/>
        </w:rPr>
        <w:t>, at p. 2). Property assessment is the process of estimating a property’s dollar value for taxation purposes (</w:t>
      </w:r>
      <w:r w:rsidRPr="008A666E">
        <w:rPr>
          <w:rFonts w:eastAsia="Times New Roman" w:cs="Times New Roman"/>
          <w:i/>
          <w:iCs/>
          <w:szCs w:val="24"/>
        </w:rPr>
        <w:t>Guide</w:t>
      </w:r>
      <w:r w:rsidRPr="008A666E">
        <w:rPr>
          <w:rFonts w:eastAsia="Times New Roman" w:cs="Times New Roman"/>
          <w:szCs w:val="24"/>
        </w:rPr>
        <w:t xml:space="preserve">, at p. 3). Under the </w:t>
      </w:r>
      <w:r w:rsidRPr="008A666E">
        <w:rPr>
          <w:rFonts w:eastAsia="Times New Roman" w:cs="Times New Roman"/>
          <w:i/>
          <w:iCs/>
          <w:szCs w:val="24"/>
        </w:rPr>
        <w:t>MGA</w:t>
      </w:r>
      <w:r w:rsidRPr="008A666E">
        <w:rPr>
          <w:rFonts w:eastAsia="Times New Roman" w:cs="Times New Roman"/>
          <w:szCs w:val="24"/>
        </w:rPr>
        <w:t>, “assessment” means “a value of property determined in accordance with this Part [(</w:t>
      </w:r>
      <w:r w:rsidRPr="008A666E">
        <w:rPr>
          <w:rFonts w:eastAsia="Times New Roman" w:cs="Times New Roman"/>
          <w:iCs/>
          <w:szCs w:val="24"/>
        </w:rPr>
        <w:t>i.e.</w:t>
      </w:r>
      <w:r w:rsidRPr="008A666E">
        <w:rPr>
          <w:rFonts w:eastAsia="Times New Roman" w:cs="Times New Roman"/>
          <w:szCs w:val="24"/>
        </w:rPr>
        <w:t>, Part 9 ‘Assessment of Property’)] and the regulations” (s. 284(1)(c)). Property taxation is the process of applying a tax rate to a property’s assessed value to determine the tax payable (</w:t>
      </w:r>
      <w:r w:rsidRPr="008A666E">
        <w:rPr>
          <w:rFonts w:eastAsia="Times New Roman" w:cs="Times New Roman"/>
          <w:i/>
          <w:iCs/>
          <w:szCs w:val="24"/>
        </w:rPr>
        <w:t>Guide</w:t>
      </w:r>
      <w:r w:rsidRPr="008A666E">
        <w:rPr>
          <w:rFonts w:eastAsia="Times New Roman" w:cs="Times New Roman"/>
          <w:szCs w:val="24"/>
        </w:rPr>
        <w:t>, at p. 3).</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w:t>
      </w:r>
      <w:r w:rsidRPr="008A666E">
        <w:rPr>
          <w:rFonts w:eastAsia="Times New Roman" w:cs="Times New Roman"/>
          <w:i/>
          <w:iCs/>
          <w:szCs w:val="24"/>
        </w:rPr>
        <w:t xml:space="preserve">MGA </w:t>
      </w:r>
      <w:r w:rsidRPr="008A666E">
        <w:rPr>
          <w:rFonts w:eastAsia="Times New Roman" w:cs="Times New Roman"/>
          <w:szCs w:val="24"/>
        </w:rPr>
        <w:t>sets out two types of valuation standards: the market value standard and the regulated standard (</w:t>
      </w:r>
      <w:r w:rsidRPr="008A666E">
        <w:rPr>
          <w:rFonts w:eastAsia="Times New Roman" w:cs="Times New Roman"/>
          <w:i/>
          <w:iCs/>
          <w:szCs w:val="24"/>
        </w:rPr>
        <w:t>Guide</w:t>
      </w:r>
      <w:r w:rsidRPr="008A666E">
        <w:rPr>
          <w:rFonts w:eastAsia="Times New Roman" w:cs="Times New Roman"/>
          <w:szCs w:val="24"/>
        </w:rPr>
        <w:t xml:space="preserve">, at p. 3). Most properties are assessed using the market value standard. The market value of a property is “the price a property might reasonably be expected to sell for if sold by a willing seller to a willing buyer after appropriate time and exposure in an open market” (p. 5; see also </w:t>
      </w:r>
      <w:r w:rsidRPr="008A666E">
        <w:rPr>
          <w:rFonts w:eastAsia="Times New Roman" w:cs="Times New Roman"/>
          <w:i/>
          <w:iCs/>
          <w:szCs w:val="24"/>
        </w:rPr>
        <w:t>MGA</w:t>
      </w:r>
      <w:r w:rsidRPr="008A666E">
        <w:rPr>
          <w:rFonts w:eastAsia="Times New Roman" w:cs="Times New Roman"/>
          <w:szCs w:val="24"/>
        </w:rPr>
        <w:t>, s. 1(1</w:t>
      </w:r>
      <w:proofErr w:type="gramStart"/>
      <w:r w:rsidRPr="008A666E">
        <w:rPr>
          <w:rFonts w:eastAsia="Times New Roman" w:cs="Times New Roman"/>
          <w:szCs w:val="24"/>
        </w:rPr>
        <w:t>)(</w:t>
      </w:r>
      <w:proofErr w:type="gramEnd"/>
      <w:r w:rsidRPr="008A666E">
        <w:rPr>
          <w:rFonts w:eastAsia="Times New Roman" w:cs="Times New Roman"/>
          <w:szCs w:val="24"/>
        </w:rPr>
        <w:t>n)).</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There are three approaches to determining the market value of a property: the sales comparison approach, the cost approach, and the income approach (</w:t>
      </w:r>
      <w:r w:rsidRPr="008A666E">
        <w:rPr>
          <w:rFonts w:eastAsia="Times New Roman" w:cs="Times New Roman"/>
          <w:i/>
          <w:iCs/>
          <w:szCs w:val="24"/>
        </w:rPr>
        <w:t>Guide</w:t>
      </w:r>
      <w:r w:rsidRPr="008A666E">
        <w:rPr>
          <w:rFonts w:eastAsia="Times New Roman" w:cs="Times New Roman"/>
          <w:szCs w:val="24"/>
        </w:rPr>
        <w:t>, at p. 6). Under the sales comparison approach, the market value of a property is determined by considering the sale price of similar properties. Under the cost approach, the market value of a property is determined by aggregating the market value of the land and the net cost of improvements. This approach assumes that a buyer would not pay more to purchase a property than what it would cost to buy the land and rebuild the same improvements. Under the income approach, the market value of a property is determined on the basis of its income</w:t>
      </w:r>
      <w:r w:rsidRPr="008A666E">
        <w:rPr>
          <w:rFonts w:eastAsia="Times New Roman" w:cs="Times New Roman"/>
          <w:szCs w:val="24"/>
        </w:rPr>
        <w:noBreakHyphen/>
        <w:t>earning potential. This approach is used to assess the value of rental properties (p. 7).</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The regulated standard is a property assessment standard based on rates and procedures prescribed by the Ministry of Municipal Affairs (</w:t>
      </w:r>
      <w:r w:rsidRPr="008A666E">
        <w:rPr>
          <w:rFonts w:eastAsia="Times New Roman" w:cs="Times New Roman"/>
          <w:i/>
          <w:iCs/>
          <w:szCs w:val="24"/>
        </w:rPr>
        <w:t>Guide</w:t>
      </w:r>
      <w:r w:rsidRPr="008A666E">
        <w:rPr>
          <w:rFonts w:eastAsia="Times New Roman" w:cs="Times New Roman"/>
          <w:szCs w:val="24"/>
        </w:rPr>
        <w:t>, at p. 29). It is used to assess properties that are difficult to assess under the market value standard because they seldom trade in the marketplace, they cross municipalities and municipal boundaries or they are of a unique nature (p. 7).</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Under s. 284(1</w:t>
      </w:r>
      <w:proofErr w:type="gramStart"/>
      <w:r w:rsidRPr="008A666E">
        <w:rPr>
          <w:rFonts w:eastAsia="Times New Roman" w:cs="Times New Roman"/>
          <w:szCs w:val="24"/>
        </w:rPr>
        <w:t>)(</w:t>
      </w:r>
      <w:proofErr w:type="gramEnd"/>
      <w:r w:rsidRPr="008A666E">
        <w:rPr>
          <w:rFonts w:eastAsia="Times New Roman" w:cs="Times New Roman"/>
          <w:szCs w:val="24"/>
        </w:rPr>
        <w:t xml:space="preserve">k) of the </w:t>
      </w:r>
      <w:r w:rsidRPr="008A666E">
        <w:rPr>
          <w:rFonts w:eastAsia="Times New Roman" w:cs="Times New Roman"/>
          <w:i/>
          <w:iCs/>
          <w:szCs w:val="24"/>
        </w:rPr>
        <w:t>MGA</w:t>
      </w:r>
      <w:r w:rsidRPr="008A666E">
        <w:rPr>
          <w:rFonts w:eastAsia="Times New Roman" w:cs="Times New Roman"/>
          <w:iCs/>
          <w:szCs w:val="24"/>
        </w:rPr>
        <w:t xml:space="preserve">, </w:t>
      </w:r>
      <w:r w:rsidRPr="008A666E">
        <w:rPr>
          <w:rFonts w:eastAsia="Times New Roman" w:cs="Times New Roman"/>
          <w:szCs w:val="24"/>
        </w:rPr>
        <w:t>TransAlta’s coal</w:t>
      </w:r>
      <w:r w:rsidRPr="008A666E">
        <w:rPr>
          <w:rFonts w:eastAsia="Times New Roman" w:cs="Times New Roman"/>
          <w:szCs w:val="24"/>
        </w:rPr>
        <w:noBreakHyphen/>
        <w:t>fired facilities are considered “linear property”</w:t>
      </w:r>
      <w:r w:rsidRPr="008A666E">
        <w:rPr>
          <w:rFonts w:eastAsia="Times New Roman" w:cs="Times New Roman"/>
          <w:iCs/>
          <w:szCs w:val="24"/>
        </w:rPr>
        <w:t>, which is a subset of “designated industrial property” under s. 284(1)(f.01).</w:t>
      </w:r>
      <w:r w:rsidRPr="008A666E">
        <w:rPr>
          <w:rFonts w:eastAsia="Times New Roman" w:cs="Times New Roman"/>
          <w:i/>
          <w:iCs/>
          <w:szCs w:val="24"/>
        </w:rPr>
        <w:t xml:space="preserve"> </w:t>
      </w:r>
      <w:r w:rsidRPr="008A666E">
        <w:rPr>
          <w:rFonts w:eastAsia="Times New Roman" w:cs="Times New Roman"/>
          <w:szCs w:val="24"/>
        </w:rPr>
        <w:t xml:space="preserve">Sections 322 and 322.1 of the </w:t>
      </w:r>
      <w:r w:rsidRPr="008A666E">
        <w:rPr>
          <w:rFonts w:eastAsia="Times New Roman" w:cs="Times New Roman"/>
          <w:i/>
          <w:iCs/>
          <w:szCs w:val="24"/>
        </w:rPr>
        <w:t xml:space="preserve">MGA </w:t>
      </w:r>
      <w:r w:rsidRPr="008A666E">
        <w:rPr>
          <w:rFonts w:eastAsia="Times New Roman" w:cs="Times New Roman"/>
          <w:szCs w:val="24"/>
        </w:rPr>
        <w:t xml:space="preserve">authorize the Minister to establish guidelines for assessing the value of linear property. TransAlta’s facilities are thus assessed using the regulated standard. As noted by the Court of Appeal, “market value is not intended to be the standard for determining the value of [TransAlta’s] linear properties. . . . [T]here is no mention of ‘market value’ in any of the linear property assessment provisions of the </w:t>
      </w:r>
      <w:r w:rsidRPr="008A666E">
        <w:rPr>
          <w:rFonts w:eastAsia="Times New Roman" w:cs="Times New Roman"/>
          <w:i/>
          <w:iCs/>
          <w:szCs w:val="24"/>
        </w:rPr>
        <w:t>MGA</w:t>
      </w:r>
      <w:r w:rsidRPr="008A666E">
        <w:rPr>
          <w:rFonts w:eastAsia="Times New Roman" w:cs="Times New Roman"/>
          <w:szCs w:val="24"/>
        </w:rPr>
        <w:t>” (para. 59).</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Assessments of linear property must be prepared by the provincial assessor (</w:t>
      </w:r>
      <w:r w:rsidRPr="008A666E">
        <w:rPr>
          <w:rFonts w:eastAsia="Times New Roman" w:cs="Times New Roman"/>
          <w:i/>
          <w:iCs/>
          <w:szCs w:val="24"/>
        </w:rPr>
        <w:t>MGA</w:t>
      </w:r>
      <w:r w:rsidRPr="008A666E">
        <w:rPr>
          <w:rFonts w:eastAsia="Times New Roman" w:cs="Times New Roman"/>
          <w:szCs w:val="24"/>
        </w:rPr>
        <w:t>, s. 292(1)). Each assessment must reflect the valuation standard as well as the specifications and characteristics of the linear property as specified in the regulations (s. 292(2)). In preparing an assessment of linear property, the assessor must follow the procedures set out in the Minister’s guidelines (</w:t>
      </w:r>
      <w:r w:rsidRPr="008A666E">
        <w:rPr>
          <w:rFonts w:eastAsia="Times New Roman" w:cs="Times New Roman"/>
          <w:i/>
          <w:iCs/>
          <w:szCs w:val="24"/>
        </w:rPr>
        <w:t>Matters Relating to Assessment and Taxation Regulation</w:t>
      </w:r>
      <w:r w:rsidRPr="008A666E">
        <w:rPr>
          <w:rFonts w:eastAsia="Times New Roman" w:cs="Times New Roman"/>
          <w:szCs w:val="24"/>
        </w:rPr>
        <w:t>, Alta. Reg. 220/2004, s. 8(2)).</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Section 322(1) of the </w:t>
      </w:r>
      <w:r w:rsidRPr="008A666E">
        <w:rPr>
          <w:rFonts w:eastAsia="Times New Roman" w:cs="Times New Roman"/>
          <w:i/>
          <w:iCs/>
          <w:szCs w:val="24"/>
        </w:rPr>
        <w:t>MGA</w:t>
      </w:r>
      <w:r w:rsidRPr="008A666E">
        <w:rPr>
          <w:rFonts w:eastAsia="Times New Roman" w:cs="Times New Roman"/>
          <w:szCs w:val="24"/>
        </w:rPr>
        <w:t xml:space="preserve"> delegates regulation</w:t>
      </w:r>
      <w:r w:rsidRPr="008A666E">
        <w:rPr>
          <w:rFonts w:eastAsia="Times New Roman" w:cs="Times New Roman"/>
          <w:szCs w:val="24"/>
        </w:rPr>
        <w:noBreakHyphen/>
        <w:t xml:space="preserve">making power to the Minister. More specifically, it authorizes the Minister to make regulations “establishing valuation standards for property”, “respecting the assessment of linear property”, “respecting designated industrial property, including, without limitation, regulations respecting the specifications and characteristics of designated industrial property”, “respecting processes and procedures for preparing assessments”, and “respecting any other matter considered necessary to carry out the intent of [the </w:t>
      </w:r>
      <w:r w:rsidRPr="008A666E">
        <w:rPr>
          <w:rFonts w:eastAsia="Times New Roman" w:cs="Times New Roman"/>
          <w:i/>
          <w:iCs/>
          <w:szCs w:val="24"/>
        </w:rPr>
        <w:t>MGA</w:t>
      </w:r>
      <w:r w:rsidRPr="008A666E">
        <w:rPr>
          <w:rFonts w:eastAsia="Times New Roman" w:cs="Times New Roman"/>
          <w:szCs w:val="24"/>
        </w:rPr>
        <w:t xml:space="preserve">]”. Under s. 322(2), the Minister may make an order establishing guidelines respecting any matter for which the Minister may make a regulation under s. 322(1). The </w:t>
      </w:r>
      <w:r w:rsidRPr="008A666E">
        <w:rPr>
          <w:rFonts w:eastAsia="Times New Roman" w:cs="Times New Roman"/>
          <w:i/>
          <w:iCs/>
          <w:szCs w:val="24"/>
        </w:rPr>
        <w:t xml:space="preserve">Linear Guidelines </w:t>
      </w:r>
      <w:r w:rsidRPr="008A666E">
        <w:rPr>
          <w:rFonts w:eastAsia="Times New Roman" w:cs="Times New Roman"/>
          <w:szCs w:val="24"/>
        </w:rPr>
        <w:t>are deemed to be guidelines established under s. 322(2) (s. 322.1(1) and (3))</w:t>
      </w:r>
      <w:r w:rsidRPr="008A666E">
        <w:rPr>
          <w:rFonts w:eastAsia="Times New Roman" w:cs="Times New Roman"/>
          <w:iCs/>
          <w:szCs w:val="24"/>
        </w:rPr>
        <w:t>.</w:t>
      </w:r>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As the Court of Appeal recognized, “[t]he language used in s. 322(1) to describe the Minister’s regulation</w:t>
      </w:r>
      <w:r w:rsidRPr="008A666E">
        <w:rPr>
          <w:rFonts w:eastAsia="Times New Roman" w:cs="Times New Roman"/>
          <w:szCs w:val="24"/>
        </w:rPr>
        <w:noBreakHyphen/>
        <w:t xml:space="preserve">making power in relation to property assessment is indisputably broad” (para. 57). The question is whether ss. 1.003 and 2.003 of the </w:t>
      </w:r>
      <w:r w:rsidRPr="008A666E">
        <w:rPr>
          <w:rFonts w:eastAsia="Times New Roman" w:cs="Times New Roman"/>
          <w:i/>
          <w:iCs/>
          <w:szCs w:val="24"/>
        </w:rPr>
        <w:t xml:space="preserve">Linear Guidelines </w:t>
      </w:r>
      <w:r w:rsidRPr="008A666E">
        <w:rPr>
          <w:rFonts w:eastAsia="Times New Roman" w:cs="Times New Roman"/>
          <w:szCs w:val="24"/>
        </w:rPr>
        <w:t>are</w:t>
      </w:r>
      <w:r w:rsidRPr="008A666E">
        <w:rPr>
          <w:rFonts w:eastAsia="Times New Roman" w:cs="Times New Roman"/>
          <w:i/>
          <w:iCs/>
          <w:szCs w:val="24"/>
        </w:rPr>
        <w:t xml:space="preserve"> </w:t>
      </w:r>
      <w:r w:rsidRPr="008A666E">
        <w:rPr>
          <w:rFonts w:eastAsia="Times New Roman" w:cs="Times New Roman"/>
          <w:szCs w:val="24"/>
        </w:rPr>
        <w:t>reasonably within the scope of the Minister’s authority.</w:t>
      </w:r>
    </w:p>
    <w:p w:rsidR="001E1EA6" w:rsidRPr="008A666E" w:rsidRDefault="001E1EA6" w:rsidP="001E1EA6">
      <w:pPr>
        <w:pStyle w:val="Title2LevelTitre2Niveau"/>
        <w:rPr>
          <w:rFonts w:eastAsia="Times New Roman" w:cs="Times New Roman"/>
          <w:iCs/>
          <w:szCs w:val="24"/>
        </w:rPr>
      </w:pPr>
      <w:bookmarkStart w:id="13" w:name="_Toc172725996"/>
      <w:r w:rsidRPr="008A666E">
        <w:rPr>
          <w:rFonts w:cs="Times New Roman"/>
        </w:rPr>
        <w:t>The Linear Guidelines</w:t>
      </w:r>
      <w:bookmarkEnd w:id="13"/>
    </w:p>
    <w:p w:rsidR="001E1EA6" w:rsidRPr="008A666E" w:rsidRDefault="001E1EA6" w:rsidP="001E1EA6">
      <w:pPr>
        <w:pStyle w:val="ParaNoNdepar-AltN"/>
        <w:rPr>
          <w:rFonts w:cs="Times New Roman"/>
        </w:rPr>
      </w:pPr>
      <w:r w:rsidRPr="008A666E">
        <w:rPr>
          <w:rFonts w:cs="Times New Roman"/>
        </w:rPr>
        <w:t>On December 19, 2017, the Minister made Ministerial Order No. MAG</w:t>
      </w:r>
      <w:proofErr w:type="gramStart"/>
      <w:r w:rsidRPr="008A666E">
        <w:rPr>
          <w:rFonts w:cs="Times New Roman"/>
        </w:rPr>
        <w:t>:021</w:t>
      </w:r>
      <w:proofErr w:type="gramEnd"/>
      <w:r w:rsidRPr="008A666E">
        <w:rPr>
          <w:rFonts w:cs="Times New Roman"/>
        </w:rPr>
        <w:t>/17 establishing the</w:t>
      </w:r>
      <w:r w:rsidRPr="008A666E">
        <w:rPr>
          <w:rFonts w:cs="Times New Roman"/>
          <w:i/>
          <w:iCs/>
        </w:rPr>
        <w:t xml:space="preserve"> Linear Guidelines</w:t>
      </w:r>
      <w:r w:rsidRPr="008A666E">
        <w:rPr>
          <w:rFonts w:cs="Times New Roman"/>
        </w:rPr>
        <w:t>. They became effective for taxation in 2018 and subsequent years.</w:t>
      </w:r>
    </w:p>
    <w:p w:rsidR="001E1EA6" w:rsidRPr="008A666E" w:rsidRDefault="001E1EA6" w:rsidP="001E1EA6">
      <w:pPr>
        <w:pStyle w:val="ParaNoNdepar-AltN"/>
        <w:rPr>
          <w:rFonts w:cs="Times New Roman"/>
        </w:rPr>
      </w:pPr>
      <w:r w:rsidRPr="008A666E">
        <w:rPr>
          <w:rFonts w:cs="Times New Roman"/>
        </w:rPr>
        <w:t xml:space="preserve">The </w:t>
      </w:r>
      <w:r w:rsidRPr="008A666E">
        <w:rPr>
          <w:rFonts w:cs="Times New Roman"/>
          <w:i/>
          <w:iCs/>
        </w:rPr>
        <w:t>Linear Guidelines</w:t>
      </w:r>
      <w:r w:rsidRPr="008A666E">
        <w:rPr>
          <w:rFonts w:cs="Times New Roman"/>
        </w:rPr>
        <w:t xml:space="preserve"> set out the procedures for calculating all linear property assessments. They require assessors to multiply the values determined under four schedules. TransAlta’s challenge focuses on ss. 1.003 and 2.003 of the </w:t>
      </w:r>
      <w:r w:rsidRPr="008A666E">
        <w:rPr>
          <w:rFonts w:cs="Times New Roman"/>
          <w:i/>
          <w:iCs/>
        </w:rPr>
        <w:t>Linear Guidelines</w:t>
      </w:r>
      <w:r w:rsidRPr="008A666E">
        <w:rPr>
          <w:rFonts w:cs="Times New Roman"/>
        </w:rPr>
        <w:t>.</w:t>
      </w:r>
    </w:p>
    <w:p w:rsidR="001E1EA6" w:rsidRPr="008A666E" w:rsidRDefault="001E1EA6" w:rsidP="001E1EA6">
      <w:pPr>
        <w:pStyle w:val="ParaNoNdepar-AltN"/>
        <w:rPr>
          <w:rFonts w:cs="Times New Roman"/>
        </w:rPr>
      </w:pPr>
      <w:r w:rsidRPr="008A666E">
        <w:rPr>
          <w:rFonts w:cs="Times New Roman"/>
        </w:rPr>
        <w:t xml:space="preserve">Section 1.003 of the </w:t>
      </w:r>
      <w:r w:rsidRPr="008A666E">
        <w:rPr>
          <w:rFonts w:cs="Times New Roman"/>
          <w:i/>
          <w:iCs/>
        </w:rPr>
        <w:t xml:space="preserve">Linear Guidelines </w:t>
      </w:r>
      <w:r w:rsidRPr="008A666E">
        <w:rPr>
          <w:rFonts w:cs="Times New Roman"/>
        </w:rPr>
        <w:t>describes the schedules used in the assessment of linear property. Schedules C and D are the schedules relevant to this appeal.</w:t>
      </w:r>
    </w:p>
    <w:p w:rsidR="001E1EA6" w:rsidRPr="008A666E" w:rsidRDefault="001E1EA6" w:rsidP="001E1EA6">
      <w:pPr>
        <w:pStyle w:val="ParaNoNdepar-AltN"/>
        <w:rPr>
          <w:rFonts w:cs="Times New Roman"/>
        </w:rPr>
      </w:pPr>
      <w:r w:rsidRPr="008A666E">
        <w:rPr>
          <w:rFonts w:cs="Times New Roman"/>
        </w:rPr>
        <w:t>Schedule C provides the process for determining depreciation or lists the applicable depreciation factors. Section 1.003(c) states that “[t]he depreciation factors prescribed in Schedule C are fixed and certain and must be applied as listed in the applicable Schedule C depreciation table, without adjustment or modification” (emphasis deleted).</w:t>
      </w:r>
    </w:p>
    <w:p w:rsidR="001E1EA6" w:rsidRPr="008A666E" w:rsidRDefault="001E1EA6" w:rsidP="001E1EA6">
      <w:pPr>
        <w:pStyle w:val="ParaNoNdepar-AltN"/>
        <w:rPr>
          <w:rFonts w:cs="Times New Roman"/>
        </w:rPr>
      </w:pPr>
      <w:r w:rsidRPr="008A666E">
        <w:rPr>
          <w:rFonts w:cs="Times New Roman"/>
        </w:rPr>
        <w:t>Schedule D provides the process for determining additional depreciation or lists the applicable additional depreciation factors. Under Sch. D, “the assessor may allow additional depreciation (Schedule D) on a case</w:t>
      </w:r>
      <w:r w:rsidRPr="008A666E">
        <w:rPr>
          <w:rFonts w:cs="Times New Roman"/>
        </w:rPr>
        <w:noBreakHyphen/>
        <w:t>by</w:t>
      </w:r>
      <w:r w:rsidRPr="008A666E">
        <w:rPr>
          <w:rFonts w:cs="Times New Roman"/>
        </w:rPr>
        <w:noBreakHyphen/>
        <w:t xml:space="preserve">case basis and only if the operator provides acceptable evidence to the assessor” (s. 2.004(e)). However, the </w:t>
      </w:r>
      <w:r w:rsidRPr="008A666E">
        <w:rPr>
          <w:rFonts w:cs="Times New Roman"/>
          <w:i/>
        </w:rPr>
        <w:t xml:space="preserve">Linear Guidelines </w:t>
      </w:r>
      <w:r w:rsidRPr="008A666E">
        <w:rPr>
          <w:rFonts w:cs="Times New Roman"/>
        </w:rPr>
        <w:t>specify that “[t]here will be no recognition or adjustment in Schedule C or Schedule D as a result of the cessation or reduction of coal</w:t>
      </w:r>
      <w:r w:rsidRPr="008A666E">
        <w:rPr>
          <w:rFonts w:cs="Times New Roman"/>
        </w:rPr>
        <w:noBreakHyphen/>
        <w:t>fired emissions on or before December 31, 2030 arising from an Off</w:t>
      </w:r>
      <w:r w:rsidRPr="008A666E">
        <w:rPr>
          <w:rFonts w:cs="Times New Roman"/>
        </w:rPr>
        <w:noBreakHyphen/>
        <w:t>Coal Agreement or Provincial or Federal legislation” (s. 1.003(d)).</w:t>
      </w:r>
    </w:p>
    <w:p w:rsidR="001E1EA6" w:rsidRPr="008A666E" w:rsidRDefault="001E1EA6" w:rsidP="001E1EA6">
      <w:pPr>
        <w:pStyle w:val="ParaNoNdepar-AltN"/>
        <w:rPr>
          <w:rFonts w:cs="Times New Roman"/>
        </w:rPr>
      </w:pPr>
      <w:r w:rsidRPr="008A666E">
        <w:rPr>
          <w:rFonts w:cs="Times New Roman"/>
        </w:rPr>
        <w:t xml:space="preserve">Section 2.003 of the </w:t>
      </w:r>
      <w:r w:rsidRPr="008A666E">
        <w:rPr>
          <w:rFonts w:cs="Times New Roman"/>
          <w:i/>
          <w:iCs/>
        </w:rPr>
        <w:t xml:space="preserve">Linear Guidelines </w:t>
      </w:r>
      <w:r w:rsidRPr="008A666E">
        <w:rPr>
          <w:rFonts w:cs="Times New Roman"/>
        </w:rPr>
        <w:t xml:space="preserve">addresses </w:t>
      </w:r>
      <w:proofErr w:type="spellStart"/>
      <w:r w:rsidRPr="008A666E">
        <w:rPr>
          <w:rFonts w:cs="Times New Roman"/>
        </w:rPr>
        <w:t>Schs</w:t>
      </w:r>
      <w:proofErr w:type="spellEnd"/>
      <w:r w:rsidRPr="008A666E">
        <w:rPr>
          <w:rFonts w:cs="Times New Roman"/>
        </w:rPr>
        <w:t>. C and D depreciation as it applies to TransAlta. It too provides that “[t]here will be no recognition or adjustment in Schedule C or Schedule D as a result of the cessation or reduction of coal</w:t>
      </w:r>
      <w:r w:rsidRPr="008A666E">
        <w:rPr>
          <w:rFonts w:cs="Times New Roman"/>
        </w:rPr>
        <w:noBreakHyphen/>
        <w:t>fired emissions on or before December 31, 2030 arising from an Off</w:t>
      </w:r>
      <w:r w:rsidRPr="008A666E">
        <w:rPr>
          <w:rFonts w:cs="Times New Roman"/>
        </w:rPr>
        <w:noBreakHyphen/>
        <w:t>Coal Agreement or Provincial or Federal legislation.”</w:t>
      </w:r>
    </w:p>
    <w:p w:rsidR="001E1EA6" w:rsidRPr="008A666E" w:rsidRDefault="001E1EA6" w:rsidP="001E1EA6">
      <w:pPr>
        <w:pStyle w:val="ParaNoNdepar-AltN"/>
        <w:rPr>
          <w:rFonts w:cs="Times New Roman"/>
        </w:rPr>
      </w:pPr>
      <w:r w:rsidRPr="008A666E">
        <w:rPr>
          <w:rFonts w:cs="Times New Roman"/>
        </w:rPr>
        <w:t>The practical effect of these provisions is that an assessor cannot allow TransAlta additional depreciation for its coal</w:t>
      </w:r>
      <w:r w:rsidRPr="008A666E">
        <w:rPr>
          <w:rFonts w:cs="Times New Roman"/>
        </w:rPr>
        <w:noBreakHyphen/>
        <w:t>fired facilities on the basis that those facilities are subject to the Off</w:t>
      </w:r>
      <w:r w:rsidRPr="008A666E">
        <w:rPr>
          <w:rFonts w:cs="Times New Roman"/>
        </w:rPr>
        <w:noBreakHyphen/>
        <w:t xml:space="preserve">Coal Agreement (see </w:t>
      </w:r>
      <w:r w:rsidRPr="008A666E">
        <w:rPr>
          <w:rFonts w:cs="Times New Roman"/>
          <w:i/>
          <w:iCs/>
        </w:rPr>
        <w:t>Linear Guidelines</w:t>
      </w:r>
      <w:r w:rsidRPr="008A666E">
        <w:rPr>
          <w:rFonts w:cs="Times New Roman"/>
        </w:rPr>
        <w:t>, ss. 1.003(d) and 2.004(e)).</w:t>
      </w:r>
    </w:p>
    <w:p w:rsidR="001E1EA6" w:rsidRPr="008A666E" w:rsidRDefault="001E1EA6" w:rsidP="001E1EA6">
      <w:pPr>
        <w:pStyle w:val="Title1LevelTitre1Niveau-AltL"/>
        <w:rPr>
          <w:rFonts w:cs="Times New Roman"/>
        </w:rPr>
      </w:pPr>
      <w:bookmarkStart w:id="14" w:name="_Toc172725997"/>
      <w:r w:rsidRPr="008A666E">
        <w:rPr>
          <w:rFonts w:cs="Times New Roman"/>
        </w:rPr>
        <w:t>Analysis</w:t>
      </w:r>
      <w:bookmarkEnd w:id="14"/>
    </w:p>
    <w:p w:rsidR="001E1EA6" w:rsidRPr="008A666E" w:rsidRDefault="001E1EA6" w:rsidP="001E1EA6">
      <w:pPr>
        <w:pStyle w:val="ParaNoNdepar-AltN"/>
        <w:rPr>
          <w:rFonts w:cs="Times New Roman"/>
        </w:rPr>
      </w:pPr>
      <w:r w:rsidRPr="008A666E">
        <w:rPr>
          <w:rFonts w:eastAsia="Times New Roman" w:cs="Times New Roman"/>
          <w:szCs w:val="24"/>
        </w:rPr>
        <w:t xml:space="preserve">TransAlta challenges the validity of the </w:t>
      </w:r>
      <w:r w:rsidRPr="008A666E">
        <w:rPr>
          <w:rFonts w:eastAsia="Times New Roman" w:cs="Times New Roman"/>
          <w:i/>
          <w:iCs/>
          <w:szCs w:val="24"/>
        </w:rPr>
        <w:t xml:space="preserve">Linear Guidelines </w:t>
      </w:r>
      <w:r w:rsidRPr="008A666E">
        <w:rPr>
          <w:rFonts w:eastAsia="Times New Roman" w:cs="Times New Roman"/>
          <w:szCs w:val="24"/>
        </w:rPr>
        <w:t xml:space="preserve">on two bases. First, it invokes the common law principle that a statutory delegate has no authority to make discriminatory distinctions unless the statute either expressly, or by necessary implication, grants them such authority. TransAlta argues that the </w:t>
      </w:r>
      <w:r w:rsidRPr="008A666E">
        <w:rPr>
          <w:rFonts w:eastAsia="Times New Roman" w:cs="Times New Roman"/>
          <w:i/>
          <w:iCs/>
          <w:szCs w:val="24"/>
        </w:rPr>
        <w:t xml:space="preserve">Linear Guidelines </w:t>
      </w:r>
      <w:r w:rsidRPr="008A666E">
        <w:rPr>
          <w:rFonts w:eastAsia="Times New Roman" w:cs="Times New Roman"/>
          <w:szCs w:val="24"/>
        </w:rPr>
        <w:t>discriminate against it by denying it the ability to seek additional depreciation for its coal</w:t>
      </w:r>
      <w:r w:rsidRPr="008A666E">
        <w:rPr>
          <w:rFonts w:eastAsia="Times New Roman" w:cs="Times New Roman"/>
          <w:szCs w:val="24"/>
        </w:rPr>
        <w:noBreakHyphen/>
        <w:t xml:space="preserve">fired facilities and that the Minister did not have the statutory authority to establish guidelines that discriminate in this manner. Second, it asserts that the </w:t>
      </w:r>
      <w:r w:rsidRPr="008A666E">
        <w:rPr>
          <w:rFonts w:eastAsia="Times New Roman" w:cs="Times New Roman"/>
          <w:i/>
          <w:iCs/>
          <w:szCs w:val="24"/>
        </w:rPr>
        <w:t xml:space="preserve">Linear Guidelines </w:t>
      </w:r>
      <w:r w:rsidRPr="008A666E">
        <w:rPr>
          <w:rFonts w:eastAsia="Times New Roman" w:cs="Times New Roman"/>
          <w:szCs w:val="24"/>
        </w:rPr>
        <w:t xml:space="preserve">are inconsistent with the overarching purposes of the assessment and taxation regime under the </w:t>
      </w:r>
      <w:r w:rsidRPr="008A666E">
        <w:rPr>
          <w:rFonts w:eastAsia="Times New Roman" w:cs="Times New Roman"/>
          <w:i/>
          <w:iCs/>
          <w:szCs w:val="24"/>
        </w:rPr>
        <w:t>MGA</w:t>
      </w:r>
      <w:r w:rsidRPr="008A666E">
        <w:rPr>
          <w:rFonts w:eastAsia="Times New Roman" w:cs="Times New Roman"/>
          <w:iCs/>
          <w:szCs w:val="24"/>
        </w:rPr>
        <w:t>.</w:t>
      </w:r>
    </w:p>
    <w:p w:rsidR="001E1EA6" w:rsidRPr="008A666E" w:rsidRDefault="001E1EA6" w:rsidP="001E1EA6">
      <w:pPr>
        <w:pStyle w:val="ParaNoNdepar-AltN"/>
        <w:rPr>
          <w:rFonts w:cs="Times New Roman"/>
        </w:rPr>
      </w:pPr>
      <w:r w:rsidRPr="008A666E">
        <w:rPr>
          <w:rFonts w:cs="Times New Roman"/>
        </w:rPr>
        <w:t xml:space="preserve">In what follows, I will assess whether the </w:t>
      </w:r>
      <w:r w:rsidRPr="008A666E">
        <w:rPr>
          <w:rFonts w:cs="Times New Roman"/>
          <w:i/>
          <w:iCs/>
        </w:rPr>
        <w:t xml:space="preserve">Linear Guidelines </w:t>
      </w:r>
      <w:r w:rsidRPr="008A666E">
        <w:rPr>
          <w:rFonts w:cs="Times New Roman"/>
        </w:rPr>
        <w:t xml:space="preserve">fall reasonably within the scope of the Minister’s authority under the </w:t>
      </w:r>
      <w:r w:rsidRPr="008A666E">
        <w:rPr>
          <w:rFonts w:cs="Times New Roman"/>
          <w:i/>
          <w:iCs/>
        </w:rPr>
        <w:t>MGA</w:t>
      </w:r>
      <w:r w:rsidRPr="008A666E">
        <w:rPr>
          <w:rFonts w:cs="Times New Roman"/>
          <w:iCs/>
        </w:rPr>
        <w:t>,</w:t>
      </w:r>
      <w:r w:rsidRPr="008A666E">
        <w:rPr>
          <w:rFonts w:cs="Times New Roman"/>
          <w:i/>
          <w:iCs/>
        </w:rPr>
        <w:t xml:space="preserve"> </w:t>
      </w:r>
      <w:r w:rsidRPr="008A666E">
        <w:rPr>
          <w:rFonts w:cs="Times New Roman"/>
        </w:rPr>
        <w:t xml:space="preserve">having regard to the relevant constraints: (1) the common law rule against administrative discrimination; (2) the </w:t>
      </w:r>
      <w:r w:rsidRPr="008A666E">
        <w:rPr>
          <w:rFonts w:cs="Times New Roman"/>
          <w:i/>
          <w:iCs/>
        </w:rPr>
        <w:t>MGA</w:t>
      </w:r>
      <w:r w:rsidRPr="008A666E">
        <w:rPr>
          <w:rFonts w:cs="Times New Roman"/>
        </w:rPr>
        <w:t xml:space="preserve">, which is the governing statutory scheme; and (3) the principles of statutory interpretation. I will begin by outlining the common law rule against administrative discrimination. I will then consider whether the </w:t>
      </w:r>
      <w:r w:rsidRPr="008A666E">
        <w:rPr>
          <w:rFonts w:cs="Times New Roman"/>
          <w:i/>
        </w:rPr>
        <w:t xml:space="preserve">Linear Guidelines </w:t>
      </w:r>
      <w:r w:rsidRPr="008A666E">
        <w:rPr>
          <w:rFonts w:cs="Times New Roman"/>
        </w:rPr>
        <w:t>violate this rule.</w:t>
      </w:r>
    </w:p>
    <w:p w:rsidR="001E1EA6" w:rsidRPr="008A666E" w:rsidRDefault="001E1EA6" w:rsidP="001E1EA6">
      <w:pPr>
        <w:pStyle w:val="ParaNoNdepar-AltN"/>
        <w:rPr>
          <w:rFonts w:cs="Times New Roman"/>
        </w:rPr>
      </w:pPr>
      <w:r w:rsidRPr="008A666E">
        <w:rPr>
          <w:rFonts w:cs="Times New Roman"/>
        </w:rPr>
        <w:t xml:space="preserve">As I will explain, the </w:t>
      </w:r>
      <w:r w:rsidRPr="008A666E">
        <w:rPr>
          <w:rFonts w:cs="Times New Roman"/>
          <w:i/>
        </w:rPr>
        <w:t xml:space="preserve">Linear Guidelines </w:t>
      </w:r>
      <w:r w:rsidRPr="008A666E">
        <w:rPr>
          <w:rFonts w:cs="Times New Roman"/>
        </w:rPr>
        <w:t xml:space="preserve">do not violate the common law rule against administrative discrimination. This is because the </w:t>
      </w:r>
      <w:r w:rsidRPr="008A666E">
        <w:rPr>
          <w:rFonts w:cs="Times New Roman"/>
          <w:i/>
        </w:rPr>
        <w:t xml:space="preserve">MGA </w:t>
      </w:r>
      <w:r w:rsidRPr="008A666E">
        <w:rPr>
          <w:rFonts w:cs="Times New Roman"/>
        </w:rPr>
        <w:t>authorizes the Minister, by necessary implication, to discriminate against TransAlta and other parties to off</w:t>
      </w:r>
      <w:r w:rsidRPr="008A666E">
        <w:rPr>
          <w:rFonts w:cs="Times New Roman"/>
        </w:rPr>
        <w:noBreakHyphen/>
        <w:t xml:space="preserve">coal agreements by depriving them of the ability to claim additional depreciation. It follows that the </w:t>
      </w:r>
      <w:r w:rsidRPr="008A666E">
        <w:rPr>
          <w:rFonts w:cs="Times New Roman"/>
          <w:i/>
        </w:rPr>
        <w:t xml:space="preserve">Linear Guidelines </w:t>
      </w:r>
      <w:r w:rsidRPr="008A666E">
        <w:rPr>
          <w:rFonts w:cs="Times New Roman"/>
        </w:rPr>
        <w:t xml:space="preserve">are consistent with the purposes of the </w:t>
      </w:r>
      <w:r w:rsidRPr="008A666E">
        <w:rPr>
          <w:rFonts w:cs="Times New Roman"/>
          <w:i/>
        </w:rPr>
        <w:t>MGA</w:t>
      </w:r>
      <w:r w:rsidRPr="008A666E">
        <w:rPr>
          <w:rFonts w:cs="Times New Roman"/>
        </w:rPr>
        <w:t xml:space="preserve">. As will become clear, the </w:t>
      </w:r>
      <w:r w:rsidRPr="008A666E">
        <w:rPr>
          <w:rFonts w:cs="Times New Roman"/>
          <w:i/>
        </w:rPr>
        <w:t>Linear Guidelines</w:t>
      </w:r>
      <w:r w:rsidRPr="008A666E">
        <w:rPr>
          <w:rFonts w:cs="Times New Roman"/>
        </w:rPr>
        <w:t xml:space="preserve"> serve to ensure that tax assessments are “current, correct, fair and equitable” in accordance with the purposes of the </w:t>
      </w:r>
      <w:r w:rsidRPr="008A666E">
        <w:rPr>
          <w:rFonts w:cs="Times New Roman"/>
          <w:i/>
          <w:iCs/>
        </w:rPr>
        <w:t>MGA</w:t>
      </w:r>
      <w:r w:rsidRPr="008A666E">
        <w:rPr>
          <w:rFonts w:cs="Times New Roman"/>
        </w:rPr>
        <w:t>.</w:t>
      </w:r>
    </w:p>
    <w:p w:rsidR="001E1EA6" w:rsidRPr="008A666E" w:rsidRDefault="001E1EA6" w:rsidP="001E1EA6">
      <w:pPr>
        <w:pStyle w:val="Title2LevelTitre2Niveau"/>
        <w:rPr>
          <w:rFonts w:eastAsia="Times New Roman" w:cs="Times New Roman"/>
          <w:iCs/>
          <w:szCs w:val="24"/>
        </w:rPr>
      </w:pPr>
      <w:bookmarkStart w:id="15" w:name="_Toc172725998"/>
      <w:r w:rsidRPr="008A666E">
        <w:rPr>
          <w:rFonts w:cs="Times New Roman"/>
        </w:rPr>
        <w:t>The Common Law Rule Against Administrative Discrimination</w:t>
      </w:r>
      <w:bookmarkEnd w:id="15"/>
    </w:p>
    <w:p w:rsidR="001E1EA6" w:rsidRPr="008A666E" w:rsidRDefault="001E1EA6" w:rsidP="001E1EA6">
      <w:pPr>
        <w:pStyle w:val="ParaNoNdepar-AltN"/>
        <w:rPr>
          <w:rFonts w:cs="Times New Roman"/>
        </w:rPr>
      </w:pPr>
      <w:r w:rsidRPr="008A666E">
        <w:rPr>
          <w:rFonts w:cs="Times New Roman"/>
        </w:rPr>
        <w:t>Administrative discrimination “arises when [subordinate] legislation expressly distinguishes among the persons to whom its enabling legislation applies” (Keyes</w:t>
      </w:r>
      <w:r w:rsidRPr="008A666E">
        <w:rPr>
          <w:rFonts w:eastAsia="Times New Roman" w:cs="Times New Roman"/>
          <w:szCs w:val="24"/>
        </w:rPr>
        <w:t>,</w:t>
      </w:r>
      <w:r w:rsidRPr="008A666E">
        <w:rPr>
          <w:rFonts w:cs="Times New Roman"/>
        </w:rPr>
        <w:t xml:space="preserve"> at pp. 370</w:t>
      </w:r>
      <w:r w:rsidRPr="008A666E">
        <w:rPr>
          <w:rFonts w:cs="Times New Roman"/>
        </w:rPr>
        <w:noBreakHyphen/>
        <w:t>71, citing L.</w:t>
      </w:r>
      <w:r w:rsidRPr="008A666E">
        <w:noBreakHyphen/>
      </w:r>
      <w:r w:rsidRPr="008A666E">
        <w:rPr>
          <w:rFonts w:cs="Times New Roman"/>
        </w:rPr>
        <w:t xml:space="preserve">P. Pigeon, </w:t>
      </w:r>
      <w:r w:rsidRPr="008A666E">
        <w:rPr>
          <w:rFonts w:cs="Times New Roman"/>
          <w:i/>
          <w:iCs/>
        </w:rPr>
        <w:t xml:space="preserve">Drafting and Interpreting Legislation </w:t>
      </w:r>
      <w:r w:rsidRPr="008A666E">
        <w:rPr>
          <w:rFonts w:cs="Times New Roman"/>
        </w:rPr>
        <w:t>(1988)</w:t>
      </w:r>
      <w:r w:rsidRPr="008A666E">
        <w:t>,</w:t>
      </w:r>
      <w:r w:rsidRPr="008A666E">
        <w:rPr>
          <w:rFonts w:cs="Times New Roman"/>
        </w:rPr>
        <w:t xml:space="preserve"> at </w:t>
      </w:r>
      <w:r w:rsidRPr="008A666E">
        <w:t>p. </w:t>
      </w:r>
      <w:r w:rsidRPr="008A666E">
        <w:rPr>
          <w:rFonts w:cs="Times New Roman"/>
          <w:lang w:val="en-US"/>
        </w:rPr>
        <w:t xml:space="preserve">42; </w:t>
      </w:r>
      <w:r w:rsidRPr="008A666E">
        <w:rPr>
          <w:rFonts w:cs="Times New Roman"/>
          <w:i/>
          <w:iCs/>
          <w:lang w:val="en-US"/>
        </w:rPr>
        <w:t xml:space="preserve">Fédération des producteurs de fruits et </w:t>
      </w:r>
      <w:proofErr w:type="spellStart"/>
      <w:r w:rsidRPr="008A666E">
        <w:rPr>
          <w:rFonts w:cs="Times New Roman"/>
          <w:i/>
          <w:iCs/>
          <w:lang w:val="en-US"/>
        </w:rPr>
        <w:t>légumes</w:t>
      </w:r>
      <w:proofErr w:type="spellEnd"/>
      <w:r w:rsidRPr="008A666E">
        <w:rPr>
          <w:rFonts w:cs="Times New Roman"/>
          <w:i/>
          <w:iCs/>
          <w:lang w:val="en-US"/>
        </w:rPr>
        <w:t xml:space="preserve"> du Québec v. </w:t>
      </w:r>
      <w:proofErr w:type="spellStart"/>
      <w:r w:rsidRPr="008A666E">
        <w:rPr>
          <w:rFonts w:cs="Times New Roman"/>
          <w:i/>
          <w:iCs/>
          <w:lang w:val="en-US"/>
        </w:rPr>
        <w:t>Conserverie</w:t>
      </w:r>
      <w:proofErr w:type="spellEnd"/>
      <w:r w:rsidRPr="008A666E">
        <w:rPr>
          <w:rFonts w:cs="Times New Roman"/>
          <w:i/>
          <w:iCs/>
          <w:lang w:val="en-US"/>
        </w:rPr>
        <w:t xml:space="preserve"> </w:t>
      </w:r>
      <w:proofErr w:type="spellStart"/>
      <w:r w:rsidRPr="008A666E">
        <w:rPr>
          <w:rFonts w:cs="Times New Roman"/>
          <w:i/>
          <w:iCs/>
          <w:lang w:val="en-US"/>
        </w:rPr>
        <w:t>canadienne</w:t>
      </w:r>
      <w:proofErr w:type="spellEnd"/>
      <w:r w:rsidRPr="008A666E">
        <w:rPr>
          <w:rFonts w:cs="Times New Roman"/>
          <w:i/>
          <w:iCs/>
          <w:lang w:val="en-US"/>
        </w:rPr>
        <w:t xml:space="preserve"> </w:t>
      </w:r>
      <w:proofErr w:type="spellStart"/>
      <w:r w:rsidRPr="008A666E">
        <w:rPr>
          <w:i/>
          <w:iCs/>
          <w:lang w:val="en-US"/>
        </w:rPr>
        <w:t>L</w:t>
      </w:r>
      <w:r w:rsidRPr="008A666E">
        <w:rPr>
          <w:rFonts w:cs="Times New Roman"/>
          <w:i/>
          <w:iCs/>
          <w:lang w:val="en-US"/>
        </w:rPr>
        <w:t>tée</w:t>
      </w:r>
      <w:proofErr w:type="spellEnd"/>
      <w:r w:rsidRPr="008A666E">
        <w:rPr>
          <w:rFonts w:cs="Times New Roman"/>
          <w:lang w:val="en-US"/>
        </w:rPr>
        <w:t>, [1990] R.J.Q. 2866</w:t>
      </w:r>
      <w:r w:rsidRPr="008A666E">
        <w:rPr>
          <w:lang w:val="en-US"/>
        </w:rPr>
        <w:t xml:space="preserve"> (Sup. Ct.)</w:t>
      </w:r>
      <w:r w:rsidRPr="008A666E">
        <w:rPr>
          <w:rFonts w:cs="Times New Roman"/>
          <w:lang w:val="en-US"/>
        </w:rPr>
        <w:t xml:space="preserve">, at </w:t>
      </w:r>
      <w:r w:rsidRPr="008A666E">
        <w:rPr>
          <w:lang w:val="en-US"/>
        </w:rPr>
        <w:t>p. </w:t>
      </w:r>
      <w:r w:rsidRPr="008A666E">
        <w:rPr>
          <w:rFonts w:cs="Times New Roman"/>
        </w:rPr>
        <w:t xml:space="preserve">2871; </w:t>
      </w:r>
      <w:r w:rsidRPr="008A666E">
        <w:rPr>
          <w:rFonts w:cs="Times New Roman"/>
          <w:i/>
          <w:iCs/>
        </w:rPr>
        <w:t>Sunshine Village Corp. v. Canada (Parks)</w:t>
      </w:r>
      <w:r w:rsidRPr="008A666E">
        <w:rPr>
          <w:rFonts w:cs="Times New Roman"/>
        </w:rPr>
        <w:t>, 2004 FCA 166</w:t>
      </w:r>
      <w:r w:rsidRPr="008A666E">
        <w:t xml:space="preserve">, </w:t>
      </w:r>
      <w:r w:rsidRPr="008A666E">
        <w:rPr>
          <w:rFonts w:cs="Times New Roman"/>
        </w:rPr>
        <w:t>[2004] 3 F.C.R. 600, at para. 13).</w:t>
      </w:r>
    </w:p>
    <w:p w:rsidR="001E1EA6" w:rsidRPr="008A666E" w:rsidRDefault="001E1EA6" w:rsidP="001E1EA6">
      <w:pPr>
        <w:pStyle w:val="ParaNoNdepar-AltN"/>
        <w:rPr>
          <w:rFonts w:cs="Times New Roman"/>
        </w:rPr>
      </w:pPr>
      <w:r w:rsidRPr="008A666E">
        <w:rPr>
          <w:rFonts w:cs="Times New Roman"/>
        </w:rPr>
        <w:t xml:space="preserve">Administrative discrimination is different than discrimination in the context of the </w:t>
      </w:r>
      <w:r w:rsidRPr="008A666E">
        <w:rPr>
          <w:rFonts w:cs="Times New Roman"/>
          <w:i/>
          <w:iCs/>
        </w:rPr>
        <w:t xml:space="preserve">Canadian Charter of Rights and Freedoms </w:t>
      </w:r>
      <w:r w:rsidRPr="008A666E">
        <w:rPr>
          <w:rFonts w:cs="Times New Roman"/>
        </w:rPr>
        <w:t>or human rights legislation: “When we speak of administrative discrimination, we are not speaking of discrimination based on personal characteristics, such as sex, race or religion, that is proscribed by many human rights statutes” (P. </w:t>
      </w:r>
      <w:proofErr w:type="spellStart"/>
      <w:r w:rsidRPr="008A666E">
        <w:rPr>
          <w:rFonts w:cs="Times New Roman"/>
        </w:rPr>
        <w:t>Salembier</w:t>
      </w:r>
      <w:proofErr w:type="spellEnd"/>
      <w:r w:rsidRPr="008A666E">
        <w:rPr>
          <w:rFonts w:cs="Times New Roman"/>
        </w:rPr>
        <w:t xml:space="preserve">, </w:t>
      </w:r>
      <w:r w:rsidRPr="008A666E">
        <w:rPr>
          <w:rFonts w:cs="Times New Roman"/>
          <w:i/>
          <w:iCs/>
        </w:rPr>
        <w:t>Regulatory Law and Practice</w:t>
      </w:r>
      <w:r w:rsidRPr="008A666E">
        <w:rPr>
          <w:rFonts w:cs="Times New Roman"/>
        </w:rPr>
        <w:t xml:space="preserve"> (3rd ed. 2021), at p. 303). Rather, administrative discrimination “relates to the drawing of distinctions between persons or classes that are discriminatory in a ‘non</w:t>
      </w:r>
      <w:r w:rsidRPr="008A666E">
        <w:rPr>
          <w:rFonts w:cs="Times New Roman"/>
        </w:rPr>
        <w:noBreakHyphen/>
        <w:t xml:space="preserve">pejorative but most neutral sense of the word’, in that they simply ‘do not apply equally to all those engaged in the activity that is the subject of the enactment’” (p. 303, quoting </w:t>
      </w:r>
      <w:r w:rsidRPr="008A666E">
        <w:rPr>
          <w:rFonts w:cs="Times New Roman"/>
          <w:i/>
          <w:iCs/>
        </w:rPr>
        <w:t>Montréal (City of) v. Arcade Amusements Inc.</w:t>
      </w:r>
      <w:r w:rsidRPr="008A666E">
        <w:rPr>
          <w:rFonts w:cs="Times New Roman"/>
        </w:rPr>
        <w:t xml:space="preserve">, [1985] 1 S.C.R. 368, at p. 406, and </w:t>
      </w:r>
      <w:r w:rsidRPr="008A666E">
        <w:rPr>
          <w:rFonts w:cs="Times New Roman"/>
          <w:i/>
          <w:iCs/>
        </w:rPr>
        <w:t>Sunshine Village Corp.</w:t>
      </w:r>
      <w:r w:rsidRPr="008A666E">
        <w:rPr>
          <w:rFonts w:cs="Times New Roman"/>
        </w:rPr>
        <w:t xml:space="preserve">, at para. 13, citing D. J. M. Brown and J. M. Evans, </w:t>
      </w:r>
      <w:r w:rsidRPr="008A666E">
        <w:rPr>
          <w:rFonts w:cs="Times New Roman"/>
          <w:i/>
          <w:iCs/>
        </w:rPr>
        <w:t>Judicial Review of Administrative Action in Canada</w:t>
      </w:r>
      <w:r w:rsidRPr="008A666E">
        <w:rPr>
          <w:rFonts w:cs="Times New Roman"/>
        </w:rPr>
        <w:t xml:space="preserve"> (</w:t>
      </w:r>
      <w:proofErr w:type="spellStart"/>
      <w:r w:rsidRPr="008A666E">
        <w:rPr>
          <w:rFonts w:cs="Times New Roman"/>
        </w:rPr>
        <w:t>looseleaf</w:t>
      </w:r>
      <w:proofErr w:type="spellEnd"/>
      <w:r w:rsidRPr="008A666E">
        <w:rPr>
          <w:rFonts w:cs="Times New Roman"/>
        </w:rPr>
        <w:t>), at para. 15:3212).</w:t>
      </w:r>
    </w:p>
    <w:p w:rsidR="001E1EA6" w:rsidRPr="008A666E" w:rsidRDefault="001E1EA6" w:rsidP="001E1EA6">
      <w:pPr>
        <w:pStyle w:val="ParaNoNdepar-AltN"/>
        <w:rPr>
          <w:rFonts w:cs="Times New Roman"/>
        </w:rPr>
      </w:pPr>
      <w:r w:rsidRPr="008A666E">
        <w:rPr>
          <w:rFonts w:cs="Times New Roman"/>
        </w:rPr>
        <w:t>The common law rule against administrative discrimination provides that subordinate legislation that discriminates in the administrative law sense is invalid unless the discrimination is authorized by the enabling statute (</w:t>
      </w:r>
      <w:r w:rsidRPr="008A666E">
        <w:rPr>
          <w:rFonts w:cs="Times New Roman"/>
          <w:i/>
          <w:iCs/>
        </w:rPr>
        <w:t>Arcade Amusements</w:t>
      </w:r>
      <w:r w:rsidRPr="008A666E">
        <w:rPr>
          <w:rFonts w:cs="Times New Roman"/>
        </w:rPr>
        <w:t xml:space="preserve">, at p. 404; </w:t>
      </w:r>
      <w:r w:rsidRPr="008A666E">
        <w:rPr>
          <w:rFonts w:cs="Times New Roman"/>
          <w:i/>
          <w:iCs/>
        </w:rPr>
        <w:t>Forget v. Quebec (Attorney General)</w:t>
      </w:r>
      <w:r w:rsidRPr="008A666E">
        <w:rPr>
          <w:rFonts w:cs="Times New Roman"/>
        </w:rPr>
        <w:t>, [1988] 2 S.C.R. 90, at pp. 105</w:t>
      </w:r>
      <w:r w:rsidRPr="008A666E">
        <w:rPr>
          <w:rFonts w:cs="Times New Roman"/>
        </w:rPr>
        <w:noBreakHyphen/>
        <w:t xml:space="preserve">6; </w:t>
      </w:r>
      <w:r w:rsidRPr="008A666E">
        <w:rPr>
          <w:rFonts w:cs="Times New Roman"/>
          <w:i/>
          <w:iCs/>
        </w:rPr>
        <w:t>Katz Group</w:t>
      </w:r>
      <w:r w:rsidRPr="008A666E">
        <w:rPr>
          <w:rFonts w:cs="Times New Roman"/>
        </w:rPr>
        <w:t xml:space="preserve">, at para. 47; Keyes, at p. 371; </w:t>
      </w:r>
      <w:proofErr w:type="spellStart"/>
      <w:r w:rsidRPr="008A666E">
        <w:rPr>
          <w:rFonts w:cs="Times New Roman"/>
        </w:rPr>
        <w:t>Salembier</w:t>
      </w:r>
      <w:proofErr w:type="spellEnd"/>
      <w:r w:rsidRPr="008A666E">
        <w:rPr>
          <w:rFonts w:cs="Times New Roman"/>
        </w:rPr>
        <w:t>, at pp. 307</w:t>
      </w:r>
      <w:r w:rsidRPr="008A666E">
        <w:rPr>
          <w:rFonts w:cs="Times New Roman"/>
        </w:rPr>
        <w:noBreakHyphen/>
        <w:t>8). The enabling statute may authorize administrative discrimination, either expressly or by necessary implication (</w:t>
      </w:r>
      <w:r w:rsidRPr="008A666E">
        <w:rPr>
          <w:rFonts w:cs="Times New Roman"/>
          <w:i/>
          <w:iCs/>
        </w:rPr>
        <w:t>Arcade Amusements</w:t>
      </w:r>
      <w:r w:rsidRPr="008A666E">
        <w:rPr>
          <w:rFonts w:cs="Times New Roman"/>
        </w:rPr>
        <w:t xml:space="preserve">, at p. 413; </w:t>
      </w:r>
      <w:r w:rsidRPr="008A666E">
        <w:rPr>
          <w:rFonts w:cs="Times New Roman"/>
          <w:i/>
          <w:iCs/>
        </w:rPr>
        <w:t>Forget</w:t>
      </w:r>
      <w:r w:rsidRPr="008A666E">
        <w:rPr>
          <w:rFonts w:cs="Times New Roman"/>
        </w:rPr>
        <w:t>, at pp. 105</w:t>
      </w:r>
      <w:r w:rsidRPr="008A666E">
        <w:rPr>
          <w:rFonts w:cs="Times New Roman"/>
        </w:rPr>
        <w:noBreakHyphen/>
        <w:t>6;</w:t>
      </w:r>
      <w:r w:rsidRPr="008A666E">
        <w:rPr>
          <w:rFonts w:cs="Times New Roman"/>
          <w:i/>
          <w:iCs/>
        </w:rPr>
        <w:t xml:space="preserve"> Katz Group</w:t>
      </w:r>
      <w:r w:rsidRPr="008A666E">
        <w:rPr>
          <w:rFonts w:cs="Times New Roman"/>
        </w:rPr>
        <w:t>, at para. 47).</w:t>
      </w:r>
    </w:p>
    <w:p w:rsidR="001E1EA6" w:rsidRPr="008A666E" w:rsidRDefault="001E1EA6" w:rsidP="001E1EA6">
      <w:pPr>
        <w:pStyle w:val="ParaNoNdepar-AltN"/>
        <w:rPr>
          <w:rFonts w:cs="Times New Roman"/>
        </w:rPr>
      </w:pPr>
      <w:r w:rsidRPr="008A666E">
        <w:rPr>
          <w:rFonts w:cs="Times New Roman"/>
        </w:rPr>
        <w:t xml:space="preserve">As McLachlin J. (as she then was), dissenting, but not on this point, explained when reviewing the validity of a municipal bylaw in </w:t>
      </w:r>
      <w:r w:rsidRPr="008A666E">
        <w:rPr>
          <w:rFonts w:cs="Times New Roman"/>
          <w:i/>
          <w:iCs/>
        </w:rPr>
        <w:t>Shell Canada Products Ltd. v. Vancouver (City)</w:t>
      </w:r>
      <w:r w:rsidRPr="008A666E">
        <w:rPr>
          <w:rFonts w:cs="Times New Roman"/>
        </w:rPr>
        <w:t>, [1994] 1 S.C.R. 231, at p. 259, the rule against administrative discrimination is concerned with ensuring that statutory delegates act within the scope of their authority when they distinguish between the persons to whom the enabling legislation applies:</w:t>
      </w:r>
    </w:p>
    <w:p w:rsidR="001E1EA6" w:rsidRPr="008A666E" w:rsidRDefault="001E1EA6" w:rsidP="001E1EA6">
      <w:pPr>
        <w:pStyle w:val="Citation-AltC"/>
        <w:ind w:firstLine="274"/>
      </w:pPr>
      <w:r w:rsidRPr="008A666E">
        <w:t>The rule pertaining to municipal discrimination is essentially concerned with the municipality’s power. Municipalities must operate within the powers conferred on them under the statutes which create and empower them. Discrimination itself is not forbidden. What is forbidden is discrimination which is beyond the municipality’s powers as defined by its empowering statute. Discrimination in this municipal sense is conceptually different from discrimination in the human rights sense; discrimination in the sense of the municipal rule is concerned only with the ambit of delegated power.</w:t>
      </w:r>
    </w:p>
    <w:p w:rsidR="001E1EA6" w:rsidRPr="008A666E" w:rsidRDefault="001E1EA6" w:rsidP="001E1EA6">
      <w:pPr>
        <w:pStyle w:val="ParaNoNdepar-AltN"/>
        <w:rPr>
          <w:rFonts w:cs="Times New Roman"/>
        </w:rPr>
      </w:pPr>
      <w:r w:rsidRPr="008A666E">
        <w:rPr>
          <w:rFonts w:eastAsia="Times New Roman" w:cs="Times New Roman"/>
          <w:szCs w:val="24"/>
        </w:rPr>
        <w:t xml:space="preserve">With this in mind, I turn to the question of whether the </w:t>
      </w:r>
      <w:r w:rsidRPr="008A666E">
        <w:rPr>
          <w:rFonts w:eastAsia="Times New Roman" w:cs="Times New Roman"/>
          <w:i/>
          <w:iCs/>
          <w:szCs w:val="24"/>
        </w:rPr>
        <w:t>Linear Guidelines</w:t>
      </w:r>
      <w:r w:rsidRPr="008A666E">
        <w:rPr>
          <w:rFonts w:eastAsia="Times New Roman" w:cs="Times New Roman"/>
          <w:szCs w:val="24"/>
        </w:rPr>
        <w:t xml:space="preserve"> discriminate against TransAlta.</w:t>
      </w:r>
    </w:p>
    <w:p w:rsidR="001E1EA6" w:rsidRPr="008A666E" w:rsidRDefault="001E1EA6" w:rsidP="001E1EA6">
      <w:pPr>
        <w:pStyle w:val="Title2LevelTitre2Niveau"/>
        <w:rPr>
          <w:rFonts w:eastAsia="Times New Roman" w:cs="Times New Roman"/>
          <w:iCs/>
          <w:szCs w:val="24"/>
        </w:rPr>
      </w:pPr>
      <w:bookmarkStart w:id="16" w:name="_Toc172725999"/>
      <w:r w:rsidRPr="008A666E">
        <w:rPr>
          <w:rFonts w:cs="Times New Roman"/>
        </w:rPr>
        <w:t>The Linear Guidelines Discriminate Against Parties to Off</w:t>
      </w:r>
      <w:r w:rsidRPr="008A666E">
        <w:rPr>
          <w:rFonts w:cs="Times New Roman"/>
        </w:rPr>
        <w:noBreakHyphen/>
        <w:t>Coal Agreements</w:t>
      </w:r>
      <w:bookmarkEnd w:id="16"/>
    </w:p>
    <w:p w:rsidR="001E1EA6" w:rsidRPr="008A666E" w:rsidRDefault="001E1EA6" w:rsidP="001E1EA6">
      <w:pPr>
        <w:pStyle w:val="ParaNoNdepar-AltN"/>
        <w:rPr>
          <w:rFonts w:eastAsia="Times New Roman" w:cs="Times New Roman"/>
          <w:szCs w:val="24"/>
        </w:rPr>
      </w:pPr>
      <w:r w:rsidRPr="008A666E">
        <w:rPr>
          <w:rFonts w:eastAsia="Times New Roman" w:cs="Times New Roman"/>
          <w:szCs w:val="24"/>
        </w:rPr>
        <w:t xml:space="preserve">The chambers judge found that the </w:t>
      </w:r>
      <w:r w:rsidRPr="008A666E">
        <w:rPr>
          <w:rFonts w:eastAsia="Times New Roman" w:cs="Times New Roman"/>
          <w:i/>
          <w:iCs/>
          <w:szCs w:val="24"/>
        </w:rPr>
        <w:t>Linear Guidelines</w:t>
      </w:r>
      <w:r w:rsidRPr="008A666E">
        <w:rPr>
          <w:rFonts w:eastAsia="Times New Roman" w:cs="Times New Roman"/>
          <w:szCs w:val="24"/>
        </w:rPr>
        <w:t xml:space="preserve"> did not discriminate against TransAlta because they did not deprive TransAlta of a form of depreciation to which it was previously entitled or which applied to other types of linear property (para. 72). The Court of Appeal also held that the </w:t>
      </w:r>
      <w:r w:rsidRPr="008A666E">
        <w:rPr>
          <w:rFonts w:eastAsia="Times New Roman" w:cs="Times New Roman"/>
          <w:i/>
          <w:iCs/>
          <w:szCs w:val="24"/>
        </w:rPr>
        <w:t>Linear Guidelines</w:t>
      </w:r>
      <w:r w:rsidRPr="008A666E">
        <w:rPr>
          <w:rFonts w:eastAsia="Times New Roman" w:cs="Times New Roman"/>
          <w:szCs w:val="24"/>
        </w:rPr>
        <w:t xml:space="preserve"> did not discriminate against TransAlta. It held so on the basis that the impugned provisions apply to all coal</w:t>
      </w:r>
      <w:r w:rsidRPr="008A666E">
        <w:rPr>
          <w:rFonts w:eastAsia="Times New Roman" w:cs="Times New Roman"/>
          <w:szCs w:val="24"/>
        </w:rPr>
        <w:noBreakHyphen/>
        <w:t>fired facilities subject to off</w:t>
      </w:r>
      <w:r w:rsidRPr="008A666E">
        <w:rPr>
          <w:rFonts w:eastAsia="Times New Roman" w:cs="Times New Roman"/>
          <w:szCs w:val="24"/>
        </w:rPr>
        <w:noBreakHyphen/>
        <w:t>coal agreements, not just to those owned by TransAlta (para. 86).</w:t>
      </w:r>
    </w:p>
    <w:p w:rsidR="001E1EA6" w:rsidRPr="008A666E" w:rsidRDefault="001E1EA6" w:rsidP="001E1EA6">
      <w:pPr>
        <w:pStyle w:val="ParaNoNdepar-AltN"/>
        <w:rPr>
          <w:rFonts w:cs="Times New Roman"/>
        </w:rPr>
      </w:pPr>
      <w:r w:rsidRPr="008A666E">
        <w:rPr>
          <w:rFonts w:cs="Times New Roman"/>
        </w:rPr>
        <w:t>I disagree with the courts below. The</w:t>
      </w:r>
      <w:r w:rsidRPr="008A666E">
        <w:rPr>
          <w:rFonts w:cs="Times New Roman"/>
          <w:i/>
          <w:iCs/>
        </w:rPr>
        <w:t xml:space="preserve"> Linear Guidelines</w:t>
      </w:r>
      <w:r w:rsidRPr="008A666E">
        <w:rPr>
          <w:rFonts w:cs="Times New Roman"/>
        </w:rPr>
        <w:t xml:space="preserve"> discriminate against TransAlta and other parties to off</w:t>
      </w:r>
      <w:r w:rsidRPr="008A666E">
        <w:rPr>
          <w:rFonts w:cs="Times New Roman"/>
        </w:rPr>
        <w:noBreakHyphen/>
        <w:t>coal agreements by singling them out as being ineligible to claim additional depreciation on the basis of the off</w:t>
      </w:r>
      <w:r w:rsidRPr="008A666E">
        <w:rPr>
          <w:rFonts w:cs="Times New Roman"/>
        </w:rPr>
        <w:noBreakHyphen/>
        <w:t>coal agreements and to have the assessor consider that claim (see ss. 1.003(d) and 2.004(e)). Owners of linear property who are not parties to off</w:t>
      </w:r>
      <w:r w:rsidRPr="008A666E">
        <w:rPr>
          <w:rFonts w:cs="Times New Roman"/>
        </w:rPr>
        <w:noBreakHyphen/>
        <w:t>coal agreements are eligible to make claims for additional depreciation and to have those claims considered by the assessor without exclusion.</w:t>
      </w:r>
    </w:p>
    <w:p w:rsidR="001E1EA6" w:rsidRPr="008A666E" w:rsidRDefault="001E1EA6" w:rsidP="001E1EA6">
      <w:pPr>
        <w:pStyle w:val="ParaNoNdepar-AltN"/>
        <w:rPr>
          <w:rFonts w:cs="Times New Roman"/>
        </w:rPr>
      </w:pPr>
      <w:r w:rsidRPr="008A666E">
        <w:rPr>
          <w:rFonts w:cs="Times New Roman"/>
        </w:rPr>
        <w:t xml:space="preserve">The chambers judge was correct in stating that TransAlta was not entitled to additional depreciation. However, but for the impugned provisions of the </w:t>
      </w:r>
      <w:r w:rsidRPr="008A666E">
        <w:rPr>
          <w:rFonts w:cs="Times New Roman"/>
          <w:i/>
          <w:iCs/>
        </w:rPr>
        <w:t>Linear Guidelines</w:t>
      </w:r>
      <w:r w:rsidRPr="008A666E">
        <w:rPr>
          <w:rFonts w:cs="Times New Roman"/>
        </w:rPr>
        <w:t xml:space="preserve">, TransAlta would have been eligible to claim additional depreciation and to have that claim considered by the assessor. Section 2.004(e) of the </w:t>
      </w:r>
      <w:r w:rsidRPr="008A666E">
        <w:rPr>
          <w:rFonts w:cs="Times New Roman"/>
          <w:i/>
          <w:iCs/>
        </w:rPr>
        <w:t>Linear Guidelines</w:t>
      </w:r>
      <w:r w:rsidRPr="008A666E">
        <w:rPr>
          <w:rFonts w:cs="Times New Roman"/>
        </w:rPr>
        <w:t xml:space="preserve"> provides that “[s]</w:t>
      </w:r>
      <w:proofErr w:type="spellStart"/>
      <w:r w:rsidRPr="008A666E">
        <w:rPr>
          <w:rFonts w:cs="Times New Roman"/>
        </w:rPr>
        <w:t>ubject</w:t>
      </w:r>
      <w:proofErr w:type="spellEnd"/>
      <w:r w:rsidRPr="008A666E">
        <w:rPr>
          <w:rFonts w:cs="Times New Roman"/>
        </w:rPr>
        <w:t xml:space="preserve"> to section 1.003(d) and section 2.003(b), the assessor may allow additional depreciation (Schedule D) on a case</w:t>
      </w:r>
      <w:r w:rsidRPr="008A666E">
        <w:rPr>
          <w:rFonts w:cs="Times New Roman"/>
        </w:rPr>
        <w:noBreakHyphen/>
        <w:t>by</w:t>
      </w:r>
      <w:r w:rsidRPr="008A666E">
        <w:rPr>
          <w:rFonts w:cs="Times New Roman"/>
        </w:rPr>
        <w:noBreakHyphen/>
        <w:t>case basis and only if the operator provides acceptable evidence to the assessor.” TransAlta is not eligible to advance a claim for additional depreciation for consideration by the assessor on the basis of the reduction in its facilities’ lifespan arising from the Off</w:t>
      </w:r>
      <w:r w:rsidRPr="008A666E">
        <w:rPr>
          <w:rFonts w:cs="Times New Roman"/>
        </w:rPr>
        <w:noBreakHyphen/>
        <w:t>Coal Agreement because s. 1.003(d) states that “[t]here will be no recognition or adjustment in Schedule C or Schedule D as a result of the cessation or reduction of coal</w:t>
      </w:r>
      <w:r w:rsidRPr="008A666E">
        <w:rPr>
          <w:rFonts w:cs="Times New Roman"/>
        </w:rPr>
        <w:noBreakHyphen/>
        <w:t xml:space="preserve">fired </w:t>
      </w:r>
      <w:proofErr w:type="gramStart"/>
      <w:r w:rsidRPr="008A666E">
        <w:rPr>
          <w:rFonts w:cs="Times New Roman"/>
        </w:rPr>
        <w:t>emissions .</w:t>
      </w:r>
      <w:proofErr w:type="gramEnd"/>
      <w:r w:rsidRPr="008A666E">
        <w:rPr>
          <w:rFonts w:cs="Times New Roman"/>
        </w:rPr>
        <w:t> . . arising from an Off</w:t>
      </w:r>
      <w:r w:rsidRPr="008A666E">
        <w:rPr>
          <w:rFonts w:cs="Times New Roman"/>
        </w:rPr>
        <w:noBreakHyphen/>
        <w:t>Coal Agreement”.</w:t>
      </w:r>
    </w:p>
    <w:p w:rsidR="001E1EA6" w:rsidRPr="008A666E" w:rsidRDefault="001E1EA6" w:rsidP="001E1EA6">
      <w:pPr>
        <w:pStyle w:val="ParaNoNdepar-AltN"/>
        <w:rPr>
          <w:rFonts w:cs="Times New Roman"/>
        </w:rPr>
      </w:pPr>
      <w:r w:rsidRPr="008A666E">
        <w:rPr>
          <w:rFonts w:cs="Times New Roman"/>
        </w:rPr>
        <w:t xml:space="preserve">The fact that the </w:t>
      </w:r>
      <w:r w:rsidRPr="008A666E">
        <w:rPr>
          <w:rFonts w:cs="Times New Roman"/>
          <w:i/>
          <w:iCs/>
        </w:rPr>
        <w:t xml:space="preserve">Linear Guidelines </w:t>
      </w:r>
      <w:r w:rsidRPr="008A666E">
        <w:rPr>
          <w:rFonts w:cs="Times New Roman"/>
        </w:rPr>
        <w:t>treat all parties to off</w:t>
      </w:r>
      <w:r w:rsidRPr="008A666E">
        <w:rPr>
          <w:rFonts w:cs="Times New Roman"/>
        </w:rPr>
        <w:noBreakHyphen/>
        <w:t xml:space="preserve">coal agreements in the same way does not mean that they are not discriminatory. The </w:t>
      </w:r>
      <w:r w:rsidRPr="008A666E">
        <w:rPr>
          <w:rFonts w:cs="Times New Roman"/>
          <w:i/>
          <w:iCs/>
        </w:rPr>
        <w:t>Linear Guidelines</w:t>
      </w:r>
      <w:r w:rsidRPr="008A666E">
        <w:rPr>
          <w:rFonts w:cs="Times New Roman"/>
        </w:rPr>
        <w:t xml:space="preserve"> treat all parties to off</w:t>
      </w:r>
      <w:r w:rsidRPr="008A666E">
        <w:rPr>
          <w:rFonts w:cs="Times New Roman"/>
        </w:rPr>
        <w:noBreakHyphen/>
        <w:t xml:space="preserve">coal agreements in the same </w:t>
      </w:r>
      <w:r w:rsidRPr="008A666E">
        <w:rPr>
          <w:rFonts w:cs="Times New Roman"/>
          <w:i/>
          <w:iCs/>
        </w:rPr>
        <w:t>discriminatory</w:t>
      </w:r>
      <w:r w:rsidRPr="008A666E">
        <w:rPr>
          <w:rFonts w:cs="Times New Roman"/>
        </w:rPr>
        <w:t xml:space="preserve"> way, as compared with owners of linear property who are not parties to off</w:t>
      </w:r>
      <w:r w:rsidRPr="008A666E">
        <w:rPr>
          <w:rFonts w:cs="Times New Roman"/>
        </w:rPr>
        <w:noBreakHyphen/>
        <w:t>coal agreements. As explained, administrative discrimination arises when subordinate legislation expressly distinguishes among the persons to whom its enabling legislation applies (Keyes</w:t>
      </w:r>
      <w:r w:rsidRPr="008A666E">
        <w:rPr>
          <w:rFonts w:eastAsia="Times New Roman" w:cs="Times New Roman"/>
          <w:szCs w:val="24"/>
        </w:rPr>
        <w:t>,</w:t>
      </w:r>
      <w:r w:rsidRPr="008A666E">
        <w:rPr>
          <w:rFonts w:cs="Times New Roman"/>
        </w:rPr>
        <w:t xml:space="preserve"> at pp. 370</w:t>
      </w:r>
      <w:r w:rsidRPr="008A666E">
        <w:rPr>
          <w:rFonts w:cs="Times New Roman"/>
        </w:rPr>
        <w:noBreakHyphen/>
        <w:t xml:space="preserve">71). The </w:t>
      </w:r>
      <w:r w:rsidRPr="008A666E">
        <w:rPr>
          <w:rFonts w:cs="Times New Roman"/>
          <w:i/>
          <w:iCs/>
        </w:rPr>
        <w:t xml:space="preserve">Linear Guidelines </w:t>
      </w:r>
      <w:r w:rsidRPr="008A666E">
        <w:rPr>
          <w:rFonts w:cs="Times New Roman"/>
        </w:rPr>
        <w:t>expressly distinguish between owners of linear property who are parties to off</w:t>
      </w:r>
      <w:r w:rsidRPr="008A666E">
        <w:rPr>
          <w:rFonts w:cs="Times New Roman"/>
        </w:rPr>
        <w:noBreakHyphen/>
        <w:t xml:space="preserve">coal agreements and those who are not parties to such agreements, though both are subject to the </w:t>
      </w:r>
      <w:r w:rsidRPr="008A666E">
        <w:rPr>
          <w:rFonts w:cs="Times New Roman"/>
          <w:i/>
          <w:iCs/>
        </w:rPr>
        <w:t>MGA</w:t>
      </w:r>
      <w:r w:rsidRPr="008A666E">
        <w:rPr>
          <w:rFonts w:cs="Times New Roman"/>
        </w:rPr>
        <w:t>.</w:t>
      </w:r>
    </w:p>
    <w:p w:rsidR="001E1EA6" w:rsidRPr="008A666E" w:rsidRDefault="001E1EA6" w:rsidP="001E1EA6">
      <w:pPr>
        <w:pStyle w:val="ParaNoNdepar-AltN"/>
        <w:rPr>
          <w:rFonts w:cs="Times New Roman"/>
        </w:rPr>
      </w:pPr>
      <w:r w:rsidRPr="008A666E">
        <w:rPr>
          <w:rFonts w:cs="Times New Roman"/>
        </w:rPr>
        <w:t xml:space="preserve">The next question is whether the </w:t>
      </w:r>
      <w:r w:rsidRPr="008A666E">
        <w:rPr>
          <w:rFonts w:cs="Times New Roman"/>
          <w:i/>
          <w:iCs/>
        </w:rPr>
        <w:t xml:space="preserve">MGA </w:t>
      </w:r>
      <w:r w:rsidRPr="008A666E">
        <w:rPr>
          <w:rFonts w:cs="Times New Roman"/>
        </w:rPr>
        <w:t>authorizes the Minister to discriminate against TransAlta on the basis of the Off</w:t>
      </w:r>
      <w:r w:rsidRPr="008A666E">
        <w:rPr>
          <w:rFonts w:cs="Times New Roman"/>
        </w:rPr>
        <w:noBreakHyphen/>
        <w:t xml:space="preserve">Coal Agreement, having regard to the purposes of the </w:t>
      </w:r>
      <w:r w:rsidRPr="008A666E">
        <w:rPr>
          <w:rFonts w:cs="Times New Roman"/>
          <w:i/>
        </w:rPr>
        <w:t xml:space="preserve">MGA </w:t>
      </w:r>
      <w:r w:rsidRPr="008A666E">
        <w:rPr>
          <w:rFonts w:cs="Times New Roman"/>
        </w:rPr>
        <w:t xml:space="preserve">and the principles of statutory interpretation. If the </w:t>
      </w:r>
      <w:r w:rsidRPr="008A666E">
        <w:rPr>
          <w:rFonts w:cs="Times New Roman"/>
          <w:i/>
          <w:iCs/>
        </w:rPr>
        <w:t xml:space="preserve">MGA </w:t>
      </w:r>
      <w:r w:rsidRPr="008A666E">
        <w:rPr>
          <w:rFonts w:cs="Times New Roman"/>
        </w:rPr>
        <w:t xml:space="preserve">does so, either expressly or by necessary implication, the </w:t>
      </w:r>
      <w:r w:rsidRPr="008A666E">
        <w:rPr>
          <w:rFonts w:cs="Times New Roman"/>
          <w:i/>
          <w:iCs/>
        </w:rPr>
        <w:t>Linear Guidelines</w:t>
      </w:r>
      <w:r w:rsidRPr="008A666E">
        <w:rPr>
          <w:rFonts w:cs="Times New Roman"/>
        </w:rPr>
        <w:t xml:space="preserve"> will not be</w:t>
      </w:r>
      <w:r w:rsidRPr="008A666E">
        <w:rPr>
          <w:rFonts w:cs="Times New Roman"/>
          <w:i/>
          <w:iCs/>
        </w:rPr>
        <w:t xml:space="preserve"> </w:t>
      </w:r>
      <w:r w:rsidRPr="008A666E">
        <w:rPr>
          <w:rFonts w:cs="Times New Roman"/>
        </w:rPr>
        <w:t>invalid</w:t>
      </w:r>
      <w:r w:rsidRPr="008A666E">
        <w:rPr>
          <w:rFonts w:cs="Times New Roman"/>
          <w:i/>
          <w:iCs/>
        </w:rPr>
        <w:t xml:space="preserve"> </w:t>
      </w:r>
      <w:r w:rsidRPr="008A666E">
        <w:rPr>
          <w:rFonts w:cs="Times New Roman"/>
        </w:rPr>
        <w:t>for being discriminatory.</w:t>
      </w:r>
    </w:p>
    <w:p w:rsidR="001E1EA6" w:rsidRPr="008A666E" w:rsidRDefault="001E1EA6" w:rsidP="001E1EA6">
      <w:pPr>
        <w:pStyle w:val="Title2LevelTitre2Niveau"/>
        <w:rPr>
          <w:rFonts w:eastAsia="Times New Roman" w:cs="Times New Roman"/>
          <w:iCs/>
          <w:szCs w:val="24"/>
        </w:rPr>
      </w:pPr>
      <w:bookmarkStart w:id="17" w:name="_Toc172726000"/>
      <w:r w:rsidRPr="008A666E">
        <w:rPr>
          <w:rFonts w:cs="Times New Roman"/>
        </w:rPr>
        <w:t>The Minister Is Statutorily Authorized To Discriminate Against Parties to Off</w:t>
      </w:r>
      <w:r w:rsidRPr="008A666E">
        <w:rPr>
          <w:rFonts w:cs="Times New Roman"/>
        </w:rPr>
        <w:noBreakHyphen/>
        <w:t>Coal Agreements</w:t>
      </w:r>
      <w:bookmarkEnd w:id="17"/>
    </w:p>
    <w:p w:rsidR="001E1EA6" w:rsidRPr="008A666E" w:rsidRDefault="001E1EA6" w:rsidP="001E1EA6">
      <w:pPr>
        <w:pStyle w:val="ParaNoNdepar-AltN"/>
        <w:rPr>
          <w:rFonts w:cs="Times New Roman"/>
        </w:rPr>
      </w:pPr>
      <w:r w:rsidRPr="008A666E">
        <w:rPr>
          <w:rFonts w:cs="Times New Roman"/>
        </w:rPr>
        <w:t xml:space="preserve">The question of statutory authorization to discriminate falls within the reasonableness review to be conducted in a </w:t>
      </w:r>
      <w:r w:rsidRPr="008A666E">
        <w:rPr>
          <w:rFonts w:cs="Times New Roman"/>
          <w:i/>
        </w:rPr>
        <w:t>vires</w:t>
      </w:r>
      <w:r w:rsidRPr="008A666E">
        <w:rPr>
          <w:rFonts w:cs="Times New Roman"/>
        </w:rPr>
        <w:t xml:space="preserve"> challenge to subordinate legislation, unless the legislature has indicated otherwise or a question relating to the rule of law arises which should be reviewed for correctness (</w:t>
      </w:r>
      <w:r w:rsidRPr="008A666E">
        <w:rPr>
          <w:rFonts w:cs="Times New Roman"/>
          <w:i/>
        </w:rPr>
        <w:t>Vavilov</w:t>
      </w:r>
      <w:r w:rsidRPr="008A666E">
        <w:rPr>
          <w:rFonts w:cs="Times New Roman"/>
        </w:rPr>
        <w:t>, at para. 53).</w:t>
      </w:r>
    </w:p>
    <w:p w:rsidR="001E1EA6" w:rsidRPr="008A666E" w:rsidRDefault="001E1EA6" w:rsidP="001E1EA6">
      <w:pPr>
        <w:pStyle w:val="ParaNoNdepar-AltN"/>
        <w:rPr>
          <w:rFonts w:cs="Times New Roman"/>
        </w:rPr>
      </w:pPr>
      <w:r w:rsidRPr="008A666E">
        <w:rPr>
          <w:rFonts w:cs="Times New Roman"/>
        </w:rPr>
        <w:t xml:space="preserve">The </w:t>
      </w:r>
      <w:r w:rsidRPr="008A666E">
        <w:rPr>
          <w:rFonts w:cs="Times New Roman"/>
          <w:i/>
          <w:iCs/>
        </w:rPr>
        <w:t xml:space="preserve">MGA </w:t>
      </w:r>
      <w:r w:rsidRPr="008A666E">
        <w:rPr>
          <w:rFonts w:cs="Times New Roman"/>
        </w:rPr>
        <w:t>does not expressly authorize the Minister to discriminate against TransAlta by distinguishing between parties who have entered into off</w:t>
      </w:r>
      <w:r w:rsidRPr="008A666E">
        <w:rPr>
          <w:rFonts w:cs="Times New Roman"/>
        </w:rPr>
        <w:noBreakHyphen/>
        <w:t xml:space="preserve">coal agreements with Alberta and those who have not. However, the </w:t>
      </w:r>
      <w:r w:rsidRPr="008A666E">
        <w:rPr>
          <w:rFonts w:cs="Times New Roman"/>
          <w:i/>
          <w:iCs/>
        </w:rPr>
        <w:t>MGA</w:t>
      </w:r>
      <w:r w:rsidRPr="008A666E">
        <w:rPr>
          <w:rFonts w:cs="Times New Roman"/>
          <w:iCs/>
        </w:rPr>
        <w:t>, by necessary implication,</w:t>
      </w:r>
      <w:r w:rsidRPr="008A666E">
        <w:rPr>
          <w:rFonts w:cs="Times New Roman"/>
        </w:rPr>
        <w:t xml:space="preserve"> authorizes the Minister to draw this distinction.</w:t>
      </w:r>
    </w:p>
    <w:p w:rsidR="001E1EA6" w:rsidRPr="008A666E" w:rsidRDefault="001E1EA6" w:rsidP="001E1EA6">
      <w:pPr>
        <w:pStyle w:val="ParaNoNdepar-AltN"/>
        <w:rPr>
          <w:rFonts w:cs="Times New Roman"/>
        </w:rPr>
      </w:pPr>
      <w:r w:rsidRPr="008A666E">
        <w:rPr>
          <w:rFonts w:cs="Times New Roman"/>
        </w:rPr>
        <w:t xml:space="preserve">When a court reviews the </w:t>
      </w:r>
      <w:r w:rsidRPr="008A666E">
        <w:rPr>
          <w:rFonts w:cs="Times New Roman"/>
          <w:i/>
          <w:iCs/>
        </w:rPr>
        <w:t xml:space="preserve">vires </w:t>
      </w:r>
      <w:r w:rsidRPr="008A666E">
        <w:rPr>
          <w:rFonts w:cs="Times New Roman"/>
        </w:rPr>
        <w:t>of subordinate legislation, the challenged legislation and the enabling statute must be interpreted using a broad and purposive approach (</w:t>
      </w:r>
      <w:r w:rsidRPr="008A666E">
        <w:rPr>
          <w:rFonts w:cs="Times New Roman"/>
          <w:i/>
          <w:iCs/>
        </w:rPr>
        <w:t>Katz Group</w:t>
      </w:r>
      <w:r w:rsidRPr="008A666E">
        <w:rPr>
          <w:rFonts w:cs="Times New Roman"/>
        </w:rPr>
        <w:t>, at para. 26). TransAlta’s coal</w:t>
      </w:r>
      <w:r w:rsidRPr="008A666E">
        <w:rPr>
          <w:rFonts w:cs="Times New Roman"/>
        </w:rPr>
        <w:noBreakHyphen/>
        <w:t>fired facilities are deemed to be linear property (</w:t>
      </w:r>
      <w:r w:rsidRPr="008A666E">
        <w:rPr>
          <w:rFonts w:cs="Times New Roman"/>
          <w:i/>
          <w:iCs/>
        </w:rPr>
        <w:t>MGA</w:t>
      </w:r>
      <w:r w:rsidRPr="008A666E">
        <w:rPr>
          <w:rFonts w:cs="Times New Roman"/>
        </w:rPr>
        <w:t>, s. 284(1</w:t>
      </w:r>
      <w:proofErr w:type="gramStart"/>
      <w:r w:rsidRPr="008A666E">
        <w:rPr>
          <w:rFonts w:cs="Times New Roman"/>
        </w:rPr>
        <w:t>)(</w:t>
      </w:r>
      <w:proofErr w:type="gramEnd"/>
      <w:r w:rsidRPr="008A666E">
        <w:rPr>
          <w:rFonts w:cs="Times New Roman"/>
        </w:rPr>
        <w:t xml:space="preserve">k)). The Minister has broad authority to make regulations establishing valuation standards for linear property, respecting the assessment of linear property, respecting the processes and procedures for preparing assessments and respecting any matter considered necessary to carry out the intent of the </w:t>
      </w:r>
      <w:r w:rsidRPr="008A666E">
        <w:rPr>
          <w:rFonts w:cs="Times New Roman"/>
          <w:i/>
          <w:iCs/>
        </w:rPr>
        <w:t xml:space="preserve">MGA </w:t>
      </w:r>
      <w:r w:rsidRPr="008A666E">
        <w:rPr>
          <w:rFonts w:cs="Times New Roman"/>
        </w:rPr>
        <w:t xml:space="preserve">(s. 322(1)(c.1), (d), (e) and (i)). The legislation is clear: the valuation standard for linear property is the one established by the Minister (ss. 322 and 322.1; </w:t>
      </w:r>
      <w:r w:rsidRPr="008A666E">
        <w:rPr>
          <w:rFonts w:eastAsia="Times New Roman" w:cs="Times New Roman"/>
          <w:i/>
          <w:iCs/>
          <w:szCs w:val="24"/>
        </w:rPr>
        <w:t>Matters Relating to Assessment and Taxation Regulation</w:t>
      </w:r>
      <w:r w:rsidRPr="008A666E">
        <w:rPr>
          <w:rFonts w:cs="Times New Roman"/>
        </w:rPr>
        <w:t>, s. 8(2)).</w:t>
      </w:r>
    </w:p>
    <w:p w:rsidR="001E1EA6" w:rsidRPr="008A666E" w:rsidRDefault="001E1EA6" w:rsidP="001E1EA6">
      <w:pPr>
        <w:pStyle w:val="ParaNoNdepar-AltN"/>
        <w:rPr>
          <w:rFonts w:cs="Times New Roman"/>
        </w:rPr>
      </w:pPr>
      <w:r w:rsidRPr="008A666E">
        <w:rPr>
          <w:rFonts w:cs="Times New Roman"/>
        </w:rPr>
        <w:t>In establishing a valuation standard for linear property, the Minister is authorized to make regulations “respecting designated industrial property, including, without limitation, regulations respecting the specifications and characteristics of designated industrial property” (</w:t>
      </w:r>
      <w:r w:rsidRPr="008A666E">
        <w:rPr>
          <w:rFonts w:cs="Times New Roman"/>
          <w:i/>
        </w:rPr>
        <w:t>MGA</w:t>
      </w:r>
      <w:r w:rsidRPr="008A666E">
        <w:rPr>
          <w:rFonts w:cs="Times New Roman"/>
        </w:rPr>
        <w:t>,</w:t>
      </w:r>
      <w:r w:rsidRPr="008A666E">
        <w:rPr>
          <w:rFonts w:cs="Times New Roman"/>
          <w:i/>
        </w:rPr>
        <w:t xml:space="preserve"> </w:t>
      </w:r>
      <w:r w:rsidRPr="008A666E">
        <w:rPr>
          <w:rFonts w:cs="Times New Roman"/>
        </w:rPr>
        <w:t>s. 322(1)(d.3)). The “specifications and characteristics” that the Minister sets out must be taken into account by the assessor when assessing the value of the property for taxation purposes (s. 292(2</w:t>
      </w:r>
      <w:proofErr w:type="gramStart"/>
      <w:r w:rsidRPr="008A666E">
        <w:rPr>
          <w:rFonts w:cs="Times New Roman"/>
        </w:rPr>
        <w:t>)(</w:t>
      </w:r>
      <w:proofErr w:type="gramEnd"/>
      <w:r w:rsidRPr="008A666E">
        <w:rPr>
          <w:rFonts w:cs="Times New Roman"/>
        </w:rPr>
        <w:t>b)). This grant of authority is articulated in very broad terms — “without limitation” — and specifically empowers the Minister to identify and make regulations respecting the “specifications and characteristics” of industrial property. It is not possible to construe s. 322(1</w:t>
      </w:r>
      <w:proofErr w:type="gramStart"/>
      <w:r w:rsidRPr="008A666E">
        <w:rPr>
          <w:rFonts w:cs="Times New Roman"/>
        </w:rPr>
        <w:t>)(</w:t>
      </w:r>
      <w:proofErr w:type="gramEnd"/>
      <w:r w:rsidRPr="008A666E">
        <w:rPr>
          <w:rFonts w:cs="Times New Roman"/>
        </w:rPr>
        <w:t>d.3) without contemplating the drawing of distinctions between types of properties on the basis of their specifications and characteristics.</w:t>
      </w:r>
    </w:p>
    <w:p w:rsidR="001E1EA6" w:rsidRPr="008A666E" w:rsidRDefault="001E1EA6" w:rsidP="001E1EA6">
      <w:pPr>
        <w:pStyle w:val="ParaNoNdepar-AltN"/>
        <w:rPr>
          <w:rFonts w:cs="Times New Roman"/>
        </w:rPr>
      </w:pPr>
      <w:r w:rsidRPr="008A666E">
        <w:rPr>
          <w:rFonts w:cs="Times New Roman"/>
        </w:rPr>
        <w:t xml:space="preserve">Additionally, it follows from the </w:t>
      </w:r>
      <w:r w:rsidRPr="008A666E">
        <w:rPr>
          <w:rFonts w:cs="Times New Roman"/>
          <w:i/>
        </w:rPr>
        <w:t>MGA</w:t>
      </w:r>
      <w:r w:rsidRPr="008A666E">
        <w:rPr>
          <w:rFonts w:cs="Times New Roman"/>
        </w:rPr>
        <w:t>’s purpose of ensuring “that assessments are ‘current, correct, fair and equitable’” (</w:t>
      </w:r>
      <w:proofErr w:type="spellStart"/>
      <w:r w:rsidRPr="008A666E">
        <w:rPr>
          <w:rFonts w:cs="Times New Roman"/>
          <w:i/>
          <w:iCs/>
        </w:rPr>
        <w:t>Capilano</w:t>
      </w:r>
      <w:proofErr w:type="spellEnd"/>
      <w:r w:rsidRPr="008A666E">
        <w:rPr>
          <w:rFonts w:cs="Times New Roman"/>
        </w:rPr>
        <w:t xml:space="preserve">, at para. 46, quoting </w:t>
      </w:r>
      <w:r w:rsidRPr="008A666E">
        <w:rPr>
          <w:rFonts w:cs="Times New Roman"/>
          <w:i/>
          <w:iCs/>
        </w:rPr>
        <w:t>Edmonton (City) v. Army &amp; Navy Department Stores Ltd.</w:t>
      </w:r>
      <w:r w:rsidRPr="008A666E">
        <w:rPr>
          <w:rFonts w:cs="Times New Roman"/>
        </w:rPr>
        <w:t xml:space="preserve">, [2002] A.M.G.B.O. No. 126 (QL), at para. 114) that the Minister has the authority to draw distinctions on the basis of the specifications and characteristics of properties where ignoring them would create a risk of inappropriate assessments. The inverse is also true: where appropriate, the Minister must have authority to pronounce that certain specifications and characteristics are </w:t>
      </w:r>
      <w:r w:rsidRPr="008A666E">
        <w:rPr>
          <w:rFonts w:cs="Times New Roman"/>
          <w:i/>
        </w:rPr>
        <w:t xml:space="preserve">not </w:t>
      </w:r>
      <w:r w:rsidRPr="008A666E">
        <w:rPr>
          <w:rFonts w:cs="Times New Roman"/>
        </w:rPr>
        <w:t>relevant to an assessment, as he did in this case. The statute, by necessary implication, grants the Minister the authority to discriminate in the manner that he did.</w:t>
      </w:r>
    </w:p>
    <w:p w:rsidR="001E1EA6" w:rsidRPr="008A666E" w:rsidRDefault="001E1EA6" w:rsidP="001E1EA6">
      <w:pPr>
        <w:pStyle w:val="Title2LevelTitre2Niveau"/>
        <w:rPr>
          <w:rFonts w:cs="Times New Roman"/>
        </w:rPr>
      </w:pPr>
      <w:r w:rsidRPr="008A666E">
        <w:rPr>
          <w:rFonts w:cs="Times New Roman"/>
        </w:rPr>
        <w:t>The Linear Guidelines Are Consistent With the Scheme and Purposes of the MGA</w:t>
      </w:r>
    </w:p>
    <w:p w:rsidR="001E1EA6" w:rsidRPr="008A666E" w:rsidRDefault="001E1EA6" w:rsidP="001E1EA6">
      <w:pPr>
        <w:pStyle w:val="ParaNoNdepar-AltN"/>
        <w:rPr>
          <w:rFonts w:cs="Times New Roman"/>
        </w:rPr>
      </w:pPr>
      <w:r w:rsidRPr="008A666E">
        <w:rPr>
          <w:rFonts w:cs="Times New Roman"/>
        </w:rPr>
        <w:t xml:space="preserve">Since I have found that the Minister had the authority to discriminate between different types of property, the next question is whether he exercised that authority in a manner that is consistent with the scheme and purposes of the </w:t>
      </w:r>
      <w:r w:rsidRPr="008A666E">
        <w:rPr>
          <w:rFonts w:cs="Times New Roman"/>
          <w:i/>
        </w:rPr>
        <w:t>MGA</w:t>
      </w:r>
      <w:r w:rsidRPr="008A666E">
        <w:rPr>
          <w:rFonts w:cs="Times New Roman"/>
        </w:rPr>
        <w:t xml:space="preserve">. The </w:t>
      </w:r>
      <w:r w:rsidRPr="008A666E">
        <w:rPr>
          <w:rFonts w:cs="Times New Roman"/>
          <w:i/>
        </w:rPr>
        <w:t>MGA</w:t>
      </w:r>
      <w:r w:rsidRPr="008A666E">
        <w:rPr>
          <w:rFonts w:cs="Times New Roman"/>
        </w:rPr>
        <w:t xml:space="preserve"> has two purposes: (1) “to establish and maintain a property assessment system that fairly and equitably distributes taxes, and promotes transparency, predictability and stability for municipalities and taxpayers” (</w:t>
      </w:r>
      <w:r w:rsidRPr="008A666E">
        <w:rPr>
          <w:rFonts w:cs="Times New Roman"/>
          <w:i/>
        </w:rPr>
        <w:t>Guide</w:t>
      </w:r>
      <w:r w:rsidRPr="008A666E">
        <w:rPr>
          <w:rFonts w:cs="Times New Roman"/>
        </w:rPr>
        <w:t>, at p. 2); and (2) “to ensure that assessments are ‘current, correct, fair and equitable’” (</w:t>
      </w:r>
      <w:proofErr w:type="spellStart"/>
      <w:r w:rsidRPr="008A666E">
        <w:rPr>
          <w:rFonts w:cs="Times New Roman"/>
          <w:i/>
          <w:iCs/>
        </w:rPr>
        <w:t>Capilano</w:t>
      </w:r>
      <w:proofErr w:type="spellEnd"/>
      <w:r w:rsidRPr="008A666E">
        <w:rPr>
          <w:rFonts w:cs="Times New Roman"/>
        </w:rPr>
        <w:t>, at para. 46</w:t>
      </w:r>
      <w:r w:rsidRPr="008A666E">
        <w:t xml:space="preserve">, quoting </w:t>
      </w:r>
      <w:r w:rsidRPr="008A666E">
        <w:rPr>
          <w:i/>
          <w:iCs/>
        </w:rPr>
        <w:t>Army &amp; Navy</w:t>
      </w:r>
      <w:r w:rsidRPr="008A666E">
        <w:rPr>
          <w:iCs/>
        </w:rPr>
        <w:t>, at para. 114</w:t>
      </w:r>
      <w:r w:rsidRPr="008A666E">
        <w:rPr>
          <w:rFonts w:cs="Times New Roman"/>
        </w:rPr>
        <w:t>).</w:t>
      </w:r>
    </w:p>
    <w:p w:rsidR="001E1EA6" w:rsidRPr="008A666E" w:rsidRDefault="001E1EA6" w:rsidP="001E1EA6">
      <w:pPr>
        <w:pStyle w:val="ParaNoNdepar-AltN"/>
        <w:rPr>
          <w:rFonts w:cs="Times New Roman"/>
        </w:rPr>
      </w:pPr>
      <w:r w:rsidRPr="008A666E">
        <w:rPr>
          <w:rFonts w:cs="Times New Roman"/>
        </w:rPr>
        <w:t>TransAlta submits that the discrimination against it resulted in a valuation of its coal</w:t>
      </w:r>
      <w:r w:rsidRPr="008A666E">
        <w:rPr>
          <w:rFonts w:cs="Times New Roman"/>
        </w:rPr>
        <w:noBreakHyphen/>
        <w:t>fired facilities that was both incorrect and unfair (A.F., at paras. 49, 68, 77 and 85; transcript, at pp. 57, 67, 70</w:t>
      </w:r>
      <w:r w:rsidRPr="008A666E">
        <w:rPr>
          <w:rFonts w:cs="Times New Roman"/>
        </w:rPr>
        <w:noBreakHyphen/>
        <w:t>71 and 159). It submits that the Off</w:t>
      </w:r>
      <w:r w:rsidRPr="008A666E">
        <w:rPr>
          <w:rFonts w:cs="Times New Roman"/>
        </w:rPr>
        <w:noBreakHyphen/>
        <w:t>Coal Agreement does not account for depreciation, which is essential to an accurate valuation of its property. In its view, the transition payments compensate it purely for loss of profits (transcript, at p. 57). TransAlta also submits that the Minister was not entitled to distinguish between parties to off</w:t>
      </w:r>
      <w:r w:rsidRPr="008A666E">
        <w:rPr>
          <w:rFonts w:cs="Times New Roman"/>
        </w:rPr>
        <w:noBreakHyphen/>
        <w:t>coal agreements and others because being a party to an off</w:t>
      </w:r>
      <w:r w:rsidRPr="008A666E">
        <w:rPr>
          <w:rFonts w:cs="Times New Roman"/>
        </w:rPr>
        <w:noBreakHyphen/>
        <w:t>coal agreement is a characteristic of the owner, not of the property itself. In other words, it is not a “specification” or “characteristic” of the linear property as contemplated in ss. 292(2</w:t>
      </w:r>
      <w:proofErr w:type="gramStart"/>
      <w:r w:rsidRPr="008A666E">
        <w:rPr>
          <w:rFonts w:cs="Times New Roman"/>
        </w:rPr>
        <w:t>)(</w:t>
      </w:r>
      <w:proofErr w:type="gramEnd"/>
      <w:r w:rsidRPr="008A666E">
        <w:rPr>
          <w:rFonts w:cs="Times New Roman"/>
        </w:rPr>
        <w:t xml:space="preserve">b) and 322(1)(d.3) of the </w:t>
      </w:r>
      <w:r w:rsidRPr="008A666E">
        <w:rPr>
          <w:rFonts w:cs="Times New Roman"/>
          <w:i/>
          <w:iCs/>
        </w:rPr>
        <w:t>MGA</w:t>
      </w:r>
      <w:r w:rsidRPr="008A666E">
        <w:rPr>
          <w:rFonts w:cs="Times New Roman"/>
        </w:rPr>
        <w:t xml:space="preserve"> (A.F., at para. 68).</w:t>
      </w:r>
    </w:p>
    <w:p w:rsidR="001E1EA6" w:rsidRPr="008A666E" w:rsidRDefault="001E1EA6" w:rsidP="001E1EA6">
      <w:pPr>
        <w:pStyle w:val="ParaNoNdepar-AltN"/>
        <w:rPr>
          <w:rFonts w:cs="Times New Roman"/>
        </w:rPr>
      </w:pPr>
      <w:r w:rsidRPr="008A666E">
        <w:rPr>
          <w:rFonts w:cs="Times New Roman"/>
        </w:rPr>
        <w:t xml:space="preserve">I disagree. As I will explain, ss. 1.003 and 2.003 of the </w:t>
      </w:r>
      <w:r w:rsidRPr="008A666E">
        <w:rPr>
          <w:rFonts w:cs="Times New Roman"/>
          <w:i/>
        </w:rPr>
        <w:t>Linear Guidelines</w:t>
      </w:r>
      <w:r w:rsidRPr="008A666E">
        <w:rPr>
          <w:rFonts w:cs="Times New Roman"/>
        </w:rPr>
        <w:t>, which deprive TransAlta of the ability to claim additional depreciation on the basis of the reduction in its facilities’ lifespan arising from the Off</w:t>
      </w:r>
      <w:r w:rsidRPr="008A666E">
        <w:rPr>
          <w:rFonts w:cs="Times New Roman"/>
        </w:rPr>
        <w:noBreakHyphen/>
        <w:t>Coal Agreement, are consistent with the purpose of ensuring “current, correct, fair and equitable” assessments and accord with the language in ss. 292(2</w:t>
      </w:r>
      <w:proofErr w:type="gramStart"/>
      <w:r w:rsidRPr="008A666E">
        <w:rPr>
          <w:rFonts w:cs="Times New Roman"/>
        </w:rPr>
        <w:t>)(</w:t>
      </w:r>
      <w:proofErr w:type="gramEnd"/>
      <w:r w:rsidRPr="008A666E">
        <w:rPr>
          <w:rFonts w:cs="Times New Roman"/>
        </w:rPr>
        <w:t xml:space="preserve">b) and 322(1)(d.3) of the </w:t>
      </w:r>
      <w:r w:rsidRPr="008A666E">
        <w:rPr>
          <w:rFonts w:cs="Times New Roman"/>
          <w:i/>
        </w:rPr>
        <w:t>MGA</w:t>
      </w:r>
      <w:r w:rsidRPr="008A666E">
        <w:rPr>
          <w:rFonts w:cs="Times New Roman"/>
        </w:rPr>
        <w:t>.</w:t>
      </w:r>
    </w:p>
    <w:p w:rsidR="001E1EA6" w:rsidRPr="008A666E" w:rsidRDefault="001E1EA6" w:rsidP="001E1EA6">
      <w:pPr>
        <w:pStyle w:val="ParaNoNdepar-AltN"/>
        <w:rPr>
          <w:rFonts w:cs="Times New Roman"/>
        </w:rPr>
      </w:pPr>
      <w:r w:rsidRPr="008A666E">
        <w:rPr>
          <w:rFonts w:cs="Times New Roman"/>
        </w:rPr>
        <w:t>The formula used to calculate the transition payments in the Off</w:t>
      </w:r>
      <w:r w:rsidRPr="008A666E">
        <w:rPr>
          <w:rFonts w:cs="Times New Roman"/>
        </w:rPr>
        <w:noBreakHyphen/>
        <w:t>Coal Agreement accounts for at least some loss of value arising from the reduced life of TransAlta’s coal</w:t>
      </w:r>
      <w:r w:rsidRPr="008A666E">
        <w:rPr>
          <w:rFonts w:cs="Times New Roman"/>
        </w:rPr>
        <w:noBreakHyphen/>
        <w:t>fired facilities. It does so by prorating the net book value of the facilities by the percentage of life remaining after 2030 (Off</w:t>
      </w:r>
      <w:r w:rsidRPr="008A666E">
        <w:rPr>
          <w:rFonts w:cs="Times New Roman"/>
        </w:rPr>
        <w:noBreakHyphen/>
        <w:t>Coal Agreement, Sch. A). Even if the payments are characterized as compensation for loss of profits, because the payments promise additional revenues that run with the assets, their effect is to offset the decrease in value caused by the facilities’ reduced lifespan. To be current and correct, an assessment of TransAlta’s coal</w:t>
      </w:r>
      <w:r w:rsidRPr="008A666E">
        <w:rPr>
          <w:rFonts w:cs="Times New Roman"/>
        </w:rPr>
        <w:noBreakHyphen/>
        <w:t xml:space="preserve">fired facilities must consider the fact that the transition payments mitigate at least some depreciation that would otherwise result from the early retirement of the facilities. Therefore, in light of the </w:t>
      </w:r>
      <w:r w:rsidRPr="008A666E">
        <w:rPr>
          <w:rFonts w:cs="Times New Roman"/>
          <w:i/>
          <w:iCs/>
        </w:rPr>
        <w:t>MGA</w:t>
      </w:r>
      <w:r w:rsidRPr="008A666E">
        <w:rPr>
          <w:rFonts w:cs="Times New Roman"/>
        </w:rPr>
        <w:t xml:space="preserve">’s purpose of ensuring that assessments are current and correct, it was reasonable for the Minister to interpret his statutory grant of power as authorizing him to deprive TransAlta of the ability to claim additional depreciation under the </w:t>
      </w:r>
      <w:r w:rsidRPr="008A666E">
        <w:rPr>
          <w:rFonts w:cs="Times New Roman"/>
          <w:i/>
          <w:iCs/>
        </w:rPr>
        <w:t>Linear Guidelines</w:t>
      </w:r>
      <w:r w:rsidRPr="008A666E">
        <w:rPr>
          <w:rFonts w:cs="Times New Roman"/>
        </w:rPr>
        <w:t>.</w:t>
      </w:r>
    </w:p>
    <w:p w:rsidR="001E1EA6" w:rsidRPr="008A666E" w:rsidRDefault="001E1EA6" w:rsidP="001E1EA6">
      <w:pPr>
        <w:pStyle w:val="ParaNoNdepar-AltN"/>
        <w:rPr>
          <w:rFonts w:cs="Times New Roman"/>
        </w:rPr>
      </w:pPr>
      <w:r w:rsidRPr="008A666E">
        <w:rPr>
          <w:rFonts w:cs="Times New Roman"/>
        </w:rPr>
        <w:t xml:space="preserve">To deprive TransAlta of the ability to claim additional depreciation is also consistent with the </w:t>
      </w:r>
      <w:r w:rsidRPr="008A666E">
        <w:rPr>
          <w:rFonts w:cs="Times New Roman"/>
          <w:i/>
          <w:iCs/>
        </w:rPr>
        <w:t>MGA</w:t>
      </w:r>
      <w:r w:rsidRPr="008A666E">
        <w:rPr>
          <w:rFonts w:cs="Times New Roman"/>
        </w:rPr>
        <w:t>’s purpose of ensuring that assessments are fair and equitable. Since the transition payments already account for at least some loss of value resulting from the reduced life of TransAlta’s coal</w:t>
      </w:r>
      <w:r w:rsidRPr="008A666E">
        <w:rPr>
          <w:rFonts w:cs="Times New Roman"/>
        </w:rPr>
        <w:noBreakHyphen/>
        <w:t xml:space="preserve">fired facilities, there would be a real risk of “double dipping” if TransAlta were able to receive additional depreciation for that same loss of value under the </w:t>
      </w:r>
      <w:r w:rsidRPr="008A666E">
        <w:rPr>
          <w:rFonts w:cs="Times New Roman"/>
          <w:i/>
          <w:iCs/>
        </w:rPr>
        <w:t>Linear Guidelines</w:t>
      </w:r>
      <w:r w:rsidRPr="008A666E">
        <w:rPr>
          <w:rFonts w:cs="Times New Roman"/>
        </w:rPr>
        <w:t>. That would not be fair or equitable.</w:t>
      </w:r>
    </w:p>
    <w:p w:rsidR="001E1EA6" w:rsidRPr="008A666E" w:rsidRDefault="001E1EA6" w:rsidP="001E1EA6">
      <w:pPr>
        <w:pStyle w:val="ParaNoNdepar-AltN"/>
        <w:rPr>
          <w:rFonts w:cs="Times New Roman"/>
        </w:rPr>
      </w:pPr>
      <w:r w:rsidRPr="008A666E">
        <w:rPr>
          <w:rFonts w:cs="Times New Roman"/>
        </w:rPr>
        <w:t>TransAlta’s assertion that the existence of the Off</w:t>
      </w:r>
      <w:r w:rsidRPr="008A666E">
        <w:rPr>
          <w:rFonts w:cs="Times New Roman"/>
        </w:rPr>
        <w:noBreakHyphen/>
        <w:t>Coal Agreement is a characteristic of the owner — not of the property itself — is inaccurate. The Off</w:t>
      </w:r>
      <w:r w:rsidRPr="008A666E">
        <w:rPr>
          <w:rFonts w:cs="Times New Roman"/>
        </w:rPr>
        <w:noBreakHyphen/>
        <w:t>Coal Agreement runs with the facilities. A transfer of title to or ownership interest in the facilities requires Alberta’s consent and requires the new owner to agree to be bound by the terms of the Off</w:t>
      </w:r>
      <w:r w:rsidRPr="008A666E">
        <w:rPr>
          <w:rFonts w:cs="Times New Roman"/>
        </w:rPr>
        <w:noBreakHyphen/>
        <w:t>Coal Agreement:</w:t>
      </w:r>
    </w:p>
    <w:p w:rsidR="001E1EA6" w:rsidRPr="008A666E" w:rsidRDefault="001E1EA6" w:rsidP="001E1EA6">
      <w:pPr>
        <w:pStyle w:val="Citation-AltC"/>
        <w:ind w:firstLine="274"/>
      </w:pPr>
      <w:r w:rsidRPr="008A666E">
        <w:t>Transfer of Ownership of Plants. The Company or the Plant Owners may transfer title to or ownership interest in all the Plants with the consent of the Province, not to be unreasonably withheld, provided that the new owner agrees to be bound by the terms of this Agreement, in which case the Company and the Plant Owners shall be released from their obligations hereunder. [</w:t>
      </w:r>
      <w:proofErr w:type="gramStart"/>
      <w:r w:rsidRPr="008A666E">
        <w:t>s</w:t>
      </w:r>
      <w:proofErr w:type="gramEnd"/>
      <w:r w:rsidRPr="008A666E">
        <w:t>. 11(n)]</w:t>
      </w:r>
    </w:p>
    <w:p w:rsidR="001E1EA6" w:rsidRPr="008A666E" w:rsidRDefault="001E1EA6" w:rsidP="001E1EA6">
      <w:pPr>
        <w:pStyle w:val="ParaNoNdepar-AltN"/>
        <w:rPr>
          <w:rFonts w:cs="Times New Roman"/>
        </w:rPr>
      </w:pPr>
      <w:r w:rsidRPr="008A666E">
        <w:rPr>
          <w:rFonts w:cs="Times New Roman"/>
        </w:rPr>
        <w:t>While TransAlta, as the owner, entered into the Off</w:t>
      </w:r>
      <w:r w:rsidRPr="008A666E">
        <w:rPr>
          <w:rFonts w:cs="Times New Roman"/>
        </w:rPr>
        <w:noBreakHyphen/>
        <w:t>Coal Agreement, being subject to the Off</w:t>
      </w:r>
      <w:r w:rsidRPr="008A666E">
        <w:rPr>
          <w:rFonts w:cs="Times New Roman"/>
        </w:rPr>
        <w:noBreakHyphen/>
        <w:t>Coal Agreement is not merely a “characteristic” of TransAlta. Rather, because any subsequent owner of TransAlta’s coal</w:t>
      </w:r>
      <w:r w:rsidRPr="008A666E">
        <w:rPr>
          <w:rFonts w:cs="Times New Roman"/>
        </w:rPr>
        <w:noBreakHyphen/>
        <w:t>fired facilities must agree to be bound by the terms of the Off</w:t>
      </w:r>
      <w:r w:rsidRPr="008A666E">
        <w:rPr>
          <w:rFonts w:cs="Times New Roman"/>
        </w:rPr>
        <w:noBreakHyphen/>
        <w:t>Coal Agreement, being subject to the Off</w:t>
      </w:r>
      <w:r w:rsidRPr="008A666E">
        <w:rPr>
          <w:rFonts w:cs="Times New Roman"/>
        </w:rPr>
        <w:noBreakHyphen/>
        <w:t>Coal Agreement is also properly considered a “specification” or “characteristic” of those facilities. Under s. 322(1</w:t>
      </w:r>
      <w:proofErr w:type="gramStart"/>
      <w:r w:rsidRPr="008A666E">
        <w:rPr>
          <w:rFonts w:cs="Times New Roman"/>
        </w:rPr>
        <w:t>)(</w:t>
      </w:r>
      <w:proofErr w:type="gramEnd"/>
      <w:r w:rsidRPr="008A666E">
        <w:rPr>
          <w:rFonts w:cs="Times New Roman"/>
        </w:rPr>
        <w:t xml:space="preserve">d.3) of the </w:t>
      </w:r>
      <w:r w:rsidRPr="008A666E">
        <w:rPr>
          <w:rFonts w:cs="Times New Roman"/>
          <w:i/>
          <w:iCs/>
        </w:rPr>
        <w:t>MGA</w:t>
      </w:r>
      <w:r w:rsidRPr="008A666E">
        <w:rPr>
          <w:rFonts w:cs="Times New Roman"/>
        </w:rPr>
        <w:t>, the Minister may make regulations “respecting designated industrial property, including, without limitation, regulations respecting the specifications and characteristics of designated industrial property”. Since TransAlta’s coal</w:t>
      </w:r>
      <w:r w:rsidRPr="008A666E">
        <w:rPr>
          <w:rFonts w:cs="Times New Roman"/>
        </w:rPr>
        <w:noBreakHyphen/>
        <w:t xml:space="preserve">fired facilities are deemed “designated industrial property” under s. 284(1)(f.01)(ii) of the </w:t>
      </w:r>
      <w:r w:rsidRPr="008A666E">
        <w:rPr>
          <w:rFonts w:cs="Times New Roman"/>
          <w:i/>
          <w:iCs/>
        </w:rPr>
        <w:t>MGA</w:t>
      </w:r>
      <w:r w:rsidRPr="008A666E">
        <w:rPr>
          <w:rFonts w:cs="Times New Roman"/>
        </w:rPr>
        <w:t>, the Minister was authorized to make regulations designating an off</w:t>
      </w:r>
      <w:r w:rsidRPr="008A666E">
        <w:rPr>
          <w:rFonts w:cs="Times New Roman"/>
        </w:rPr>
        <w:noBreakHyphen/>
        <w:t>coal agreement as a “specification” or “characteristic” of those facilities to ensure that assessments thereof would be “current, correct, fair and equitable”.</w:t>
      </w:r>
    </w:p>
    <w:p w:rsidR="001E1EA6" w:rsidRPr="008A666E" w:rsidRDefault="001E1EA6" w:rsidP="001E1EA6">
      <w:pPr>
        <w:pStyle w:val="Title1LevelTitre1Niveau-AltL"/>
        <w:rPr>
          <w:rFonts w:cs="Times New Roman"/>
        </w:rPr>
      </w:pPr>
      <w:bookmarkStart w:id="18" w:name="_Toc172726001"/>
      <w:r w:rsidRPr="008A666E">
        <w:rPr>
          <w:rFonts w:cs="Times New Roman"/>
        </w:rPr>
        <w:t>Conclusion</w:t>
      </w:r>
      <w:bookmarkEnd w:id="18"/>
    </w:p>
    <w:p w:rsidR="001E1EA6" w:rsidRPr="008A666E" w:rsidRDefault="001E1EA6" w:rsidP="001E1EA6">
      <w:pPr>
        <w:pStyle w:val="ParaNoNdepar-AltN"/>
        <w:rPr>
          <w:rFonts w:cs="Times New Roman"/>
        </w:rPr>
      </w:pPr>
      <w:r w:rsidRPr="008A666E">
        <w:rPr>
          <w:rFonts w:cs="Times New Roman"/>
        </w:rPr>
        <w:t xml:space="preserve">TransAlta has not met its burden of proving that the </w:t>
      </w:r>
      <w:r w:rsidRPr="008A666E">
        <w:rPr>
          <w:rFonts w:cs="Times New Roman"/>
          <w:i/>
          <w:iCs/>
        </w:rPr>
        <w:t xml:space="preserve">Linear Guidelines </w:t>
      </w:r>
      <w:r w:rsidRPr="008A666E">
        <w:rPr>
          <w:rFonts w:cs="Times New Roman"/>
        </w:rPr>
        <w:t xml:space="preserve">are </w:t>
      </w:r>
      <w:r w:rsidRPr="008A666E">
        <w:rPr>
          <w:rFonts w:cs="Times New Roman"/>
          <w:i/>
          <w:iCs/>
        </w:rPr>
        <w:t xml:space="preserve">ultra vires </w:t>
      </w:r>
      <w:r w:rsidRPr="008A666E">
        <w:rPr>
          <w:rFonts w:cs="Times New Roman"/>
        </w:rPr>
        <w:t>the Minister (</w:t>
      </w:r>
      <w:r w:rsidRPr="008A666E">
        <w:rPr>
          <w:rFonts w:cs="Times New Roman"/>
          <w:i/>
        </w:rPr>
        <w:t>Vavilov</w:t>
      </w:r>
      <w:r w:rsidRPr="008A666E">
        <w:rPr>
          <w:rFonts w:cs="Times New Roman"/>
        </w:rPr>
        <w:t xml:space="preserve">, at para. 100; </w:t>
      </w:r>
      <w:r w:rsidRPr="008A666E">
        <w:rPr>
          <w:rFonts w:cs="Times New Roman"/>
          <w:i/>
          <w:iCs/>
        </w:rPr>
        <w:t>Katz Group</w:t>
      </w:r>
      <w:r w:rsidRPr="008A666E">
        <w:rPr>
          <w:rFonts w:cs="Times New Roman"/>
        </w:rPr>
        <w:t xml:space="preserve">, at para. 25; </w:t>
      </w:r>
      <w:r w:rsidRPr="008A666E">
        <w:rPr>
          <w:rFonts w:cs="Times New Roman"/>
          <w:i/>
          <w:iCs/>
        </w:rPr>
        <w:t>Canadian Council for Refugees</w:t>
      </w:r>
      <w:r w:rsidRPr="008A666E">
        <w:rPr>
          <w:rFonts w:cs="Times New Roman"/>
        </w:rPr>
        <w:t>, at para. 54).</w:t>
      </w:r>
    </w:p>
    <w:p w:rsidR="001E1EA6" w:rsidRPr="008A666E" w:rsidRDefault="001E1EA6" w:rsidP="001E1EA6">
      <w:pPr>
        <w:pStyle w:val="ParaNoNdepar-AltN"/>
        <w:rPr>
          <w:rFonts w:cs="Times New Roman"/>
        </w:rPr>
      </w:pPr>
      <w:r w:rsidRPr="008A666E">
        <w:rPr>
          <w:rFonts w:cs="Times New Roman"/>
        </w:rPr>
        <w:t xml:space="preserve">The Minister is authorized under the </w:t>
      </w:r>
      <w:r w:rsidRPr="008A666E">
        <w:rPr>
          <w:rFonts w:cs="Times New Roman"/>
          <w:i/>
          <w:iCs/>
        </w:rPr>
        <w:t>MGA</w:t>
      </w:r>
      <w:r w:rsidRPr="008A666E">
        <w:rPr>
          <w:rFonts w:cs="Times New Roman"/>
          <w:iCs/>
        </w:rPr>
        <w:t xml:space="preserve">, by necessary implication, </w:t>
      </w:r>
      <w:r w:rsidRPr="008A666E">
        <w:rPr>
          <w:rFonts w:cs="Times New Roman"/>
        </w:rPr>
        <w:t xml:space="preserve">to discriminate against TransAlta. The Minister has indisputably broad authority to establish valuation standards for linear property under s. 322(1) of the </w:t>
      </w:r>
      <w:r w:rsidRPr="008A666E">
        <w:rPr>
          <w:rFonts w:cs="Times New Roman"/>
          <w:i/>
          <w:iCs/>
        </w:rPr>
        <w:t>MGA</w:t>
      </w:r>
      <w:r w:rsidRPr="008A666E">
        <w:rPr>
          <w:rFonts w:cs="Times New Roman"/>
        </w:rPr>
        <w:t>. This includes the authority to determine the “specifications and characteristics” of the property that an assessment must reflect in order to be “current, correct, fair and equitable” (</w:t>
      </w:r>
      <w:proofErr w:type="spellStart"/>
      <w:r w:rsidRPr="008A666E">
        <w:rPr>
          <w:rFonts w:cs="Times New Roman"/>
          <w:i/>
          <w:iCs/>
        </w:rPr>
        <w:t>Capilano</w:t>
      </w:r>
      <w:proofErr w:type="spellEnd"/>
      <w:r w:rsidRPr="008A666E">
        <w:rPr>
          <w:rFonts w:cs="Times New Roman"/>
        </w:rPr>
        <w:t xml:space="preserve">, at para. 46). </w:t>
      </w:r>
      <w:bookmarkStart w:id="19" w:name="_Hlk177122464"/>
      <w:r w:rsidRPr="008A666E">
        <w:rPr>
          <w:rFonts w:cs="Times New Roman"/>
        </w:rPr>
        <w:t>To properly make regulations respecting “specifications and characteristics”, the Minister must therefore have the authority to contemplate the drawing of distinctions as between types of properties.</w:t>
      </w:r>
      <w:bookmarkEnd w:id="19"/>
    </w:p>
    <w:p w:rsidR="001E1EA6" w:rsidRPr="008A666E" w:rsidRDefault="001E1EA6" w:rsidP="001E1EA6">
      <w:pPr>
        <w:pStyle w:val="ParaNoNdepar-AltN"/>
        <w:rPr>
          <w:rFonts w:cs="Times New Roman"/>
        </w:rPr>
      </w:pPr>
      <w:r w:rsidRPr="008A666E">
        <w:rPr>
          <w:rFonts w:eastAsia="Times New Roman" w:cs="Times New Roman"/>
          <w:szCs w:val="24"/>
        </w:rPr>
        <w:t xml:space="preserve">Accordingly, the </w:t>
      </w:r>
      <w:r w:rsidRPr="008A666E">
        <w:rPr>
          <w:rFonts w:eastAsia="Times New Roman" w:cs="Times New Roman"/>
          <w:i/>
          <w:iCs/>
          <w:szCs w:val="24"/>
        </w:rPr>
        <w:t>Linear Guidelines</w:t>
      </w:r>
      <w:r w:rsidRPr="008A666E">
        <w:rPr>
          <w:rFonts w:eastAsia="Times New Roman" w:cs="Times New Roman"/>
          <w:iCs/>
          <w:szCs w:val="24"/>
        </w:rPr>
        <w:t xml:space="preserve"> </w:t>
      </w:r>
      <w:r w:rsidRPr="008A666E">
        <w:rPr>
          <w:rFonts w:eastAsia="Times New Roman" w:cs="Times New Roman"/>
          <w:szCs w:val="24"/>
        </w:rPr>
        <w:t xml:space="preserve">fall within a reasonable interpretation of the enabling statute having regard to the relevant constraints, and are </w:t>
      </w:r>
      <w:r w:rsidRPr="008A666E">
        <w:rPr>
          <w:rFonts w:eastAsia="Times New Roman" w:cs="Times New Roman"/>
          <w:i/>
          <w:iCs/>
          <w:szCs w:val="24"/>
        </w:rPr>
        <w:t xml:space="preserve">intra vires </w:t>
      </w:r>
      <w:r w:rsidRPr="008A666E">
        <w:rPr>
          <w:rFonts w:eastAsia="Times New Roman" w:cs="Times New Roman"/>
          <w:szCs w:val="24"/>
        </w:rPr>
        <w:t>the Minister. They are “consistent both with specific provisions of the enabling statute and with its overriding purpose or object” (</w:t>
      </w:r>
      <w:r w:rsidRPr="008A666E">
        <w:rPr>
          <w:rFonts w:eastAsia="Times New Roman" w:cs="Times New Roman"/>
          <w:i/>
          <w:iCs/>
          <w:szCs w:val="24"/>
        </w:rPr>
        <w:t>GGPPA</w:t>
      </w:r>
      <w:r w:rsidRPr="008A666E">
        <w:rPr>
          <w:rFonts w:eastAsia="Times New Roman" w:cs="Times New Roman"/>
          <w:szCs w:val="24"/>
        </w:rPr>
        <w:t>, at para. 87)</w:t>
      </w:r>
      <w:r w:rsidRPr="008A666E">
        <w:rPr>
          <w:rFonts w:eastAsia="Times New Roman" w:cs="Times New Roman"/>
          <w:iCs/>
          <w:szCs w:val="24"/>
        </w:rPr>
        <w:t>.</w:t>
      </w:r>
      <w:r w:rsidRPr="008A666E">
        <w:rPr>
          <w:rFonts w:eastAsia="Times New Roman" w:cs="Times New Roman"/>
          <w:szCs w:val="24"/>
        </w:rPr>
        <w:t xml:space="preserve"> They also do not contravene the common law rule against administrative discrimination.</w:t>
      </w:r>
    </w:p>
    <w:p w:rsidR="001E1EA6" w:rsidRPr="008A666E" w:rsidRDefault="001E1EA6" w:rsidP="001E1EA6">
      <w:pPr>
        <w:pStyle w:val="ParaNoNdepar-AltN"/>
        <w:rPr>
          <w:rFonts w:cs="Times New Roman"/>
        </w:rPr>
      </w:pPr>
      <w:r w:rsidRPr="008A666E">
        <w:rPr>
          <w:rFonts w:eastAsia="Times New Roman" w:cs="Times New Roman"/>
          <w:szCs w:val="24"/>
        </w:rPr>
        <w:t>The appeal is dismissed with costs.</w:t>
      </w:r>
    </w:p>
    <w:p w:rsidR="009B57B3" w:rsidRPr="008A666E" w:rsidRDefault="009B57B3" w:rsidP="001660F1">
      <w:pPr>
        <w:pStyle w:val="SCCNormalDoubleSpacing"/>
        <w:spacing w:after="480"/>
      </w:pPr>
      <w:r w:rsidRPr="008A666E">
        <w:tab/>
      </w:r>
      <w:r w:rsidR="00656313" w:rsidRPr="008A666E">
        <w:rPr>
          <w:i/>
        </w:rPr>
        <w:t>Appeal</w:t>
      </w:r>
      <w:r w:rsidR="007546D3" w:rsidRPr="008A666E">
        <w:rPr>
          <w:szCs w:val="24"/>
        </w:rPr>
        <w:t xml:space="preserve"> </w:t>
      </w:r>
      <w:r w:rsidR="007546D3" w:rsidRPr="008A666E">
        <w:rPr>
          <w:i/>
        </w:rPr>
        <w:t>dismissed with costs.</w:t>
      </w:r>
    </w:p>
    <w:p w:rsidR="00A13AF5" w:rsidRPr="008A666E" w:rsidRDefault="001B4A5A" w:rsidP="001660F1">
      <w:pPr>
        <w:pStyle w:val="SCCLawFirm"/>
        <w:spacing w:after="480"/>
      </w:pPr>
      <w:r w:rsidRPr="008A666E">
        <w:tab/>
        <w:t>Solicitors for the appellant</w:t>
      </w:r>
      <w:r w:rsidR="00733CC6" w:rsidRPr="008A666E">
        <w:t>s</w:t>
      </w:r>
      <w:r w:rsidR="001660F1" w:rsidRPr="008A666E">
        <w:t>: </w:t>
      </w:r>
      <w:r w:rsidRPr="008A666E">
        <w:t xml:space="preserve">Lawson </w:t>
      </w:r>
      <w:proofErr w:type="spellStart"/>
      <w:r w:rsidRPr="008A666E">
        <w:t>Lundell</w:t>
      </w:r>
      <w:proofErr w:type="spellEnd"/>
      <w:r w:rsidRPr="008A666E">
        <w:t>, Calgary</w:t>
      </w:r>
      <w:r w:rsidR="00755768" w:rsidRPr="008A666E">
        <w:t xml:space="preserve">; Michael </w:t>
      </w:r>
      <w:proofErr w:type="spellStart"/>
      <w:r w:rsidR="00755768" w:rsidRPr="008A666E">
        <w:t>Sobkin</w:t>
      </w:r>
      <w:proofErr w:type="spellEnd"/>
      <w:r w:rsidR="00755768" w:rsidRPr="008A666E">
        <w:t xml:space="preserve">, Ottawa; </w:t>
      </w:r>
      <w:proofErr w:type="spellStart"/>
      <w:r w:rsidR="00755768" w:rsidRPr="008A666E">
        <w:t>TransAlta</w:t>
      </w:r>
      <w:proofErr w:type="spellEnd"/>
      <w:r w:rsidR="00755768" w:rsidRPr="008A666E">
        <w:t xml:space="preserve"> Corporation, Calgary</w:t>
      </w:r>
      <w:r w:rsidRPr="008A666E">
        <w:t>.</w:t>
      </w:r>
    </w:p>
    <w:p w:rsidR="00A13AF5" w:rsidRPr="008A666E" w:rsidRDefault="002F28ED" w:rsidP="001660F1">
      <w:pPr>
        <w:pStyle w:val="SCCLawFirm"/>
        <w:spacing w:after="480"/>
      </w:pPr>
      <w:r w:rsidRPr="008A666E">
        <w:tab/>
        <w:t>Solicitor</w:t>
      </w:r>
      <w:r w:rsidR="001B4A5A" w:rsidRPr="008A666E">
        <w:t>s for the respondent</w:t>
      </w:r>
      <w:r w:rsidR="00733CC6" w:rsidRPr="008A666E">
        <w:t>s</w:t>
      </w:r>
      <w:r w:rsidR="001660F1" w:rsidRPr="008A666E">
        <w:t>: </w:t>
      </w:r>
      <w:r w:rsidR="001B4A5A" w:rsidRPr="008A666E">
        <w:t>Brownlee, Edmonton.</w:t>
      </w:r>
    </w:p>
    <w:p w:rsidR="004110FB" w:rsidRPr="008A666E" w:rsidRDefault="004110FB" w:rsidP="001660F1">
      <w:pPr>
        <w:pStyle w:val="SCCLawFirm"/>
        <w:spacing w:after="480"/>
      </w:pPr>
      <w:r w:rsidRPr="008A666E">
        <w:tab/>
        <w:t xml:space="preserve">Solicitor for the intervener </w:t>
      </w:r>
      <w:r w:rsidR="00733CC6" w:rsidRPr="008A666E">
        <w:t xml:space="preserve">the </w:t>
      </w:r>
      <w:r w:rsidR="001660F1" w:rsidRPr="008A666E">
        <w:t>Attorney General of Ontario: </w:t>
      </w:r>
      <w:r w:rsidR="00136C96" w:rsidRPr="008A666E">
        <w:t>Ministry of the Attorney General, Crown Law Office — Civil</w:t>
      </w:r>
      <w:r w:rsidRPr="008A666E">
        <w:t>, Toronto.</w:t>
      </w:r>
    </w:p>
    <w:p w:rsidR="004110FB" w:rsidRPr="008A666E" w:rsidRDefault="00F36853" w:rsidP="001660F1">
      <w:pPr>
        <w:pStyle w:val="SCCLawFirm"/>
        <w:spacing w:after="480"/>
      </w:pPr>
      <w:r w:rsidRPr="008A666E">
        <w:tab/>
        <w:t>Solicitor</w:t>
      </w:r>
      <w:r w:rsidR="004110FB" w:rsidRPr="008A666E">
        <w:t xml:space="preserve"> for the intervener</w:t>
      </w:r>
      <w:r w:rsidR="00733CC6" w:rsidRPr="008A666E">
        <w:t xml:space="preserve"> the</w:t>
      </w:r>
      <w:r w:rsidR="004110FB" w:rsidRPr="008A666E">
        <w:t xml:space="preserve"> Attorney Ge</w:t>
      </w:r>
      <w:r w:rsidR="001660F1" w:rsidRPr="008A666E">
        <w:t>neral of Quebec: </w:t>
      </w:r>
      <w:r w:rsidR="000B7A9D" w:rsidRPr="008A666E">
        <w:t>Ministère de la Justice du Québec</w:t>
      </w:r>
      <w:r w:rsidR="004110FB" w:rsidRPr="008A666E">
        <w:t>, Québec.</w:t>
      </w:r>
    </w:p>
    <w:p w:rsidR="00A13AF5" w:rsidRPr="008A666E" w:rsidRDefault="001B4A5A" w:rsidP="001660F1">
      <w:pPr>
        <w:pStyle w:val="SCCLawFirm"/>
        <w:spacing w:after="480"/>
      </w:pPr>
      <w:r w:rsidRPr="008A666E">
        <w:tab/>
        <w:t xml:space="preserve">Solicitor for the intervener </w:t>
      </w:r>
      <w:r w:rsidR="00733CC6" w:rsidRPr="008A666E">
        <w:t xml:space="preserve">the </w:t>
      </w:r>
      <w:r w:rsidRPr="008A666E">
        <w:t>Attorn</w:t>
      </w:r>
      <w:r w:rsidR="001660F1" w:rsidRPr="008A666E">
        <w:t>ey General of British Columbia: </w:t>
      </w:r>
      <w:r w:rsidR="00BF47E7" w:rsidRPr="008A666E">
        <w:t>Ministry of Attorney General of British Columbia, Legal Services Branch</w:t>
      </w:r>
      <w:r w:rsidRPr="008A666E">
        <w:t>, Vancouver.</w:t>
      </w:r>
    </w:p>
    <w:p w:rsidR="004110FB" w:rsidRPr="008A666E" w:rsidRDefault="00DA6FE4" w:rsidP="001660F1">
      <w:pPr>
        <w:pStyle w:val="SCCLawFirm"/>
        <w:spacing w:after="480"/>
      </w:pPr>
      <w:r w:rsidRPr="008A666E">
        <w:tab/>
        <w:t>Solicitor</w:t>
      </w:r>
      <w:r w:rsidR="004110FB" w:rsidRPr="008A666E">
        <w:t xml:space="preserve"> for the intervener </w:t>
      </w:r>
      <w:r w:rsidR="00733CC6" w:rsidRPr="008A666E">
        <w:t xml:space="preserve">the </w:t>
      </w:r>
      <w:r w:rsidR="004110FB" w:rsidRPr="008A666E">
        <w:t>Att</w:t>
      </w:r>
      <w:r w:rsidR="001660F1" w:rsidRPr="008A666E">
        <w:t>orney General for Saskatchewan: </w:t>
      </w:r>
      <w:r w:rsidRPr="008A666E">
        <w:t>Saskatchewan Ministry of Justice and Attorney General</w:t>
      </w:r>
      <w:r w:rsidR="004110FB" w:rsidRPr="008A666E">
        <w:t>, Regina.</w:t>
      </w:r>
    </w:p>
    <w:p w:rsidR="00A13AF5" w:rsidRPr="008A666E" w:rsidRDefault="001B4A5A" w:rsidP="001660F1">
      <w:pPr>
        <w:pStyle w:val="SCCLawFirm"/>
        <w:spacing w:after="480"/>
      </w:pPr>
      <w:r w:rsidRPr="008A666E">
        <w:tab/>
        <w:t>Solicitors for the intervener</w:t>
      </w:r>
      <w:r w:rsidR="00733CC6" w:rsidRPr="008A666E">
        <w:t xml:space="preserve"> the</w:t>
      </w:r>
      <w:r w:rsidRPr="008A666E">
        <w:t xml:space="preserve"> Trial Lawyers A</w:t>
      </w:r>
      <w:r w:rsidR="001660F1" w:rsidRPr="008A666E">
        <w:t>ssociation of British Columbia: </w:t>
      </w:r>
      <w:r w:rsidRPr="008A666E">
        <w:t>Hunter Litigation Chambers, Vancouver.</w:t>
      </w:r>
    </w:p>
    <w:p w:rsidR="00A13AF5" w:rsidRPr="008A666E" w:rsidRDefault="001B4A5A" w:rsidP="001660F1">
      <w:pPr>
        <w:pStyle w:val="SCCLawFirm"/>
        <w:spacing w:after="480"/>
      </w:pPr>
      <w:r w:rsidRPr="008A666E">
        <w:tab/>
        <w:t xml:space="preserve">Solicitors for the intervener HIV &amp; AIDS Legal Clinic Ontario and </w:t>
      </w:r>
      <w:r w:rsidR="00517A92" w:rsidRPr="008A666E">
        <w:rPr>
          <w:rStyle w:val="SCCCounselPartyRoleChar"/>
        </w:rPr>
        <w:t xml:space="preserve">the </w:t>
      </w:r>
      <w:r w:rsidR="001660F1" w:rsidRPr="008A666E">
        <w:t>Health Justice Program: </w:t>
      </w:r>
      <w:proofErr w:type="spellStart"/>
      <w:r w:rsidRPr="008A666E">
        <w:t>Palia</w:t>
      </w:r>
      <w:r w:rsidR="004110FB" w:rsidRPr="008A666E">
        <w:t>re</w:t>
      </w:r>
      <w:proofErr w:type="spellEnd"/>
      <w:r w:rsidR="004110FB" w:rsidRPr="008A666E">
        <w:t xml:space="preserve"> Roland Rosenberg Rothstein</w:t>
      </w:r>
      <w:r w:rsidRPr="008A666E">
        <w:t>, Toronto.</w:t>
      </w:r>
    </w:p>
    <w:p w:rsidR="00A13AF5" w:rsidRPr="008A666E" w:rsidRDefault="001B4A5A" w:rsidP="001660F1">
      <w:pPr>
        <w:pStyle w:val="SCCLawFirm"/>
        <w:spacing w:after="480"/>
      </w:pPr>
      <w:r w:rsidRPr="008A666E">
        <w:tab/>
        <w:t>Solicitors for the intervener</w:t>
      </w:r>
      <w:r w:rsidR="00714C2A" w:rsidRPr="008A666E">
        <w:t>s</w:t>
      </w:r>
      <w:r w:rsidRPr="008A666E">
        <w:t xml:space="preserve"> </w:t>
      </w:r>
      <w:r w:rsidR="00517A92" w:rsidRPr="008A666E">
        <w:rPr>
          <w:rStyle w:val="SCCCounselPartyRoleChar"/>
        </w:rPr>
        <w:t xml:space="preserve">the </w:t>
      </w:r>
      <w:r w:rsidRPr="008A666E">
        <w:t xml:space="preserve">Chicken Farmers of Canada, </w:t>
      </w:r>
      <w:r w:rsidR="00517A92" w:rsidRPr="008A666E">
        <w:rPr>
          <w:rStyle w:val="SCCCounselPartyRoleChar"/>
        </w:rPr>
        <w:t xml:space="preserve">the </w:t>
      </w:r>
      <w:r w:rsidRPr="008A666E">
        <w:t xml:space="preserve">Egg Farmers of Canada, </w:t>
      </w:r>
      <w:r w:rsidR="00517A92" w:rsidRPr="008A666E">
        <w:rPr>
          <w:rStyle w:val="SCCCounselPartyRoleChar"/>
        </w:rPr>
        <w:t xml:space="preserve">the </w:t>
      </w:r>
      <w:r w:rsidRPr="008A666E">
        <w:t xml:space="preserve">Turkey Farmers of Canada and </w:t>
      </w:r>
      <w:r w:rsidR="00517A92" w:rsidRPr="008A666E">
        <w:rPr>
          <w:rStyle w:val="SCCCounselPartyRoleChar"/>
        </w:rPr>
        <w:t xml:space="preserve">the </w:t>
      </w:r>
      <w:r w:rsidRPr="008A666E">
        <w:t>Canadian Hatching Egg P</w:t>
      </w:r>
      <w:r w:rsidR="001660F1" w:rsidRPr="008A666E">
        <w:t>roducers: </w:t>
      </w:r>
      <w:r w:rsidRPr="008A666E">
        <w:t>Conway Baxter Wilson, Ottawa.</w:t>
      </w:r>
    </w:p>
    <w:p w:rsidR="00A13AF5" w:rsidRPr="008A666E" w:rsidRDefault="001B4A5A" w:rsidP="001660F1">
      <w:pPr>
        <w:pStyle w:val="SCCLawFirm"/>
        <w:spacing w:after="480"/>
      </w:pPr>
      <w:r w:rsidRPr="008A666E">
        <w:tab/>
        <w:t xml:space="preserve">Solicitor for the intervener </w:t>
      </w:r>
      <w:r w:rsidR="00156C58" w:rsidRPr="008A666E">
        <w:t xml:space="preserve">the </w:t>
      </w:r>
      <w:r w:rsidRPr="008A666E">
        <w:t>Workers</w:t>
      </w:r>
      <w:r w:rsidR="00D33BDD" w:rsidRPr="008A666E">
        <w:t>’</w:t>
      </w:r>
      <w:r w:rsidRPr="008A666E">
        <w:t xml:space="preserve"> Compensa</w:t>
      </w:r>
      <w:r w:rsidR="001660F1" w:rsidRPr="008A666E">
        <w:t>tion Board of British Columbia: </w:t>
      </w:r>
      <w:r w:rsidRPr="008A666E">
        <w:t>Workers</w:t>
      </w:r>
      <w:r w:rsidR="00D33BDD" w:rsidRPr="008A666E">
        <w:t>’</w:t>
      </w:r>
      <w:r w:rsidRPr="008A666E">
        <w:t xml:space="preserve"> Compensation Board of British Columbia, Richmond.</w:t>
      </w:r>
    </w:p>
    <w:p w:rsidR="00A13AF5" w:rsidRPr="008A666E" w:rsidRDefault="001B4A5A" w:rsidP="001660F1">
      <w:pPr>
        <w:pStyle w:val="SCCLawFirm"/>
        <w:spacing w:after="480"/>
      </w:pPr>
      <w:r w:rsidRPr="008A666E">
        <w:tab/>
        <w:t xml:space="preserve">Solicitors for the intervener </w:t>
      </w:r>
      <w:r w:rsidR="00FA490E" w:rsidRPr="008A666E">
        <w:t xml:space="preserve">the </w:t>
      </w:r>
      <w:r w:rsidRPr="008A666E">
        <w:t xml:space="preserve">Canadian Association of Refugee </w:t>
      </w:r>
      <w:r w:rsidR="001660F1" w:rsidRPr="008A666E">
        <w:t>Lawyers: </w:t>
      </w:r>
      <w:r w:rsidRPr="008A666E">
        <w:t>Refugee Law Office, Toronto</w:t>
      </w:r>
      <w:r w:rsidR="00D1324A" w:rsidRPr="008A666E">
        <w:t>; Landings, Toronto</w:t>
      </w:r>
      <w:r w:rsidRPr="008A666E">
        <w:t>.</w:t>
      </w:r>
    </w:p>
    <w:p w:rsidR="00A13AF5" w:rsidRPr="008A666E" w:rsidRDefault="001B4A5A" w:rsidP="001660F1">
      <w:pPr>
        <w:pStyle w:val="SCCLawFirm"/>
        <w:spacing w:after="480"/>
        <w:rPr>
          <w:lang w:val="fr-CA"/>
        </w:rPr>
      </w:pPr>
      <w:r w:rsidRPr="008A666E">
        <w:tab/>
      </w:r>
      <w:r w:rsidR="00EF16FC" w:rsidRPr="008A666E">
        <w:rPr>
          <w:lang w:val="fr-CA"/>
        </w:rPr>
        <w:t>Solicitor</w:t>
      </w:r>
      <w:r w:rsidRPr="008A666E">
        <w:rPr>
          <w:lang w:val="fr-CA"/>
        </w:rPr>
        <w:t>s for the intervener Association québécoise des avocats et avocates en droit de l</w:t>
      </w:r>
      <w:r w:rsidR="00D33BDD" w:rsidRPr="008A666E">
        <w:rPr>
          <w:lang w:val="fr-CA"/>
        </w:rPr>
        <w:t>’</w:t>
      </w:r>
      <w:r w:rsidR="001660F1" w:rsidRPr="008A666E">
        <w:rPr>
          <w:lang w:val="fr-CA"/>
        </w:rPr>
        <w:t>immigration: </w:t>
      </w:r>
      <w:r w:rsidRPr="008A666E">
        <w:rPr>
          <w:lang w:val="fr-CA"/>
        </w:rPr>
        <w:t>Hasa Avocats Inc., Montréal.</w:t>
      </w:r>
    </w:p>
    <w:p w:rsidR="00A13AF5" w:rsidRPr="008A666E" w:rsidRDefault="001B4A5A" w:rsidP="001660F1">
      <w:pPr>
        <w:pStyle w:val="SCCLawFirm"/>
        <w:spacing w:after="480"/>
      </w:pPr>
      <w:r w:rsidRPr="008A666E">
        <w:rPr>
          <w:lang w:val="fr-CA"/>
        </w:rPr>
        <w:tab/>
      </w:r>
      <w:r w:rsidR="008F4AEA" w:rsidRPr="008A666E">
        <w:t>Solicitors</w:t>
      </w:r>
      <w:r w:rsidRPr="008A666E">
        <w:t xml:space="preserve"> for the intervener</w:t>
      </w:r>
      <w:r w:rsidR="002664DA" w:rsidRPr="008A666E">
        <w:t xml:space="preserve"> the</w:t>
      </w:r>
      <w:r w:rsidR="001660F1" w:rsidRPr="008A666E">
        <w:t xml:space="preserve"> Advocates for the Rule of Law: </w:t>
      </w:r>
      <w:r w:rsidRPr="008A666E">
        <w:t>Henein Hutchison Robitaille, Toronto.</w:t>
      </w:r>
    </w:p>
    <w:p w:rsidR="00A13AF5" w:rsidRDefault="008F4AEA">
      <w:pPr>
        <w:pStyle w:val="SCCLawFirm"/>
      </w:pPr>
      <w:r w:rsidRPr="008A666E">
        <w:tab/>
        <w:t>Solicitors</w:t>
      </w:r>
      <w:r w:rsidR="001B4A5A" w:rsidRPr="008A666E">
        <w:t xml:space="preserve"> for the intervener </w:t>
      </w:r>
      <w:r w:rsidR="000563C1" w:rsidRPr="008A666E">
        <w:t>t</w:t>
      </w:r>
      <w:r w:rsidR="001B4A5A" w:rsidRPr="008A666E">
        <w:t>he National Association of P</w:t>
      </w:r>
      <w:r w:rsidR="001660F1" w:rsidRPr="008A666E">
        <w:t>harmacy Regulatory Authorities: </w:t>
      </w:r>
      <w:r w:rsidR="001B4A5A" w:rsidRPr="008A666E">
        <w:t>Shores Jardine, Edmonton.</w:t>
      </w:r>
    </w:p>
    <w:sectPr w:rsidR="00A13AF5"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71" w:rsidRDefault="00810171">
      <w:r>
        <w:separator/>
      </w:r>
    </w:p>
  </w:endnote>
  <w:endnote w:type="continuationSeparator" w:id="0">
    <w:p w:rsidR="00810171" w:rsidRDefault="0081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5BF" w:rsidRDefault="000115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5BF" w:rsidRDefault="000115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71" w:rsidRDefault="00810171">
      <w:r>
        <w:separator/>
      </w:r>
    </w:p>
  </w:footnote>
  <w:footnote w:type="continuationSeparator" w:id="0">
    <w:p w:rsidR="00810171" w:rsidRDefault="00810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52" w:rsidRPr="000115BF" w:rsidRDefault="00450352" w:rsidP="000115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5BF" w:rsidRDefault="00011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35806"/>
    <w:multiLevelType w:val="hybridMultilevel"/>
    <w:tmpl w:val="6AA6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2" w15:restartNumberingAfterBreak="0">
    <w:nsid w:val="54283EE8"/>
    <w:multiLevelType w:val="multilevel"/>
    <w:tmpl w:val="461CEFC6"/>
    <w:lvl w:ilvl="0">
      <w:start w:val="1"/>
      <w:numFmt w:val="decimal"/>
      <w:pStyle w:val="ParaNoNdepar-AltN"/>
      <w:lvlText w:val="[%1]"/>
      <w:lvlJc w:val="left"/>
      <w:pPr>
        <w:tabs>
          <w:tab w:val="num" w:pos="2232"/>
        </w:tabs>
        <w:ind w:left="108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108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8890202"/>
    <w:multiLevelType w:val="hybridMultilevel"/>
    <w:tmpl w:val="45ECC79C"/>
    <w:lvl w:ilvl="0" w:tplc="1946D698">
      <w:start w:val="1"/>
      <w:numFmt w:val="decimal"/>
      <w:lvlText w:val="(%1)"/>
      <w:lvlJc w:val="left"/>
      <w:pPr>
        <w:ind w:left="1104" w:hanging="624"/>
      </w:pPr>
      <w:rPr>
        <w:rFonts w:hint="default"/>
      </w:rPr>
    </w:lvl>
    <w:lvl w:ilvl="1" w:tplc="0C0C0019" w:tentative="1">
      <w:start w:val="1"/>
      <w:numFmt w:val="lowerLetter"/>
      <w:lvlText w:val="%2."/>
      <w:lvlJc w:val="left"/>
      <w:pPr>
        <w:ind w:left="1560" w:hanging="360"/>
      </w:pPr>
    </w:lvl>
    <w:lvl w:ilvl="2" w:tplc="0C0C001B" w:tentative="1">
      <w:start w:val="1"/>
      <w:numFmt w:val="lowerRoman"/>
      <w:lvlText w:val="%3."/>
      <w:lvlJc w:val="right"/>
      <w:pPr>
        <w:ind w:left="2280" w:hanging="180"/>
      </w:pPr>
    </w:lvl>
    <w:lvl w:ilvl="3" w:tplc="0C0C000F" w:tentative="1">
      <w:start w:val="1"/>
      <w:numFmt w:val="decimal"/>
      <w:lvlText w:val="%4."/>
      <w:lvlJc w:val="left"/>
      <w:pPr>
        <w:ind w:left="3000" w:hanging="360"/>
      </w:pPr>
    </w:lvl>
    <w:lvl w:ilvl="4" w:tplc="0C0C0019" w:tentative="1">
      <w:start w:val="1"/>
      <w:numFmt w:val="lowerLetter"/>
      <w:lvlText w:val="%5."/>
      <w:lvlJc w:val="left"/>
      <w:pPr>
        <w:ind w:left="3720" w:hanging="360"/>
      </w:pPr>
    </w:lvl>
    <w:lvl w:ilvl="5" w:tplc="0C0C001B" w:tentative="1">
      <w:start w:val="1"/>
      <w:numFmt w:val="lowerRoman"/>
      <w:lvlText w:val="%6."/>
      <w:lvlJc w:val="right"/>
      <w:pPr>
        <w:ind w:left="4440" w:hanging="180"/>
      </w:pPr>
    </w:lvl>
    <w:lvl w:ilvl="6" w:tplc="0C0C000F" w:tentative="1">
      <w:start w:val="1"/>
      <w:numFmt w:val="decimal"/>
      <w:lvlText w:val="%7."/>
      <w:lvlJc w:val="left"/>
      <w:pPr>
        <w:ind w:left="5160" w:hanging="360"/>
      </w:pPr>
    </w:lvl>
    <w:lvl w:ilvl="7" w:tplc="0C0C0019" w:tentative="1">
      <w:start w:val="1"/>
      <w:numFmt w:val="lowerLetter"/>
      <w:lvlText w:val="%8."/>
      <w:lvlJc w:val="left"/>
      <w:pPr>
        <w:ind w:left="5880" w:hanging="360"/>
      </w:pPr>
    </w:lvl>
    <w:lvl w:ilvl="8" w:tplc="0C0C001B" w:tentative="1">
      <w:start w:val="1"/>
      <w:numFmt w:val="lowerRoman"/>
      <w:lvlText w:val="%9."/>
      <w:lvlJc w:val="right"/>
      <w:pPr>
        <w:ind w:left="6600" w:hanging="180"/>
      </w:pPr>
    </w:lvl>
  </w:abstractNum>
  <w:num w:numId="1">
    <w:abstractNumId w:val="2"/>
  </w:num>
  <w:num w:numId="2">
    <w:abstractNumId w:val="1"/>
  </w:num>
  <w:num w:numId="3">
    <w:abstractNumId w:val="1"/>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3CF5"/>
    <w:rsid w:val="000115BF"/>
    <w:rsid w:val="00023594"/>
    <w:rsid w:val="00025198"/>
    <w:rsid w:val="000425EF"/>
    <w:rsid w:val="000563C1"/>
    <w:rsid w:val="000578A3"/>
    <w:rsid w:val="000648CC"/>
    <w:rsid w:val="000B0357"/>
    <w:rsid w:val="000B7A9D"/>
    <w:rsid w:val="000C3503"/>
    <w:rsid w:val="000C59B8"/>
    <w:rsid w:val="000C5DC0"/>
    <w:rsid w:val="000C6AF0"/>
    <w:rsid w:val="000E206C"/>
    <w:rsid w:val="00104F33"/>
    <w:rsid w:val="00110A9C"/>
    <w:rsid w:val="00111DE2"/>
    <w:rsid w:val="00116B38"/>
    <w:rsid w:val="00135406"/>
    <w:rsid w:val="00135972"/>
    <w:rsid w:val="00136C96"/>
    <w:rsid w:val="001426A9"/>
    <w:rsid w:val="00154D7C"/>
    <w:rsid w:val="00155126"/>
    <w:rsid w:val="00156C58"/>
    <w:rsid w:val="001570B0"/>
    <w:rsid w:val="0015752C"/>
    <w:rsid w:val="00157737"/>
    <w:rsid w:val="00165277"/>
    <w:rsid w:val="001660F1"/>
    <w:rsid w:val="00170592"/>
    <w:rsid w:val="00186351"/>
    <w:rsid w:val="00195D83"/>
    <w:rsid w:val="001A00C1"/>
    <w:rsid w:val="001B33E0"/>
    <w:rsid w:val="001B4573"/>
    <w:rsid w:val="001B4A5A"/>
    <w:rsid w:val="001C779F"/>
    <w:rsid w:val="001D2AC1"/>
    <w:rsid w:val="001D4E88"/>
    <w:rsid w:val="001E1EA6"/>
    <w:rsid w:val="002171C5"/>
    <w:rsid w:val="00220FC2"/>
    <w:rsid w:val="002222F4"/>
    <w:rsid w:val="00224FC0"/>
    <w:rsid w:val="00225EA4"/>
    <w:rsid w:val="00226EAF"/>
    <w:rsid w:val="00231F3A"/>
    <w:rsid w:val="00234199"/>
    <w:rsid w:val="002406EE"/>
    <w:rsid w:val="00243EC8"/>
    <w:rsid w:val="002664DA"/>
    <w:rsid w:val="00270D93"/>
    <w:rsid w:val="0027270B"/>
    <w:rsid w:val="002745CC"/>
    <w:rsid w:val="002B2611"/>
    <w:rsid w:val="002B7924"/>
    <w:rsid w:val="002B7D94"/>
    <w:rsid w:val="002D28C3"/>
    <w:rsid w:val="002D39A4"/>
    <w:rsid w:val="002E6705"/>
    <w:rsid w:val="002F28ED"/>
    <w:rsid w:val="002F4B55"/>
    <w:rsid w:val="00301D08"/>
    <w:rsid w:val="0030329A"/>
    <w:rsid w:val="003073A2"/>
    <w:rsid w:val="0031086F"/>
    <w:rsid w:val="0031414C"/>
    <w:rsid w:val="00314E01"/>
    <w:rsid w:val="00317751"/>
    <w:rsid w:val="0032089D"/>
    <w:rsid w:val="00325009"/>
    <w:rsid w:val="003310DE"/>
    <w:rsid w:val="003323B0"/>
    <w:rsid w:val="00344062"/>
    <w:rsid w:val="0035169A"/>
    <w:rsid w:val="0035259D"/>
    <w:rsid w:val="00364B18"/>
    <w:rsid w:val="00371B84"/>
    <w:rsid w:val="00376CBF"/>
    <w:rsid w:val="00376E5A"/>
    <w:rsid w:val="003A125D"/>
    <w:rsid w:val="003A4C70"/>
    <w:rsid w:val="003A61FD"/>
    <w:rsid w:val="003A6F46"/>
    <w:rsid w:val="003B215F"/>
    <w:rsid w:val="003C799C"/>
    <w:rsid w:val="003D0399"/>
    <w:rsid w:val="003E1C71"/>
    <w:rsid w:val="003F327B"/>
    <w:rsid w:val="00406166"/>
    <w:rsid w:val="0040704B"/>
    <w:rsid w:val="00410A55"/>
    <w:rsid w:val="004110FB"/>
    <w:rsid w:val="00411300"/>
    <w:rsid w:val="00415417"/>
    <w:rsid w:val="004225CE"/>
    <w:rsid w:val="00426659"/>
    <w:rsid w:val="00430EA5"/>
    <w:rsid w:val="0043162D"/>
    <w:rsid w:val="00450352"/>
    <w:rsid w:val="00454BDB"/>
    <w:rsid w:val="00464800"/>
    <w:rsid w:val="00465132"/>
    <w:rsid w:val="00480C90"/>
    <w:rsid w:val="0048396F"/>
    <w:rsid w:val="00493C18"/>
    <w:rsid w:val="004A600C"/>
    <w:rsid w:val="004A6118"/>
    <w:rsid w:val="004C0FA7"/>
    <w:rsid w:val="004C478D"/>
    <w:rsid w:val="004D1189"/>
    <w:rsid w:val="004E2C26"/>
    <w:rsid w:val="004F36FF"/>
    <w:rsid w:val="004F44D2"/>
    <w:rsid w:val="005125A8"/>
    <w:rsid w:val="00517A92"/>
    <w:rsid w:val="00521AE8"/>
    <w:rsid w:val="00526232"/>
    <w:rsid w:val="00527180"/>
    <w:rsid w:val="0054201E"/>
    <w:rsid w:val="00542890"/>
    <w:rsid w:val="00555291"/>
    <w:rsid w:val="00566AD1"/>
    <w:rsid w:val="005800DA"/>
    <w:rsid w:val="00581CBF"/>
    <w:rsid w:val="00583EDE"/>
    <w:rsid w:val="005A2077"/>
    <w:rsid w:val="005A6079"/>
    <w:rsid w:val="005E4698"/>
    <w:rsid w:val="005E56C0"/>
    <w:rsid w:val="00610539"/>
    <w:rsid w:val="00613969"/>
    <w:rsid w:val="00617C91"/>
    <w:rsid w:val="00625C35"/>
    <w:rsid w:val="00640413"/>
    <w:rsid w:val="00642A42"/>
    <w:rsid w:val="00656313"/>
    <w:rsid w:val="006565F4"/>
    <w:rsid w:val="00684EEA"/>
    <w:rsid w:val="00694CAF"/>
    <w:rsid w:val="0069689B"/>
    <w:rsid w:val="006A1551"/>
    <w:rsid w:val="006B5FF5"/>
    <w:rsid w:val="006F30AF"/>
    <w:rsid w:val="006F448D"/>
    <w:rsid w:val="00701759"/>
    <w:rsid w:val="00705C15"/>
    <w:rsid w:val="00714C2A"/>
    <w:rsid w:val="0071600E"/>
    <w:rsid w:val="007208D1"/>
    <w:rsid w:val="00733CC6"/>
    <w:rsid w:val="0074244E"/>
    <w:rsid w:val="00747288"/>
    <w:rsid w:val="00747DD3"/>
    <w:rsid w:val="007546D3"/>
    <w:rsid w:val="007549C8"/>
    <w:rsid w:val="00754A0B"/>
    <w:rsid w:val="00755768"/>
    <w:rsid w:val="00755D11"/>
    <w:rsid w:val="00766D14"/>
    <w:rsid w:val="00767A0F"/>
    <w:rsid w:val="007A05F6"/>
    <w:rsid w:val="007B0E91"/>
    <w:rsid w:val="007B6F4A"/>
    <w:rsid w:val="007D2D4E"/>
    <w:rsid w:val="007E1C47"/>
    <w:rsid w:val="007E337A"/>
    <w:rsid w:val="007E5C70"/>
    <w:rsid w:val="007F2FF5"/>
    <w:rsid w:val="007F3F08"/>
    <w:rsid w:val="008041B8"/>
    <w:rsid w:val="00804CC6"/>
    <w:rsid w:val="00810171"/>
    <w:rsid w:val="00811884"/>
    <w:rsid w:val="00817190"/>
    <w:rsid w:val="00820E3A"/>
    <w:rsid w:val="00820EE5"/>
    <w:rsid w:val="008260E2"/>
    <w:rsid w:val="008322BD"/>
    <w:rsid w:val="00833320"/>
    <w:rsid w:val="008335C4"/>
    <w:rsid w:val="00833E0A"/>
    <w:rsid w:val="00834F73"/>
    <w:rsid w:val="008400BA"/>
    <w:rsid w:val="008431BB"/>
    <w:rsid w:val="00844D38"/>
    <w:rsid w:val="00864CF8"/>
    <w:rsid w:val="00872819"/>
    <w:rsid w:val="00874914"/>
    <w:rsid w:val="00875234"/>
    <w:rsid w:val="00891422"/>
    <w:rsid w:val="00892E1A"/>
    <w:rsid w:val="008A3F29"/>
    <w:rsid w:val="008A666E"/>
    <w:rsid w:val="008B660A"/>
    <w:rsid w:val="008C01DA"/>
    <w:rsid w:val="008D5CDD"/>
    <w:rsid w:val="008F4AEA"/>
    <w:rsid w:val="008F78E9"/>
    <w:rsid w:val="00911989"/>
    <w:rsid w:val="009132E0"/>
    <w:rsid w:val="009179F9"/>
    <w:rsid w:val="00930791"/>
    <w:rsid w:val="00933E5E"/>
    <w:rsid w:val="00935218"/>
    <w:rsid w:val="009402EF"/>
    <w:rsid w:val="009403F3"/>
    <w:rsid w:val="009555B7"/>
    <w:rsid w:val="009567AA"/>
    <w:rsid w:val="009571C4"/>
    <w:rsid w:val="00967374"/>
    <w:rsid w:val="009A343A"/>
    <w:rsid w:val="009B2F23"/>
    <w:rsid w:val="009B57B3"/>
    <w:rsid w:val="009C4CC0"/>
    <w:rsid w:val="009C5B92"/>
    <w:rsid w:val="009D2920"/>
    <w:rsid w:val="009D5AEB"/>
    <w:rsid w:val="009F0E33"/>
    <w:rsid w:val="009F36E7"/>
    <w:rsid w:val="00A030CE"/>
    <w:rsid w:val="00A13AF5"/>
    <w:rsid w:val="00A149DF"/>
    <w:rsid w:val="00A1755C"/>
    <w:rsid w:val="00A21B90"/>
    <w:rsid w:val="00A37A58"/>
    <w:rsid w:val="00A41805"/>
    <w:rsid w:val="00A42DCD"/>
    <w:rsid w:val="00A52AFB"/>
    <w:rsid w:val="00A548CB"/>
    <w:rsid w:val="00A5521C"/>
    <w:rsid w:val="00A643E7"/>
    <w:rsid w:val="00A73C38"/>
    <w:rsid w:val="00A74028"/>
    <w:rsid w:val="00A928F4"/>
    <w:rsid w:val="00AB670D"/>
    <w:rsid w:val="00AD2BE2"/>
    <w:rsid w:val="00AE4535"/>
    <w:rsid w:val="00AF03C5"/>
    <w:rsid w:val="00AF41E6"/>
    <w:rsid w:val="00B000D8"/>
    <w:rsid w:val="00B00F75"/>
    <w:rsid w:val="00B06915"/>
    <w:rsid w:val="00B145B6"/>
    <w:rsid w:val="00B279EB"/>
    <w:rsid w:val="00B32127"/>
    <w:rsid w:val="00B50C81"/>
    <w:rsid w:val="00B557F8"/>
    <w:rsid w:val="00B5591F"/>
    <w:rsid w:val="00B815FC"/>
    <w:rsid w:val="00B85021"/>
    <w:rsid w:val="00B93FBC"/>
    <w:rsid w:val="00BA4174"/>
    <w:rsid w:val="00BA7DA0"/>
    <w:rsid w:val="00BB2EE4"/>
    <w:rsid w:val="00BB6AD0"/>
    <w:rsid w:val="00BC2108"/>
    <w:rsid w:val="00BC2670"/>
    <w:rsid w:val="00BD0E9E"/>
    <w:rsid w:val="00BD1BEC"/>
    <w:rsid w:val="00BD32FF"/>
    <w:rsid w:val="00BF0C9F"/>
    <w:rsid w:val="00BF3DB8"/>
    <w:rsid w:val="00BF47E7"/>
    <w:rsid w:val="00C02092"/>
    <w:rsid w:val="00C05105"/>
    <w:rsid w:val="00C15ECE"/>
    <w:rsid w:val="00C24D91"/>
    <w:rsid w:val="00C53F14"/>
    <w:rsid w:val="00C600CF"/>
    <w:rsid w:val="00C6084F"/>
    <w:rsid w:val="00C62A66"/>
    <w:rsid w:val="00C71458"/>
    <w:rsid w:val="00C77613"/>
    <w:rsid w:val="00C828E7"/>
    <w:rsid w:val="00C86719"/>
    <w:rsid w:val="00C921DD"/>
    <w:rsid w:val="00C96115"/>
    <w:rsid w:val="00CA6391"/>
    <w:rsid w:val="00CC34BD"/>
    <w:rsid w:val="00CE161A"/>
    <w:rsid w:val="00CE3171"/>
    <w:rsid w:val="00CF1601"/>
    <w:rsid w:val="00CF1C3B"/>
    <w:rsid w:val="00D0172F"/>
    <w:rsid w:val="00D068A7"/>
    <w:rsid w:val="00D1324A"/>
    <w:rsid w:val="00D13A4C"/>
    <w:rsid w:val="00D17476"/>
    <w:rsid w:val="00D32086"/>
    <w:rsid w:val="00D33BDD"/>
    <w:rsid w:val="00D37A3F"/>
    <w:rsid w:val="00D4431D"/>
    <w:rsid w:val="00D4667A"/>
    <w:rsid w:val="00D63A1C"/>
    <w:rsid w:val="00D7516F"/>
    <w:rsid w:val="00D8161E"/>
    <w:rsid w:val="00D8579F"/>
    <w:rsid w:val="00D862E3"/>
    <w:rsid w:val="00D909B5"/>
    <w:rsid w:val="00D95F8E"/>
    <w:rsid w:val="00DA0590"/>
    <w:rsid w:val="00DA2BE3"/>
    <w:rsid w:val="00DA32BC"/>
    <w:rsid w:val="00DA6FE4"/>
    <w:rsid w:val="00DB7BEA"/>
    <w:rsid w:val="00DC1739"/>
    <w:rsid w:val="00DC1788"/>
    <w:rsid w:val="00DD12E0"/>
    <w:rsid w:val="00DE319C"/>
    <w:rsid w:val="00DF0CA8"/>
    <w:rsid w:val="00DF2B48"/>
    <w:rsid w:val="00DF49A7"/>
    <w:rsid w:val="00DF4B69"/>
    <w:rsid w:val="00E07EE2"/>
    <w:rsid w:val="00E07FD1"/>
    <w:rsid w:val="00E176D8"/>
    <w:rsid w:val="00E24573"/>
    <w:rsid w:val="00E25E1E"/>
    <w:rsid w:val="00E27EE7"/>
    <w:rsid w:val="00E35404"/>
    <w:rsid w:val="00E45109"/>
    <w:rsid w:val="00E47B7A"/>
    <w:rsid w:val="00E56A44"/>
    <w:rsid w:val="00E60269"/>
    <w:rsid w:val="00E77932"/>
    <w:rsid w:val="00E86B29"/>
    <w:rsid w:val="00E93652"/>
    <w:rsid w:val="00E97830"/>
    <w:rsid w:val="00ED2F8A"/>
    <w:rsid w:val="00EE643C"/>
    <w:rsid w:val="00EF0683"/>
    <w:rsid w:val="00EF16FC"/>
    <w:rsid w:val="00EF69D2"/>
    <w:rsid w:val="00EF766E"/>
    <w:rsid w:val="00F0070C"/>
    <w:rsid w:val="00F00EB7"/>
    <w:rsid w:val="00F22DAA"/>
    <w:rsid w:val="00F36853"/>
    <w:rsid w:val="00F36AB6"/>
    <w:rsid w:val="00F37A09"/>
    <w:rsid w:val="00F409CE"/>
    <w:rsid w:val="00F4379D"/>
    <w:rsid w:val="00F45891"/>
    <w:rsid w:val="00F50D2D"/>
    <w:rsid w:val="00F56C8B"/>
    <w:rsid w:val="00F63BBD"/>
    <w:rsid w:val="00F66810"/>
    <w:rsid w:val="00F846D9"/>
    <w:rsid w:val="00F84DF4"/>
    <w:rsid w:val="00F85C97"/>
    <w:rsid w:val="00FA490E"/>
    <w:rsid w:val="00FB37D2"/>
    <w:rsid w:val="00FC4EFB"/>
    <w:rsid w:val="00FD068D"/>
    <w:rsid w:val="00FD4F28"/>
    <w:rsid w:val="00FE518B"/>
    <w:rsid w:val="00FE6784"/>
    <w:rsid w:val="00FF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1660F1"/>
    <w:rPr>
      <w:color w:val="660000"/>
      <w:u w:val="none"/>
    </w:rPr>
  </w:style>
  <w:style w:type="character" w:styleId="FollowedHyperlink">
    <w:name w:val="FollowedHyperlink"/>
    <w:basedOn w:val="DefaultParagraphFont"/>
    <w:uiPriority w:val="99"/>
    <w:semiHidden/>
    <w:unhideWhenUsed/>
    <w:rsid w:val="00430EA5"/>
    <w:rPr>
      <w:color w:val="800080" w:themeColor="followedHyperlink"/>
      <w:u w:val="single"/>
    </w:rPr>
  </w:style>
  <w:style w:type="character" w:styleId="CommentReference">
    <w:name w:val="annotation reference"/>
    <w:basedOn w:val="DefaultParagraphFont"/>
    <w:uiPriority w:val="99"/>
    <w:semiHidden/>
    <w:unhideWhenUsed/>
    <w:rsid w:val="00430EA5"/>
    <w:rPr>
      <w:sz w:val="16"/>
      <w:szCs w:val="16"/>
    </w:rPr>
  </w:style>
  <w:style w:type="paragraph" w:styleId="CommentText">
    <w:name w:val="annotation text"/>
    <w:basedOn w:val="Normal"/>
    <w:link w:val="CommentTextChar"/>
    <w:uiPriority w:val="99"/>
    <w:semiHidden/>
    <w:unhideWhenUsed/>
    <w:rsid w:val="00430EA5"/>
    <w:rPr>
      <w:sz w:val="20"/>
    </w:rPr>
  </w:style>
  <w:style w:type="character" w:customStyle="1" w:styleId="CommentTextChar">
    <w:name w:val="Comment Text Char"/>
    <w:basedOn w:val="DefaultParagraphFont"/>
    <w:link w:val="CommentText"/>
    <w:uiPriority w:val="99"/>
    <w:semiHidden/>
    <w:rsid w:val="00430EA5"/>
  </w:style>
  <w:style w:type="paragraph" w:customStyle="1" w:styleId="SCCLsocOtherPartyRoleSeparator">
    <w:name w:val="SCC.Lsoc.OtherPartyRoleSeparator"/>
    <w:basedOn w:val="Normal"/>
    <w:next w:val="Normal"/>
    <w:link w:val="SCCLsocOtherPartyRoleSeparatorChar"/>
    <w:rsid w:val="001E1EA6"/>
    <w:pPr>
      <w:spacing w:after="480"/>
    </w:pPr>
    <w:rPr>
      <w:rFonts w:eastAsiaTheme="minorHAnsi" w:cstheme="minorBidi"/>
      <w:szCs w:val="22"/>
      <w:lang w:eastAsia="en-US"/>
    </w:rPr>
  </w:style>
  <w:style w:type="paragraph" w:customStyle="1" w:styleId="SCCCoram">
    <w:name w:val="SCC.Coram"/>
    <w:basedOn w:val="Normal"/>
    <w:next w:val="Normal"/>
    <w:link w:val="SCCCoramChar"/>
    <w:rsid w:val="001E1EA6"/>
    <w:pPr>
      <w:pBdr>
        <w:bottom w:val="single" w:sz="4" w:space="1" w:color="auto"/>
      </w:pBdr>
    </w:pPr>
    <w:rPr>
      <w:rFonts w:eastAsiaTheme="minorHAnsi" w:cstheme="minorBidi"/>
      <w:szCs w:val="22"/>
      <w:lang w:eastAsia="en-US"/>
    </w:rPr>
  </w:style>
  <w:style w:type="character" w:customStyle="1" w:styleId="SCCCoramChar">
    <w:name w:val="SCC.Coram Char"/>
    <w:basedOn w:val="DefaultParagraphFont"/>
    <w:link w:val="SCCCoram"/>
    <w:rsid w:val="001E1EA6"/>
    <w:rPr>
      <w:rFonts w:eastAsiaTheme="minorHAnsi" w:cstheme="minorBidi"/>
      <w:sz w:val="24"/>
      <w:szCs w:val="22"/>
      <w:lang w:eastAsia="en-US"/>
    </w:rPr>
  </w:style>
  <w:style w:type="character" w:customStyle="1" w:styleId="SCCLsocOtherPartyRoleSeparatorChar">
    <w:name w:val="SCC.Lsoc.OtherPartyRoleSeparator Char"/>
    <w:basedOn w:val="DefaultParagraphFont"/>
    <w:link w:val="SCCLsocOtherPartyRoleSeparator"/>
    <w:rsid w:val="001E1EA6"/>
    <w:rPr>
      <w:rFonts w:eastAsiaTheme="minorHAnsi" w:cstheme="minorBidi"/>
      <w:sz w:val="24"/>
      <w:szCs w:val="22"/>
      <w:lang w:eastAsia="en-US"/>
    </w:rPr>
  </w:style>
  <w:style w:type="character" w:customStyle="1" w:styleId="SCCBanSummaryChar">
    <w:name w:val="SCC.BanSummary Char"/>
    <w:basedOn w:val="DefaultParagraphFont"/>
    <w:link w:val="SCCBanSummary"/>
    <w:rsid w:val="001E1EA6"/>
    <w:rPr>
      <w:b/>
      <w:sz w:val="24"/>
    </w:rPr>
  </w:style>
  <w:style w:type="table" w:styleId="TableGrid">
    <w:name w:val="Table Grid"/>
    <w:basedOn w:val="TableNormal"/>
    <w:uiPriority w:val="59"/>
    <w:rsid w:val="001E1EA6"/>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1E1EA6"/>
    <w:pPr>
      <w:spacing w:after="720"/>
      <w:ind w:left="1166"/>
      <w:contextualSpacing/>
      <w:jc w:val="both"/>
    </w:pPr>
    <w:rPr>
      <w:sz w:val="24"/>
      <w:szCs w:val="24"/>
    </w:rPr>
  </w:style>
  <w:style w:type="paragraph" w:customStyle="1" w:styleId="ContinueParaSuitedupar-AltP">
    <w:name w:val="Continue Para. / Suite du par. - Alt P"/>
    <w:next w:val="ParaNoNdepar-AltN"/>
    <w:uiPriority w:val="1"/>
    <w:qFormat/>
    <w:rsid w:val="001E1EA6"/>
    <w:pPr>
      <w:spacing w:before="480" w:after="480" w:line="480" w:lineRule="auto"/>
      <w:jc w:val="both"/>
    </w:pPr>
    <w:rPr>
      <w:rFonts w:eastAsiaTheme="minorHAnsi" w:cstheme="minorBidi"/>
      <w:sz w:val="24"/>
      <w:szCs w:val="22"/>
      <w:lang w:eastAsia="en-US"/>
    </w:rPr>
  </w:style>
  <w:style w:type="paragraph" w:customStyle="1" w:styleId="JudgeJuge">
    <w:name w:val="Judge / Juge"/>
    <w:uiPriority w:val="3"/>
    <w:rsid w:val="001E1EA6"/>
    <w:pPr>
      <w:tabs>
        <w:tab w:val="left" w:pos="1166"/>
      </w:tabs>
      <w:spacing w:after="480" w:line="480" w:lineRule="auto"/>
    </w:pPr>
    <w:rPr>
      <w:smallCaps/>
      <w:sz w:val="24"/>
      <w:szCs w:val="24"/>
    </w:rPr>
  </w:style>
  <w:style w:type="paragraph" w:customStyle="1" w:styleId="ParaNoNdepar-AltN">
    <w:name w:val="Para. No. / Nº de par. - Alt N"/>
    <w:qFormat/>
    <w:rsid w:val="001E1EA6"/>
    <w:pPr>
      <w:numPr>
        <w:numId w:val="1"/>
      </w:numPr>
      <w:tabs>
        <w:tab w:val="clear" w:pos="2232"/>
        <w:tab w:val="num" w:pos="1152"/>
      </w:tabs>
      <w:spacing w:before="480" w:after="480" w:line="480" w:lineRule="auto"/>
      <w:ind w:left="0"/>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1E1EA6"/>
    <w:pPr>
      <w:numPr>
        <w:numId w:val="2"/>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1E1EA6"/>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1E1EA6"/>
    <w:pPr>
      <w:numPr>
        <w:ilvl w:val="2"/>
      </w:numPr>
      <w:outlineLvl w:val="2"/>
    </w:pPr>
  </w:style>
  <w:style w:type="paragraph" w:customStyle="1" w:styleId="Title4LevelTitre4Niveau">
    <w:name w:val="Title 4 Level / Titre 4 Niveau"/>
    <w:basedOn w:val="Title3LevelTitre3Niveau"/>
    <w:next w:val="ParaNoNdepar-AltN"/>
    <w:uiPriority w:val="4"/>
    <w:qFormat/>
    <w:rsid w:val="001E1EA6"/>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1E1EA6"/>
    <w:pPr>
      <w:numPr>
        <w:ilvl w:val="4"/>
      </w:numPr>
      <w:outlineLvl w:val="4"/>
    </w:pPr>
  </w:style>
  <w:style w:type="paragraph" w:styleId="TOC1">
    <w:name w:val="toc 1"/>
    <w:basedOn w:val="Normal"/>
    <w:next w:val="Normal"/>
    <w:autoRedefine/>
    <w:uiPriority w:val="39"/>
    <w:unhideWhenUsed/>
    <w:rsid w:val="001E1EA6"/>
    <w:pPr>
      <w:tabs>
        <w:tab w:val="left" w:pos="360"/>
        <w:tab w:val="right" w:leader="dot" w:pos="8270"/>
      </w:tabs>
      <w:spacing w:before="120" w:after="120"/>
    </w:pPr>
    <w:rPr>
      <w:noProof/>
      <w:u w:val="single"/>
    </w:rPr>
  </w:style>
  <w:style w:type="paragraph" w:styleId="TOC2">
    <w:name w:val="toc 2"/>
    <w:basedOn w:val="Normal"/>
    <w:next w:val="Normal"/>
    <w:autoRedefine/>
    <w:uiPriority w:val="39"/>
    <w:unhideWhenUsed/>
    <w:rsid w:val="001E1EA6"/>
    <w:pPr>
      <w:tabs>
        <w:tab w:val="left" w:pos="720"/>
        <w:tab w:val="right" w:leader="dot" w:pos="8270"/>
      </w:tabs>
      <w:spacing w:before="120" w:after="120"/>
      <w:ind w:left="432" w:hanging="432"/>
    </w:pPr>
    <w:rPr>
      <w:i/>
      <w:szCs w:val="24"/>
    </w:rPr>
  </w:style>
  <w:style w:type="paragraph" w:styleId="TOC3">
    <w:name w:val="toc 3"/>
    <w:basedOn w:val="Normal"/>
    <w:next w:val="Normal"/>
    <w:autoRedefine/>
    <w:uiPriority w:val="39"/>
    <w:unhideWhenUsed/>
    <w:rsid w:val="001E1EA6"/>
    <w:pPr>
      <w:tabs>
        <w:tab w:val="left" w:pos="1080"/>
        <w:tab w:val="right" w:leader="dot" w:pos="8270"/>
      </w:tabs>
      <w:spacing w:before="120" w:after="120"/>
      <w:ind w:left="864" w:hanging="432"/>
    </w:pPr>
    <w:rPr>
      <w:noProof/>
      <w:u w:val="single"/>
    </w:rPr>
  </w:style>
  <w:style w:type="paragraph" w:styleId="TOC4">
    <w:name w:val="toc 4"/>
    <w:basedOn w:val="Normal"/>
    <w:next w:val="Normal"/>
    <w:autoRedefine/>
    <w:uiPriority w:val="39"/>
    <w:unhideWhenUsed/>
    <w:rsid w:val="001E1EA6"/>
    <w:pPr>
      <w:tabs>
        <w:tab w:val="left" w:pos="900"/>
        <w:tab w:val="right" w:leader="dot" w:pos="8270"/>
      </w:tabs>
      <w:spacing w:before="120" w:after="120"/>
      <w:ind w:left="900" w:hanging="450"/>
    </w:pPr>
    <w:rPr>
      <w:rFonts w:eastAsiaTheme="minorEastAsia" w:cstheme="minorBidi"/>
      <w:i/>
      <w:noProof/>
      <w:szCs w:val="22"/>
    </w:rPr>
  </w:style>
  <w:style w:type="paragraph" w:styleId="TOC5">
    <w:name w:val="toc 5"/>
    <w:basedOn w:val="Normal"/>
    <w:next w:val="Normal"/>
    <w:autoRedefine/>
    <w:uiPriority w:val="39"/>
    <w:unhideWhenUsed/>
    <w:rsid w:val="001E1EA6"/>
    <w:pPr>
      <w:tabs>
        <w:tab w:val="left" w:pos="1440"/>
        <w:tab w:val="right" w:leader="dot" w:pos="8270"/>
      </w:tabs>
      <w:spacing w:before="120" w:after="120"/>
      <w:ind w:left="1454" w:hanging="547"/>
    </w:pPr>
    <w:rPr>
      <w:noProof/>
      <w:u w:val="single"/>
    </w:rPr>
  </w:style>
  <w:style w:type="paragraph" w:styleId="TOC6">
    <w:name w:val="toc 6"/>
    <w:basedOn w:val="Normal"/>
    <w:next w:val="Normal"/>
    <w:autoRedefine/>
    <w:uiPriority w:val="39"/>
    <w:unhideWhenUsed/>
    <w:rsid w:val="001E1EA6"/>
    <w:pPr>
      <w:tabs>
        <w:tab w:val="left" w:pos="2160"/>
        <w:tab w:val="right" w:leader="dot" w:pos="8270"/>
      </w:tabs>
      <w:spacing w:after="100"/>
      <w:ind w:left="1800"/>
    </w:pPr>
    <w:rPr>
      <w:noProof/>
    </w:rPr>
  </w:style>
  <w:style w:type="table" w:customStyle="1" w:styleId="TableGrid1">
    <w:name w:val="Table Grid1"/>
    <w:basedOn w:val="TableNormal"/>
    <w:uiPriority w:val="59"/>
    <w:rsid w:val="001E1EA6"/>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1E1EA6"/>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1E1EA6"/>
    <w:pPr>
      <w:numPr>
        <w:ilvl w:val="5"/>
      </w:numPr>
      <w:outlineLvl w:val="5"/>
    </w:pPr>
    <w:rPr>
      <w:i/>
      <w:u w:val="none"/>
    </w:rPr>
  </w:style>
  <w:style w:type="paragraph" w:styleId="FootnoteText">
    <w:name w:val="footnote text"/>
    <w:basedOn w:val="Normal"/>
    <w:link w:val="FootnoteTextChar"/>
    <w:uiPriority w:val="99"/>
    <w:unhideWhenUsed/>
    <w:rsid w:val="001E1EA6"/>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1E1EA6"/>
  </w:style>
  <w:style w:type="paragraph" w:styleId="CommentSubject">
    <w:name w:val="annotation subject"/>
    <w:basedOn w:val="CommentText"/>
    <w:next w:val="CommentText"/>
    <w:link w:val="CommentSubjectChar"/>
    <w:uiPriority w:val="99"/>
    <w:semiHidden/>
    <w:unhideWhenUsed/>
    <w:rsid w:val="001E1EA6"/>
    <w:rPr>
      <w:b/>
      <w:bCs/>
    </w:rPr>
  </w:style>
  <w:style w:type="character" w:customStyle="1" w:styleId="CommentSubjectChar">
    <w:name w:val="Comment Subject Char"/>
    <w:basedOn w:val="CommentTextChar"/>
    <w:link w:val="CommentSubject"/>
    <w:uiPriority w:val="99"/>
    <w:semiHidden/>
    <w:rsid w:val="001E1EA6"/>
    <w:rPr>
      <w:b/>
      <w:bCs/>
    </w:rPr>
  </w:style>
  <w:style w:type="paragraph" w:styleId="TOCHeading">
    <w:name w:val="TOC Heading"/>
    <w:basedOn w:val="Heading1"/>
    <w:next w:val="Normal"/>
    <w:uiPriority w:val="39"/>
    <w:unhideWhenUsed/>
    <w:qFormat/>
    <w:rsid w:val="001E1EA6"/>
    <w:pPr>
      <w:spacing w:before="240" w:after="0" w:line="259" w:lineRule="auto"/>
      <w:ind w:left="0" w:firstLine="0"/>
      <w:outlineLvl w:val="9"/>
    </w:pPr>
    <w:rPr>
      <w:b w:val="0"/>
      <w:bCs w:val="0"/>
      <w:sz w:val="32"/>
      <w:szCs w:val="32"/>
      <w:lang w:val="en-US" w:eastAsia="en-US"/>
    </w:rPr>
  </w:style>
  <w:style w:type="paragraph" w:styleId="ListParagraph">
    <w:name w:val="List Paragraph"/>
    <w:basedOn w:val="Normal"/>
    <w:uiPriority w:val="34"/>
    <w:qFormat/>
    <w:rsid w:val="001E1EA6"/>
    <w:pPr>
      <w:ind w:left="720"/>
      <w:contextualSpacing/>
    </w:pPr>
    <w:rPr>
      <w:lang w:val="fr-CA"/>
    </w:rPr>
  </w:style>
  <w:style w:type="table" w:customStyle="1" w:styleId="TableGrid2">
    <w:name w:val="Table Grid2"/>
    <w:basedOn w:val="TableNormal"/>
    <w:next w:val="TableGrid"/>
    <w:uiPriority w:val="59"/>
    <w:rsid w:val="001E1EA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8222">
      <w:bodyDiv w:val="1"/>
      <w:marLeft w:val="0"/>
      <w:marRight w:val="0"/>
      <w:marTop w:val="0"/>
      <w:marBottom w:val="0"/>
      <w:divBdr>
        <w:top w:val="none" w:sz="0" w:space="0" w:color="auto"/>
        <w:left w:val="none" w:sz="0" w:space="0" w:color="auto"/>
        <w:bottom w:val="none" w:sz="0" w:space="0" w:color="auto"/>
        <w:right w:val="none" w:sz="0" w:space="0" w:color="auto"/>
      </w:divBdr>
    </w:div>
    <w:div w:id="19844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anlii.ca/t/jt4b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8094</Words>
  <Characters>45447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2024-11-08T00:59:00Z</dcterms:created>
  <dcterms:modified xsi:type="dcterms:W3CDTF">2024-11-08T14:59:00Z</dcterms:modified>
</cp:coreProperties>
</file>