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Weekly Project Update</w:t>
      </w:r>
    </w:p>
    <w:p>
      <w:pPr>
        <w:spacing w:after="300"/>
      </w:pPr>
      <w:r>
        <w:rPr>
          <w:b/>
          <w:bCs/>
        </w:rPr>
        <w:t xml:space="preserve">Date: </w:t>
      </w:r>
      <w:r>
        <w:t xml:space="preserve">August 14, 2026</w:t>
      </w:r>
    </w:p>
    <w:p>
      <w:pPr>
        <w:pStyle w:val="Heading1"/>
        <w:spacing w:after="160"/>
      </w:pPr>
      <w:r>
        <w:t xml:space="preserve">Activities / Project Update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All Lifestyle Azure subscriptions have been tagged with the SBU tag as Lifestyle – Pro / Lifestyle – Consumer / Lifestyle – SoundUnited.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Backup policy tag updated on all newly migrated VMs in SoundUnited.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One ChatGPT subscription created (ChatGPT – HarmanIndustrialDesign).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Non-compliant resource percentage reduced to 36.11%, down from last week.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Three Azure Apps created for Teams backup enhancement, as recommended by Commvault. One Azure App (Mendix Copilot Studio Agent Connector) created for the Mendix POC in the Test tenant.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Automotive Data Platform: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Osmos connection access provided; Aaron Brown has been set as owner for future management.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Application "SPN-Auto-EU-PowerApp-API-Dev" registered.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Fabric knowledge-transfer sessions with Nagendra completed.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Application "RBCC Sample Tracking" registered in Entra ID; access provided to the Auto-PROD-Gold-Component360 workspace.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SPN "SPN-Fabric-Confluence-Integration-Application" registered.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Fabric capacity rejection threshold changed to 100% and recovery threshold to 10%; Fabric capacity utilization alert notification threshold updated as requested.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Service user created for Fabric shortcut authentication to AWS S3 bucket.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AFS replication provault completed; awaiting confirmation from the Wintel team to migrate the remaining 37 TB of data from AWS Drives to Azure Files storage.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SU Integration: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Two Logic Apps dependent on the on-premises data gateway have been moved to the West Europe region. Three additional Logic Apps identified for re-migration, pending dependency resolution.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Eleven VMs migrated from SoundUnited (including NAV Dev servers).</w:t>
      </w:r>
    </w:p>
    <w:p>
      <w:pPr>
        <w:pStyle w:val="Heading1"/>
        <w:spacing w:after="160" w:before="300"/>
      </w:pPr>
      <w:r>
        <w:t xml:space="preserve">Risks / Issues / Gaps / Mitigation</w:t>
      </w:r>
    </w:p>
    <w:p>
      <w:pPr>
        <w:spacing w:after="120"/>
      </w:pPr>
      <w:r>
        <w:t xml:space="preserve">N/A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o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2026-08-14T04:53:26.186Z</dcterms:created>
  <dcterms:modified xsi:type="dcterms:W3CDTF">2026-08-14T04:53:26.200Z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