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Ablation Study Report</w:t>
      </w:r>
    </w:p>
    <w:p>
      <w:r>
        <w:br/>
        <w:t>1. Ablation Study Objective and Setup</w:t>
        <w:br/>
        <w:br/>
        <w:t>The goal of the ablation study is to understand the relative contribution of each component in the proposed emotion analysis pipeline for perfume reviews. The pipeline integrates multiple parallel emotion extraction approaches, including lexicon-based methods (NRC categorical emotions and VAD dimensions) and several transformer-based emotion classifiers (Hartmann, Savani, GoEmotions, and CardiffNLP). While the full hybrid representation combines all of these signals, it is not immediately clear which components are essential, complementary, or largely redundant.</w:t>
        <w:br/>
        <w:br/>
        <w:t>To address this, an ablation study was conducted by systematically removing or isolating specific feature groups from the unified perfume-level emotion representation and analyzing how the resulting emotion space changes. Rather than rerunning the entire pipeline, ablation was performed at the representation level using the already-aggregated perfume emotion profiles. This approach allows for a controlled comparison in which all preprocessing, data selection, and aggregation steps remain fixed, and only the presence or absence of specific emotion feature groups varies.</w:t>
        <w:br/>
        <w:br/>
        <w:t>The full hybrid representation serves as the baseline. It includes all numeric emotion features derived from NRC, VAD, and transformer-based models. Each ablation variant is compared against this baseline to evaluate the relative influence of each component.</w:t>
        <w:br/>
      </w:r>
    </w:p>
    <w:p>
      <w:r>
        <w:br/>
        <w:t>2. Experimental Setup and Ablation Variants</w:t>
        <w:br/>
        <w:br/>
        <w:t>The ablation study operates on a unified perfume-level emotion representation, where each perfume is represented by a single aggregated emotion vector. This representation includes lexicon-based categorical emotions (NRC), dimensional affective scores (VAD), and multiple transformer-based emotion probability outputs.</w:t>
        <w:br/>
        <w:br/>
        <w:t>Ablation variants include: full hybrid (baseline), lexicon-only, transformer-only, no NRC, no VAD, and single-model transformer variants. Each variant isolates or removes specific feature groups to assess their impact on the emotional similarity structure among perfumes.</w:t>
        <w:br/>
      </w:r>
    </w:p>
    <w:p>
      <w:r>
        <w:br/>
        <w:t>3. Quantitative Ablation Results</w:t>
        <w:br/>
        <w:br/>
        <w:t>Quantitative evaluation focuses on global structure preservation, local neighborhood stability, and clustering agreement relative to the full hybrid baseline. Results show that transformer-based models dominate the emotional similarity structure, with transformer-only variants closely approximating the full representation.</w:t>
        <w:br/>
        <w:br/>
        <w:t>Removing NRC features produces negligible changes, indicating redundancy at the perfume level, while removing VAD features causes moderate changes, suggesting complementary contribution. Among individual models, GoEmotions performs best in isolation.</w:t>
        <w:br/>
      </w:r>
    </w:p>
    <w:p>
      <w:r>
        <w:br/>
        <w:t>4. Qualitative Analysis of Neighbor Changes</w:t>
        <w:br/>
        <w:br/>
        <w:t>A qualitative neighbor analysis was conducted by comparing nearest-neighbor relationships for selected perfumes across ablation variants. For the perfume “00 Auriel Eau de Parfum,” removing VAD features resulted in noticeable shifts in nearest neighbors, indicating that dimensional affective information refines local similarity relationships.</w:t>
        <w:br/>
        <w:br/>
        <w:t>These findings align with quantitative metrics and demonstrate that VAD contributes to fine-grained emotional distinctions, while transformer models provide the primary structural signal.</w:t>
        <w:br/>
      </w:r>
    </w:p>
    <w:p>
      <w:r>
        <w:br/>
        <w:t>5. Discussion and Takeaways</w:t>
        <w:br/>
        <w:br/>
        <w:t>The ablation study confirms that transformer-based emotion models form the backbone of the perfume emotion representation. VAD features provide meaningful complementary information, particularly for local similarity refinement, while NRC features primarily support interpretability rather than structural differentiation.</w:t>
        <w:br/>
        <w:br/>
        <w:t>No single transformer model fully reproduces the full hybrid structure, supporting the use of a multi-model ensemble. Overall, the hybrid pipeline balances expressive power with interpretability and robustness.</w:t>
        <w:br/>
      </w:r>
    </w:p>
    <w:p>
      <w:r>
        <w:br/>
        <w:t>6. Supplementary Materials and Use of Generated Artifacts</w:t>
        <w:br/>
        <w:br/>
        <w:t>Multiple intermediate artifacts were generated during the ablation study, including distance matrices and full nearest-neighbor lists. Only selected outputs directly supporting the ablation analysis are included in the main text.</w:t>
        <w:br/>
        <w:br/>
        <w:t>Remaining artifacts are retained as supplementary materials for transparency and reproducibility. This separation follows standard reporting practice and ensures clarity while preserving access to all generated data.</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