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183AF" w14:textId="77777777" w:rsidR="00FD33AF" w:rsidRDefault="00FD33AF" w:rsidP="00FD33AF">
      <w:pPr>
        <w:pStyle w:val="GS3"/>
        <w:spacing w:line="360" w:lineRule="auto"/>
      </w:pPr>
      <w:bookmarkStart w:id="0" w:name="_Toc107827639"/>
      <w:bookmarkStart w:id="1" w:name="_Toc108537000"/>
      <w:proofErr w:type="spellStart"/>
      <w:r>
        <w:t>Sporophytic</w:t>
      </w:r>
      <w:proofErr w:type="spellEnd"/>
      <w:r>
        <w:t xml:space="preserve"> Traits</w:t>
      </w:r>
      <w:bookmarkEnd w:id="0"/>
      <w:bookmarkEnd w:id="1"/>
    </w:p>
    <w:p w14:paraId="7735B74C" w14:textId="77777777" w:rsidR="00FD33AF" w:rsidRDefault="00FD33AF" w:rsidP="00FD33AF">
      <w:pPr>
        <w:pStyle w:val="GS4"/>
        <w:spacing w:line="360" w:lineRule="auto"/>
      </w:pPr>
      <w:r>
        <w:t>Cell Membrane Stability</w:t>
      </w:r>
    </w:p>
    <w:p w14:paraId="62C5DFEF" w14:textId="77777777" w:rsidR="00FD33AF" w:rsidRDefault="00FD33AF" w:rsidP="00FD33AF">
      <w:pPr>
        <w:pStyle w:val="BodyDoubleSpace05FirstLine"/>
      </w:pPr>
      <w:proofErr w:type="gramStart"/>
      <w:r>
        <w:t>In order to</w:t>
      </w:r>
      <w:proofErr w:type="gramEnd"/>
      <w:r>
        <w:t xml:space="preserve"> estimate tolerance of leaves to both heat and cold, we examined the cellular stability of leaf material when exposed to relatively high and low temperatures.  We used a handheld conductivity meter to measure cell membrane stability (CMS) of leaves after a temperature treatment following the protocol of </w:t>
      </w:r>
      <w:proofErr w:type="spellStart"/>
      <w:r>
        <w:t>Gajanayake</w:t>
      </w:r>
      <w:proofErr w:type="spellEnd"/>
      <w:r>
        <w:t xml:space="preserve"> et al. </w:t>
      </w:r>
      <w:r>
        <w:fldChar w:fldCharType="begin"/>
      </w:r>
      <w:r>
        <w:instrText xml:space="preserve"> ADDIN EN.CITE &lt;EndNote&gt;&lt;Cite ExcludeAuth="1"&gt;&lt;Author&gt;Gajanayake&lt;/Author&gt;&lt;Year&gt;2011&lt;/Year&gt;&lt;IDText&gt;Screening Ornamental Pepper Cultivars for Temperature Tolerance Using Pollen and Physiological Parameters&lt;/IDText&gt;&lt;DisplayText&gt;(2011)&lt;/DisplayText&gt;&lt;record&gt;&lt;isbn&gt;0018-5345&lt;/isbn&gt;&lt;titles&gt;&lt;title&gt;Screening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(2011)</w:t>
      </w:r>
      <w:r>
        <w:fldChar w:fldCharType="end"/>
      </w:r>
      <w:r>
        <w:t xml:space="preserve"> and Fang and To </w:t>
      </w:r>
      <w:r>
        <w:fldChar w:fldCharType="begin"/>
      </w:r>
      <w:r>
        <w:instrText xml:space="preserve"> ADDIN EN.CITE &lt;EndNote&gt;&lt;Cite ExcludeAuth="1"&gt;&lt;Author&gt;Fang&lt;/Author&gt;&lt;Year&gt;2016&lt;/Year&gt;&lt;IDText&gt;Heat tolerance evaluation in commercial African violet cultivars using physiological and pollen parameters&lt;/IDText&gt;&lt;DisplayText&gt;(2016)&lt;/DisplayText&gt;&lt;record&gt;&lt;keywords&gt;&lt;keyword&gt;Individual stress response index&lt;/keyword&gt;&lt;keyword&gt;Cumulative temperature response index&lt;/keyword&gt;&lt;keyword&gt;Saintpaulia ionantha&lt;/keyword&gt;&lt;keyword&gt;Heat stress&lt;/keyword&gt;&lt;keyword&gt;International cooperation&lt;/keyword&gt;&lt;keyword&gt;Cultivars&lt;/keyword&gt;&lt;/keywords&gt;&lt;isbn&gt;0304-4238&lt;/isbn&gt;&lt;titles&gt;&lt;title&gt;Heat tolerance evaluation in commercial African violet cultivars using physiological and pollen parameters&lt;/title&gt;&lt;secondary-title&gt;Scientia horticulturae&lt;/secondary-title&gt;&lt;/titles&gt;&lt;pages&gt;33-40&lt;/pages&gt;&lt;contributors&gt;&lt;authors&gt;&lt;author&gt;Fang, Jong-Yi&lt;/author&gt;&lt;author&gt;To, Nhu Ai&lt;/author&gt;&lt;/authors&gt;&lt;/contributors&gt;&lt;added-date format="utc"&gt;1606522658&lt;/added-date&gt;&lt;ref-type name="Journal Article"&gt;17&lt;/ref-type&gt;&lt;dates&gt;&lt;year&gt;2016&lt;/year&gt;&lt;/dates&gt;&lt;rec-number&gt;54&lt;/rec-number&gt;&lt;publisher&gt;Elsevier B.V&lt;/publisher&gt;&lt;last-updated-date format="utc"&gt;1606522658&lt;/last-updated-date&gt;&lt;electronic-resource-num&gt;10.1016/j.scienta.2016.03.034&lt;/electronic-resource-num&gt;&lt;volume&gt;204&lt;/volume&gt;&lt;/record&gt;&lt;/Cite&gt;&lt;/EndNote&gt;</w:instrText>
      </w:r>
      <w:r>
        <w:fldChar w:fldCharType="separate"/>
      </w:r>
      <w:r>
        <w:rPr>
          <w:noProof/>
        </w:rPr>
        <w:t>(2016)</w:t>
      </w:r>
      <w:r>
        <w:fldChar w:fldCharType="end"/>
      </w:r>
      <w:r>
        <w:t xml:space="preserve">. Two large, intact leaves were removed from the middle of a plant and rinsed with deionized water. One leaf was used for the high temperature treatment and the second leaf was used for the cold temperature treatment. Twenty rounds per leaf were punched from each leaf with a hole puncher. Ten of the 20 leaf rounds were placed in a test tube for each temperature treatment (high or low) and 10 were placed in a test tube for a control treatment. </w:t>
      </w:r>
    </w:p>
    <w:p w14:paraId="5C2CC171" w14:textId="77777777" w:rsidR="00FD33AF" w:rsidRDefault="00FD33AF" w:rsidP="00FD33AF">
      <w:pPr>
        <w:pStyle w:val="BodyDoubleSpace05FirstLine"/>
      </w:pPr>
      <w:r>
        <w:t xml:space="preserve">Prior to the high temperature treatment, 10 mL of deionized water was added to the control and temperature treatment test tubes. The high temperature treatment test tubes were placed in a water bath at 55°C for 20 minutes, while the control test tubes were left at room temperature. After exposure to heat, the heat treatment tube was moved to room temperature for 10 minutes prior to the first conductivity measurement. </w:t>
      </w:r>
    </w:p>
    <w:p w14:paraId="3C06024A" w14:textId="77777777" w:rsidR="00FD33AF" w:rsidRDefault="00FD33AF" w:rsidP="00FD33AF">
      <w:pPr>
        <w:pStyle w:val="BodyDoubleSpace05FirstLine"/>
      </w:pPr>
      <w:r>
        <w:t xml:space="preserve">The low temperature treatment test tubes were placed without water at 10°C for 24 hours followed by 24 hours at 4°C to acclimate the leaf rounds to cooler temperatures. The treatment tubes were then placed at -18°C for 1 hour. The control treatment tubes remained at room temperature for </w:t>
      </w:r>
      <w:proofErr w:type="gramStart"/>
      <w:r>
        <w:t>the total</w:t>
      </w:r>
      <w:proofErr w:type="gramEnd"/>
      <w:r>
        <w:t xml:space="preserve"> 49 hours. After the temperature treatment, 10 mL of deionized water were added to all tubes for both the treatment and control. The tubes were placed at room temperature for 1 hour prior to the first conductivity measurement. </w:t>
      </w:r>
    </w:p>
    <w:p w14:paraId="4D929C7C" w14:textId="77777777" w:rsidR="00FD33AF" w:rsidRDefault="00FD33AF" w:rsidP="00FD33AF">
      <w:pPr>
        <w:pStyle w:val="BodyDoubleSpace05FirstLine"/>
      </w:pPr>
      <w:r>
        <w:t xml:space="preserve">All tubes were then subjected to a maximum damage treatment after the first conductivity measurements to quantify maximum conductivity for each sample. All test tubes were placed in </w:t>
      </w:r>
      <w:r>
        <w:lastRenderedPageBreak/>
        <w:t>a water bath at 98°C for 1 hour and then left to cool at room temperature for 15 minutes before the second conductivity measurement.</w:t>
      </w:r>
    </w:p>
    <w:p w14:paraId="0C8A2574" w14:textId="77777777" w:rsidR="00FD33AF" w:rsidRDefault="00FD33AF" w:rsidP="00FD33AF">
      <w:pPr>
        <w:pStyle w:val="BodyDoubleSpace05FirstLine"/>
      </w:pPr>
      <w:r>
        <w:t xml:space="preserve">The cell membrane stability value (CMS) used for data analysis was calculated as one minus the proportion of treatment final conductivity to treatment group maximum conductivity divided by one minus the proportion of control final conductivity to control group maximum conductivity. Thus, larger values correspond with higher tolerance to temperature stress </w:t>
      </w:r>
      <w:r>
        <w:fldChar w:fldCharType="begin"/>
      </w:r>
      <w:r>
        <w:instrText xml:space="preserve"> ADDIN EN.CITE &lt;EndNote&gt;&lt;Cite&gt;&lt;Author&gt;Gajanayake&lt;/Author&gt;&lt;Year&gt;2011&lt;/Year&gt;&lt;IDText&gt;Screening Ornamental Pepper Cultivars for Temperature Tolerance Using Pollen and Physiological Parameters&lt;/IDText&gt;&lt;DisplayText&gt;(Gajanayake et al. 2011)&lt;/DisplayText&gt;&lt;record&gt;&lt;isbn&gt;0018-5345&lt;/isbn&gt;&lt;titles&gt;&lt;title&gt;Screening Ornamental Pepper Cultivars for Temperature Tolerance Using Pollen and Physiological Parameters&lt;/title&gt;&lt;secondary-title&gt;HortScience&lt;/secondary-title&gt;&lt;/titles&gt;&lt;pages&gt;878-884&lt;/pages&gt;&lt;number&gt;6&lt;/number&gt;&lt;contributors&gt;&lt;authors&gt;&lt;author&gt;Gajanayake, Bandara&lt;/author&gt;&lt;author&gt;Trader, Brian W.&lt;/author&gt;&lt;author&gt;Reddy, K. Raja&lt;/author&gt;&lt;author&gt;Harkess, Richard L.&lt;/author&gt;&lt;/authors&gt;&lt;/contributors&gt;&lt;added-date format="utc"&gt;1606405416&lt;/added-date&gt;&lt;ref-type name="Journal Article"&gt;17&lt;/ref-type&gt;&lt;dates&gt;&lt;year&gt;2011&lt;/year&gt;&lt;/dates&gt;&lt;rec-number&gt;48&lt;/rec-number&gt;&lt;last-updated-date format="utc"&gt;1606405416&lt;/last-updated-date&gt;&lt;electronic-resource-num&gt;10.21273/HORTSCI.46.6.878&lt;/electronic-resource-num&gt;&lt;volume&gt;46&lt;/volume&gt;&lt;/record&gt;&lt;/Cite&gt;&lt;/EndNote&gt;</w:instrText>
      </w:r>
      <w:r>
        <w:fldChar w:fldCharType="separate"/>
      </w:r>
      <w:r>
        <w:rPr>
          <w:noProof/>
        </w:rPr>
        <w:t>(Gajanayake et al. 2011)</w:t>
      </w:r>
      <w:r>
        <w:fldChar w:fldCharType="end"/>
      </w:r>
      <w:r>
        <w:t>.</w:t>
      </w:r>
    </w:p>
    <w:p w14:paraId="2ACB95E7"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m:t>CMS</m:t>
          </m:r>
          <m:r>
            <m:rPr>
              <m:sty m:val="p"/>
            </m:rPr>
            <w:rPr>
              <w:rFonts w:ascii="Cambria Math" w:hAnsi="Cambria Math"/>
            </w:rPr>
            <m:t xml:space="preserve">= </m:t>
          </m:r>
          <m:f>
            <m:fPr>
              <m:ctrlPr>
                <w:rPr>
                  <w:rFonts w:ascii="Cambria Math" w:hAnsi="Cambria Math"/>
                  <w:iCs/>
                </w:rPr>
              </m:ctrlPr>
            </m:fPr>
            <m:num>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1-(Treatment</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max</m:t>
                      </m:r>
                    </m:sub>
                  </m:sSub>
                  <m:r>
                    <m:rPr>
                      <m:sty m:val="p"/>
                    </m:rPr>
                    <w:rPr>
                      <w:rFonts w:ascii="Cambria Math" w:hAnsi="Cambria Math"/>
                    </w:rPr>
                    <m:t>)</m:t>
                  </m:r>
                </m:den>
              </m:f>
            </m:num>
            <m:den>
              <m:r>
                <m:rPr>
                  <m:sty m:val="p"/>
                </m:rPr>
                <w:rPr>
                  <w:rFonts w:ascii="Cambria Math" w:hAnsi="Cambria Math"/>
                </w:rPr>
                <m:t>1-(</m:t>
              </m:r>
              <m:f>
                <m:fPr>
                  <m:type m:val="lin"/>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value</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max</m:t>
                      </m:r>
                    </m:sub>
                  </m:sSub>
                  <m:r>
                    <m:rPr>
                      <m:sty m:val="p"/>
                    </m:rPr>
                    <w:rPr>
                      <w:rFonts w:ascii="Cambria Math" w:hAnsi="Cambria Math"/>
                    </w:rPr>
                    <m:t>)</m:t>
                  </m:r>
                </m:den>
              </m:f>
            </m:den>
          </m:f>
        </m:oMath>
      </m:oMathPara>
    </w:p>
    <w:p w14:paraId="5F4292B0" w14:textId="77777777" w:rsidR="00FD33AF" w:rsidRDefault="00FD33AF" w:rsidP="00FD33AF">
      <w:pPr>
        <w:pStyle w:val="GS4"/>
        <w:spacing w:line="360" w:lineRule="auto"/>
      </w:pPr>
      <w:r>
        <w:t>Chlorophyll Content Stability</w:t>
      </w:r>
    </w:p>
    <w:p w14:paraId="180246A0" w14:textId="77777777" w:rsidR="00FD33AF" w:rsidRDefault="00FD33AF" w:rsidP="00FD33AF">
      <w:pPr>
        <w:pStyle w:val="BodyDoubleSpace05FirstLine"/>
      </w:pPr>
      <w:r>
        <w:t xml:space="preserve">Mishra et al. </w:t>
      </w:r>
      <w:r>
        <w:fldChar w:fldCharType="begin"/>
      </w:r>
      <w:r>
        <w:instrText xml:space="preserve"> ADDIN EN.CITE &lt;EndNote&gt;&lt;Cite ExcludeAuth="1"&gt;&lt;Author&gt;Mishra&lt;/Author&gt;&lt;Year&gt;2011&lt;/Year&gt;&lt;IDText&gt;Chlorophyll fluorescence emission as a reporter on cold tolerance in Arabidopsis thaliana accessions&lt;/IDText&gt;&lt;DisplayText&gt;(2011)&lt;/DisplayText&gt;&lt;record&gt;&lt;keywords&gt;&lt;keyword&gt;Binding&lt;/keyword&gt;&lt;keyword&gt;Proteins&lt;/keyword&gt;&lt;keyword&gt;Landes&lt;/keyword&gt;&lt;keyword&gt;Calcium&lt;/keyword&gt;&lt;keyword&gt;Bioscience&lt;/keyword&gt;&lt;keyword&gt;Biology&lt;/keyword&gt;&lt;keyword&gt;Cell&lt;/keyword&gt;&lt;keyword&gt;Cycle&lt;/keyword&gt;&lt;keyword&gt;Cancer&lt;/keyword&gt;&lt;keyword&gt;Organogenesis&lt;/keyword&gt;&lt;keyword&gt;Arabidopsis - physiology&lt;/keyword&gt;&lt;keyword&gt;Cold Temperature&lt;/keyword&gt;&lt;keyword&gt;Stress, Physiological&lt;/keyword&gt;&lt;keyword&gt;Electrolytes - metabolism&lt;/keyword&gt;&lt;keyword&gt;Fluorescence&lt;/keyword&gt;&lt;keyword&gt;Acclimatization&lt;/keyword&gt;&lt;keyword&gt;Chlorophyll - physiology&lt;/keyword&gt;&lt;keyword&gt;Index Medicus&lt;/keyword&gt;&lt;keyword&gt;Research Paper&lt;/keyword&gt;&lt;keyword&gt;cold acclimation&lt;/keyword&gt;&lt;keyword&gt;natural accessions&lt;/keyword&gt;&lt;keyword&gt;electrolyte leakage&lt;/keyword&gt;&lt;keyword&gt;chlorophyll fluorescence&lt;/keyword&gt;&lt;keyword&gt;high-throughput screening&lt;/keyword&gt;&lt;/keywords&gt;&lt;urls&gt;&lt;related-urls&gt;&lt;/related-urls&gt;&lt;/urls&gt;&lt;isbn&gt;1559-2316&lt;/isbn&gt;&lt;titles&gt;&lt;title&gt;Chlorophyll fluorescence emission as a reporter on cold tolerance in Arabidopsis thaliana accessions&lt;/title&gt;&lt;secondary-title&gt;Plant signaling &amp;amp; behavior&lt;/secondary-title&gt;&lt;/titles&gt;&lt;pages&gt;301-310&lt;/pages&gt;&lt;number&gt;2&lt;/number&gt;&lt;contributors&gt;&lt;authors&gt;&lt;author&gt;Mishra, Anamika&lt;/author&gt;&lt;author&gt;Mishra, Kumud B.&lt;/author&gt;&lt;author&gt;Höermiller, Imke I.&lt;/author&gt;&lt;author&gt;Heyer, Arnd G.&lt;/author&gt;&lt;author&gt;Nedbal, Ladislav&lt;/author&gt;&lt;/authors&gt;&lt;/contributors&gt;&lt;added-date format="utc"&gt;1606407650&lt;/added-date&gt;&lt;pub-location&gt;United States&lt;/pub-location&gt;&lt;ref-type name="Journal Article"&gt;17&lt;/ref-type&gt;&lt;dates&gt;&lt;year&gt;2011&lt;/year&gt;&lt;/dates&gt;&lt;rec-number&gt;582&lt;/rec-number&gt;&lt;publisher&gt;Taylor &amp;amp; Francis&lt;/publisher&gt;&lt;last-updated-date format="utc"&gt;1638225323&lt;/last-updated-date&gt;&lt;electronic-resource-num&gt;10.4161/psb.6.2.15278&lt;/electronic-resource-num&gt;&lt;volume&gt;6&lt;/volume&gt;&lt;/record&gt;&lt;/Cite&gt;&lt;/EndNote&gt;</w:instrText>
      </w:r>
      <w:r>
        <w:fldChar w:fldCharType="separate"/>
      </w:r>
      <w:r>
        <w:rPr>
          <w:noProof/>
        </w:rPr>
        <w:t>(2011)</w:t>
      </w:r>
      <w:r>
        <w:fldChar w:fldCharType="end"/>
      </w:r>
      <w:r>
        <w:t xml:space="preserve"> reported on the use of chlorophyll fluorescence as a measure of cold tolerance and Wahid et al. </w:t>
      </w:r>
      <w:r>
        <w:fldChar w:fldCharType="begin"/>
      </w:r>
      <w:r>
        <w:instrText xml:space="preserve"> ADDIN EN.CITE &lt;EndNote&gt;&lt;Cite ExcludeAuth="1"&gt;&lt;Author&gt;Wahid&lt;/Author&gt;&lt;Year&gt;2007&lt;/Year&gt;&lt;IDText&gt;Heat tolerance in plants: An overview&lt;/IDText&gt;&lt;DisplayText&gt;(2007)&lt;/DisplayText&gt;&lt;record&gt;&lt;dates&gt;&lt;pub-dates&gt;&lt;date&gt;2007-12-01&lt;/date&gt;&lt;/pub-dates&gt;&lt;year&gt;2007&lt;/year&gt;&lt;/dates&gt;&lt;isbn&gt;0098-8472&lt;/isbn&gt;&lt;titles&gt;&lt;title&gt;Heat tolerance in plants: An overview&lt;/title&gt;&lt;secondary-title&gt;Environmental and Experimental Botany&lt;/secondary-title&gt;&lt;/titles&gt;&lt;pages&gt;199-223&lt;/pages&gt;&lt;number&gt;3&lt;/number&gt;&lt;access-date&gt;2021-09-23T19:42:19&lt;/access-date&gt;&lt;contributors&gt;&lt;authors&gt;&lt;author&gt;Wahid, A&lt;/author&gt;&lt;author&gt;Gelani, S&lt;/author&gt;&lt;author&gt;Ashraf, M&lt;/author&gt;&lt;author&gt;Foolad, M&lt;/author&gt;&lt;/authors&gt;&lt;/contributors&gt;&lt;added-date format="utc"&gt;1632426145&lt;/added-date&gt;&lt;ref-type name="Journal Article"&gt;17&lt;/ref-type&gt;&lt;rec-number&gt;104&lt;/rec-number&gt;&lt;publisher&gt;Elsevier BV&lt;/publisher&gt;&lt;last-updated-date format="utc"&gt;1632426146&lt;/last-updated-date&gt;&lt;electronic-resource-num&gt;10.1016/j.envexpbot.2007.05.011&lt;/electronic-resource-num&gt;&lt;volume&gt;61&lt;/volume&gt;&lt;/record&gt;&lt;/Cite&gt;&lt;/EndNote&gt;</w:instrText>
      </w:r>
      <w:r>
        <w:fldChar w:fldCharType="separate"/>
      </w:r>
      <w:r>
        <w:rPr>
          <w:noProof/>
        </w:rPr>
        <w:t>(2007)</w:t>
      </w:r>
      <w:r>
        <w:fldChar w:fldCharType="end"/>
      </w:r>
      <w:r>
        <w:t xml:space="preserve"> discussed the correlation between chlorophyll fluorescence and heat tolerance. We were interested in both cold and heat tolerance in this study. We used a chlorophyll meter (Opti-Sciences CCM-300) to measure chlorophyll content. The chlorophyll meter measures the fluorescence emitted at 735nm/700nm for a constant leaf area and uses a ratio based on experiments by </w:t>
      </w:r>
      <w:proofErr w:type="spellStart"/>
      <w:r>
        <w:t>Gittelson</w:t>
      </w:r>
      <w:proofErr w:type="spellEnd"/>
      <w:r>
        <w:t xml:space="preserve"> et al. </w:t>
      </w:r>
      <w:r>
        <w:fldChar w:fldCharType="begin"/>
      </w:r>
      <w:r>
        <w:instrText xml:space="preserve"> ADDIN EN.CITE &lt;EndNote&gt;&lt;Cite ExcludeAuth="1"&gt;&lt;Author&gt;Anatoly&lt;/Author&gt;&lt;Year&gt;1998&lt;/Year&gt;&lt;IDText&gt;Leaf chlorophyll fluorescence corrected for re-absorption by means of absorption and reflectance measurements&lt;/IDText&gt;&lt;DisplayText&gt;(1998)&lt;/DisplayText&gt;&lt;record&gt;&lt;isbn&gt;0176-1617&lt;/isbn&gt;&lt;titles&gt;&lt;title&gt;Leaf chlorophyll fluorescence corrected for re-absorption by means of absorption and reflectance measurements&lt;/title&gt;&lt;secondary-title&gt;Journal of plant physiology.&lt;/secondary-title&gt;&lt;/titles&gt;&lt;pages&gt;283&lt;/pages&gt;&lt;number&gt;2-3&lt;/number&gt;&lt;contributors&gt;&lt;authors&gt;&lt;author&gt;Anatoly A.   Gitelson&lt;/author&gt;&lt;author&gt;Claus   Buschmann&lt;/author&gt;&lt;author&gt;Hartmut K.   Lichtenthaler&lt;/author&gt;&lt;/authors&gt;&lt;/contributors&gt;&lt;added-date format="utc"&gt;1655147176&lt;/added-date&gt;&lt;pub-location&gt;Stuttgart ; New York :&lt;/pub-location&gt;&lt;ref-type name="Journal Article"&gt;17&lt;/ref-type&gt;&lt;dates&gt;&lt;year&gt;1998&lt;/year&gt;&lt;/dates&gt;&lt;rec-number&gt;264&lt;/rec-number&gt;&lt;publisher&gt;G Fischer&lt;/publisher&gt;&lt;last-updated-date format="utc"&gt;1655147422&lt;/last-updated-date&gt;&lt;electronic-resource-num&gt;10.1016/S0176-1617(98)80143-0&lt;/electronic-resource-num&gt;&lt;volume&gt;152&lt;/volume&gt;&lt;/record&gt;&lt;/Cite&gt;&lt;/EndNote&gt;</w:instrText>
      </w:r>
      <w:r>
        <w:fldChar w:fldCharType="separate"/>
      </w:r>
      <w:r>
        <w:rPr>
          <w:noProof/>
        </w:rPr>
        <w:t>(1998)</w:t>
      </w:r>
      <w:r>
        <w:fldChar w:fldCharType="end"/>
      </w:r>
      <w:r>
        <w:t xml:space="preserve"> to measure chlorophyll content in mg/m</w:t>
      </w:r>
      <w:r>
        <w:rPr>
          <w:vertAlign w:val="superscript"/>
        </w:rPr>
        <w:t>2</w:t>
      </w:r>
      <w:r>
        <w:t xml:space="preserve">. Two intact leaves were removed from the middle of the plant. One leaf was used for the heat treatment and the other was used for the cold treatment. Each leaf was cut in half and placed in a labeled petri dish. One half was placed in the treatment temperature and the other half was placed in a control setting at room temperature. The chlorophyll content was measured for both halves before and after the temperature treatment. </w:t>
      </w:r>
    </w:p>
    <w:p w14:paraId="2A5C360D" w14:textId="77777777" w:rsidR="00FD33AF" w:rsidRDefault="00FD33AF" w:rsidP="00FD33AF">
      <w:pPr>
        <w:pStyle w:val="BodyDoubleSpace05FirstLine"/>
      </w:pPr>
      <w:r>
        <w:t xml:space="preserve">The high temperature treatment was 60°C for 1 hour. The leaf halves in the cold treatment were subjected to 4°C for 1 hour followed by 1 hour in -18°C. The leaf halves were </w:t>
      </w:r>
      <w:r>
        <w:lastRenderedPageBreak/>
        <w:t>moved to room temperature for two hours prior to the second cold treatment measurement. Leaves in all treatments were kept in complete darkness.</w:t>
      </w:r>
    </w:p>
    <w:p w14:paraId="2E9266F7" w14:textId="77777777" w:rsidR="00FD33AF" w:rsidRDefault="00FD33AF" w:rsidP="00FD33AF">
      <w:pPr>
        <w:pStyle w:val="BodyDoubleSpace05FirstLine"/>
      </w:pPr>
      <w:r w:rsidRPr="00E83544">
        <w:t xml:space="preserve">To control </w:t>
      </w:r>
      <w:proofErr w:type="gramStart"/>
      <w:r w:rsidRPr="00E83544">
        <w:t>for</w:t>
      </w:r>
      <w:proofErr w:type="gramEnd"/>
      <w:r w:rsidRPr="00E83544">
        <w:t xml:space="preserve"> initial variation in chlorophyll among individuals, we</w:t>
      </w:r>
      <w:r>
        <w:t xml:space="preserve"> quantified chlorophyll content stability by</w:t>
      </w:r>
      <w:r w:rsidRPr="00E83544">
        <w:t xml:space="preserve"> </w:t>
      </w:r>
      <w:r>
        <w:t>incorporating the initial and final measurements for both the treatment and control into</w:t>
      </w:r>
      <w:r w:rsidRPr="00E83544">
        <w:t xml:space="preserve"> one </w:t>
      </w:r>
      <w:r>
        <w:t>value</w:t>
      </w:r>
      <w:r w:rsidRPr="00E83544">
        <w:t xml:space="preserve">. The chlorophyll content </w:t>
      </w:r>
      <w:r>
        <w:t xml:space="preserve">stability </w:t>
      </w:r>
      <w:r w:rsidRPr="00E83544">
        <w:t>ratio (CHPL) was calculated as the compliment of the difference between the proportions</w:t>
      </w:r>
      <w:r>
        <w:t xml:space="preserve"> of the final treatment chlorophyll content to the initial treatment chlorophyll content and final control chlorophyll content to initial control chlorophyll content. Thus, larger values correspond with higher temperature toleranc</w:t>
      </w:r>
      <w:r w:rsidRPr="003248B2">
        <w:t>e.</w:t>
      </w:r>
    </w:p>
    <w:p w14:paraId="4184EE31" w14:textId="77777777" w:rsidR="00FD33AF" w:rsidRPr="002D1B0F" w:rsidRDefault="00FD33AF" w:rsidP="00FD33AF">
      <w:pPr>
        <w:pStyle w:val="Figure"/>
        <w:spacing w:line="360" w:lineRule="auto"/>
        <w:rPr>
          <w:iCs/>
        </w:rPr>
      </w:pPr>
      <m:oMathPara>
        <m:oMath>
          <m:r>
            <m:rPr>
              <m:sty m:val="p"/>
            </m:rPr>
            <w:rPr>
              <w:rFonts w:ascii="Cambria Math" w:hAnsi="Cambria Math"/>
            </w:rPr>
            <m:t>CHPL= 1-</m:t>
          </m:r>
          <m:d>
            <m:dPr>
              <m:ctrlPr>
                <w:rPr>
                  <w:rFonts w:ascii="Cambria Math" w:hAnsi="Cambria Math"/>
                  <w:iCs/>
                </w:rPr>
              </m:ctrlPr>
            </m:dPr>
            <m:e>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Control</m:t>
                      </m:r>
                    </m:e>
                    <m:sub>
                      <m:r>
                        <m:rPr>
                          <m:sty m:val="p"/>
                        </m:rPr>
                        <w:rPr>
                          <w:rFonts w:ascii="Cambria Math" w:hAnsi="Cambria Math"/>
                        </w:rPr>
                        <m:t>initial</m:t>
                      </m:r>
                    </m:sub>
                  </m:sSub>
                </m:den>
              </m:f>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Treatment</m:t>
                      </m:r>
                    </m:e>
                    <m:sub>
                      <m:r>
                        <m:rPr>
                          <m:sty m:val="p"/>
                        </m:rPr>
                        <w:rPr>
                          <w:rFonts w:ascii="Cambria Math" w:hAnsi="Cambria Math"/>
                        </w:rPr>
                        <m:t>initial</m:t>
                      </m:r>
                    </m:sub>
                  </m:sSub>
                </m:den>
              </m:f>
            </m:e>
          </m:d>
        </m:oMath>
      </m:oMathPara>
    </w:p>
    <w:p w14:paraId="23B2AD30" w14:textId="77777777" w:rsidR="00FD33AF" w:rsidRDefault="00FD33AF" w:rsidP="00FD33AF">
      <w:pPr>
        <w:pStyle w:val="GS4"/>
        <w:spacing w:line="360" w:lineRule="auto"/>
      </w:pPr>
      <w:r>
        <w:t>Photosynthesis</w:t>
      </w:r>
    </w:p>
    <w:p w14:paraId="18AAC6AF" w14:textId="77777777" w:rsidR="00FD33AF" w:rsidRDefault="00FD33AF" w:rsidP="00FD33AF">
      <w:pPr>
        <w:pStyle w:val="BodyDoubleSpace05FirstLine"/>
      </w:pPr>
      <w:r>
        <w:t>We used a LI-6400 infrared gas analyzer with a red/blue light source to measure net photosynthetic rate (µmol CO</w:t>
      </w:r>
      <w:r>
        <w:rPr>
          <w:vertAlign w:val="subscript"/>
        </w:rPr>
        <w:t>2</w:t>
      </w:r>
      <w:r>
        <w:t>m</w:t>
      </w:r>
      <w:r>
        <w:rPr>
          <w:vertAlign w:val="superscript"/>
        </w:rPr>
        <w:t>-2</w:t>
      </w:r>
      <w:r>
        <w:t>s</w:t>
      </w:r>
      <w:r>
        <w:rPr>
          <w:vertAlign w:val="superscript"/>
        </w:rPr>
        <w:t>-1</w:t>
      </w:r>
      <w:r>
        <w:t xml:space="preserve">) on leaves before and after the whole plant was exposed to the temperature treatment. The following settings were used for photosynthesis measurements: flow rate 500 </w:t>
      </w:r>
      <w:proofErr w:type="spellStart"/>
      <w:r>
        <w:t>μmol</w:t>
      </w:r>
      <w:proofErr w:type="spellEnd"/>
      <w:r>
        <w:t xml:space="preserve"> s</w:t>
      </w:r>
      <w:r>
        <w:rPr>
          <w:vertAlign w:val="superscript"/>
        </w:rPr>
        <w:t>-1</w:t>
      </w:r>
      <w:r>
        <w:t>, reference CO</w:t>
      </w:r>
      <w:r>
        <w:rPr>
          <w:vertAlign w:val="subscript"/>
        </w:rPr>
        <w:t>2</w:t>
      </w:r>
      <w:r>
        <w:t xml:space="preserve"> 420 </w:t>
      </w:r>
      <w:proofErr w:type="spellStart"/>
      <w:r>
        <w:t>μmol</w:t>
      </w:r>
      <w:proofErr w:type="spellEnd"/>
      <w:r>
        <w:t xml:space="preserve"> CO</w:t>
      </w:r>
      <w:r>
        <w:rPr>
          <w:vertAlign w:val="subscript"/>
        </w:rPr>
        <w:t>2</w:t>
      </w:r>
      <w:r>
        <w:t xml:space="preserve"> mol</w:t>
      </w:r>
      <w:r>
        <w:rPr>
          <w:vertAlign w:val="superscript"/>
        </w:rPr>
        <w:t>-1</w:t>
      </w:r>
      <w:r>
        <w:t>, reference H</w:t>
      </w:r>
      <w:r>
        <w:rPr>
          <w:vertAlign w:val="subscript"/>
        </w:rPr>
        <w:t>2</w:t>
      </w:r>
      <w:r>
        <w:t>O 0 mmol H</w:t>
      </w:r>
      <w:r>
        <w:rPr>
          <w:vertAlign w:val="subscript"/>
        </w:rPr>
        <w:t>2</w:t>
      </w:r>
      <w:r>
        <w:t>O mol</w:t>
      </w:r>
      <w:r>
        <w:rPr>
          <w:vertAlign w:val="superscript"/>
        </w:rPr>
        <w:t>-1</w:t>
      </w:r>
      <w:r>
        <w:t xml:space="preserve">, </w:t>
      </w:r>
      <w:proofErr w:type="spellStart"/>
      <w:r>
        <w:t>ParIn_μml</w:t>
      </w:r>
      <w:proofErr w:type="spellEnd"/>
      <w:r>
        <w:t xml:space="preserve"> 400 </w:t>
      </w:r>
      <w:proofErr w:type="spellStart"/>
      <w:r>
        <w:t>μmol</w:t>
      </w:r>
      <w:proofErr w:type="spellEnd"/>
      <w:r>
        <w:t xml:space="preserve"> m</w:t>
      </w:r>
      <w:r>
        <w:rPr>
          <w:vertAlign w:val="superscript"/>
        </w:rPr>
        <w:t>-2</w:t>
      </w:r>
      <w:r>
        <w:t xml:space="preserve"> s</w:t>
      </w:r>
      <w:r>
        <w:rPr>
          <w:vertAlign w:val="superscript"/>
        </w:rPr>
        <w:t>-1</w:t>
      </w:r>
      <w:r>
        <w:t xml:space="preserve">. </w:t>
      </w:r>
    </w:p>
    <w:p w14:paraId="6A94DC8C" w14:textId="77777777" w:rsidR="00FD33AF" w:rsidRDefault="00FD33AF" w:rsidP="00FD33AF">
      <w:pPr>
        <w:pStyle w:val="BodyDoubleSpace05FirstLine"/>
      </w:pPr>
      <w:r>
        <w:t>The high temperature treatment was 33°C and the low temperature treatment was 10°C. All four ramets, if alive, for the 52 genets were subjected to both treatments with a rest period of one week between them. The proportion of the photosynthetic rate measurement after the treatment to before was calculated as our measure of photosynthetic temperature tolerance (PS). Any ratio value below zero and above one was omitted prior to analysis.</w:t>
      </w:r>
    </w:p>
    <w:p w14:paraId="6BDDD0CE" w14:textId="77777777" w:rsidR="00FD33AF" w:rsidRPr="002D1B0F" w:rsidRDefault="00FD33AF" w:rsidP="00FD33AF">
      <w:pPr>
        <w:pStyle w:val="Figure"/>
        <w:spacing w:line="360" w:lineRule="auto"/>
        <w:rPr>
          <w:iCs/>
        </w:rPr>
      </w:pPr>
      <m:oMathPara>
        <m:oMath>
          <m:r>
            <m:rPr>
              <m:sty m:val="p"/>
            </m:rPr>
            <w:rPr>
              <w:rFonts w:ascii="Cambria Math" w:eastAsiaTheme="minorEastAsia" w:hAnsi="Cambria Math"/>
            </w:rPr>
            <w:lastRenderedPageBreak/>
            <m:t>PS</m:t>
          </m:r>
          <m:r>
            <m:rPr>
              <m:sty m:val="p"/>
            </m:rPr>
            <w:rPr>
              <w:rFonts w:ascii="Cambria Math" w:hAnsi="Cambria Math"/>
            </w:rPr>
            <m:t xml:space="preserve">= </m:t>
          </m:r>
          <m:f>
            <m:fPr>
              <m:ctrlPr>
                <w:rPr>
                  <w:rFonts w:ascii="Cambria Math" w:hAnsi="Cambria Math"/>
                  <w:iCs/>
                </w:rPr>
              </m:ctrlPr>
            </m:fPr>
            <m:num>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final</m:t>
                  </m:r>
                </m:sub>
              </m:sSub>
            </m:num>
            <m:den>
              <m:sSub>
                <m:sSubPr>
                  <m:ctrlPr>
                    <w:rPr>
                      <w:rFonts w:ascii="Cambria Math" w:hAnsi="Cambria Math"/>
                      <w:iCs/>
                    </w:rPr>
                  </m:ctrlPr>
                </m:sSubPr>
                <m:e>
                  <m:r>
                    <m:rPr>
                      <m:sty m:val="p"/>
                    </m:rPr>
                    <w:rPr>
                      <w:rFonts w:ascii="Cambria Math" w:hAnsi="Cambria Math"/>
                    </w:rPr>
                    <m:t>Net Photosynthetic rate</m:t>
                  </m:r>
                </m:e>
                <m:sub>
                  <m:r>
                    <m:rPr>
                      <m:sty m:val="p"/>
                    </m:rPr>
                    <w:rPr>
                      <w:rFonts w:ascii="Cambria Math" w:hAnsi="Cambria Math"/>
                    </w:rPr>
                    <m:t>initial</m:t>
                  </m:r>
                </m:sub>
              </m:sSub>
            </m:den>
          </m:f>
        </m:oMath>
      </m:oMathPara>
    </w:p>
    <w:p w14:paraId="37A068E5" w14:textId="77777777" w:rsidR="00FD33AF" w:rsidRDefault="00FD33AF" w:rsidP="00FD33AF">
      <w:pPr>
        <w:pStyle w:val="GS3"/>
        <w:spacing w:line="360" w:lineRule="auto"/>
      </w:pPr>
      <w:bookmarkStart w:id="2" w:name="_Toc107827640"/>
      <w:bookmarkStart w:id="3" w:name="_Toc108537001"/>
      <w:r>
        <w:t>Gametophytic Traits</w:t>
      </w:r>
      <w:bookmarkEnd w:id="2"/>
      <w:bookmarkEnd w:id="3"/>
    </w:p>
    <w:p w14:paraId="1FE4EEFD" w14:textId="77777777" w:rsidR="00FD33AF" w:rsidRDefault="00FD33AF" w:rsidP="00FD33AF">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w:t>
      </w:r>
      <w:bookmarkStart w:id="4" w:name="_Hlk103526159"/>
      <w:r>
        <w:t>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bookmarkEnd w:id="4"/>
      <w:r>
        <w:t xml:space="preserve">) following the protocol of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t xml:space="preserve">. The dusted plates were each placed at one of the five temperature treatments (10°C, 20°C, 25°C, 30°C, 40°C) for 16 hours in a refrigerator (10°C), </w:t>
      </w:r>
      <w:proofErr w:type="spellStart"/>
      <w:r>
        <w:t>Conviron</w:t>
      </w:r>
      <w:proofErr w:type="spellEnd"/>
      <w:r>
        <w:t xml:space="preserve"> E7/2 environmental chamber (20°C), or three drying ovens (25°C, 30°C, 40°C). After the temperature treatments, each plate was covered with a thin layer of ethanol to halt further pollen tube growth and stored at 4°C until data collection could begin. Four pictures of each plate were taken using a microscope (Leica DM500 microscope, Leica ICC50 HD camera) and the LAS EZ 2.1.0 software. </w:t>
      </w:r>
    </w:p>
    <w:p w14:paraId="2CB11290" w14:textId="6457D142" w:rsidR="00FD33AF" w:rsidRDefault="00FD33AF" w:rsidP="00FD33AF">
      <w:pPr>
        <w:pStyle w:val="BodyDoubleSpace05FirstLine"/>
      </w:pPr>
      <w:r>
        <w:t xml:space="preserve">Pollen germination (Germ) was measured by counting the number of pollen grains that produced pollen tubes and dividing that by the total number of pollen grains observed. All pollen grains in an image were counted until at least 100 pollen grains were observed. Pollen was considered germinated if it produced a tube that was at least half the diameter of the pollen grain. We used the percentage of pollen grains with tubes out of the total number of pollen grains as our measure of pollen germination. </w:t>
      </w:r>
    </w:p>
    <w:p w14:paraId="2021F010" w14:textId="77777777" w:rsidR="00FD33AF" w:rsidRDefault="00FD33AF" w:rsidP="00FD33AF">
      <w:pPr>
        <w:pStyle w:val="BodyDoubleSpace05FirstLine"/>
      </w:pPr>
      <w:r>
        <w:t xml:space="preserve">Pollen tube growth rate (PTGR) was determined by first measuring the 10 longest pollen tubes in each of the 4 images using the software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The actual </w:t>
      </w:r>
      <w:r>
        <w:lastRenderedPageBreak/>
        <w:t xml:space="preserve">length of each tube was calculated by tracing the length of each tube, calculating length in pixels, and then calibrating each measurement with a stage micrometer. We calculated the mean of the 20 longest tubes out of the 40 measured per plate and estimated growth rate by dividing the mean length by the time allowed for growth (16 hours). </w:t>
      </w:r>
    </w:p>
    <w:p w14:paraId="6B22A3AA" w14:textId="77777777" w:rsidR="000F5CEB" w:rsidRDefault="000F5CEB" w:rsidP="000F5CEB">
      <w:pPr>
        <w:pStyle w:val="GS3"/>
        <w:spacing w:line="360" w:lineRule="auto"/>
      </w:pPr>
      <w:r>
        <w:t>Gametophytic Traits</w:t>
      </w:r>
    </w:p>
    <w:p w14:paraId="2AED971D" w14:textId="77777777" w:rsidR="000F5CEB" w:rsidRDefault="000F5CEB" w:rsidP="000F5CEB">
      <w:pPr>
        <w:pStyle w:val="BodyDoubleSpace05FirstLine"/>
      </w:pPr>
      <w:r>
        <w:t xml:space="preserve">We measured two pollen traits as estimates of male thermotolerance during the gametophytic stage: 1) the propensity for pollen grains to germinate (pollen germination) and 2) the growth rate of pollen tubes while exposed to a range of temperatures. Once a plant from the north and from the south flowered, we removed a mature flower from both plants. Pollen from each flower was dispersed over five petri dishes containing 3% </w:t>
      </w:r>
      <w:proofErr w:type="spellStart"/>
      <w:r>
        <w:t>Bacto</w:t>
      </w:r>
      <w:proofErr w:type="spellEnd"/>
      <w:r>
        <w:t>-Agar based growth medium (sucrose, Ca(NO</w:t>
      </w:r>
      <w:r>
        <w:rPr>
          <w:vertAlign w:val="subscript"/>
        </w:rPr>
        <w:t>3</w:t>
      </w:r>
      <w:r>
        <w:t>)</w:t>
      </w:r>
      <w:r>
        <w:rPr>
          <w:vertAlign w:val="subscript"/>
        </w:rPr>
        <w:t>2</w:t>
      </w:r>
      <w:r>
        <w:t>, MgSO</w:t>
      </w:r>
      <w:r>
        <w:rPr>
          <w:vertAlign w:val="subscript"/>
        </w:rPr>
        <w:t>4</w:t>
      </w:r>
      <w:r>
        <w:t>, KNO</w:t>
      </w:r>
      <w:r>
        <w:rPr>
          <w:vertAlign w:val="subscript"/>
        </w:rPr>
        <w:t>3</w:t>
      </w:r>
      <w:r>
        <w:t>, H</w:t>
      </w:r>
      <w:r>
        <w:rPr>
          <w:vertAlign w:val="subscript"/>
        </w:rPr>
        <w:t>3</w:t>
      </w:r>
      <w:r>
        <w:t>BO</w:t>
      </w:r>
      <w:r>
        <w:rPr>
          <w:vertAlign w:val="subscript"/>
        </w:rPr>
        <w:t>3</w:t>
      </w:r>
      <w:r>
        <w:t xml:space="preserve">) following the protocol of Reddy and </w:t>
      </w:r>
      <w:proofErr w:type="spellStart"/>
      <w:r>
        <w:t>Kakani</w:t>
      </w:r>
      <w:proofErr w:type="spellEnd"/>
      <w:r>
        <w:t xml:space="preserve"> </w:t>
      </w:r>
      <w:r>
        <w:fldChar w:fldCharType="begin"/>
      </w:r>
      <w: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fldChar w:fldCharType="separate"/>
      </w:r>
      <w:r>
        <w:rPr>
          <w:noProof/>
        </w:rPr>
        <w:t>(2007)</w:t>
      </w:r>
      <w:r>
        <w:fldChar w:fldCharType="end"/>
      </w:r>
      <w:r>
        <w:t xml:space="preserve">. The dusted plates were each placed at one of the five temperature treatments (10°C, 20°C, 25°C, 30°C, 40°C) for 16 hours in a refrigerator (10°C), </w:t>
      </w:r>
      <w:proofErr w:type="spellStart"/>
      <w:r>
        <w:t>Conviron</w:t>
      </w:r>
      <w:proofErr w:type="spellEnd"/>
      <w:r>
        <w:t xml:space="preserve"> E7/2 environmental chamber (20°C), or three drying ovens (25°C, 30°C, 40°C). After the temperature treatments, each plate was covered with a thin layer of ethanol to halt further pollen tube growth and stored at 4°C until data collection could begin. Four pictures of each plate were taken using a microscope (Leica DM500 microscope, Leica ICC50 HD camera) and the LAS EZ 2.1.0 software. </w:t>
      </w:r>
    </w:p>
    <w:p w14:paraId="77CAEBCE" w14:textId="77777777" w:rsidR="000F5CEB" w:rsidRDefault="000F5CEB" w:rsidP="000F5CEB">
      <w:pPr>
        <w:pStyle w:val="BodyDoubleSpace05FirstLine"/>
      </w:pPr>
      <w:r>
        <w:t xml:space="preserve">Pollen germination (Germ) was measured by counting the number of pollen grains that produced pollen tubes and dividing that by the total number of pollen grains observed. All pollen grains in an image were counted until at least 100 pollen grains were observed. Pollen was considered germinated if it produced a tube that was at least half the diameter of the pollen grain. We used the percent of pollen grains with tubes out of the total number of pollen grains as our measure of pollen germination. </w:t>
      </w:r>
    </w:p>
    <w:p w14:paraId="3EC5277C" w14:textId="77777777" w:rsidR="000F5CEB" w:rsidRDefault="000F5CEB" w:rsidP="000F5CEB">
      <w:pPr>
        <w:pStyle w:val="BodyDoubleSpace05FirstLine"/>
      </w:pPr>
      <w:r>
        <w:lastRenderedPageBreak/>
        <w:t xml:space="preserve">Pollen tube growth rate (PTGR) was determined by first measuring the 10 longest pollen tubes in each of the 4 images using the software ImageJ </w:t>
      </w:r>
      <w:r>
        <w:fldChar w:fldCharType="begin"/>
      </w:r>
      <w:r>
        <w:instrText xml:space="preserve"> ADDIN EN.CITE &lt;EndNote&gt;&lt;Cite&gt;&lt;Author&gt;Schneider&lt;/Author&gt;&lt;Year&gt;2012&lt;/Year&gt;&lt;IDText&gt;NIH Image to ImageJ: 25 years of image analysis&lt;/IDText&gt;&lt;DisplayText&gt;(Schneider et al. 2012)&lt;/DisplayText&gt;&lt;record&gt;&lt;dates&gt;&lt;pub-dates&gt;&lt;date&gt;2012-07-01&lt;/date&gt;&lt;/pub-dates&gt;&lt;year&gt;2012&lt;/year&gt;&lt;/dates&gt;&lt;urls&gt;&lt;related-urls&gt;&lt;url&gt;https://www.ncbi.nlm.nih.gov/pmc/articles/PMC5554542&lt;/url&gt;&lt;/related-urls&gt;&lt;/urls&gt;&lt;isbn&gt;1548-7091&lt;/isbn&gt;&lt;titles&gt;&lt;title&gt;NIH Image to ImageJ: 25 years of image analysis&lt;/title&gt;&lt;secondary-title&gt;Nature Methods&lt;/secondary-title&gt;&lt;/titles&gt;&lt;pages&gt;671-675&lt;/pages&gt;&lt;number&gt;7&lt;/number&gt;&lt;access-date&gt;2022-05-23T18:46:20&lt;/access-date&gt;&lt;contributors&gt;&lt;authors&gt;&lt;author&gt;Schneider, Caroline A&lt;/author&gt;&lt;author&gt;Rasband, Wayne S&lt;/author&gt;&lt;author&gt;Eliceiri, Kevin W&lt;/author&gt;&lt;/authors&gt;&lt;/contributors&gt;&lt;added-date format="utc"&gt;1653331668&lt;/added-date&gt;&lt;ref-type name="Journal Article"&gt;17&lt;/ref-type&gt;&lt;rec-number&gt;226&lt;/rec-number&gt;&lt;publisher&gt;Springer Science and Business Media LLC&lt;/publisher&gt;&lt;last-updated-date format="utc"&gt;1653331668&lt;/last-updated-date&gt;&lt;electronic-resource-num&gt;10.1038/nmeth.2089&lt;/electronic-resource-num&gt;&lt;volume&gt;9&lt;/volume&gt;&lt;/record&gt;&lt;/Cite&gt;&lt;/EndNote&gt;</w:instrText>
      </w:r>
      <w:r>
        <w:fldChar w:fldCharType="separate"/>
      </w:r>
      <w:r>
        <w:rPr>
          <w:noProof/>
        </w:rPr>
        <w:t>(Schneider et al. 2012)</w:t>
      </w:r>
      <w:r>
        <w:fldChar w:fldCharType="end"/>
      </w:r>
      <w:r>
        <w:t xml:space="preserve">. The actual length of each tube was calculated by tracing the length of each tube, calculating length in pixels, and then calibrating each measurement with a stage micrometer. We calculated the mean of the 20 longest tubes out of the 40 measured per plate and estimated growth rate by dividing the mean length by the time allowed for growth (16 hours). </w:t>
      </w:r>
    </w:p>
    <w:p w14:paraId="22E5D5A5" w14:textId="77777777" w:rsidR="00661FAF" w:rsidRDefault="00661FAF" w:rsidP="00661FAF">
      <w:pPr>
        <w:pStyle w:val="GS3"/>
      </w:pPr>
      <w:bookmarkStart w:id="5" w:name="_Toc107827658"/>
      <w:bookmarkStart w:id="6" w:name="_Toc108537020"/>
      <w:r>
        <w:t>Pre-Pollination Dependent Variables</w:t>
      </w:r>
      <w:bookmarkEnd w:id="5"/>
      <w:bookmarkEnd w:id="6"/>
    </w:p>
    <w:p w14:paraId="57BC2460" w14:textId="118EF53B" w:rsidR="00FF6B53" w:rsidRPr="00FF6B53" w:rsidRDefault="00FF6B53" w:rsidP="00FF6B53">
      <w:pPr>
        <w:pStyle w:val="BodyDoubleSpace05FirstLine"/>
        <w:ind w:firstLine="0"/>
        <w:rPr>
          <w:i/>
          <w:iCs/>
        </w:rPr>
      </w:pPr>
      <w:proofErr w:type="spellStart"/>
      <w:r>
        <w:rPr>
          <w:i/>
          <w:iCs/>
        </w:rPr>
        <w:t>Modifiec</w:t>
      </w:r>
      <w:proofErr w:type="spellEnd"/>
      <w:r>
        <w:rPr>
          <w:i/>
          <w:iCs/>
        </w:rPr>
        <w:t xml:space="preserve"> protocol adapted from </w:t>
      </w:r>
      <w:r w:rsidRPr="00FF6B53">
        <w:rPr>
          <w:i/>
          <w:iCs/>
        </w:rPr>
        <w:t xml:space="preserve">Diaz and </w:t>
      </w:r>
      <w:proofErr w:type="spellStart"/>
      <w:r w:rsidRPr="00FF6B53">
        <w:rPr>
          <w:i/>
          <w:iCs/>
        </w:rPr>
        <w:t>Macnair</w:t>
      </w:r>
      <w:proofErr w:type="spellEnd"/>
      <w:r w:rsidRPr="00FF6B53">
        <w:rPr>
          <w:i/>
          <w:iCs/>
        </w:rPr>
        <w:t xml:space="preserve"> </w:t>
      </w:r>
      <w:r w:rsidRPr="00FF6B53">
        <w:rPr>
          <w:i/>
          <w:iCs/>
        </w:rPr>
        <w:fldChar w:fldCharType="begin"/>
      </w:r>
      <w:r w:rsidRPr="00FF6B53">
        <w:rPr>
          <w:i/>
          <w:iCs/>
        </w:rPr>
        <w:instrText xml:space="preserve"> ADDIN EN.CITE &lt;EndNote&gt;&lt;Cite ExcludeAuth="1"&gt;&lt;Author&gt;Diaz&lt;/Author&gt;&lt;Year&gt;1999&lt;/Year&gt;&lt;IDText&gt;Pollen tube competition as a mechanism of prezygotic reproductive isolation between Mimulus nasutus and its presumed progenitor M. guttatus&lt;/IDText&gt;&lt;DisplayText&gt;(1999)&lt;/DisplayText&gt;&lt;record&gt;&lt;keywords&gt;&lt;keyword&gt;Biological and medical sciences&lt;/keyword&gt;&lt;keyword&gt;Biology and morphogenesis of the reproductive apparatus. Photoperiodism, vernalisation&lt;/keyword&gt;&lt;keyword&gt;Flowers&lt;/keyword&gt;&lt;keyword&gt;Fundamental and applied biological sciences. Psychology&lt;/keyword&gt;&lt;keyword&gt;Genotypes&lt;/keyword&gt;&lt;keyword&gt;Mimulus&lt;/keyword&gt;&lt;keyword&gt;Plant growth&lt;/keyword&gt;&lt;keyword&gt;Plant physiology and development&lt;/keyword&gt;&lt;keyword&gt;Plants&lt;/keyword&gt;&lt;keyword&gt;Pollen&lt;/keyword&gt;&lt;keyword&gt;pollen competition&lt;/keyword&gt;&lt;keyword&gt;pollen tube growth&lt;/keyword&gt;&lt;keyword&gt;Pollen tubes&lt;/keyword&gt;&lt;keyword&gt;Pollination&lt;/keyword&gt;&lt;keyword&gt;Population growth&lt;/keyword&gt;&lt;keyword&gt;prezygotic barriers&lt;/keyword&gt;&lt;keyword&gt;Reproductive isolation&lt;/keyword&gt;&lt;keyword&gt;Styles&lt;/keyword&gt;&lt;keyword&gt;Vegetative and sexual reproduction, floral biology, fructification&lt;/keyword&gt;&lt;/keywords&gt;&lt;isbn&gt;0028-646X&lt;/isbn&gt;&lt;titles&gt;&lt;title&gt;Pollen tube competition as a mechanism of prezygotic reproductive isolation between Mimulus nasutus and its presumed progenitor M. guttatus&lt;/title&gt;&lt;secondary-title&gt;The New phytologist&lt;/secondary-title&gt;&lt;/titles&gt;&lt;pages&gt;471-478&lt;/pages&gt;&lt;number&gt;3&lt;/number&gt;&lt;contributors&gt;&lt;authors&gt;&lt;author&gt;Diaz, A.&lt;/author&gt;&lt;author&gt;Macnair, M. R.&lt;/author&gt;&lt;/authors&gt;&lt;/contributors&gt;&lt;added-date format="utc"&gt;1652901073&lt;/added-date&gt;&lt;pub-location&gt;Cambridge, UK&lt;/pub-location&gt;&lt;ref-type name="Journal Article"&gt;17&lt;/ref-type&gt;&lt;dates&gt;&lt;year&gt;1999&lt;/year&gt;&lt;/dates&gt;&lt;rec-number&gt;221&lt;/rec-number&gt;&lt;publisher&gt;Cambridge University Press&lt;/publisher&gt;&lt;last-updated-date format="utc"&gt;1652901258&lt;/last-updated-date&gt;&lt;electronic-resource-num&gt;10.1046/j.1469-8137.1999.00543.x&lt;/electronic-resource-num&gt;&lt;volume&gt;144&lt;/volume&gt;&lt;/record&gt;&lt;/Cite&gt;&lt;/EndNote&gt;</w:instrText>
      </w:r>
      <w:r w:rsidRPr="00FF6B53">
        <w:rPr>
          <w:i/>
          <w:iCs/>
        </w:rPr>
        <w:fldChar w:fldCharType="separate"/>
      </w:r>
      <w:r w:rsidRPr="00FF6B53">
        <w:rPr>
          <w:i/>
          <w:iCs/>
          <w:noProof/>
        </w:rPr>
        <w:t>(1999)</w:t>
      </w:r>
      <w:r w:rsidRPr="00FF6B53">
        <w:rPr>
          <w:i/>
          <w:iCs/>
        </w:rPr>
        <w:fldChar w:fldCharType="end"/>
      </w:r>
    </w:p>
    <w:p w14:paraId="41DAEF9F" w14:textId="77777777" w:rsidR="00FF6B53" w:rsidRDefault="00661FAF" w:rsidP="00661FAF">
      <w:pPr>
        <w:pStyle w:val="BodyDoubleSpace05FirstLine"/>
      </w:pPr>
      <w:r>
        <w:t>The flowers with petals removed were stored in Eppendorf tubes (1.5 mL) with ethanol for 24 hours and then washed with deionized water.  The tubes were then filled with 1M NaOH and placed in a heat block at 70°C for 2 minutes to soften the floral structures before a final wash in deionized water. The flowers were then stained in 0.1% aniline blue with 0.1M K</w:t>
      </w:r>
      <w:r>
        <w:rPr>
          <w:vertAlign w:val="subscript"/>
        </w:rPr>
        <w:t>3</w:t>
      </w:r>
      <w:r>
        <w:t>PO</w:t>
      </w:r>
      <w:r>
        <w:rPr>
          <w:vertAlign w:val="subscript"/>
        </w:rPr>
        <w:t>4</w:t>
      </w:r>
      <w:r>
        <w:t xml:space="preserve"> for 24 hours in darkness. </w:t>
      </w:r>
    </w:p>
    <w:p w14:paraId="095025BD" w14:textId="77777777" w:rsidR="00661FAF" w:rsidRDefault="00661FAF" w:rsidP="00661FAF">
      <w:pPr>
        <w:pStyle w:val="GS3"/>
      </w:pPr>
      <w:bookmarkStart w:id="7" w:name="_Toc107827659"/>
      <w:bookmarkStart w:id="8" w:name="_Toc108537021"/>
      <w:r>
        <w:t>Post-Pollination Dependent Variables</w:t>
      </w:r>
      <w:bookmarkEnd w:id="7"/>
      <w:bookmarkEnd w:id="8"/>
    </w:p>
    <w:p w14:paraId="62C487B1" w14:textId="07277AFC" w:rsidR="00661FAF" w:rsidRDefault="00661FAF" w:rsidP="00661FAF">
      <w:pPr>
        <w:pStyle w:val="BodyDoubleSpace05FirstLine"/>
      </w:pPr>
      <w:r>
        <w:t xml:space="preserve">We used 40°C to determine how plants differ in germination at high temperatures and whether pollen development in long-term high heat affects pollen germination at high temperatures. One flower from each plant in the treatment group was collected for pollen germination. Pollen was collected from the mature flower, identified by petals in an open position perpendicular to the anthers and a fully developed stigma (if flower was hermaphroditic). Since </w:t>
      </w:r>
      <w:proofErr w:type="spellStart"/>
      <w:r>
        <w:t>horsenettle</w:t>
      </w:r>
      <w:proofErr w:type="spellEnd"/>
      <w:r>
        <w:t xml:space="preserve"> is naturally buzz pollinated, we used a handmade device to vibrate anthers and release pollen directly onto an agar/growth medium contained in petri dishes. We used a 3% </w:t>
      </w:r>
      <w:proofErr w:type="spellStart"/>
      <w:r>
        <w:t>Bacto</w:t>
      </w:r>
      <w:proofErr w:type="spellEnd"/>
      <w:r>
        <w:t>-Agar based growth medium (</w:t>
      </w:r>
      <w:r>
        <w:rPr>
          <w:szCs w:val="24"/>
        </w:rPr>
        <w:t>sucrose, Ca(NO</w:t>
      </w:r>
      <w:r>
        <w:rPr>
          <w:szCs w:val="24"/>
          <w:vertAlign w:val="subscript"/>
        </w:rPr>
        <w:t>3</w:t>
      </w:r>
      <w:r>
        <w:rPr>
          <w:szCs w:val="24"/>
        </w:rPr>
        <w:t>)</w:t>
      </w:r>
      <w:r>
        <w:rPr>
          <w:szCs w:val="24"/>
          <w:vertAlign w:val="subscript"/>
        </w:rPr>
        <w:t>2</w:t>
      </w:r>
      <w:r>
        <w:rPr>
          <w:szCs w:val="24"/>
        </w:rPr>
        <w:t>, MgSO</w:t>
      </w:r>
      <w:r>
        <w:rPr>
          <w:szCs w:val="24"/>
          <w:vertAlign w:val="subscript"/>
        </w:rPr>
        <w:t>4</w:t>
      </w:r>
      <w:r>
        <w:rPr>
          <w:szCs w:val="24"/>
        </w:rPr>
        <w:t>, KNO</w:t>
      </w:r>
      <w:r>
        <w:rPr>
          <w:szCs w:val="24"/>
          <w:vertAlign w:val="subscript"/>
        </w:rPr>
        <w:t>3</w:t>
      </w:r>
      <w:r>
        <w:rPr>
          <w:szCs w:val="24"/>
        </w:rPr>
        <w:t>, H</w:t>
      </w:r>
      <w:r>
        <w:rPr>
          <w:szCs w:val="24"/>
          <w:vertAlign w:val="subscript"/>
        </w:rPr>
        <w:t>3</w:t>
      </w:r>
      <w:r>
        <w:rPr>
          <w:szCs w:val="24"/>
        </w:rPr>
        <w:t>BO</w:t>
      </w:r>
      <w:r>
        <w:rPr>
          <w:szCs w:val="24"/>
          <w:vertAlign w:val="subscript"/>
        </w:rPr>
        <w:t>3</w:t>
      </w:r>
      <w:r>
        <w:rPr>
          <w:szCs w:val="24"/>
        </w:rPr>
        <w:t xml:space="preserve">) following the protocol of Reddy and </w:t>
      </w:r>
      <w:proofErr w:type="spellStart"/>
      <w:r>
        <w:rPr>
          <w:szCs w:val="24"/>
        </w:rPr>
        <w:t>Kakani</w:t>
      </w:r>
      <w:proofErr w:type="spellEnd"/>
      <w:r>
        <w:rPr>
          <w:szCs w:val="24"/>
        </w:rPr>
        <w:t xml:space="preserve"> </w:t>
      </w:r>
      <w:r>
        <w:rPr>
          <w:szCs w:val="24"/>
        </w:rPr>
        <w:fldChar w:fldCharType="begin"/>
      </w:r>
      <w:r>
        <w:rPr>
          <w:szCs w:val="24"/>
        </w:rPr>
        <w:instrText xml:space="preserve"> ADDIN EN.CITE &lt;EndNote&gt;&lt;Cite ExcludeAuth="1"&gt;&lt;Author&gt;Reddy&lt;/Author&gt;&lt;Year&gt;2007&lt;/Year&gt;&lt;IDText&gt;Screening Capsicum species of different origins for high temperature tolerance by in vitro pollen germination and pollen tube length&lt;/IDText&gt;&lt;DisplayText&gt;(2007)&lt;/DisplayText&gt;&lt;record&gt;&lt;keywords&gt;&lt;keyword&gt;Agronomy. Soil science and plant productions&lt;/keyword&gt;&lt;keyword&gt;Biological and medical sciences&lt;/keyword&gt;&lt;keyword&gt;Capsicum&lt;/keyword&gt;&lt;keyword&gt;Cardinal temperatures&lt;/keyword&gt;&lt;keyword&gt;Cumulative temperature response index&lt;/keyword&gt;&lt;keyword&gt;Fundamental and applied biological sciences. Psychology&lt;/keyword&gt;&lt;keyword&gt;Genetics and breeding of economic plants&lt;/keyword&gt;&lt;keyword&gt;Pepper&lt;/keyword&gt;&lt;keyword&gt;Screening tool&lt;/keyword&gt;&lt;/keywords&gt;&lt;isbn&gt;0304-4238&lt;/isbn&gt;&lt;titles&gt;&lt;title&gt;Screening Capsicum species of different origins for high temperature tolerance by in vitro pollen germination and pollen tube length&lt;/title&gt;&lt;secondary-title&gt;Scientia horticulturae&lt;/secondary-title&gt;&lt;/titles&gt;&lt;pages&gt;130-135&lt;/pages&gt;&lt;number&gt;2&lt;/number&gt;&lt;contributors&gt;&lt;authors&gt;&lt;author&gt;Reddy, K. Raja&lt;/author&gt;&lt;author&gt;Kakani, V. G.&lt;/author&gt;&lt;/authors&gt;&lt;/contributors&gt;&lt;added-date format="utc"&gt;1653330210&lt;/added-date&gt;&lt;pub-location&gt;Amsterdam&lt;/pub-location&gt;&lt;ref-type name="Journal Article"&gt;17&lt;/ref-type&gt;&lt;dates&gt;&lt;year&gt;2007&lt;/year&gt;&lt;/dates&gt;&lt;rec-number&gt;225&lt;/rec-number&gt;&lt;publisher&gt;Elsevier B.V&lt;/publisher&gt;&lt;last-updated-date format="utc"&gt;1653330248&lt;/last-updated-date&gt;&lt;electronic-resource-num&gt;10.1016/j.scienta.2006.12.014&lt;/electronic-resource-num&gt;&lt;volume&gt;112&lt;/volume&gt;&lt;/record&gt;&lt;/Cite&gt;&lt;/EndNote&gt;</w:instrText>
      </w:r>
      <w:r>
        <w:rPr>
          <w:szCs w:val="24"/>
        </w:rPr>
        <w:fldChar w:fldCharType="separate"/>
      </w:r>
      <w:r>
        <w:rPr>
          <w:noProof/>
          <w:szCs w:val="24"/>
        </w:rPr>
        <w:t>(2007)</w:t>
      </w:r>
      <w:r>
        <w:rPr>
          <w:szCs w:val="24"/>
        </w:rPr>
        <w:fldChar w:fldCharType="end"/>
      </w:r>
      <w:r>
        <w:rPr>
          <w:szCs w:val="24"/>
        </w:rPr>
        <w:t xml:space="preserve">. Immediately after dispersal of pollen, the </w:t>
      </w:r>
      <w:r>
        <w:rPr>
          <w:szCs w:val="24"/>
        </w:rPr>
        <w:lastRenderedPageBreak/>
        <w:t>plate was placed in a drying oven at 40</w:t>
      </w:r>
      <w:r>
        <w:t>°C for 16 hours. Three pictures of the pollen on the petri dish were then taken using a microscope mounted with a camera (</w:t>
      </w:r>
      <w:bookmarkStart w:id="9" w:name="_Hlk104466607"/>
      <w:r>
        <w:t>Leica DM500 microscope, Leica ICC50 HD camera) and the LAS EZ 2.1.0 software</w:t>
      </w:r>
      <w:bookmarkEnd w:id="9"/>
      <w:r>
        <w:t xml:space="preserve">. To avoid sampling bias, each petri dish was positioned so pollen visible to the naked eye was under the objective. The petri dish was not repositioned once pollen grains were viewed under magnification. Pollen germination was measured by counting the number of pollen grains that produced tubes of at least half the diameter of the pollen grain. The final pollen germination variable equaled the number of grains germinated divided by the total number of pollen grains assessed. All pollen grains in a picture were counted. The number of pictures used depended on the number required to count at least 100 pollen grains.  </w:t>
      </w:r>
    </w:p>
    <w:p w14:paraId="28968ECF" w14:textId="77777777" w:rsidR="00661FAF" w:rsidRDefault="00661FAF" w:rsidP="00661FAF">
      <w:pPr>
        <w:pStyle w:val="BodyDoubleSpace05FirstLine"/>
      </w:pPr>
      <w:r>
        <w:t>Female reproductive traits measured include fruit set (number of fruits produced / number of flowers</w:t>
      </w:r>
      <w:r w:rsidRPr="00685DEF">
        <w:t xml:space="preserve"> </w:t>
      </w:r>
      <w:r>
        <w:t xml:space="preserve">pollinated) and the number of viable seeds per fruit. Once all flowers for morphological and male performance traits were collected, the subsequent three flowers on each plant were pollinated with a mix of pollen from flowers (2 to 5 flowers on average, north and south represented) in the control treatment. The goal was to isolate the effect of heat during the development of the ovules and ovary, not during the development of the pollen. </w:t>
      </w:r>
      <w:proofErr w:type="spellStart"/>
      <w:r>
        <w:t>Horsenettle</w:t>
      </w:r>
      <w:proofErr w:type="spellEnd"/>
      <w:r>
        <w:t xml:space="preserve"> has a self-incompatibility system, which prevents plants with the same S allele from fertilizing one another. The self-incompatibility system is a measure to prevent inbreeding. We mixed pollen from multiple populations from the north and south to ensure that there was the opportunity for fertilization. The flowers were pollinated by applying the mixture of pollen on the stigma with a probe and labeling the flower with a jewelry tag. Once flowers were pollinated, the plant remained in the treatment for one week before we moved them into a greenhouse for the fruit to finish development (Average Daily Temperatures 25.08°C day / 21.31°C night). </w:t>
      </w:r>
    </w:p>
    <w:p w14:paraId="32F15831" w14:textId="77777777" w:rsidR="00661FAF" w:rsidRDefault="00661FAF" w:rsidP="00661FAF">
      <w:pPr>
        <w:pStyle w:val="BodyDoubleSpace05FirstLine"/>
      </w:pPr>
      <w:r>
        <w:lastRenderedPageBreak/>
        <w:t>Once fruits were at least one month old, they were harvested. The number of viable seeds, aborted seeds, and unfertilized ovules were counted under a dissecting scope. The variables used as measures of female performance were fruit set and seed set. Fruit set was the number of fruits produced divided by the number of flowers pollinated, which was three for all plants. Viable seed number is the number of seeds produced per fruit.</w:t>
      </w:r>
    </w:p>
    <w:p w14:paraId="0A4C0EF0" w14:textId="10A5CF52" w:rsidR="00661FAF" w:rsidRDefault="00661FAF"/>
    <w:p w14:paraId="440F31FD" w14:textId="0C9DB311" w:rsidR="00FF6B53" w:rsidRDefault="00FF6B53">
      <w:pPr>
        <w:rPr>
          <w:b/>
          <w:bCs/>
        </w:rPr>
      </w:pPr>
      <w:r>
        <w:rPr>
          <w:b/>
          <w:bCs/>
        </w:rPr>
        <w:t>Data Analysis that was cut</w:t>
      </w:r>
    </w:p>
    <w:p w14:paraId="18EB495A" w14:textId="60D47752" w:rsidR="00FF6B53" w:rsidRPr="00FF6B53" w:rsidRDefault="00FF6B53">
      <w:pPr>
        <w:rPr>
          <w:b/>
          <w:bCs/>
        </w:rPr>
      </w:pPr>
      <w:r>
        <w:t xml:space="preserve">We dropped the genet nested in population term for cell membrane stability and both random effects terms for net photosynthetic rate to avoid overfitting the model. Since the genet nested in population term was significant for some variables, we compared population and genets independently. </w:t>
      </w:r>
      <w:r w:rsidRPr="00D91417">
        <w:rPr>
          <w:highlight w:val="yellow"/>
        </w:rPr>
        <w:t>Populations were compared using a linear mixed effects model (</w:t>
      </w:r>
      <w:proofErr w:type="spellStart"/>
      <w:r w:rsidRPr="00D91417">
        <w:rPr>
          <w:i/>
          <w:iCs/>
          <w:highlight w:val="yellow"/>
        </w:rPr>
        <w:t>lmerTest</w:t>
      </w:r>
      <w:proofErr w:type="spellEnd"/>
      <w:r w:rsidRPr="00D91417">
        <w:rPr>
          <w:highlight w:val="yellow"/>
        </w:rPr>
        <w:t xml:space="preserve">; function </w:t>
      </w:r>
      <w:proofErr w:type="spellStart"/>
      <w:r w:rsidRPr="00D91417">
        <w:rPr>
          <w:highlight w:val="yellow"/>
        </w:rPr>
        <w:t>lmer</w:t>
      </w:r>
      <w:proofErr w:type="spellEnd"/>
      <w:r w:rsidRPr="00D91417">
        <w:rPr>
          <w:highlight w:val="yellow"/>
        </w:rPr>
        <w:t xml:space="preserve">) with population as the fixed effect and block as the random effect. We used an analysis of variance model in the </w:t>
      </w:r>
      <w:r w:rsidRPr="00D91417">
        <w:rPr>
          <w:i/>
          <w:iCs/>
          <w:highlight w:val="yellow"/>
        </w:rPr>
        <w:t>stats</w:t>
      </w:r>
      <w:r w:rsidRPr="00D91417">
        <w:rPr>
          <w:highlight w:val="yellow"/>
        </w:rPr>
        <w:t xml:space="preserve"> package </w:t>
      </w:r>
      <w:r w:rsidRPr="00D91417">
        <w:rPr>
          <w:highlight w:val="yellow"/>
        </w:rPr>
        <w:fldChar w:fldCharType="begin"/>
      </w:r>
      <w:r w:rsidRPr="00D91417">
        <w:rPr>
          <w:highlight w:val="yellow"/>
        </w:rPr>
        <w:instrText xml:space="preserve"> ADDIN EN.CITE &lt;EndNote&gt;&lt;Cite&gt;&lt;Author&gt;R Core Team&lt;/Author&gt;&lt;Year&gt;2020&lt;/Year&gt;&lt;IDText&gt;R: A language and environment for statistical computing&lt;/IDText&gt;&lt;DisplayText&gt;(R Core Team 2020)&lt;/DisplayText&gt;&lt;record&gt;&lt;urls&gt;&lt;related-urls&gt;&lt;url&gt;https://www.R-project.org/&lt;/url&gt;&lt;/related-urls&gt;&lt;/urls&gt;&lt;titles&gt;&lt;title&gt;R: A language and environment for statistical computing&lt;/title&gt;&lt;secondary-title&gt;R Foundation for Statistical Computing&lt;/secondary-title&gt;&lt;/titles&gt;&lt;contributors&gt;&lt;authors&gt;&lt;author&gt;R Core Team,&lt;/author&gt;&lt;/authors&gt;&lt;/contributors&gt;&lt;added-date format="utc"&gt;1617970685&lt;/added-date&gt;&lt;pub-location&gt;Vienna, Austria&lt;/pub-location&gt;&lt;ref-type name="Computer Program"&gt;9&lt;/ref-type&gt;&lt;dates&gt;&lt;year&gt;2020&lt;/year&gt;&lt;/dates&gt;&lt;rec-number&gt;70&lt;/rec-number&gt;&lt;publisher&gt;R Foundation for Statistical Computing&lt;/publisher&gt;&lt;last-updated-date format="utc"&gt;1653334190&lt;/last-updated-date&gt;&lt;/record&gt;&lt;/Cite&gt;&lt;/EndNote&gt;</w:instrText>
      </w:r>
      <w:r w:rsidRPr="00D91417">
        <w:rPr>
          <w:highlight w:val="yellow"/>
        </w:rPr>
        <w:fldChar w:fldCharType="separate"/>
      </w:r>
      <w:r w:rsidRPr="00D91417">
        <w:rPr>
          <w:noProof/>
          <w:highlight w:val="yellow"/>
        </w:rPr>
        <w:t>(R Core Team 2020)</w:t>
      </w:r>
      <w:r w:rsidRPr="00D91417">
        <w:rPr>
          <w:highlight w:val="yellow"/>
        </w:rPr>
        <w:fldChar w:fldCharType="end"/>
      </w:r>
      <w:r w:rsidRPr="00D91417">
        <w:rPr>
          <w:highlight w:val="yellow"/>
        </w:rPr>
        <w:t xml:space="preserve">, to determine if there were differences between genets for each of the </w:t>
      </w:r>
      <w:proofErr w:type="spellStart"/>
      <w:r w:rsidRPr="00D91417">
        <w:rPr>
          <w:highlight w:val="yellow"/>
        </w:rPr>
        <w:t>sporophytic</w:t>
      </w:r>
      <w:proofErr w:type="spellEnd"/>
      <w:r w:rsidRPr="00D91417">
        <w:rPr>
          <w:highlight w:val="yellow"/>
        </w:rPr>
        <w:t xml:space="preserve"> variables.</w:t>
      </w:r>
    </w:p>
    <w:sectPr w:rsidR="00FF6B53" w:rsidRPr="00FF6B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33AF"/>
    <w:rsid w:val="00022319"/>
    <w:rsid w:val="000F5CEB"/>
    <w:rsid w:val="00661FAF"/>
    <w:rsid w:val="00FD33AF"/>
    <w:rsid w:val="00FF6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E2652"/>
  <w15:chartTrackingRefBased/>
  <w15:docId w15:val="{D6B127C9-F31B-4881-9E6A-C1B89DCBF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igure">
    <w:name w:val="Figure"/>
    <w:basedOn w:val="Normal"/>
    <w:qFormat/>
    <w:rsid w:val="00FD33AF"/>
    <w:pPr>
      <w:keepNext/>
      <w:spacing w:after="240" w:line="240" w:lineRule="auto"/>
      <w:jc w:val="center"/>
    </w:pPr>
    <w:rPr>
      <w:rFonts w:ascii="Times New Roman" w:eastAsia="Calibri" w:hAnsi="Times New Roman" w:cs="Times New Roman"/>
      <w:sz w:val="24"/>
    </w:rPr>
  </w:style>
  <w:style w:type="paragraph" w:customStyle="1" w:styleId="BodyDoubleSpace05FirstLine">
    <w:name w:val="Body Double Space 0.5 First Line"/>
    <w:basedOn w:val="Normal"/>
    <w:next w:val="Normal"/>
    <w:qFormat/>
    <w:rsid w:val="00FD33AF"/>
    <w:pPr>
      <w:spacing w:after="0" w:line="480" w:lineRule="auto"/>
      <w:ind w:firstLine="720"/>
    </w:pPr>
    <w:rPr>
      <w:rFonts w:ascii="Times New Roman" w:eastAsia="Calibri" w:hAnsi="Times New Roman" w:cs="Times New Roman"/>
      <w:sz w:val="24"/>
    </w:rPr>
  </w:style>
  <w:style w:type="paragraph" w:customStyle="1" w:styleId="GS3">
    <w:name w:val="GS3"/>
    <w:basedOn w:val="Normal"/>
    <w:next w:val="BodyDoubleSpace05FirstLine"/>
    <w:qFormat/>
    <w:rsid w:val="00FD33AF"/>
    <w:pPr>
      <w:keepNext/>
      <w:keepLines/>
      <w:spacing w:after="0" w:line="480" w:lineRule="auto"/>
      <w:outlineLvl w:val="2"/>
    </w:pPr>
    <w:rPr>
      <w:rFonts w:ascii="Times New Roman" w:eastAsia="Calibri" w:hAnsi="Times New Roman" w:cs="Times New Roman"/>
      <w:b/>
      <w:sz w:val="24"/>
    </w:rPr>
  </w:style>
  <w:style w:type="paragraph" w:customStyle="1" w:styleId="GS4">
    <w:name w:val="GS4"/>
    <w:basedOn w:val="Normal"/>
    <w:next w:val="BodyDoubleSpace05FirstLine"/>
    <w:qFormat/>
    <w:rsid w:val="00FD33AF"/>
    <w:pPr>
      <w:keepNext/>
      <w:keepLines/>
      <w:spacing w:after="0" w:line="480" w:lineRule="auto"/>
      <w:outlineLvl w:val="3"/>
    </w:pPr>
    <w:rPr>
      <w:rFonts w:ascii="Times New Roman" w:eastAsia="Calibri" w:hAnsi="Times New Roman" w:cs="Times New Roman"/>
      <w:b/>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8</Pages>
  <Words>4668</Words>
  <Characters>26610</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Chandler</dc:creator>
  <cp:keywords/>
  <dc:description/>
  <cp:lastModifiedBy>Emma Chandler</cp:lastModifiedBy>
  <cp:revision>3</cp:revision>
  <dcterms:created xsi:type="dcterms:W3CDTF">2022-12-29T15:50:00Z</dcterms:created>
  <dcterms:modified xsi:type="dcterms:W3CDTF">2023-01-20T18:40:00Z</dcterms:modified>
</cp:coreProperties>
</file>