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D60AD" w14:textId="0D41E7DD" w:rsidR="00135D0A" w:rsidRPr="00893226" w:rsidRDefault="00135D0A" w:rsidP="00135D0A">
      <w:pPr>
        <w:pStyle w:val="Heading2"/>
        <w:widowControl w:val="0"/>
        <w:spacing w:line="480" w:lineRule="auto"/>
        <w:rPr>
          <w:lang w:val="en-CA"/>
        </w:rPr>
      </w:pPr>
      <w:bookmarkStart w:id="0" w:name="_Toc107827639"/>
      <w:bookmarkStart w:id="1" w:name="_Toc108537000"/>
      <w:r w:rsidRPr="00893226">
        <w:rPr>
          <w:lang w:val="en-CA"/>
        </w:rPr>
        <w:t>Supporting Information</w:t>
      </w:r>
      <w:r w:rsidR="00893226" w:rsidRPr="00893226">
        <w:rPr>
          <w:lang w:val="en-CA"/>
        </w:rPr>
        <w:t>: Methods</w:t>
      </w:r>
      <w:r w:rsidRPr="00893226">
        <w:rPr>
          <w:lang w:val="en-CA"/>
        </w:rPr>
        <w:t xml:space="preserve"> </w:t>
      </w:r>
    </w:p>
    <w:p w14:paraId="6C62A902" w14:textId="2A8E2712" w:rsidR="00135D0A" w:rsidRPr="00893226" w:rsidRDefault="00135D0A" w:rsidP="00135D0A">
      <w:pPr>
        <w:spacing w:after="240"/>
        <w:rPr>
          <w:rFonts w:ascii="Times New Roman" w:hAnsi="Times New Roman" w:cs="Times New Roman"/>
        </w:rPr>
      </w:pPr>
      <w:r w:rsidRPr="00893226">
        <w:rPr>
          <w:rFonts w:ascii="Times New Roman" w:hAnsi="Times New Roman" w:cs="Times New Roman"/>
          <w:b/>
          <w:bCs/>
        </w:rPr>
        <w:t>Article title</w:t>
      </w:r>
      <w:r w:rsidRPr="00893226">
        <w:rPr>
          <w:rFonts w:ascii="Times New Roman" w:hAnsi="Times New Roman" w:cs="Times New Roman"/>
        </w:rPr>
        <w:t xml:space="preserve">: </w:t>
      </w:r>
      <w:sdt>
        <w:sdtPr>
          <w:rPr>
            <w:rFonts w:ascii="Times New Roman" w:hAnsi="Times New Roman" w:cs="Times New Roman"/>
          </w:rPr>
          <w:alias w:val="Insert article title here"/>
          <w:tag w:val="Insert article title here"/>
          <w:id w:val="-131337230"/>
          <w:placeholder>
            <w:docPart w:val="B2973C066DB346CA9B69F491FD975E4A"/>
          </w:placeholder>
        </w:sdtPr>
        <w:sdtContent>
          <w:r w:rsidR="003452CB" w:rsidRPr="003452CB">
            <w:rPr>
              <w:rFonts w:ascii="Times New Roman" w:hAnsi="Times New Roman" w:cs="Times New Roman"/>
            </w:rPr>
            <w:t xml:space="preserve">Intraspecific variation in responses to extreme and moderate temperature stress in the wild species, </w:t>
          </w:r>
          <w:r w:rsidR="003452CB" w:rsidRPr="003452CB">
            <w:rPr>
              <w:rFonts w:ascii="Times New Roman" w:hAnsi="Times New Roman" w:cs="Times New Roman"/>
              <w:i/>
              <w:iCs/>
            </w:rPr>
            <w:t xml:space="preserve">Solanum </w:t>
          </w:r>
          <w:proofErr w:type="spellStart"/>
          <w:r w:rsidR="003452CB" w:rsidRPr="003452CB">
            <w:rPr>
              <w:rFonts w:ascii="Times New Roman" w:hAnsi="Times New Roman" w:cs="Times New Roman"/>
              <w:i/>
              <w:iCs/>
            </w:rPr>
            <w:t>carolinense</w:t>
          </w:r>
          <w:proofErr w:type="spellEnd"/>
          <w:r w:rsidR="003452CB" w:rsidRPr="003452CB">
            <w:rPr>
              <w:rFonts w:ascii="Times New Roman" w:hAnsi="Times New Roman" w:cs="Times New Roman"/>
            </w:rPr>
            <w:t xml:space="preserve"> (Solanaceae)</w:t>
          </w:r>
        </w:sdtContent>
      </w:sdt>
    </w:p>
    <w:p w14:paraId="1FFA9B9A" w14:textId="77777777" w:rsidR="00135D0A" w:rsidRPr="00893226" w:rsidRDefault="00135D0A" w:rsidP="00135D0A">
      <w:pPr>
        <w:spacing w:after="240"/>
        <w:rPr>
          <w:rFonts w:ascii="Times New Roman" w:hAnsi="Times New Roman" w:cs="Times New Roman"/>
        </w:rPr>
      </w:pPr>
      <w:r w:rsidRPr="00893226">
        <w:rPr>
          <w:rFonts w:ascii="Times New Roman" w:hAnsi="Times New Roman" w:cs="Times New Roman"/>
          <w:b/>
          <w:bCs/>
        </w:rPr>
        <w:t>Authors</w:t>
      </w:r>
      <w:r w:rsidRPr="00893226">
        <w:rPr>
          <w:rFonts w:ascii="Times New Roman" w:hAnsi="Times New Roman" w:cs="Times New Roman"/>
        </w:rPr>
        <w:t xml:space="preserve">: </w:t>
      </w:r>
      <w:sdt>
        <w:sdtPr>
          <w:rPr>
            <w:rFonts w:ascii="Times New Roman" w:hAnsi="Times New Roman" w:cs="Times New Roman"/>
          </w:rPr>
          <w:alias w:val="Insert author details here"/>
          <w:tag w:val="Insert author details here"/>
          <w:id w:val="-1841385639"/>
          <w:placeholder>
            <w:docPart w:val="19D9B1E52CE14D4F8CB49982FD81AD6E"/>
          </w:placeholder>
        </w:sdtPr>
        <w:sdtContent>
          <w:r w:rsidRPr="00893226">
            <w:rPr>
              <w:rFonts w:ascii="Times New Roman" w:hAnsi="Times New Roman" w:cs="Times New Roman"/>
            </w:rPr>
            <w:t>Emma K. Chandler, Steven E. Travers</w:t>
          </w:r>
        </w:sdtContent>
      </w:sdt>
    </w:p>
    <w:p w14:paraId="6C302FBF" w14:textId="77777777" w:rsidR="00135D0A" w:rsidRPr="00893226" w:rsidRDefault="00135D0A" w:rsidP="00135D0A">
      <w:pPr>
        <w:spacing w:after="240"/>
        <w:rPr>
          <w:rStyle w:val="Hyperlink"/>
          <w:rFonts w:ascii="Times New Roman" w:hAnsi="Times New Roman" w:cs="Times New Roman"/>
        </w:rPr>
      </w:pPr>
      <w:r w:rsidRPr="00893226">
        <w:rPr>
          <w:rFonts w:ascii="Times New Roman" w:hAnsi="Times New Roman" w:cs="Times New Roman"/>
          <w:b/>
          <w:bCs/>
        </w:rPr>
        <w:t>Corresponding author</w:t>
      </w:r>
      <w:r w:rsidRPr="00893226">
        <w:rPr>
          <w:rFonts w:ascii="Times New Roman" w:hAnsi="Times New Roman" w:cs="Times New Roman"/>
        </w:rPr>
        <w:t xml:space="preserve">: Steven E. Travers, North Dakota State University Biological Sciences Department, </w:t>
      </w:r>
      <w:hyperlink r:id="rId4" w:history="1">
        <w:r w:rsidRPr="00893226">
          <w:rPr>
            <w:rStyle w:val="Hyperlink"/>
            <w:rFonts w:ascii="Times New Roman" w:hAnsi="Times New Roman" w:cs="Times New Roman"/>
          </w:rPr>
          <w:t>steven.travers@ndsu.edu</w:t>
        </w:r>
      </w:hyperlink>
    </w:p>
    <w:p w14:paraId="28124B54" w14:textId="77777777" w:rsidR="00893226" w:rsidRDefault="00893226" w:rsidP="00135D0A">
      <w:pPr>
        <w:pStyle w:val="GS3"/>
      </w:pPr>
      <w:bookmarkStart w:id="2" w:name="_Toc107827658"/>
      <w:bookmarkStart w:id="3" w:name="_Toc108537020"/>
      <w:bookmarkEnd w:id="0"/>
      <w:bookmarkEnd w:id="1"/>
    </w:p>
    <w:p w14:paraId="2F0122DD" w14:textId="0CF82E3B" w:rsidR="00135D0A" w:rsidRDefault="00135D0A" w:rsidP="00135D0A">
      <w:pPr>
        <w:pStyle w:val="GS3"/>
      </w:pPr>
      <w:r>
        <w:t>Experiment 1</w:t>
      </w:r>
    </w:p>
    <w:p w14:paraId="59A34BC1" w14:textId="77777777" w:rsidR="00135D0A" w:rsidRPr="00135D0A" w:rsidRDefault="00135D0A" w:rsidP="00135D0A">
      <w:pPr>
        <w:pStyle w:val="GS3"/>
        <w:rPr>
          <w:i/>
          <w:iCs/>
        </w:rPr>
      </w:pPr>
      <w:r w:rsidRPr="00135D0A">
        <w:rPr>
          <w:i/>
          <w:iCs/>
        </w:rPr>
        <w:t>Pre-Pollination Dependent Variables</w:t>
      </w:r>
      <w:bookmarkEnd w:id="2"/>
      <w:bookmarkEnd w:id="3"/>
    </w:p>
    <w:p w14:paraId="689E124A" w14:textId="77777777" w:rsidR="00135D0A" w:rsidRPr="00FF6B53" w:rsidRDefault="00135D0A" w:rsidP="00135D0A">
      <w:pPr>
        <w:pStyle w:val="BodyDoubleSpace05FirstLine"/>
        <w:ind w:firstLine="0"/>
        <w:rPr>
          <w:i/>
          <w:iCs/>
        </w:rPr>
      </w:pPr>
      <w:r>
        <w:rPr>
          <w:i/>
          <w:iCs/>
        </w:rPr>
        <w:t xml:space="preserve">Modified protocol adapted from </w:t>
      </w:r>
      <w:r w:rsidRPr="00FF6B53">
        <w:rPr>
          <w:i/>
          <w:iCs/>
        </w:rPr>
        <w:t xml:space="preserve">Diaz and </w:t>
      </w:r>
      <w:proofErr w:type="spellStart"/>
      <w:r w:rsidRPr="00FF6B53">
        <w:rPr>
          <w:i/>
          <w:iCs/>
        </w:rPr>
        <w:t>Macnair</w:t>
      </w:r>
      <w:proofErr w:type="spellEnd"/>
      <w:r w:rsidRPr="00FF6B53">
        <w:rPr>
          <w:i/>
          <w:iCs/>
        </w:rPr>
        <w:t xml:space="preserve"> </w:t>
      </w:r>
      <w:r w:rsidRPr="00FF6B53">
        <w:rPr>
          <w:i/>
          <w:iCs/>
        </w:rPr>
        <w:fldChar w:fldCharType="begin"/>
      </w:r>
      <w:r w:rsidRPr="00FF6B53">
        <w:rPr>
          <w:i/>
          <w:iCs/>
        </w:rPr>
        <w:instrText xml:space="preserve"> ADDIN EN.CITE &lt;EndNote&gt;&lt;Cite ExcludeAuth="1"&gt;&lt;Author&gt;Diaz&lt;/Author&gt;&lt;Year&gt;1999&lt;/Year&gt;&lt;IDText&gt;Pollen tube competition as a mechanism of prezygotic reproductive isolation between Mimulus nasutus and its presumed progenitor M. guttatus&lt;/IDText&gt;&lt;DisplayText&gt;(1999)&lt;/DisplayText&gt;&lt;record&gt;&lt;keywords&gt;&lt;keyword&gt;Biological and medical sciences&lt;/keyword&gt;&lt;keyword&gt;Biology and morphogenesis of the reproductive apparatus. Photoperiodism, vernalisation&lt;/keyword&gt;&lt;keyword&gt;Flowers&lt;/keyword&gt;&lt;keyword&gt;Fundamental and applied biological sciences. Psychology&lt;/keyword&gt;&lt;keyword&gt;Genotypes&lt;/keyword&gt;&lt;keyword&gt;Mimulus&lt;/keyword&gt;&lt;keyword&gt;Plant growth&lt;/keyword&gt;&lt;keyword&gt;Plant physiology and development&lt;/keyword&gt;&lt;keyword&gt;Plants&lt;/keyword&gt;&lt;keyword&gt;Pollen&lt;/keyword&gt;&lt;keyword&gt;pollen competition&lt;/keyword&gt;&lt;keyword&gt;pollen tube growth&lt;/keyword&gt;&lt;keyword&gt;Pollen tubes&lt;/keyword&gt;&lt;keyword&gt;Pollination&lt;/keyword&gt;&lt;keyword&gt;Population growth&lt;/keyword&gt;&lt;keyword&gt;prezygotic barriers&lt;/keyword&gt;&lt;keyword&gt;Reproductive isolation&lt;/keyword&gt;&lt;keyword&gt;Styles&lt;/keyword&gt;&lt;keyword&gt;Vegetative and sexual reproduction, floral biology, fructification&lt;/keyword&gt;&lt;/keywords&gt;&lt;isbn&gt;0028-646X&lt;/isbn&gt;&lt;titles&gt;&lt;title&gt;Pollen tube competition as a mechanism of prezygotic reproductive isolation between Mimulus nasutus and its presumed progenitor M. guttatus&lt;/title&gt;&lt;secondary-title&gt;The New phytologist&lt;/secondary-title&gt;&lt;/titles&gt;&lt;pages&gt;471-478&lt;/pages&gt;&lt;number&gt;3&lt;/number&gt;&lt;contributors&gt;&lt;authors&gt;&lt;author&gt;Diaz, A.&lt;/author&gt;&lt;author&gt;Macnair, M. R.&lt;/author&gt;&lt;/authors&gt;&lt;/contributors&gt;&lt;added-date format="utc"&gt;1652901073&lt;/added-date&gt;&lt;pub-location&gt;Cambridge, UK&lt;/pub-location&gt;&lt;ref-type name="Journal Article"&gt;17&lt;/ref-type&gt;&lt;dates&gt;&lt;year&gt;1999&lt;/year&gt;&lt;/dates&gt;&lt;rec-number&gt;221&lt;/rec-number&gt;&lt;publisher&gt;Cambridge University Press&lt;/publisher&gt;&lt;last-updated-date format="utc"&gt;1652901258&lt;/last-updated-date&gt;&lt;electronic-resource-num&gt;10.1046/j.1469-8137.1999.00543.x&lt;/electronic-resource-num&gt;&lt;volume&gt;144&lt;/volume&gt;&lt;/record&gt;&lt;/Cite&gt;&lt;/EndNote&gt;</w:instrText>
      </w:r>
      <w:r w:rsidRPr="00FF6B53">
        <w:rPr>
          <w:i/>
          <w:iCs/>
        </w:rPr>
        <w:fldChar w:fldCharType="separate"/>
      </w:r>
      <w:r w:rsidRPr="00FF6B53">
        <w:rPr>
          <w:i/>
          <w:iCs/>
          <w:noProof/>
        </w:rPr>
        <w:t>(1999)</w:t>
      </w:r>
      <w:r w:rsidRPr="00FF6B53">
        <w:rPr>
          <w:i/>
          <w:iCs/>
        </w:rPr>
        <w:fldChar w:fldCharType="end"/>
      </w:r>
    </w:p>
    <w:p w14:paraId="13307F4C" w14:textId="77777777" w:rsidR="00135D0A" w:rsidRDefault="00135D0A" w:rsidP="00135D0A">
      <w:pPr>
        <w:pStyle w:val="BodyDoubleSpace05FirstLine"/>
      </w:pPr>
      <w:r>
        <w:t>The flowers with petals removed were stored in Eppendorf tubes (1.5 mL) with ethanol for 24 hours and then washed with deionized water.  The tubes were then filled with 1M NaOH and placed in a heat block at 70°C for 2 minutes to soften the floral structures before a final wash in deionized water. The flowers were then stained in 0.1% aniline blue with 0.1M K</w:t>
      </w:r>
      <w:r>
        <w:rPr>
          <w:vertAlign w:val="subscript"/>
        </w:rPr>
        <w:t>3</w:t>
      </w:r>
      <w:r>
        <w:t>PO</w:t>
      </w:r>
      <w:r>
        <w:rPr>
          <w:vertAlign w:val="subscript"/>
        </w:rPr>
        <w:t>4</w:t>
      </w:r>
      <w:r>
        <w:t xml:space="preserve"> for 24 hours in darkness. </w:t>
      </w:r>
    </w:p>
    <w:p w14:paraId="469034FD" w14:textId="77777777" w:rsidR="00135D0A" w:rsidRPr="00135D0A" w:rsidRDefault="00135D0A" w:rsidP="00135D0A">
      <w:pPr>
        <w:pStyle w:val="GS3"/>
        <w:rPr>
          <w:i/>
          <w:iCs/>
        </w:rPr>
      </w:pPr>
      <w:bookmarkStart w:id="4" w:name="_Toc107827659"/>
      <w:bookmarkStart w:id="5" w:name="_Toc108537021"/>
      <w:r w:rsidRPr="00135D0A">
        <w:rPr>
          <w:i/>
          <w:iCs/>
        </w:rPr>
        <w:t>Post-Pollination Dependent Variables</w:t>
      </w:r>
      <w:bookmarkEnd w:id="4"/>
      <w:bookmarkEnd w:id="5"/>
    </w:p>
    <w:p w14:paraId="254DB876" w14:textId="77777777" w:rsidR="00135D0A" w:rsidRDefault="00135D0A" w:rsidP="00135D0A">
      <w:pPr>
        <w:pStyle w:val="BodyDoubleSpace05FirstLine"/>
      </w:pPr>
      <w:r>
        <w:t xml:space="preserve">We used 40°C to determine how plants differ in germination at high temperatures and whether pollen development in long-term high heat affects pollen germination at high temperatures. One flower from each plant in the treatment group was collected for pollen germination. Pollen was collected from the mature flower, identified by petals in an open position perpendicular to the anthers and a fully developed stigma (if flower was hermaphroditic). Since </w:t>
      </w:r>
      <w:proofErr w:type="spellStart"/>
      <w:r>
        <w:t>horsenettle</w:t>
      </w:r>
      <w:proofErr w:type="spellEnd"/>
      <w:r>
        <w:t xml:space="preserve"> is naturally buzz pollinated, we used a handmade device to vibrate anthers and release pollen directly onto an agar/growth medium contained in petri dishes. We used a 3% </w:t>
      </w:r>
      <w:proofErr w:type="spellStart"/>
      <w:r>
        <w:t>Bacto</w:t>
      </w:r>
      <w:proofErr w:type="spellEnd"/>
      <w:r>
        <w:t>-Agar based growth medium (</w:t>
      </w:r>
      <w:r>
        <w:rPr>
          <w:szCs w:val="24"/>
        </w:rPr>
        <w:t>sucrose, Ca(NO</w:t>
      </w:r>
      <w:r>
        <w:rPr>
          <w:szCs w:val="24"/>
          <w:vertAlign w:val="subscript"/>
        </w:rPr>
        <w:t>3</w:t>
      </w:r>
      <w:r>
        <w:rPr>
          <w:szCs w:val="24"/>
        </w:rPr>
        <w:t>)</w:t>
      </w:r>
      <w:r>
        <w:rPr>
          <w:szCs w:val="24"/>
          <w:vertAlign w:val="subscript"/>
        </w:rPr>
        <w:t>2</w:t>
      </w:r>
      <w:r>
        <w:rPr>
          <w:szCs w:val="24"/>
        </w:rPr>
        <w:t>, MgSO</w:t>
      </w:r>
      <w:r>
        <w:rPr>
          <w:szCs w:val="24"/>
          <w:vertAlign w:val="subscript"/>
        </w:rPr>
        <w:t>4</w:t>
      </w:r>
      <w:r>
        <w:rPr>
          <w:szCs w:val="24"/>
        </w:rPr>
        <w:t>, KNO</w:t>
      </w:r>
      <w:r>
        <w:rPr>
          <w:szCs w:val="24"/>
          <w:vertAlign w:val="subscript"/>
        </w:rPr>
        <w:t>3</w:t>
      </w:r>
      <w:r>
        <w:rPr>
          <w:szCs w:val="24"/>
        </w:rPr>
        <w:t>, H</w:t>
      </w:r>
      <w:r>
        <w:rPr>
          <w:szCs w:val="24"/>
          <w:vertAlign w:val="subscript"/>
        </w:rPr>
        <w:t>3</w:t>
      </w:r>
      <w:r>
        <w:rPr>
          <w:szCs w:val="24"/>
        </w:rPr>
        <w:t>BO</w:t>
      </w:r>
      <w:r>
        <w:rPr>
          <w:szCs w:val="24"/>
          <w:vertAlign w:val="subscript"/>
        </w:rPr>
        <w:t>3</w:t>
      </w:r>
      <w:r>
        <w:rPr>
          <w:szCs w:val="24"/>
        </w:rPr>
        <w:t xml:space="preserve">) following the protocol of Reddy and Kakani </w:t>
      </w:r>
      <w:r>
        <w:rPr>
          <w:szCs w:val="24"/>
        </w:rPr>
        <w:fldChar w:fldCharType="begin"/>
      </w:r>
      <w:r>
        <w:rPr>
          <w:szCs w:val="24"/>
        </w:rPr>
        <w:instrText xml:space="preserve"> ADDIN EN.CITE &lt;EndNote&gt;&lt;Cite ExcludeAuth="1"&gt;&lt;Author&gt;Reddy&lt;/Author&gt;&lt;Year&gt;2007&lt;/Year&gt;&lt;IDText&gt;Screening Capsicum species of different origins for high temperature tolerance by in vitro pollen germination and pollen tube length&lt;/IDText&gt;&lt;DisplayText&gt;(2007)&lt;/DisplayText&gt;&lt;record&gt;&lt;keywords&gt;&lt;keyword&gt;Agronomy. Soil science and plant productions&lt;/keyword&gt;&lt;keyword&gt;Biological and medical sciences&lt;/keyword&gt;&lt;keyword&gt;Capsicum&lt;/keyword&gt;&lt;keyword&gt;Cardinal temperatures&lt;/keyword&gt;&lt;keyword&gt;Cumulative temperature response index&lt;/keyword&gt;&lt;keyword&gt;Fundamental and applied biological sciences. Psychology&lt;/keyword&gt;&lt;keyword&gt;Genetics and breeding of economic plants&lt;/keyword&gt;&lt;keyword&gt;Pepper&lt;/keyword&gt;&lt;keyword&gt;Screening tool&lt;/keyword&gt;&lt;/keywords&gt;&lt;isbn&gt;0304-4238&lt;/isbn&gt;&lt;titles&gt;&lt;title&gt;Screening Capsicum species of different origins for high temperature tolerance by in vitro pollen germination and pollen tube length&lt;/title&gt;&lt;secondary-title&gt;Scientia horticulturae&lt;/secondary-title&gt;&lt;/titles&gt;&lt;pages&gt;130-135&lt;/pages&gt;&lt;number&gt;2&lt;/number&gt;&lt;contributors&gt;&lt;authors&gt;&lt;author&gt;Reddy, K. Raja&lt;/author&gt;&lt;author&gt;Kakani, V. G.&lt;/author&gt;&lt;/authors&gt;&lt;/contributors&gt;&lt;added-date format="utc"&gt;1653330210&lt;/added-date&gt;&lt;pub-location&gt;Amsterdam&lt;/pub-location&gt;&lt;ref-type name="Journal Article"&gt;17&lt;/ref-type&gt;&lt;dates&gt;&lt;year&gt;2007&lt;/year&gt;&lt;/dates&gt;&lt;rec-number&gt;225&lt;/rec-number&gt;&lt;publisher&gt;Elsevier B.V&lt;/publisher&gt;&lt;last-updated-date format="utc"&gt;1653330248&lt;/last-updated-date&gt;&lt;electronic-resource-num&gt;10.1016/j.scienta.2006.12.014&lt;/electronic-resource-num&gt;&lt;volume&gt;112&lt;/volume&gt;&lt;/record&gt;&lt;/Cite&gt;&lt;/EndNote&gt;</w:instrText>
      </w:r>
      <w:r>
        <w:rPr>
          <w:szCs w:val="24"/>
        </w:rPr>
        <w:fldChar w:fldCharType="separate"/>
      </w:r>
      <w:r>
        <w:rPr>
          <w:noProof/>
          <w:szCs w:val="24"/>
        </w:rPr>
        <w:t>(2007)</w:t>
      </w:r>
      <w:r>
        <w:rPr>
          <w:szCs w:val="24"/>
        </w:rPr>
        <w:fldChar w:fldCharType="end"/>
      </w:r>
      <w:r>
        <w:rPr>
          <w:szCs w:val="24"/>
        </w:rPr>
        <w:t xml:space="preserve">. Immediately after dispersal of pollen, the </w:t>
      </w:r>
      <w:r>
        <w:rPr>
          <w:szCs w:val="24"/>
        </w:rPr>
        <w:lastRenderedPageBreak/>
        <w:t>plate was placed in a drying oven at 40</w:t>
      </w:r>
      <w:r>
        <w:t>°C for 16 hours. Three pictures of the pollen on the petri dish were then taken using a microscope mounted with a camera (</w:t>
      </w:r>
      <w:bookmarkStart w:id="6" w:name="_Hlk104466607"/>
      <w:r>
        <w:t>Leica DM500 microscope, Leica ICC50 HD camera) and the LAS EZ 2.1.0 software</w:t>
      </w:r>
      <w:bookmarkEnd w:id="6"/>
      <w:r>
        <w:t xml:space="preserve">. To avoid sampling bias, each petri dish was positioned so pollen visible to the naked eye was under the objective. The petri dish was not repositioned once pollen grains were viewed under magnification. Pollen germination was measured by counting the number of pollen grains that produced tubes of at least half the diameter of the pollen grain. The final pollen germination variable equaled the number of grains germinated divided by the total number of pollen grains assessed. All pollen grains in </w:t>
      </w:r>
      <w:proofErr w:type="gramStart"/>
      <w:r>
        <w:t>a picture</w:t>
      </w:r>
      <w:proofErr w:type="gramEnd"/>
      <w:r>
        <w:t xml:space="preserve"> were counted. The number of pictures used depended on the number required to count at least 100 pollen grains.  </w:t>
      </w:r>
    </w:p>
    <w:p w14:paraId="31AA4595" w14:textId="77777777" w:rsidR="00135D0A" w:rsidRDefault="00135D0A" w:rsidP="00135D0A">
      <w:pPr>
        <w:pStyle w:val="BodyDoubleSpace05FirstLine"/>
      </w:pPr>
      <w:r>
        <w:t>Female reproductive traits measured include fruit set (number of fruits produced / number of flowers</w:t>
      </w:r>
      <w:r w:rsidRPr="00685DEF">
        <w:t xml:space="preserve"> </w:t>
      </w:r>
      <w:r>
        <w:t xml:space="preserve">pollinated) and the number of viable seeds per fruit. Once all flowers for morphological and male performance traits were collected, the subsequent three flowers on each plant were pollinated with a mix of pollen from flowers (2 to 5 flowers on average, north and south represented) in the control treatment. The goal was to isolate the effect of heat during the development of the ovules and ovary, not during the development of the pollen. </w:t>
      </w:r>
      <w:proofErr w:type="spellStart"/>
      <w:r>
        <w:t>Horsenettle</w:t>
      </w:r>
      <w:proofErr w:type="spellEnd"/>
      <w:r>
        <w:t xml:space="preserve"> has a self-incompatibility system, which prevents plants with the same S allele from fertilizing one another. The self-incompatibility system is a measure to prevent inbreeding. We mixed pollen from multiple populations from the north and south to ensure that there was the opportunity for fertilization. The flowers were pollinated by applying the mixture of pollen on the stigma with a probe and labeling the flower with a jewelry tag. Once flowers were pollinated, the plant remained in the treatment for one week before we moved them into a greenhouse for the fruit to finish development (Average Daily Temperatures 25.08°</w:t>
      </w:r>
      <w:proofErr w:type="gramStart"/>
      <w:r>
        <w:t>C day</w:t>
      </w:r>
      <w:proofErr w:type="gramEnd"/>
      <w:r>
        <w:t xml:space="preserve"> / 21.31°C night). </w:t>
      </w:r>
    </w:p>
    <w:p w14:paraId="6C3C403D" w14:textId="77777777" w:rsidR="00135D0A" w:rsidRDefault="00135D0A" w:rsidP="00135D0A">
      <w:pPr>
        <w:pStyle w:val="BodyDoubleSpace05FirstLine"/>
      </w:pPr>
      <w:r>
        <w:lastRenderedPageBreak/>
        <w:t>Once fruits were at least one month old, they were harvested. The number of viable seeds, aborted seeds, and unfertilized ovules were counted under a dissecting scope. The variables used as measures of female performance were fruit set and seed set. Fruit set was the number of fruits produced divided by the number of flowers pollinated, which was three for all plants. Viable seed number is the number of seeds produced per fruit.</w:t>
      </w:r>
    </w:p>
    <w:p w14:paraId="34CE367B" w14:textId="77777777" w:rsidR="00135D0A" w:rsidRDefault="00135D0A" w:rsidP="00135D0A">
      <w:pPr>
        <w:pStyle w:val="GS4"/>
        <w:spacing w:line="360" w:lineRule="auto"/>
        <w:rPr>
          <w:i w:val="0"/>
          <w:iCs/>
        </w:rPr>
      </w:pPr>
    </w:p>
    <w:p w14:paraId="77116443" w14:textId="430869C3" w:rsidR="00135D0A" w:rsidRPr="00135D0A" w:rsidRDefault="00135D0A" w:rsidP="00135D0A">
      <w:pPr>
        <w:pStyle w:val="GS4"/>
        <w:spacing w:line="360" w:lineRule="auto"/>
        <w:rPr>
          <w:i w:val="0"/>
          <w:iCs/>
        </w:rPr>
      </w:pPr>
      <w:r>
        <w:rPr>
          <w:i w:val="0"/>
          <w:iCs/>
        </w:rPr>
        <w:t xml:space="preserve">Experiment 2: Vegetative traits </w:t>
      </w:r>
    </w:p>
    <w:p w14:paraId="7735B74C" w14:textId="1D4E69EE" w:rsidR="00FD33AF" w:rsidRDefault="00FD33AF" w:rsidP="00FD33AF">
      <w:pPr>
        <w:pStyle w:val="GS4"/>
        <w:spacing w:line="360" w:lineRule="auto"/>
      </w:pPr>
      <w:r>
        <w:t>Cell Membrane Stability</w:t>
      </w:r>
    </w:p>
    <w:p w14:paraId="62C5DFEF" w14:textId="77777777" w:rsidR="00FD33AF" w:rsidRDefault="00FD33AF" w:rsidP="00FD33AF">
      <w:pPr>
        <w:pStyle w:val="BodyDoubleSpace05FirstLine"/>
      </w:pPr>
      <w:proofErr w:type="gramStart"/>
      <w:r>
        <w:t>In order to</w:t>
      </w:r>
      <w:proofErr w:type="gramEnd"/>
      <w:r>
        <w:t xml:space="preserve"> estimate tolerance of leaves to both heat and cold, we examined the cellular stability of leaf material when exposed to relatively high and low temperatures.  We used a handheld conductivity meter to measure cell membrane stability (CMS) of leaves after a temperature treatment following the protocol of </w:t>
      </w:r>
      <w:proofErr w:type="spellStart"/>
      <w:r>
        <w:t>Gajanayake</w:t>
      </w:r>
      <w:proofErr w:type="spellEnd"/>
      <w:r>
        <w:t xml:space="preserve"> et al. </w:t>
      </w:r>
      <w:r>
        <w:fldChar w:fldCharType="begin"/>
      </w:r>
      <w:r>
        <w:instrText xml:space="preserve"> ADDIN EN.CITE &lt;EndNote&gt;&lt;Cite ExcludeAuth="1"&gt;&lt;Author&gt;Gajanayake&lt;/Author&gt;&lt;Year&gt;2011&lt;/Year&gt;&lt;IDText&gt;Screening Ornamental Pepper Cultivars for Temperature Tolerance Using Pollen and Physiological Parameters&lt;/IDText&gt;&lt;DisplayText&gt;(2011)&lt;/DisplayText&gt;&lt;record&gt;&lt;isbn&gt;0018-5345&lt;/isbn&gt;&lt;titles&gt;&lt;title&gt;Screening Ornamental Pepper Cultivars for Temperature Tolerance Using Pollen and Physiological Parameters&lt;/title&gt;&lt;secondary-title&gt;HortScience&lt;/secondary-title&gt;&lt;/titles&gt;&lt;pages&gt;878-884&lt;/pages&gt;&lt;number&gt;6&lt;/number&gt;&lt;contributors&gt;&lt;authors&gt;&lt;author&gt;Gajanayake, Bandara&lt;/author&gt;&lt;author&gt;Trader, Brian W.&lt;/author&gt;&lt;author&gt;Reddy, K. Raja&lt;/author&gt;&lt;author&gt;Harkess, Richard L.&lt;/author&gt;&lt;/authors&gt;&lt;/contributors&gt;&lt;added-date format="utc"&gt;1606405416&lt;/added-date&gt;&lt;ref-type name="Journal Article"&gt;17&lt;/ref-type&gt;&lt;dates&gt;&lt;year&gt;2011&lt;/year&gt;&lt;/dates&gt;&lt;rec-number&gt;48&lt;/rec-number&gt;&lt;last-updated-date format="utc"&gt;1606405416&lt;/last-updated-date&gt;&lt;electronic-resource-num&gt;10.21273/HORTSCI.46.6.878&lt;/electronic-resource-num&gt;&lt;volume&gt;46&lt;/volume&gt;&lt;/record&gt;&lt;/Cite&gt;&lt;/EndNote&gt;</w:instrText>
      </w:r>
      <w:r>
        <w:fldChar w:fldCharType="separate"/>
      </w:r>
      <w:r>
        <w:rPr>
          <w:noProof/>
        </w:rPr>
        <w:t>(2011)</w:t>
      </w:r>
      <w:r>
        <w:fldChar w:fldCharType="end"/>
      </w:r>
      <w:r>
        <w:t xml:space="preserve"> and Fang and To </w:t>
      </w:r>
      <w:r>
        <w:fldChar w:fldCharType="begin"/>
      </w:r>
      <w:r>
        <w:instrText xml:space="preserve"> ADDIN EN.CITE &lt;EndNote&gt;&lt;Cite ExcludeAuth="1"&gt;&lt;Author&gt;Fang&lt;/Author&gt;&lt;Year&gt;2016&lt;/Year&gt;&lt;IDText&gt;Heat tolerance evaluation in commercial African violet cultivars using physiological and pollen parameters&lt;/IDText&gt;&lt;DisplayText&gt;(2016)&lt;/DisplayText&gt;&lt;record&gt;&lt;keywords&gt;&lt;keyword&gt;Individual stress response index&lt;/keyword&gt;&lt;keyword&gt;Cumulative temperature response index&lt;/keyword&gt;&lt;keyword&gt;Saintpaulia ionantha&lt;/keyword&gt;&lt;keyword&gt;Heat stress&lt;/keyword&gt;&lt;keyword&gt;International cooperation&lt;/keyword&gt;&lt;keyword&gt;Cultivars&lt;/keyword&gt;&lt;/keywords&gt;&lt;isbn&gt;0304-4238&lt;/isbn&gt;&lt;titles&gt;&lt;title&gt;Heat tolerance evaluation in commercial African violet cultivars using physiological and pollen parameters&lt;/title&gt;&lt;secondary-title&gt;Scientia horticulturae&lt;/secondary-title&gt;&lt;/titles&gt;&lt;pages&gt;33-40&lt;/pages&gt;&lt;contributors&gt;&lt;authors&gt;&lt;author&gt;Fang, Jong-Yi&lt;/author&gt;&lt;author&gt;To, Nhu Ai&lt;/author&gt;&lt;/authors&gt;&lt;/contributors&gt;&lt;added-date format="utc"&gt;1606522658&lt;/added-date&gt;&lt;ref-type name="Journal Article"&gt;17&lt;/ref-type&gt;&lt;dates&gt;&lt;year&gt;2016&lt;/year&gt;&lt;/dates&gt;&lt;rec-number&gt;54&lt;/rec-number&gt;&lt;publisher&gt;Elsevier B.V&lt;/publisher&gt;&lt;last-updated-date format="utc"&gt;1606522658&lt;/last-updated-date&gt;&lt;electronic-resource-num&gt;10.1016/j.scienta.2016.03.034&lt;/electronic-resource-num&gt;&lt;volume&gt;204&lt;/volume&gt;&lt;/record&gt;&lt;/Cite&gt;&lt;/EndNote&gt;</w:instrText>
      </w:r>
      <w:r>
        <w:fldChar w:fldCharType="separate"/>
      </w:r>
      <w:r>
        <w:rPr>
          <w:noProof/>
        </w:rPr>
        <w:t>(2016)</w:t>
      </w:r>
      <w:r>
        <w:fldChar w:fldCharType="end"/>
      </w:r>
      <w:r>
        <w:t xml:space="preserve">. Two large, intact leaves were removed from the middle of a plant and rinsed with deionized water. One leaf was used for the high temperature treatment and the second leaf was used for the cold temperature treatment. Twenty rounds per leaf were punched from each leaf with a hole puncher. Ten of the 20 leaf rounds were placed in a test tube for each temperature treatment (high or low) and 10 were placed in a test tube for a control treatment. </w:t>
      </w:r>
    </w:p>
    <w:p w14:paraId="5C2CC171" w14:textId="77777777" w:rsidR="00FD33AF" w:rsidRDefault="00FD33AF" w:rsidP="00FD33AF">
      <w:pPr>
        <w:pStyle w:val="BodyDoubleSpace05FirstLine"/>
      </w:pPr>
      <w:r>
        <w:t xml:space="preserve">Prior to the high temperature treatment, 10 mL of deionized water was added to the control and temperature treatment test tubes. The high temperature treatment test tubes were placed in a water bath at 55°C for 20 minutes, while the control test tubes were left at room temperature. After exposure to heat, the heat treatment tube was moved to room temperature for 10 minutes prior to the first conductivity measurement. </w:t>
      </w:r>
    </w:p>
    <w:p w14:paraId="3C06024A" w14:textId="77777777" w:rsidR="00FD33AF" w:rsidRDefault="00FD33AF" w:rsidP="00FD33AF">
      <w:pPr>
        <w:pStyle w:val="BodyDoubleSpace05FirstLine"/>
      </w:pPr>
      <w:r>
        <w:t xml:space="preserve">The low temperature treatment test tubes were placed without water at 10°C for 24 hours followed by 24 hours at 4°C to acclimate the leaf rounds to cooler temperatures. The treatment </w:t>
      </w:r>
      <w:r>
        <w:lastRenderedPageBreak/>
        <w:t xml:space="preserve">tubes were then placed at -18°C for 1 hour. The control treatment tubes remained at room temperature for </w:t>
      </w:r>
      <w:proofErr w:type="gramStart"/>
      <w:r>
        <w:t>the total</w:t>
      </w:r>
      <w:proofErr w:type="gramEnd"/>
      <w:r>
        <w:t xml:space="preserve"> 49 hours. After the temperature treatment, 10 mL of deionized water were added to all tubes for both the treatment and control. The tubes were placed at room temperature for 1 hour prior to the first conductivity measurement. </w:t>
      </w:r>
    </w:p>
    <w:p w14:paraId="4D929C7C" w14:textId="77777777" w:rsidR="00FD33AF" w:rsidRDefault="00FD33AF" w:rsidP="00FD33AF">
      <w:pPr>
        <w:pStyle w:val="BodyDoubleSpace05FirstLine"/>
      </w:pPr>
      <w:r>
        <w:t>All tubes were then subjected to a maximum damage treatment after the first conductivity measurements to quantify maximum conductivity for each sample. All test tubes were placed in a water bath at 98°C for 1 hour and then left to cool at room temperature for 15 minutes before the second conductivity measurement.</w:t>
      </w:r>
    </w:p>
    <w:p w14:paraId="0C8A2574" w14:textId="77777777" w:rsidR="00FD33AF" w:rsidRDefault="00FD33AF" w:rsidP="00FD33AF">
      <w:pPr>
        <w:pStyle w:val="BodyDoubleSpace05FirstLine"/>
      </w:pPr>
      <w:r>
        <w:t xml:space="preserve">The cell membrane stability value (CMS) used for data analysis was calculated as one minus the proportion of treatment final conductivity to treatment group maximum conductivity divided by one minus the proportion of control final conductivity to control group maximum conductivity. Thus, larger values correspond with higher tolerance to temperature stress </w:t>
      </w:r>
      <w:r>
        <w:fldChar w:fldCharType="begin"/>
      </w:r>
      <w:r>
        <w:instrText xml:space="preserve"> ADDIN EN.CITE &lt;EndNote&gt;&lt;Cite&gt;&lt;Author&gt;Gajanayake&lt;/Author&gt;&lt;Year&gt;2011&lt;/Year&gt;&lt;IDText&gt;Screening Ornamental Pepper Cultivars for Temperature Tolerance Using Pollen and Physiological Parameters&lt;/IDText&gt;&lt;DisplayText&gt;(Gajanayake et al. 2011)&lt;/DisplayText&gt;&lt;record&gt;&lt;isbn&gt;0018-5345&lt;/isbn&gt;&lt;titles&gt;&lt;title&gt;Screening Ornamental Pepper Cultivars for Temperature Tolerance Using Pollen and Physiological Parameters&lt;/title&gt;&lt;secondary-title&gt;HortScience&lt;/secondary-title&gt;&lt;/titles&gt;&lt;pages&gt;878-884&lt;/pages&gt;&lt;number&gt;6&lt;/number&gt;&lt;contributors&gt;&lt;authors&gt;&lt;author&gt;Gajanayake, Bandara&lt;/author&gt;&lt;author&gt;Trader, Brian W.&lt;/author&gt;&lt;author&gt;Reddy, K. Raja&lt;/author&gt;&lt;author&gt;Harkess, Richard L.&lt;/author&gt;&lt;/authors&gt;&lt;/contributors&gt;&lt;added-date format="utc"&gt;1606405416&lt;/added-date&gt;&lt;ref-type name="Journal Article"&gt;17&lt;/ref-type&gt;&lt;dates&gt;&lt;year&gt;2011&lt;/year&gt;&lt;/dates&gt;&lt;rec-number&gt;48&lt;/rec-number&gt;&lt;last-updated-date format="utc"&gt;1606405416&lt;/last-updated-date&gt;&lt;electronic-resource-num&gt;10.21273/HORTSCI.46.6.878&lt;/electronic-resource-num&gt;&lt;volume&gt;46&lt;/volume&gt;&lt;/record&gt;&lt;/Cite&gt;&lt;/EndNote&gt;</w:instrText>
      </w:r>
      <w:r>
        <w:fldChar w:fldCharType="separate"/>
      </w:r>
      <w:r>
        <w:rPr>
          <w:noProof/>
        </w:rPr>
        <w:t>(Gajanayake et al. 2011)</w:t>
      </w:r>
      <w:r>
        <w:fldChar w:fldCharType="end"/>
      </w:r>
      <w:r>
        <w:t>.</w:t>
      </w:r>
    </w:p>
    <w:p w14:paraId="2ACB95E7" w14:textId="77777777" w:rsidR="00FD33AF" w:rsidRPr="002D1B0F" w:rsidRDefault="00FD33AF" w:rsidP="00FD33AF">
      <w:pPr>
        <w:pStyle w:val="Figure"/>
        <w:spacing w:line="360" w:lineRule="auto"/>
        <w:rPr>
          <w:iCs/>
        </w:rPr>
      </w:pPr>
      <m:oMathPara>
        <m:oMath>
          <m:r>
            <m:rPr>
              <m:sty m:val="p"/>
            </m:rPr>
            <w:rPr>
              <w:rFonts w:ascii="Cambria Math" w:eastAsiaTheme="minorEastAsia" w:hAnsi="Cambria Math"/>
            </w:rPr>
            <m:t>CMS</m:t>
          </m:r>
          <m:r>
            <m:rPr>
              <m:sty m:val="p"/>
            </m:rPr>
            <w:rPr>
              <w:rFonts w:ascii="Cambria Math" w:hAnsi="Cambria Math"/>
            </w:rPr>
            <m:t xml:space="preserve">= </m:t>
          </m:r>
          <m:f>
            <m:fPr>
              <m:ctrlPr>
                <w:rPr>
                  <w:rFonts w:ascii="Cambria Math" w:hAnsi="Cambria Math"/>
                  <w:iCs/>
                </w:rPr>
              </m:ctrlPr>
            </m:fPr>
            <m:num>
              <m:f>
                <m:fPr>
                  <m:type m:val="lin"/>
                  <m:ctrlPr>
                    <w:rPr>
                      <w:rFonts w:ascii="Cambria Math" w:hAnsi="Cambria Math"/>
                      <w:iCs/>
                    </w:rPr>
                  </m:ctrlPr>
                </m:fPr>
                <m:num>
                  <m:sSub>
                    <m:sSubPr>
                      <m:ctrlPr>
                        <w:rPr>
                          <w:rFonts w:ascii="Cambria Math" w:hAnsi="Cambria Math"/>
                          <w:iCs/>
                        </w:rPr>
                      </m:ctrlPr>
                    </m:sSubPr>
                    <m:e>
                      <m:r>
                        <m:rPr>
                          <m:sty m:val="p"/>
                        </m:rPr>
                        <w:rPr>
                          <w:rFonts w:ascii="Cambria Math" w:hAnsi="Cambria Math"/>
                        </w:rPr>
                        <m:t>1-(Treatment</m:t>
                      </m:r>
                    </m:e>
                    <m:sub>
                      <m:r>
                        <m:rPr>
                          <m:sty m:val="p"/>
                        </m:rPr>
                        <w:rPr>
                          <w:rFonts w:ascii="Cambria Math" w:hAnsi="Cambria Math"/>
                        </w:rPr>
                        <m:t>value</m:t>
                      </m:r>
                    </m:sub>
                  </m:sSub>
                </m:num>
                <m:den>
                  <m:sSub>
                    <m:sSubPr>
                      <m:ctrlPr>
                        <w:rPr>
                          <w:rFonts w:ascii="Cambria Math" w:hAnsi="Cambria Math"/>
                          <w:iCs/>
                        </w:rPr>
                      </m:ctrlPr>
                    </m:sSubPr>
                    <m:e>
                      <m:r>
                        <m:rPr>
                          <m:sty m:val="p"/>
                        </m:rPr>
                        <w:rPr>
                          <w:rFonts w:ascii="Cambria Math" w:hAnsi="Cambria Math"/>
                        </w:rPr>
                        <m:t>Treatment</m:t>
                      </m:r>
                    </m:e>
                    <m:sub>
                      <m:r>
                        <m:rPr>
                          <m:sty m:val="p"/>
                        </m:rPr>
                        <w:rPr>
                          <w:rFonts w:ascii="Cambria Math" w:hAnsi="Cambria Math"/>
                        </w:rPr>
                        <m:t>max</m:t>
                      </m:r>
                    </m:sub>
                  </m:sSub>
                  <m:r>
                    <m:rPr>
                      <m:sty m:val="p"/>
                    </m:rPr>
                    <w:rPr>
                      <w:rFonts w:ascii="Cambria Math" w:hAnsi="Cambria Math"/>
                    </w:rPr>
                    <m:t>)</m:t>
                  </m:r>
                </m:den>
              </m:f>
            </m:num>
            <m:den>
              <m:r>
                <m:rPr>
                  <m:sty m:val="p"/>
                </m:rPr>
                <w:rPr>
                  <w:rFonts w:ascii="Cambria Math" w:hAnsi="Cambria Math"/>
                </w:rPr>
                <m:t>1-(</m:t>
              </m:r>
              <m:f>
                <m:fPr>
                  <m:type m:val="lin"/>
                  <m:ctrlPr>
                    <w:rPr>
                      <w:rFonts w:ascii="Cambria Math" w:hAnsi="Cambria Math"/>
                      <w:iCs/>
                    </w:rPr>
                  </m:ctrlPr>
                </m:fPr>
                <m:num>
                  <m:sSub>
                    <m:sSubPr>
                      <m:ctrlPr>
                        <w:rPr>
                          <w:rFonts w:ascii="Cambria Math" w:hAnsi="Cambria Math"/>
                          <w:iCs/>
                        </w:rPr>
                      </m:ctrlPr>
                    </m:sSubPr>
                    <m:e>
                      <m:r>
                        <m:rPr>
                          <m:sty m:val="p"/>
                        </m:rPr>
                        <w:rPr>
                          <w:rFonts w:ascii="Cambria Math" w:hAnsi="Cambria Math"/>
                        </w:rPr>
                        <m:t>Control</m:t>
                      </m:r>
                    </m:e>
                    <m:sub>
                      <m:r>
                        <m:rPr>
                          <m:sty m:val="p"/>
                        </m:rPr>
                        <w:rPr>
                          <w:rFonts w:ascii="Cambria Math" w:hAnsi="Cambria Math"/>
                        </w:rPr>
                        <m:t>value</m:t>
                      </m:r>
                    </m:sub>
                  </m:sSub>
                </m:num>
                <m:den>
                  <m:sSub>
                    <m:sSubPr>
                      <m:ctrlPr>
                        <w:rPr>
                          <w:rFonts w:ascii="Cambria Math" w:hAnsi="Cambria Math"/>
                          <w:iCs/>
                        </w:rPr>
                      </m:ctrlPr>
                    </m:sSubPr>
                    <m:e>
                      <m:r>
                        <m:rPr>
                          <m:sty m:val="p"/>
                        </m:rPr>
                        <w:rPr>
                          <w:rFonts w:ascii="Cambria Math" w:hAnsi="Cambria Math"/>
                        </w:rPr>
                        <m:t>Control</m:t>
                      </m:r>
                    </m:e>
                    <m:sub>
                      <m:r>
                        <m:rPr>
                          <m:sty m:val="p"/>
                        </m:rPr>
                        <w:rPr>
                          <w:rFonts w:ascii="Cambria Math" w:hAnsi="Cambria Math"/>
                        </w:rPr>
                        <m:t>max</m:t>
                      </m:r>
                    </m:sub>
                  </m:sSub>
                  <m:r>
                    <m:rPr>
                      <m:sty m:val="p"/>
                    </m:rPr>
                    <w:rPr>
                      <w:rFonts w:ascii="Cambria Math" w:hAnsi="Cambria Math"/>
                    </w:rPr>
                    <m:t>)</m:t>
                  </m:r>
                </m:den>
              </m:f>
            </m:den>
          </m:f>
        </m:oMath>
      </m:oMathPara>
    </w:p>
    <w:p w14:paraId="5F4292B0" w14:textId="77777777" w:rsidR="00FD33AF" w:rsidRDefault="00FD33AF" w:rsidP="00FD33AF">
      <w:pPr>
        <w:pStyle w:val="GS4"/>
        <w:spacing w:line="360" w:lineRule="auto"/>
      </w:pPr>
      <w:r>
        <w:t>Chlorophyll Content Stability</w:t>
      </w:r>
    </w:p>
    <w:p w14:paraId="180246A0" w14:textId="77777777" w:rsidR="00FD33AF" w:rsidRDefault="00FD33AF" w:rsidP="00FD33AF">
      <w:pPr>
        <w:pStyle w:val="BodyDoubleSpace05FirstLine"/>
      </w:pPr>
      <w:r>
        <w:t xml:space="preserve">Mishra et al. </w:t>
      </w:r>
      <w:r>
        <w:fldChar w:fldCharType="begin"/>
      </w:r>
      <w:r>
        <w:instrText xml:space="preserve"> ADDIN EN.CITE &lt;EndNote&gt;&lt;Cite ExcludeAuth="1"&gt;&lt;Author&gt;Mishra&lt;/Author&gt;&lt;Year&gt;2011&lt;/Year&gt;&lt;IDText&gt;Chlorophyll fluorescence emission as a reporter on cold tolerance in Arabidopsis thaliana accessions&lt;/IDText&gt;&lt;DisplayText&gt;(2011)&lt;/DisplayText&gt;&lt;record&gt;&lt;keywords&gt;&lt;keyword&gt;Binding&lt;/keyword&gt;&lt;keyword&gt;Proteins&lt;/keyword&gt;&lt;keyword&gt;Landes&lt;/keyword&gt;&lt;keyword&gt;Calcium&lt;/keyword&gt;&lt;keyword&gt;Bioscience&lt;/keyword&gt;&lt;keyword&gt;Biology&lt;/keyword&gt;&lt;keyword&gt;Cell&lt;/keyword&gt;&lt;keyword&gt;Cycle&lt;/keyword&gt;&lt;keyword&gt;Cancer&lt;/keyword&gt;&lt;keyword&gt;Organogenesis&lt;/keyword&gt;&lt;keyword&gt;Arabidopsis - physiology&lt;/keyword&gt;&lt;keyword&gt;Cold Temperature&lt;/keyword&gt;&lt;keyword&gt;Stress, Physiological&lt;/keyword&gt;&lt;keyword&gt;Electrolytes - metabolism&lt;/keyword&gt;&lt;keyword&gt;Fluorescence&lt;/keyword&gt;&lt;keyword&gt;Acclimatization&lt;/keyword&gt;&lt;keyword&gt;Chlorophyll - physiology&lt;/keyword&gt;&lt;keyword&gt;Index Medicus&lt;/keyword&gt;&lt;keyword&gt;Research Paper&lt;/keyword&gt;&lt;keyword&gt;cold acclimation&lt;/keyword&gt;&lt;keyword&gt;natural accessions&lt;/keyword&gt;&lt;keyword&gt;electrolyte leakage&lt;/keyword&gt;&lt;keyword&gt;chlorophyll fluorescence&lt;/keyword&gt;&lt;keyword&gt;high-throughput screening&lt;/keyword&gt;&lt;/keywords&gt;&lt;urls&gt;&lt;related-urls&gt;&lt;/related-urls&gt;&lt;/urls&gt;&lt;isbn&gt;1559-2316&lt;/isbn&gt;&lt;titles&gt;&lt;title&gt;Chlorophyll fluorescence emission as a reporter on cold tolerance in Arabidopsis thaliana accessions&lt;/title&gt;&lt;secondary-title&gt;Plant signaling &amp;amp; behavior&lt;/secondary-title&gt;&lt;/titles&gt;&lt;pages&gt;301-310&lt;/pages&gt;&lt;number&gt;2&lt;/number&gt;&lt;contributors&gt;&lt;authors&gt;&lt;author&gt;Mishra, Anamika&lt;/author&gt;&lt;author&gt;Mishra, Kumud B.&lt;/author&gt;&lt;author&gt;Höermiller, Imke I.&lt;/author&gt;&lt;author&gt;Heyer, Arnd G.&lt;/author&gt;&lt;author&gt;Nedbal, Ladislav&lt;/author&gt;&lt;/authors&gt;&lt;/contributors&gt;&lt;added-date format="utc"&gt;1606407650&lt;/added-date&gt;&lt;pub-location&gt;United States&lt;/pub-location&gt;&lt;ref-type name="Journal Article"&gt;17&lt;/ref-type&gt;&lt;dates&gt;&lt;year&gt;2011&lt;/year&gt;&lt;/dates&gt;&lt;rec-number&gt;582&lt;/rec-number&gt;&lt;publisher&gt;Taylor &amp;amp; Francis&lt;/publisher&gt;&lt;last-updated-date format="utc"&gt;1638225323&lt;/last-updated-date&gt;&lt;electronic-resource-num&gt;10.4161/psb.6.2.15278&lt;/electronic-resource-num&gt;&lt;volume&gt;6&lt;/volume&gt;&lt;/record&gt;&lt;/Cite&gt;&lt;/EndNote&gt;</w:instrText>
      </w:r>
      <w:r>
        <w:fldChar w:fldCharType="separate"/>
      </w:r>
      <w:r>
        <w:rPr>
          <w:noProof/>
        </w:rPr>
        <w:t>(2011)</w:t>
      </w:r>
      <w:r>
        <w:fldChar w:fldCharType="end"/>
      </w:r>
      <w:r>
        <w:t xml:space="preserve"> reported on the use of chlorophyll fluorescence as a measure of cold tolerance and Wahid et al. </w:t>
      </w:r>
      <w:r>
        <w:fldChar w:fldCharType="begin"/>
      </w:r>
      <w:r>
        <w:instrText xml:space="preserve"> ADDIN EN.CITE &lt;EndNote&gt;&lt;Cite ExcludeAuth="1"&gt;&lt;Author&gt;Wahid&lt;/Author&gt;&lt;Year&gt;2007&lt;/Year&gt;&lt;IDText&gt;Heat tolerance in plants: An overview&lt;/IDText&gt;&lt;DisplayText&gt;(2007)&lt;/DisplayText&gt;&lt;record&gt;&lt;dates&gt;&lt;pub-dates&gt;&lt;date&gt;2007-12-01&lt;/date&gt;&lt;/pub-dates&gt;&lt;year&gt;2007&lt;/year&gt;&lt;/dates&gt;&lt;isbn&gt;0098-8472&lt;/isbn&gt;&lt;titles&gt;&lt;title&gt;Heat tolerance in plants: An overview&lt;/title&gt;&lt;secondary-title&gt;Environmental and Experimental Botany&lt;/secondary-title&gt;&lt;/titles&gt;&lt;pages&gt;199-223&lt;/pages&gt;&lt;number&gt;3&lt;/number&gt;&lt;access-date&gt;2021-09-23T19:42:19&lt;/access-date&gt;&lt;contributors&gt;&lt;authors&gt;&lt;author&gt;Wahid, A&lt;/author&gt;&lt;author&gt;Gelani, S&lt;/author&gt;&lt;author&gt;Ashraf, M&lt;/author&gt;&lt;author&gt;Foolad, M&lt;/author&gt;&lt;/authors&gt;&lt;/contributors&gt;&lt;added-date format="utc"&gt;1632426145&lt;/added-date&gt;&lt;ref-type name="Journal Article"&gt;17&lt;/ref-type&gt;&lt;rec-number&gt;104&lt;/rec-number&gt;&lt;publisher&gt;Elsevier BV&lt;/publisher&gt;&lt;last-updated-date format="utc"&gt;1632426146&lt;/last-updated-date&gt;&lt;electronic-resource-num&gt;10.1016/j.envexpbot.2007.05.011&lt;/electronic-resource-num&gt;&lt;volume&gt;61&lt;/volume&gt;&lt;/record&gt;&lt;/Cite&gt;&lt;/EndNote&gt;</w:instrText>
      </w:r>
      <w:r>
        <w:fldChar w:fldCharType="separate"/>
      </w:r>
      <w:r>
        <w:rPr>
          <w:noProof/>
        </w:rPr>
        <w:t>(2007)</w:t>
      </w:r>
      <w:r>
        <w:fldChar w:fldCharType="end"/>
      </w:r>
      <w:r>
        <w:t xml:space="preserve"> discussed the correlation between chlorophyll fluorescence and heat tolerance. We were interested in both cold and heat tolerance in this study. We used a chlorophyll meter (Opti-Sciences CCM-300) to measure chlorophyll content. The chlorophyll meter measures the fluorescence emitted at 735nm/700nm for a constant leaf area and uses a ratio based on experiments by </w:t>
      </w:r>
      <w:proofErr w:type="spellStart"/>
      <w:r>
        <w:t>Gittelson</w:t>
      </w:r>
      <w:proofErr w:type="spellEnd"/>
      <w:r>
        <w:t xml:space="preserve"> et al. </w:t>
      </w:r>
      <w:r>
        <w:fldChar w:fldCharType="begin"/>
      </w:r>
      <w:r>
        <w:instrText xml:space="preserve"> ADDIN EN.CITE &lt;EndNote&gt;&lt;Cite ExcludeAuth="1"&gt;&lt;Author&gt;Anatoly&lt;/Author&gt;&lt;Year&gt;1998&lt;/Year&gt;&lt;IDText&gt;Leaf chlorophyll fluorescence corrected for re-absorption by means of absorption and reflectance measurements&lt;/IDText&gt;&lt;DisplayText&gt;(1998)&lt;/DisplayText&gt;&lt;record&gt;&lt;isbn&gt;0176-1617&lt;/isbn&gt;&lt;titles&gt;&lt;title&gt;Leaf chlorophyll fluorescence corrected for re-absorption by means of absorption and reflectance measurements&lt;/title&gt;&lt;secondary-title&gt;Journal of plant physiology.&lt;/secondary-title&gt;&lt;/titles&gt;&lt;pages&gt;283&lt;/pages&gt;&lt;number&gt;2-3&lt;/number&gt;&lt;contributors&gt;&lt;authors&gt;&lt;author&gt;Anatoly A.   Gitelson&lt;/author&gt;&lt;author&gt;Claus   Buschmann&lt;/author&gt;&lt;author&gt;Hartmut K.   Lichtenthaler&lt;/author&gt;&lt;/authors&gt;&lt;/contributors&gt;&lt;added-date format="utc"&gt;1655147176&lt;/added-date&gt;&lt;pub-location&gt;Stuttgart ; New York :&lt;/pub-location&gt;&lt;ref-type name="Journal Article"&gt;17&lt;/ref-type&gt;&lt;dates&gt;&lt;year&gt;1998&lt;/year&gt;&lt;/dates&gt;&lt;rec-number&gt;264&lt;/rec-number&gt;&lt;publisher&gt;G Fischer&lt;/publisher&gt;&lt;last-updated-date format="utc"&gt;1655147422&lt;/last-updated-date&gt;&lt;electronic-resource-num&gt;10.1016/S0176-1617(98)80143-0&lt;/electronic-resource-num&gt;&lt;volume&gt;152&lt;/volume&gt;&lt;/record&gt;&lt;/Cite&gt;&lt;/EndNote&gt;</w:instrText>
      </w:r>
      <w:r>
        <w:fldChar w:fldCharType="separate"/>
      </w:r>
      <w:r>
        <w:rPr>
          <w:noProof/>
        </w:rPr>
        <w:t>(1998)</w:t>
      </w:r>
      <w:r>
        <w:fldChar w:fldCharType="end"/>
      </w:r>
      <w:r>
        <w:t xml:space="preserve"> to measure chlorophyll content in mg/m</w:t>
      </w:r>
      <w:r>
        <w:rPr>
          <w:vertAlign w:val="superscript"/>
        </w:rPr>
        <w:t>2</w:t>
      </w:r>
      <w:r>
        <w:t xml:space="preserve">. Two intact leaves were removed from the middle of the plant. One leaf was used for the heat treatment and the other was used for the cold treatment. Each leaf was cut in half and placed in a </w:t>
      </w:r>
      <w:r>
        <w:lastRenderedPageBreak/>
        <w:t xml:space="preserve">labeled petri dish. One half was placed in the treatment temperature and the other half was placed in a control setting at room temperature. The chlorophyll content was measured for both halves before and after the temperature treatment. </w:t>
      </w:r>
    </w:p>
    <w:p w14:paraId="2A5C360D" w14:textId="77777777" w:rsidR="00FD33AF" w:rsidRDefault="00FD33AF" w:rsidP="00FD33AF">
      <w:pPr>
        <w:pStyle w:val="BodyDoubleSpace05FirstLine"/>
      </w:pPr>
      <w:r>
        <w:t>The high temperature treatment was 60°C for 1 hour. The leaf halves in the cold treatment were subjected to 4°C for 1 hour followed by 1 hour in -18°C. The leaf halves were moved to room temperature for two hours prior to the second cold treatment measurement. Leaves in all treatments were kept in complete darkness.</w:t>
      </w:r>
    </w:p>
    <w:p w14:paraId="2E9266F7" w14:textId="77777777" w:rsidR="00FD33AF" w:rsidRDefault="00FD33AF" w:rsidP="00FD33AF">
      <w:pPr>
        <w:pStyle w:val="BodyDoubleSpace05FirstLine"/>
      </w:pPr>
      <w:r w:rsidRPr="00E83544">
        <w:t xml:space="preserve">To control </w:t>
      </w:r>
      <w:proofErr w:type="gramStart"/>
      <w:r w:rsidRPr="00E83544">
        <w:t>for</w:t>
      </w:r>
      <w:proofErr w:type="gramEnd"/>
      <w:r w:rsidRPr="00E83544">
        <w:t xml:space="preserve"> initial variation in chlorophyll among individuals, we</w:t>
      </w:r>
      <w:r>
        <w:t xml:space="preserve"> quantified chlorophyll content stability by</w:t>
      </w:r>
      <w:r w:rsidRPr="00E83544">
        <w:t xml:space="preserve"> </w:t>
      </w:r>
      <w:r>
        <w:t>incorporating the initial and final measurements for both the treatment and control into</w:t>
      </w:r>
      <w:r w:rsidRPr="00E83544">
        <w:t xml:space="preserve"> one </w:t>
      </w:r>
      <w:r>
        <w:t>value</w:t>
      </w:r>
      <w:r w:rsidRPr="00E83544">
        <w:t xml:space="preserve">. The chlorophyll content </w:t>
      </w:r>
      <w:r>
        <w:t xml:space="preserve">stability </w:t>
      </w:r>
      <w:r w:rsidRPr="00E83544">
        <w:t>ratio (CHPL) was calculated as the compliment of the difference between the proportions</w:t>
      </w:r>
      <w:r>
        <w:t xml:space="preserve"> of the final treatment chlorophyll content to the initial treatment chlorophyll content and final control chlorophyll content to initial control chlorophyll content. Thus, larger values correspond with higher temperature toleranc</w:t>
      </w:r>
      <w:r w:rsidRPr="003248B2">
        <w:t>e.</w:t>
      </w:r>
    </w:p>
    <w:p w14:paraId="4184EE31" w14:textId="77777777" w:rsidR="00FD33AF" w:rsidRPr="002D1B0F" w:rsidRDefault="00FD33AF" w:rsidP="00FD33AF">
      <w:pPr>
        <w:pStyle w:val="Figure"/>
        <w:spacing w:line="360" w:lineRule="auto"/>
        <w:rPr>
          <w:iCs/>
        </w:rPr>
      </w:pPr>
      <m:oMathPara>
        <m:oMath>
          <m:r>
            <m:rPr>
              <m:sty m:val="p"/>
            </m:rPr>
            <w:rPr>
              <w:rFonts w:ascii="Cambria Math" w:hAnsi="Cambria Math"/>
            </w:rPr>
            <m:t>CHPL= 1-</m:t>
          </m:r>
          <m:d>
            <m:dPr>
              <m:ctrlPr>
                <w:rPr>
                  <w:rFonts w:ascii="Cambria Math" w:hAnsi="Cambria Math"/>
                  <w:iCs/>
                </w:rPr>
              </m:ctrlPr>
            </m:dPr>
            <m:e>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Control</m:t>
                      </m:r>
                    </m:e>
                    <m:sub>
                      <m:r>
                        <m:rPr>
                          <m:sty m:val="p"/>
                        </m:rPr>
                        <w:rPr>
                          <w:rFonts w:ascii="Cambria Math" w:hAnsi="Cambria Math"/>
                        </w:rPr>
                        <m:t>final</m:t>
                      </m:r>
                    </m:sub>
                  </m:sSub>
                </m:num>
                <m:den>
                  <m:sSub>
                    <m:sSubPr>
                      <m:ctrlPr>
                        <w:rPr>
                          <w:rFonts w:ascii="Cambria Math" w:hAnsi="Cambria Math"/>
                          <w:iCs/>
                        </w:rPr>
                      </m:ctrlPr>
                    </m:sSubPr>
                    <m:e>
                      <m:r>
                        <m:rPr>
                          <m:sty m:val="p"/>
                        </m:rPr>
                        <w:rPr>
                          <w:rFonts w:ascii="Cambria Math" w:hAnsi="Cambria Math"/>
                        </w:rPr>
                        <m:t>Control</m:t>
                      </m:r>
                    </m:e>
                    <m:sub>
                      <m:r>
                        <m:rPr>
                          <m:sty m:val="p"/>
                        </m:rPr>
                        <w:rPr>
                          <w:rFonts w:ascii="Cambria Math" w:hAnsi="Cambria Math"/>
                        </w:rPr>
                        <m:t>initial</m:t>
                      </m:r>
                    </m:sub>
                  </m:sSub>
                </m:den>
              </m:f>
              <m:r>
                <m:rPr>
                  <m:sty m:val="p"/>
                </m:rPr>
                <w:rPr>
                  <w:rFonts w:ascii="Cambria Math" w:hAnsi="Cambria Math"/>
                </w:rPr>
                <m:t xml:space="preserve">- </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Treatment</m:t>
                      </m:r>
                    </m:e>
                    <m:sub>
                      <m:r>
                        <m:rPr>
                          <m:sty m:val="p"/>
                        </m:rPr>
                        <w:rPr>
                          <w:rFonts w:ascii="Cambria Math" w:hAnsi="Cambria Math"/>
                        </w:rPr>
                        <m:t>final</m:t>
                      </m:r>
                    </m:sub>
                  </m:sSub>
                </m:num>
                <m:den>
                  <m:sSub>
                    <m:sSubPr>
                      <m:ctrlPr>
                        <w:rPr>
                          <w:rFonts w:ascii="Cambria Math" w:hAnsi="Cambria Math"/>
                          <w:iCs/>
                        </w:rPr>
                      </m:ctrlPr>
                    </m:sSubPr>
                    <m:e>
                      <m:r>
                        <m:rPr>
                          <m:sty m:val="p"/>
                        </m:rPr>
                        <w:rPr>
                          <w:rFonts w:ascii="Cambria Math" w:hAnsi="Cambria Math"/>
                        </w:rPr>
                        <m:t>Treatment</m:t>
                      </m:r>
                    </m:e>
                    <m:sub>
                      <m:r>
                        <m:rPr>
                          <m:sty m:val="p"/>
                        </m:rPr>
                        <w:rPr>
                          <w:rFonts w:ascii="Cambria Math" w:hAnsi="Cambria Math"/>
                        </w:rPr>
                        <m:t>initial</m:t>
                      </m:r>
                    </m:sub>
                  </m:sSub>
                </m:den>
              </m:f>
            </m:e>
          </m:d>
        </m:oMath>
      </m:oMathPara>
    </w:p>
    <w:p w14:paraId="23B2AD30" w14:textId="77777777" w:rsidR="00FD33AF" w:rsidRDefault="00FD33AF" w:rsidP="00FD33AF">
      <w:pPr>
        <w:pStyle w:val="GS4"/>
        <w:spacing w:line="360" w:lineRule="auto"/>
      </w:pPr>
      <w:r>
        <w:t>Photosynthesis</w:t>
      </w:r>
    </w:p>
    <w:p w14:paraId="18AAC6AF" w14:textId="77777777" w:rsidR="00FD33AF" w:rsidRDefault="00FD33AF" w:rsidP="00FD33AF">
      <w:pPr>
        <w:pStyle w:val="BodyDoubleSpace05FirstLine"/>
      </w:pPr>
      <w:r>
        <w:t>We used a LI-6400 infrared gas analyzer with a red/blue light source to measure net photosynthetic rate (µmol CO</w:t>
      </w:r>
      <w:r>
        <w:rPr>
          <w:vertAlign w:val="subscript"/>
        </w:rPr>
        <w:t>2</w:t>
      </w:r>
      <w:r>
        <w:t>m</w:t>
      </w:r>
      <w:r>
        <w:rPr>
          <w:vertAlign w:val="superscript"/>
        </w:rPr>
        <w:t>-2</w:t>
      </w:r>
      <w:r>
        <w:t>s</w:t>
      </w:r>
      <w:r>
        <w:rPr>
          <w:vertAlign w:val="superscript"/>
        </w:rPr>
        <w:t>-1</w:t>
      </w:r>
      <w:r>
        <w:t xml:space="preserve">) on leaves before and after the whole plant was exposed to the temperature treatment. The following settings were used for photosynthesis measurements: flow rate 500 </w:t>
      </w:r>
      <w:proofErr w:type="spellStart"/>
      <w:r>
        <w:t>μmol</w:t>
      </w:r>
      <w:proofErr w:type="spellEnd"/>
      <w:r>
        <w:t xml:space="preserve"> s</w:t>
      </w:r>
      <w:r>
        <w:rPr>
          <w:vertAlign w:val="superscript"/>
        </w:rPr>
        <w:t>-1</w:t>
      </w:r>
      <w:r>
        <w:t>, reference CO</w:t>
      </w:r>
      <w:r>
        <w:rPr>
          <w:vertAlign w:val="subscript"/>
        </w:rPr>
        <w:t>2</w:t>
      </w:r>
      <w:r>
        <w:t xml:space="preserve"> 420 </w:t>
      </w:r>
      <w:proofErr w:type="spellStart"/>
      <w:r>
        <w:t>μmol</w:t>
      </w:r>
      <w:proofErr w:type="spellEnd"/>
      <w:r>
        <w:t xml:space="preserve"> CO</w:t>
      </w:r>
      <w:r>
        <w:rPr>
          <w:vertAlign w:val="subscript"/>
        </w:rPr>
        <w:t>2</w:t>
      </w:r>
      <w:r>
        <w:t xml:space="preserve"> mol</w:t>
      </w:r>
      <w:r>
        <w:rPr>
          <w:vertAlign w:val="superscript"/>
        </w:rPr>
        <w:t>-1</w:t>
      </w:r>
      <w:r>
        <w:t>, reference H</w:t>
      </w:r>
      <w:r>
        <w:rPr>
          <w:vertAlign w:val="subscript"/>
        </w:rPr>
        <w:t>2</w:t>
      </w:r>
      <w:r>
        <w:t>O 0 mmol H</w:t>
      </w:r>
      <w:r>
        <w:rPr>
          <w:vertAlign w:val="subscript"/>
        </w:rPr>
        <w:t>2</w:t>
      </w:r>
      <w:r>
        <w:t>O mol</w:t>
      </w:r>
      <w:r>
        <w:rPr>
          <w:vertAlign w:val="superscript"/>
        </w:rPr>
        <w:t>-1</w:t>
      </w:r>
      <w:r>
        <w:t xml:space="preserve">, </w:t>
      </w:r>
      <w:proofErr w:type="spellStart"/>
      <w:r>
        <w:t>ParIn_μml</w:t>
      </w:r>
      <w:proofErr w:type="spellEnd"/>
      <w:r>
        <w:t xml:space="preserve"> 400 </w:t>
      </w:r>
      <w:proofErr w:type="spellStart"/>
      <w:r>
        <w:t>μmol</w:t>
      </w:r>
      <w:proofErr w:type="spellEnd"/>
      <w:r>
        <w:t xml:space="preserve"> m</w:t>
      </w:r>
      <w:r>
        <w:rPr>
          <w:vertAlign w:val="superscript"/>
        </w:rPr>
        <w:t>-2</w:t>
      </w:r>
      <w:r>
        <w:t xml:space="preserve"> s</w:t>
      </w:r>
      <w:r>
        <w:rPr>
          <w:vertAlign w:val="superscript"/>
        </w:rPr>
        <w:t>-1</w:t>
      </w:r>
      <w:r>
        <w:t xml:space="preserve">. </w:t>
      </w:r>
    </w:p>
    <w:p w14:paraId="6A94DC8C" w14:textId="77777777" w:rsidR="00FD33AF" w:rsidRDefault="00FD33AF" w:rsidP="00FD33AF">
      <w:pPr>
        <w:pStyle w:val="BodyDoubleSpace05FirstLine"/>
      </w:pPr>
      <w:r>
        <w:t xml:space="preserve">The high temperature treatment was 33°C and the low temperature treatment was 10°C. All four ramets, if alive, for the 52 genets were subjected to both treatments with a rest period of </w:t>
      </w:r>
      <w:r>
        <w:lastRenderedPageBreak/>
        <w:t>one week between them. The proportion of the photosynthetic rate measurement after the treatment to before was calculated as our measure of photosynthetic temperature tolerance (PS). Any ratio value below zero and above one was omitted prior to analysis.</w:t>
      </w:r>
    </w:p>
    <w:p w14:paraId="6BDDD0CE" w14:textId="77777777" w:rsidR="00FD33AF" w:rsidRPr="002D1B0F" w:rsidRDefault="00FD33AF" w:rsidP="00FD33AF">
      <w:pPr>
        <w:pStyle w:val="Figure"/>
        <w:spacing w:line="360" w:lineRule="auto"/>
        <w:rPr>
          <w:iCs/>
        </w:rPr>
      </w:pPr>
      <m:oMathPara>
        <m:oMath>
          <m:r>
            <m:rPr>
              <m:sty m:val="p"/>
            </m:rPr>
            <w:rPr>
              <w:rFonts w:ascii="Cambria Math" w:eastAsiaTheme="minorEastAsia" w:hAnsi="Cambria Math"/>
            </w:rPr>
            <m:t>PS</m:t>
          </m:r>
          <m:r>
            <m:rPr>
              <m:sty m:val="p"/>
            </m:rPr>
            <w:rPr>
              <w:rFonts w:ascii="Cambria Math" w:hAnsi="Cambria Math"/>
            </w:rPr>
            <m:t xml:space="preserve">= </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Net Photosynthetic rate</m:t>
                  </m:r>
                </m:e>
                <m:sub>
                  <m:r>
                    <m:rPr>
                      <m:sty m:val="p"/>
                    </m:rPr>
                    <w:rPr>
                      <w:rFonts w:ascii="Cambria Math" w:hAnsi="Cambria Math"/>
                    </w:rPr>
                    <m:t>final</m:t>
                  </m:r>
                </m:sub>
              </m:sSub>
            </m:num>
            <m:den>
              <m:sSub>
                <m:sSubPr>
                  <m:ctrlPr>
                    <w:rPr>
                      <w:rFonts w:ascii="Cambria Math" w:hAnsi="Cambria Math"/>
                      <w:iCs/>
                    </w:rPr>
                  </m:ctrlPr>
                </m:sSubPr>
                <m:e>
                  <m:r>
                    <m:rPr>
                      <m:sty m:val="p"/>
                    </m:rPr>
                    <w:rPr>
                      <w:rFonts w:ascii="Cambria Math" w:hAnsi="Cambria Math"/>
                    </w:rPr>
                    <m:t>Net Photosynthetic rate</m:t>
                  </m:r>
                </m:e>
                <m:sub>
                  <m:r>
                    <m:rPr>
                      <m:sty m:val="p"/>
                    </m:rPr>
                    <w:rPr>
                      <w:rFonts w:ascii="Cambria Math" w:hAnsi="Cambria Math"/>
                    </w:rPr>
                    <m:t>initial</m:t>
                  </m:r>
                </m:sub>
              </m:sSub>
            </m:den>
          </m:f>
        </m:oMath>
      </m:oMathPara>
    </w:p>
    <w:p w14:paraId="37A068E5" w14:textId="77AB99BD" w:rsidR="00FD33AF" w:rsidRDefault="00135D0A" w:rsidP="00FD33AF">
      <w:pPr>
        <w:pStyle w:val="GS3"/>
        <w:spacing w:line="360" w:lineRule="auto"/>
      </w:pPr>
      <w:bookmarkStart w:id="7" w:name="_Toc107827640"/>
      <w:bookmarkStart w:id="8" w:name="_Toc108537001"/>
      <w:r>
        <w:t>Experiment 2: Reproductive</w:t>
      </w:r>
      <w:r w:rsidR="00FD33AF">
        <w:t xml:space="preserve"> Traits</w:t>
      </w:r>
      <w:bookmarkEnd w:id="7"/>
      <w:bookmarkEnd w:id="8"/>
    </w:p>
    <w:p w14:paraId="1FE4EEFD" w14:textId="77777777" w:rsidR="00FD33AF" w:rsidRDefault="00FD33AF" w:rsidP="00FD33AF">
      <w:pPr>
        <w:pStyle w:val="BodyDoubleSpace05FirstLine"/>
      </w:pPr>
      <w:r>
        <w:t xml:space="preserve">We measured two pollen traits as estimates of male thermotolerance during the gametophytic stage: 1) the propensity for pollen grains to germinate (pollen germination) and 2) the growth rate of pollen tubes while exposed to a range of temperatures. Once a plant from the north and from the south flowered, we removed a mature flower from both plants. Pollen from each flower was dispersed over five petri dishes containing 3% </w:t>
      </w:r>
      <w:proofErr w:type="spellStart"/>
      <w:r>
        <w:t>Bacto</w:t>
      </w:r>
      <w:proofErr w:type="spellEnd"/>
      <w:r>
        <w:t>-Agar based growth medium (</w:t>
      </w:r>
      <w:bookmarkStart w:id="9" w:name="_Hlk103526159"/>
      <w:r>
        <w:t>sucrose, Ca(NO</w:t>
      </w:r>
      <w:r>
        <w:rPr>
          <w:vertAlign w:val="subscript"/>
        </w:rPr>
        <w:t>3</w:t>
      </w:r>
      <w:r>
        <w:t>)</w:t>
      </w:r>
      <w:r>
        <w:rPr>
          <w:vertAlign w:val="subscript"/>
        </w:rPr>
        <w:t>2</w:t>
      </w:r>
      <w:r>
        <w:t>, MgSO</w:t>
      </w:r>
      <w:r>
        <w:rPr>
          <w:vertAlign w:val="subscript"/>
        </w:rPr>
        <w:t>4</w:t>
      </w:r>
      <w:r>
        <w:t>, KNO</w:t>
      </w:r>
      <w:r>
        <w:rPr>
          <w:vertAlign w:val="subscript"/>
        </w:rPr>
        <w:t>3</w:t>
      </w:r>
      <w:r>
        <w:t>, H</w:t>
      </w:r>
      <w:r>
        <w:rPr>
          <w:vertAlign w:val="subscript"/>
        </w:rPr>
        <w:t>3</w:t>
      </w:r>
      <w:r>
        <w:t>BO</w:t>
      </w:r>
      <w:r>
        <w:rPr>
          <w:vertAlign w:val="subscript"/>
        </w:rPr>
        <w:t>3</w:t>
      </w:r>
      <w:bookmarkEnd w:id="9"/>
      <w:r>
        <w:t xml:space="preserve">) following the protocol of Reddy and Kakani </w:t>
      </w:r>
      <w:r>
        <w:fldChar w:fldCharType="begin"/>
      </w:r>
      <w:r>
        <w:instrText xml:space="preserve"> ADDIN EN.CITE &lt;EndNote&gt;&lt;Cite ExcludeAuth="1"&gt;&lt;Author&gt;Reddy&lt;/Author&gt;&lt;Year&gt;2007&lt;/Year&gt;&lt;IDText&gt;Screening Capsicum species of different origins for high temperature tolerance by in vitro pollen germination and pollen tube length&lt;/IDText&gt;&lt;DisplayText&gt;(2007)&lt;/DisplayText&gt;&lt;record&gt;&lt;keywords&gt;&lt;keyword&gt;Agronomy. Soil science and plant productions&lt;/keyword&gt;&lt;keyword&gt;Biological and medical sciences&lt;/keyword&gt;&lt;keyword&gt;Capsicum&lt;/keyword&gt;&lt;keyword&gt;Cardinal temperatures&lt;/keyword&gt;&lt;keyword&gt;Cumulative temperature response index&lt;/keyword&gt;&lt;keyword&gt;Fundamental and applied biological sciences. Psychology&lt;/keyword&gt;&lt;keyword&gt;Genetics and breeding of economic plants&lt;/keyword&gt;&lt;keyword&gt;Pepper&lt;/keyword&gt;&lt;keyword&gt;Screening tool&lt;/keyword&gt;&lt;/keywords&gt;&lt;isbn&gt;0304-4238&lt;/isbn&gt;&lt;titles&gt;&lt;title&gt;Screening Capsicum species of different origins for high temperature tolerance by in vitro pollen germination and pollen tube length&lt;/title&gt;&lt;secondary-title&gt;Scientia horticulturae&lt;/secondary-title&gt;&lt;/titles&gt;&lt;pages&gt;130-135&lt;/pages&gt;&lt;number&gt;2&lt;/number&gt;&lt;contributors&gt;&lt;authors&gt;&lt;author&gt;Reddy, K. Raja&lt;/author&gt;&lt;author&gt;Kakani, V. G.&lt;/author&gt;&lt;/authors&gt;&lt;/contributors&gt;&lt;added-date format="utc"&gt;1653330210&lt;/added-date&gt;&lt;pub-location&gt;Amsterdam&lt;/pub-location&gt;&lt;ref-type name="Journal Article"&gt;17&lt;/ref-type&gt;&lt;dates&gt;&lt;year&gt;2007&lt;/year&gt;&lt;/dates&gt;&lt;rec-number&gt;225&lt;/rec-number&gt;&lt;publisher&gt;Elsevier B.V&lt;/publisher&gt;&lt;last-updated-date format="utc"&gt;1653330248&lt;/last-updated-date&gt;&lt;electronic-resource-num&gt;10.1016/j.scienta.2006.12.014&lt;/electronic-resource-num&gt;&lt;volume&gt;112&lt;/volume&gt;&lt;/record&gt;&lt;/Cite&gt;&lt;/EndNote&gt;</w:instrText>
      </w:r>
      <w:r>
        <w:fldChar w:fldCharType="separate"/>
      </w:r>
      <w:r>
        <w:rPr>
          <w:noProof/>
        </w:rPr>
        <w:t>(2007)</w:t>
      </w:r>
      <w:r>
        <w:fldChar w:fldCharType="end"/>
      </w:r>
      <w:r>
        <w:t xml:space="preserve">. The dusted plates were each placed at one of the five temperature treatments (10°C, 20°C, 25°C, 30°C, 40°C) for 16 hours in a refrigerator (10°C), </w:t>
      </w:r>
      <w:proofErr w:type="spellStart"/>
      <w:r>
        <w:t>Conviron</w:t>
      </w:r>
      <w:proofErr w:type="spellEnd"/>
      <w:r>
        <w:t xml:space="preserve"> E7/2 environmental chamber (20°C), or three drying ovens (25°C, 30°C, 40°C). After the temperature treatments, each plate was covered with a thin layer of ethanol to halt further pollen tube growth and stored at 4°C until data collection could begin. Four pictures of each plate were taken using a microscope (Leica DM500 microscope, Leica ICC50 HD camera) and the LAS EZ 2.1.0 software. </w:t>
      </w:r>
    </w:p>
    <w:p w14:paraId="2CB11290" w14:textId="6457D142" w:rsidR="00FD33AF" w:rsidRDefault="00FD33AF" w:rsidP="00FD33AF">
      <w:pPr>
        <w:pStyle w:val="BodyDoubleSpace05FirstLine"/>
      </w:pPr>
      <w:r>
        <w:t xml:space="preserve">Pollen germination (Germ) was measured by counting the number of pollen grains that produced pollen tubes and dividing that by the total number of pollen grains observed. All pollen grains in an image were counted until at least 100 pollen grains were observed. Pollen was considered germinated if it produced a tube that was at least half the diameter of the pollen grain. </w:t>
      </w:r>
      <w:r>
        <w:lastRenderedPageBreak/>
        <w:t xml:space="preserve">We used the percentage of pollen grains with tubes out of the total number of pollen grains as our measure of pollen germination. </w:t>
      </w:r>
    </w:p>
    <w:p w14:paraId="2021F010" w14:textId="77777777" w:rsidR="00FD33AF" w:rsidRDefault="00FD33AF" w:rsidP="00FD33AF">
      <w:pPr>
        <w:pStyle w:val="BodyDoubleSpace05FirstLine"/>
      </w:pPr>
      <w:r>
        <w:t xml:space="preserve">Pollen tube growth rate (PTGR) was determined by first measuring the 10 longest pollen tubes in each of the 4 images using the software ImageJ </w:t>
      </w:r>
      <w:r>
        <w:fldChar w:fldCharType="begin"/>
      </w:r>
      <w:r>
        <w:instrText xml:space="preserve"> ADDIN EN.CITE &lt;EndNote&gt;&lt;Cite&gt;&lt;Author&gt;Schneider&lt;/Author&gt;&lt;Year&gt;2012&lt;/Year&gt;&lt;IDText&gt;NIH Image to ImageJ: 25 years of image analysis&lt;/IDText&gt;&lt;DisplayText&gt;(Schneider et al. 2012)&lt;/DisplayText&gt;&lt;record&gt;&lt;dates&gt;&lt;pub-dates&gt;&lt;date&gt;2012-07-01&lt;/date&gt;&lt;/pub-dates&gt;&lt;year&gt;2012&lt;/year&gt;&lt;/dates&gt;&lt;urls&gt;&lt;related-urls&gt;&lt;url&gt;https://www.ncbi.nlm.nih.gov/pmc/articles/PMC5554542&lt;/url&gt;&lt;/related-urls&gt;&lt;/urls&gt;&lt;isbn&gt;1548-7091&lt;/isbn&gt;&lt;titles&gt;&lt;title&gt;NIH Image to ImageJ: 25 years of image analysis&lt;/title&gt;&lt;secondary-title&gt;Nature Methods&lt;/secondary-title&gt;&lt;/titles&gt;&lt;pages&gt;671-675&lt;/pages&gt;&lt;number&gt;7&lt;/number&gt;&lt;access-date&gt;2022-05-23T18:46:20&lt;/access-date&gt;&lt;contributors&gt;&lt;authors&gt;&lt;author&gt;Schneider, Caroline A&lt;/author&gt;&lt;author&gt;Rasband, Wayne S&lt;/author&gt;&lt;author&gt;Eliceiri, Kevin W&lt;/author&gt;&lt;/authors&gt;&lt;/contributors&gt;&lt;added-date format="utc"&gt;1653331668&lt;/added-date&gt;&lt;ref-type name="Journal Article"&gt;17&lt;/ref-type&gt;&lt;rec-number&gt;226&lt;/rec-number&gt;&lt;publisher&gt;Springer Science and Business Media LLC&lt;/publisher&gt;&lt;last-updated-date format="utc"&gt;1653331668&lt;/last-updated-date&gt;&lt;electronic-resource-num&gt;10.1038/nmeth.2089&lt;/electronic-resource-num&gt;&lt;volume&gt;9&lt;/volume&gt;&lt;/record&gt;&lt;/Cite&gt;&lt;/EndNote&gt;</w:instrText>
      </w:r>
      <w:r>
        <w:fldChar w:fldCharType="separate"/>
      </w:r>
      <w:r>
        <w:rPr>
          <w:noProof/>
        </w:rPr>
        <w:t>(Schneider et al. 2012)</w:t>
      </w:r>
      <w:r>
        <w:fldChar w:fldCharType="end"/>
      </w:r>
      <w:r>
        <w:t xml:space="preserve">. The actual length of each tube was calculated by tracing the length of each tube, calculating length in pixels, and then calibrating each measurement with a stage micrometer. We calculated the mean of the 20 longest tubes out of the 40 measured per plate and estimated growth rate by dividing the mean length by the time allowed for growth (16 hours). </w:t>
      </w:r>
    </w:p>
    <w:p w14:paraId="0A4C0EF0" w14:textId="10A5CF52" w:rsidR="00661FAF" w:rsidRDefault="00661FAF"/>
    <w:p w14:paraId="18EB495A" w14:textId="4B11F0AC" w:rsidR="00FF6B53" w:rsidRPr="00FF6B53" w:rsidRDefault="00FF6B53">
      <w:pPr>
        <w:rPr>
          <w:b/>
          <w:bCs/>
        </w:rPr>
      </w:pPr>
    </w:p>
    <w:sectPr w:rsidR="00FF6B53" w:rsidRPr="00FF6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3AF"/>
    <w:rsid w:val="00022319"/>
    <w:rsid w:val="000F5CEB"/>
    <w:rsid w:val="00135D0A"/>
    <w:rsid w:val="003452CB"/>
    <w:rsid w:val="00661FAF"/>
    <w:rsid w:val="00893226"/>
    <w:rsid w:val="00FD33AF"/>
    <w:rsid w:val="00FF6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E2652"/>
  <w15:chartTrackingRefBased/>
  <w15:docId w15:val="{D6B127C9-F31B-4881-9E6A-C1B89DCBF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135D0A"/>
    <w:pPr>
      <w:keepNext/>
      <w:spacing w:after="0" w:line="240" w:lineRule="auto"/>
      <w:outlineLvl w:val="1"/>
    </w:pPr>
    <w:rPr>
      <w:rFonts w:ascii="Times New Roman" w:eastAsiaTheme="min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basedOn w:val="Normal"/>
    <w:qFormat/>
    <w:rsid w:val="00FD33AF"/>
    <w:pPr>
      <w:keepNext/>
      <w:spacing w:after="240" w:line="240" w:lineRule="auto"/>
      <w:jc w:val="center"/>
    </w:pPr>
    <w:rPr>
      <w:rFonts w:ascii="Times New Roman" w:eastAsia="Calibri" w:hAnsi="Times New Roman" w:cs="Times New Roman"/>
      <w:sz w:val="24"/>
    </w:rPr>
  </w:style>
  <w:style w:type="paragraph" w:customStyle="1" w:styleId="BodyDoubleSpace05FirstLine">
    <w:name w:val="Body Double Space 0.5 First Line"/>
    <w:basedOn w:val="Normal"/>
    <w:next w:val="Normal"/>
    <w:qFormat/>
    <w:rsid w:val="00FD33AF"/>
    <w:pPr>
      <w:spacing w:after="0" w:line="480" w:lineRule="auto"/>
      <w:ind w:firstLine="720"/>
    </w:pPr>
    <w:rPr>
      <w:rFonts w:ascii="Times New Roman" w:eastAsia="Calibri" w:hAnsi="Times New Roman" w:cs="Times New Roman"/>
      <w:sz w:val="24"/>
    </w:rPr>
  </w:style>
  <w:style w:type="paragraph" w:customStyle="1" w:styleId="GS3">
    <w:name w:val="GS3"/>
    <w:basedOn w:val="Normal"/>
    <w:next w:val="BodyDoubleSpace05FirstLine"/>
    <w:qFormat/>
    <w:rsid w:val="00FD33AF"/>
    <w:pPr>
      <w:keepNext/>
      <w:keepLines/>
      <w:spacing w:after="0" w:line="480" w:lineRule="auto"/>
      <w:outlineLvl w:val="2"/>
    </w:pPr>
    <w:rPr>
      <w:rFonts w:ascii="Times New Roman" w:eastAsia="Calibri" w:hAnsi="Times New Roman" w:cs="Times New Roman"/>
      <w:b/>
      <w:sz w:val="24"/>
    </w:rPr>
  </w:style>
  <w:style w:type="paragraph" w:customStyle="1" w:styleId="GS4">
    <w:name w:val="GS4"/>
    <w:basedOn w:val="Normal"/>
    <w:next w:val="BodyDoubleSpace05FirstLine"/>
    <w:qFormat/>
    <w:rsid w:val="00FD33AF"/>
    <w:pPr>
      <w:keepNext/>
      <w:keepLines/>
      <w:spacing w:after="0" w:line="480" w:lineRule="auto"/>
      <w:outlineLvl w:val="3"/>
    </w:pPr>
    <w:rPr>
      <w:rFonts w:ascii="Times New Roman" w:eastAsia="Calibri" w:hAnsi="Times New Roman" w:cs="Times New Roman"/>
      <w:b/>
      <w:i/>
      <w:sz w:val="24"/>
    </w:rPr>
  </w:style>
  <w:style w:type="character" w:customStyle="1" w:styleId="Heading2Char">
    <w:name w:val="Heading 2 Char"/>
    <w:basedOn w:val="DefaultParagraphFont"/>
    <w:link w:val="Heading2"/>
    <w:uiPriority w:val="9"/>
    <w:rsid w:val="00135D0A"/>
    <w:rPr>
      <w:rFonts w:ascii="Times New Roman" w:eastAsiaTheme="minorEastAsia" w:hAnsi="Times New Roman" w:cs="Times New Roman"/>
      <w:b/>
      <w:bCs/>
      <w:sz w:val="24"/>
      <w:szCs w:val="24"/>
    </w:rPr>
  </w:style>
  <w:style w:type="character" w:styleId="Hyperlink">
    <w:name w:val="Hyperlink"/>
    <w:uiPriority w:val="99"/>
    <w:rsid w:val="00135D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hyperlink" Target="mailto:steven.travers@ndsu.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2973C066DB346CA9B69F491FD975E4A"/>
        <w:category>
          <w:name w:val="General"/>
          <w:gallery w:val="placeholder"/>
        </w:category>
        <w:types>
          <w:type w:val="bbPlcHdr"/>
        </w:types>
        <w:behaviors>
          <w:behavior w:val="content"/>
        </w:behaviors>
        <w:guid w:val="{1A9DD24B-A02C-4555-99BC-296583B4A7FC}"/>
      </w:docPartPr>
      <w:docPartBody>
        <w:p w:rsidR="009103A8" w:rsidRDefault="003E2D7F" w:rsidP="003E2D7F">
          <w:pPr>
            <w:pStyle w:val="B2973C066DB346CA9B69F491FD975E4A"/>
          </w:pPr>
          <w:r w:rsidRPr="002E57B7">
            <w:rPr>
              <w:rStyle w:val="PlaceholderText"/>
              <w:rFonts w:cstheme="minorHAnsi"/>
            </w:rPr>
            <w:t>Click here to enter text.</w:t>
          </w:r>
        </w:p>
      </w:docPartBody>
    </w:docPart>
    <w:docPart>
      <w:docPartPr>
        <w:name w:val="19D9B1E52CE14D4F8CB49982FD81AD6E"/>
        <w:category>
          <w:name w:val="General"/>
          <w:gallery w:val="placeholder"/>
        </w:category>
        <w:types>
          <w:type w:val="bbPlcHdr"/>
        </w:types>
        <w:behaviors>
          <w:behavior w:val="content"/>
        </w:behaviors>
        <w:guid w:val="{B773C467-777C-4EB5-B259-08CCF241C91E}"/>
      </w:docPartPr>
      <w:docPartBody>
        <w:p w:rsidR="009103A8" w:rsidRDefault="003E2D7F" w:rsidP="003E2D7F">
          <w:pPr>
            <w:pStyle w:val="19D9B1E52CE14D4F8CB49982FD81AD6E"/>
          </w:pPr>
          <w:r w:rsidRPr="00F550E9">
            <w:rPr>
              <w:rStyle w:val="PlaceholderText"/>
              <w:rFonts w:cstheme="minorHAnsi"/>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7F"/>
    <w:rsid w:val="000A0B56"/>
    <w:rsid w:val="00165A01"/>
    <w:rsid w:val="003E2D7F"/>
    <w:rsid w:val="0061642F"/>
    <w:rsid w:val="00910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2D7F"/>
    <w:rPr>
      <w:color w:val="808080"/>
    </w:rPr>
  </w:style>
  <w:style w:type="paragraph" w:customStyle="1" w:styleId="B2973C066DB346CA9B69F491FD975E4A">
    <w:name w:val="B2973C066DB346CA9B69F491FD975E4A"/>
    <w:rsid w:val="003E2D7F"/>
  </w:style>
  <w:style w:type="paragraph" w:customStyle="1" w:styleId="19D9B1E52CE14D4F8CB49982FD81AD6E">
    <w:name w:val="19D9B1E52CE14D4F8CB49982FD81AD6E"/>
    <w:rsid w:val="003E2D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3793</Words>
  <Characters>21624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6</cp:revision>
  <dcterms:created xsi:type="dcterms:W3CDTF">2022-12-29T15:50:00Z</dcterms:created>
  <dcterms:modified xsi:type="dcterms:W3CDTF">2023-12-28T21:23:00Z</dcterms:modified>
</cp:coreProperties>
</file>