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_rels/document.xml.rels" ContentType="application/vnd.openxmlformats-package.relationships+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rPr>
      </w:pPr>
      <w:r>
        <w:rPr/>
        <w:drawing>
          <wp:inline distT="0" distB="0" distL="0" distR="0">
            <wp:extent cx="1419225" cy="1645920"/>
            <wp:effectExtent l="0" t="0" r="0" b="0"/>
            <wp:docPr id="1" name="Picture 1"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419225" cy="1645920"/>
                    </a:xfrm>
                    <a:prstGeom prst="rect">
                      <a:avLst/>
                    </a:prstGeom>
                  </pic:spPr>
                </pic:pic>
              </a:graphicData>
            </a:graphic>
          </wp:inline>
        </w:drawing>
      </w:r>
    </w:p>
    <w:p>
      <w:pPr>
        <w:pStyle w:val="Normal"/>
        <w:jc w:val="center"/>
        <w:rPr>
          <w:rFonts w:cs="Arial"/>
        </w:rPr>
      </w:pPr>
      <w:r>
        <w:rPr>
          <w:rFonts w:cs="Arial"/>
        </w:rPr>
      </w:r>
    </w:p>
    <w:p>
      <w:pPr>
        <w:pStyle w:val="Normal"/>
        <w:spacing w:lineRule="auto" w:line="240"/>
        <w:jc w:val="center"/>
        <w:rPr>
          <w:rFonts w:cs="Arial"/>
          <w:sz w:val="36"/>
          <w:szCs w:val="36"/>
        </w:rPr>
      </w:pPr>
      <w:r>
        <w:rPr>
          <w:rFonts w:cs="Arial"/>
          <w:sz w:val="36"/>
          <w:szCs w:val="36"/>
        </w:rPr>
        <w:t>A DOMAIN-SPECIFIC LANGUAGE APPROACH TO SUPPORT MONITORING AND SURVEILLANCE WITHIN WHOLESALE ELECTRICITY MARKETS</w:t>
      </w:r>
    </w:p>
    <w:p>
      <w:pPr>
        <w:pStyle w:val="Normal"/>
        <w:spacing w:lineRule="auto" w:line="276"/>
        <w:jc w:val="center"/>
        <w:rPr>
          <w:rFonts w:cs="Arial"/>
          <w:b/>
          <w:bCs/>
          <w:sz w:val="24"/>
          <w:szCs w:val="24"/>
        </w:rPr>
      </w:pPr>
      <w:r>
        <w:rPr>
          <w:rFonts w:cs="Arial"/>
          <w:b/>
          <w:bCs/>
          <w:sz w:val="24"/>
          <w:szCs w:val="24"/>
        </w:rPr>
      </w:r>
    </w:p>
    <w:p>
      <w:pPr>
        <w:pStyle w:val="Normal"/>
        <w:spacing w:lineRule="auto" w:line="276"/>
        <w:jc w:val="center"/>
        <w:rPr>
          <w:rFonts w:cs="Arial"/>
          <w:b/>
          <w:bCs/>
          <w:sz w:val="24"/>
          <w:szCs w:val="24"/>
        </w:rPr>
      </w:pPr>
      <w:r>
        <w:rPr>
          <w:rFonts w:cs="Arial"/>
          <w:b/>
          <w:bCs/>
          <w:sz w:val="24"/>
          <w:szCs w:val="24"/>
        </w:rPr>
      </w:r>
    </w:p>
    <w:p>
      <w:pPr>
        <w:pStyle w:val="Normal"/>
        <w:spacing w:lineRule="auto" w:line="276"/>
        <w:jc w:val="center"/>
        <w:rPr>
          <w:rFonts w:cs="Arial"/>
          <w:sz w:val="24"/>
          <w:szCs w:val="24"/>
        </w:rPr>
      </w:pPr>
      <w:r>
        <w:rPr>
          <w:rFonts w:cs="Arial"/>
          <w:sz w:val="24"/>
          <w:szCs w:val="24"/>
        </w:rPr>
        <w:t>ERIC CHARLES GRASBY</w:t>
      </w:r>
    </w:p>
    <w:p>
      <w:pPr>
        <w:pStyle w:val="Normal"/>
        <w:spacing w:lineRule="auto" w:line="276"/>
        <w:jc w:val="center"/>
        <w:rPr>
          <w:rFonts w:cs="Arial"/>
          <w:sz w:val="24"/>
          <w:szCs w:val="24"/>
        </w:rPr>
      </w:pPr>
      <w:r>
        <w:rPr>
          <w:rFonts w:cs="Arial"/>
          <w:sz w:val="24"/>
          <w:szCs w:val="24"/>
        </w:rPr>
        <w:t>May 2027</w:t>
      </w:r>
    </w:p>
    <w:p>
      <w:pPr>
        <w:pStyle w:val="Normal"/>
        <w:spacing w:lineRule="auto" w:line="276"/>
        <w:jc w:val="center"/>
        <w:rPr>
          <w:rFonts w:cs="Arial"/>
          <w:sz w:val="24"/>
          <w:szCs w:val="24"/>
        </w:rPr>
      </w:pPr>
      <w:r>
        <w:rPr>
          <w:rFonts w:cs="Arial"/>
          <w:sz w:val="24"/>
          <w:szCs w:val="24"/>
        </w:rPr>
      </w:r>
    </w:p>
    <w:p>
      <w:pPr>
        <w:pStyle w:val="Normal"/>
        <w:spacing w:lineRule="auto" w:line="276"/>
        <w:jc w:val="center"/>
        <w:rPr>
          <w:rFonts w:cs="Arial"/>
          <w:sz w:val="24"/>
          <w:szCs w:val="24"/>
        </w:rPr>
      </w:pPr>
      <w:r>
        <w:rPr>
          <w:rFonts w:cs="Arial"/>
          <w:sz w:val="24"/>
          <w:szCs w:val="24"/>
        </w:rPr>
        <w:t>A dissertation submitted to the Graduate School</w:t>
      </w:r>
    </w:p>
    <w:p>
      <w:pPr>
        <w:pStyle w:val="Normal"/>
        <w:spacing w:lineRule="auto" w:line="276"/>
        <w:jc w:val="center"/>
        <w:rPr>
          <w:rFonts w:cs="Arial"/>
          <w:sz w:val="24"/>
          <w:szCs w:val="24"/>
        </w:rPr>
      </w:pPr>
      <w:r>
        <w:rPr>
          <w:rFonts w:cs="Arial"/>
          <w:sz w:val="24"/>
          <w:szCs w:val="24"/>
        </w:rPr>
        <w:t>University of Arkansas at Little Rock</w:t>
      </w:r>
    </w:p>
    <w:p>
      <w:pPr>
        <w:pStyle w:val="Normal"/>
        <w:spacing w:lineRule="auto" w:line="276"/>
        <w:jc w:val="center"/>
        <w:rPr>
          <w:rFonts w:cs="Arial"/>
          <w:sz w:val="24"/>
          <w:szCs w:val="24"/>
        </w:rPr>
      </w:pPr>
      <w:r>
        <w:rPr>
          <w:rFonts w:cs="Arial"/>
          <w:sz w:val="24"/>
          <w:szCs w:val="24"/>
        </w:rPr>
      </w:r>
    </w:p>
    <w:p>
      <w:pPr>
        <w:pStyle w:val="Normal"/>
        <w:spacing w:lineRule="auto" w:line="276"/>
        <w:jc w:val="center"/>
        <w:rPr>
          <w:rFonts w:cs="Arial"/>
          <w:sz w:val="24"/>
          <w:szCs w:val="24"/>
        </w:rPr>
      </w:pPr>
      <w:r>
        <w:rPr>
          <w:rFonts w:cs="Arial"/>
          <w:sz w:val="24"/>
          <w:szCs w:val="24"/>
        </w:rPr>
        <w:t>in partial fulfillment of the requirements for the degree of</w:t>
      </w:r>
    </w:p>
    <w:p>
      <w:pPr>
        <w:pStyle w:val="Normal"/>
        <w:spacing w:lineRule="auto" w:line="276"/>
        <w:jc w:val="center"/>
        <w:rPr>
          <w:rFonts w:cs="Arial"/>
          <w:sz w:val="24"/>
          <w:szCs w:val="24"/>
        </w:rPr>
      </w:pPr>
      <w:r>
        <w:rPr>
          <w:rFonts w:cs="Arial"/>
          <w:sz w:val="24"/>
          <w:szCs w:val="24"/>
        </w:rPr>
        <w:t>DOCTOR OF PHILOSOPHY</w:t>
      </w:r>
    </w:p>
    <w:p>
      <w:pPr>
        <w:pStyle w:val="Normal"/>
        <w:spacing w:lineRule="auto" w:line="276"/>
        <w:jc w:val="center"/>
        <w:rPr>
          <w:rFonts w:cs="Arial"/>
          <w:sz w:val="24"/>
          <w:szCs w:val="24"/>
        </w:rPr>
      </w:pPr>
      <w:r>
        <w:rPr>
          <w:rFonts w:cs="Arial"/>
          <w:sz w:val="24"/>
          <w:szCs w:val="24"/>
        </w:rPr>
        <w:t>in Computer and Information Science</w:t>
      </w:r>
    </w:p>
    <w:p>
      <w:pPr>
        <w:pStyle w:val="Normal"/>
        <w:spacing w:lineRule="auto" w:line="276"/>
        <w:jc w:val="center"/>
        <w:rPr>
          <w:rFonts w:cs="Arial"/>
          <w:sz w:val="24"/>
          <w:szCs w:val="24"/>
        </w:rPr>
      </w:pPr>
      <w:r>
        <w:rPr>
          <w:rFonts w:cs="Arial"/>
          <w:sz w:val="24"/>
          <w:szCs w:val="24"/>
        </w:rPr>
        <w:t>Information Quality Track</w:t>
      </w:r>
    </w:p>
    <w:p>
      <w:pPr>
        <w:pStyle w:val="Normal"/>
        <w:spacing w:lineRule="auto" w:line="276"/>
        <w:jc w:val="center"/>
        <w:rPr>
          <w:rFonts w:cs="Arial"/>
          <w:sz w:val="24"/>
          <w:szCs w:val="24"/>
        </w:rPr>
      </w:pPr>
      <w:r>
        <w:rPr>
          <w:rFonts w:cs="Arial"/>
          <w:sz w:val="24"/>
          <w:szCs w:val="24"/>
        </w:rPr>
      </w:r>
    </w:p>
    <w:p>
      <w:pPr>
        <w:pStyle w:val="Normal"/>
        <w:spacing w:lineRule="auto" w:line="276"/>
        <w:jc w:val="center"/>
        <w:rPr>
          <w:rFonts w:cs="Arial"/>
          <w:sz w:val="24"/>
          <w:szCs w:val="24"/>
        </w:rPr>
      </w:pPr>
      <w:r>
        <w:rPr>
          <w:rFonts w:cs="Arial"/>
          <w:sz w:val="24"/>
          <w:szCs w:val="24"/>
        </w:rPr>
        <w:t>in the Department of Information Science</w:t>
      </w:r>
    </w:p>
    <w:p>
      <w:pPr>
        <w:pStyle w:val="Normal"/>
        <w:spacing w:lineRule="auto" w:line="276"/>
        <w:jc w:val="center"/>
        <w:rPr>
          <w:rFonts w:cs="Arial"/>
          <w:sz w:val="24"/>
          <w:szCs w:val="24"/>
        </w:rPr>
      </w:pPr>
      <w:r>
        <w:rPr>
          <w:rFonts w:cs="Arial"/>
          <w:sz w:val="24"/>
          <w:szCs w:val="24"/>
        </w:rPr>
        <w:t>in the College of Science, Technology, Engineering, and Math (CSTEM)</w:t>
      </w:r>
    </w:p>
    <w:p>
      <w:pPr>
        <w:pStyle w:val="Normal"/>
        <w:spacing w:lineRule="auto" w:line="276"/>
        <w:jc w:val="center"/>
        <w:rPr>
          <w:rFonts w:cs="Arial"/>
        </w:rPr>
      </w:pPr>
      <w:r>
        <w:rPr>
          <w:rFonts w:cs="Arial"/>
        </w:rPr>
      </w:r>
    </w:p>
    <w:p>
      <w:pPr>
        <w:pStyle w:val="Normal"/>
        <w:spacing w:lineRule="auto" w:line="276"/>
        <w:jc w:val="center"/>
        <w:rPr>
          <w:rFonts w:cs="Arial"/>
        </w:rPr>
      </w:pPr>
      <w:r>
        <w:rPr>
          <w:rFonts w:cs="Arial"/>
        </w:rPr>
      </w:r>
    </w:p>
    <w:p>
      <w:pPr>
        <w:pStyle w:val="Normal"/>
        <w:spacing w:lineRule="auto" w:line="276"/>
        <w:jc w:val="center"/>
        <w:rPr>
          <w:rFonts w:cs="Arial"/>
        </w:rPr>
      </w:pPr>
      <w:r>
        <w:rPr>
          <w:rFonts w:cs="Arial"/>
        </w:rPr>
      </w:r>
    </w:p>
    <w:p>
      <w:pPr>
        <w:pStyle w:val="Normal"/>
        <w:spacing w:lineRule="auto" w:line="276"/>
        <w:jc w:val="center"/>
        <w:rPr>
          <w:rFonts w:cs="Arial"/>
        </w:rPr>
      </w:pPr>
      <w:r>
        <w:rPr>
          <w:rFonts w:cs="Arial"/>
        </w:rPr>
      </w:r>
    </w:p>
    <w:p>
      <w:pPr>
        <w:pStyle w:val="Normal"/>
        <w:spacing w:lineRule="auto" w:line="276"/>
        <w:rPr>
          <w:rFonts w:cs="Arial"/>
          <w:b/>
          <w:bCs/>
          <w:sz w:val="24"/>
          <w:szCs w:val="24"/>
        </w:rPr>
      </w:pPr>
      <w:r>
        <w:rPr>
          <w:rFonts w:cs="Arial"/>
          <w:b/>
          <w:bCs/>
          <w:sz w:val="24"/>
          <w:szCs w:val="24"/>
        </w:rPr>
      </w:r>
    </w:p>
    <w:p>
      <w:pPr>
        <w:pStyle w:val="Normal"/>
        <w:pBdr>
          <w:top w:val="single" w:sz="4" w:space="1" w:color="000000"/>
        </w:pBdr>
        <w:spacing w:lineRule="auto" w:line="276"/>
        <w:rPr>
          <w:rFonts w:cs="Arial"/>
          <w:b/>
          <w:bCs/>
          <w:sz w:val="24"/>
          <w:szCs w:val="24"/>
        </w:rPr>
      </w:pPr>
      <w:r>
        <w:rPr>
          <w:rFonts w:cs="Arial"/>
          <w:b/>
          <w:bCs/>
          <w:sz w:val="24"/>
          <w:szCs w:val="24"/>
        </w:rPr>
      </w:r>
    </w:p>
    <w:p>
      <w:pPr>
        <w:pStyle w:val="Normal"/>
        <w:spacing w:lineRule="auto" w:line="276"/>
        <w:jc w:val="center"/>
        <w:rPr>
          <w:rFonts w:cs="Arial"/>
          <w:sz w:val="24"/>
          <w:szCs w:val="24"/>
        </w:rPr>
      </w:pPr>
      <w:r>
        <w:rPr>
          <w:rFonts w:cs="Arial"/>
          <w:sz w:val="24"/>
          <w:szCs w:val="24"/>
        </w:rPr>
        <w:t>M.S. in Information Quality, University of Arkansas at Little Rock, 2020.</w:t>
      </w:r>
    </w:p>
    <w:p>
      <w:pPr>
        <w:pStyle w:val="Normal"/>
        <w:spacing w:lineRule="auto" w:line="276"/>
        <w:jc w:val="center"/>
        <w:rPr>
          <w:rFonts w:cs="Arial"/>
          <w:sz w:val="24"/>
          <w:szCs w:val="24"/>
        </w:rPr>
      </w:pPr>
      <w:r>
        <w:rPr>
          <w:rFonts w:cs="Arial"/>
          <w:sz w:val="24"/>
          <w:szCs w:val="24"/>
        </w:rPr>
        <w:t>G.C. in Information Quality, University of Arkansas at Little Rock, 2020.</w:t>
      </w:r>
    </w:p>
    <w:p>
      <w:pPr>
        <w:pStyle w:val="Normal"/>
        <w:spacing w:lineRule="auto" w:line="276"/>
        <w:jc w:val="center"/>
        <w:rPr>
          <w:rFonts w:cs="Arial"/>
          <w:sz w:val="24"/>
          <w:szCs w:val="24"/>
        </w:rPr>
      </w:pPr>
      <w:r>
        <w:rPr>
          <w:rFonts w:cs="Arial"/>
          <w:sz w:val="24"/>
          <w:szCs w:val="24"/>
        </w:rPr>
        <w:t>B.Sc. in Information Science, University of Arkansas at Little Rock, 2018.</w:t>
      </w:r>
      <w:r>
        <w:br w:type="page"/>
      </w:r>
    </w:p>
    <w:p>
      <w:pPr>
        <w:pStyle w:val="Normal"/>
        <w:spacing w:lineRule="auto" w:line="276" w:before="0" w:after="0"/>
        <w:rPr>
          <w:rFonts w:cs="Arial"/>
          <w:sz w:val="24"/>
          <w:szCs w:val="24"/>
        </w:rPr>
      </w:pPr>
      <w:r>
        <w:rPr>
          <w:rFonts w:cs="Arial"/>
          <w:sz w:val="24"/>
          <w:szCs w:val="24"/>
        </w:rPr>
        <w:t xml:space="preserve">This dissertation, “A Domain-Specific Language Approach to Support Monitoring And Surveillance Within Wholesale Electricity Markets”, by Eric C. Grasby is approved by: </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 xml:space="preserve">Committee Chair: </w:t>
        <w:tab/>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J. Daniel Berleant</w:t>
        <w:tab/>
        <w:tab/>
        <w:t>Professor of Information Science</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Co-chair:</w:t>
        <w:tab/>
        <w:tab/>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Maria Gingras</w:t>
      </w:r>
    </w:p>
    <w:p>
      <w:pPr>
        <w:pStyle w:val="Normal"/>
        <w:spacing w:lineRule="auto" w:line="276"/>
        <w:ind w:firstLine="720" w:left="5040"/>
        <w:rPr>
          <w:rFonts w:cs="Arial"/>
          <w:sz w:val="24"/>
          <w:szCs w:val="24"/>
        </w:rPr>
      </w:pPr>
      <w:r>
        <w:rPr>
          <w:rFonts w:cs="Arial"/>
          <w:sz w:val="24"/>
          <w:szCs w:val="24"/>
        </w:rPr>
        <w:t xml:space="preserve">Lead Market Monitor, SPP </w:t>
      </w:r>
    </w:p>
    <w:p>
      <w:pPr>
        <w:pStyle w:val="Normal"/>
        <w:spacing w:lineRule="auto" w:line="276"/>
        <w:ind w:firstLine="720" w:left="5040"/>
        <w:rPr>
          <w:rFonts w:cs="Arial"/>
          <w:sz w:val="24"/>
          <w:szCs w:val="24"/>
        </w:rPr>
      </w:pPr>
      <w:r>
        <w:rPr>
          <w:rFonts w:cs="Arial"/>
          <w:sz w:val="24"/>
          <w:szCs w:val="24"/>
        </w:rPr>
      </w:r>
    </w:p>
    <w:p>
      <w:pPr>
        <w:pStyle w:val="Normal"/>
        <w:spacing w:lineRule="auto" w:line="276"/>
        <w:ind w:firstLine="720" w:left="5040"/>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Committee Members:</w:t>
        <w:tab/>
        <w:tab/>
        <w:tab/>
        <w:tab/>
        <w:t xml:space="preserve">_______________________________        </w:t>
      </w:r>
    </w:p>
    <w:p>
      <w:pPr>
        <w:pStyle w:val="Normal"/>
        <w:spacing w:lineRule="auto" w:line="276"/>
        <w:ind w:firstLine="720" w:left="5040"/>
        <w:rPr>
          <w:rFonts w:cs="Arial"/>
          <w:sz w:val="24"/>
          <w:szCs w:val="24"/>
        </w:rPr>
      </w:pPr>
      <w:r>
        <w:rPr>
          <w:rFonts w:cs="Arial"/>
          <w:sz w:val="24"/>
          <w:szCs w:val="24"/>
        </w:rPr>
        <w:t>Dr. Elizabeth Pierce</w:t>
      </w:r>
    </w:p>
    <w:p>
      <w:pPr>
        <w:pStyle w:val="Normal"/>
        <w:spacing w:lineRule="auto" w:line="276"/>
        <w:ind w:firstLine="720" w:left="5040"/>
        <w:rPr>
          <w:rFonts w:cs="Arial"/>
          <w:sz w:val="24"/>
          <w:szCs w:val="24"/>
        </w:rPr>
      </w:pPr>
      <w:r>
        <w:rPr>
          <w:rFonts w:cs="Arial"/>
          <w:sz w:val="24"/>
          <w:szCs w:val="24"/>
        </w:rPr>
        <w:t xml:space="preserve">Professor of Information Science </w:t>
      </w:r>
    </w:p>
    <w:p>
      <w:pPr>
        <w:pStyle w:val="Normal"/>
        <w:spacing w:lineRule="auto" w:line="276"/>
        <w:ind w:firstLine="720" w:left="5040"/>
        <w:rPr>
          <w:rFonts w:cs="Arial"/>
          <w:sz w:val="24"/>
          <w:szCs w:val="24"/>
        </w:rPr>
      </w:pPr>
      <w:r>
        <w:rPr>
          <w:rFonts w:cs="Arial"/>
          <w:sz w:val="24"/>
          <w:szCs w:val="24"/>
        </w:rPr>
      </w:r>
    </w:p>
    <w:p>
      <w:pPr>
        <w:pStyle w:val="Normal"/>
        <w:spacing w:lineRule="auto" w:line="276"/>
        <w:ind w:firstLine="720" w:left="5040"/>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ab/>
        <w:tab/>
        <w:tab/>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Dr. Ningning Wu</w:t>
      </w:r>
    </w:p>
    <w:p>
      <w:pPr>
        <w:pStyle w:val="Normal"/>
        <w:spacing w:lineRule="auto" w:line="276"/>
        <w:ind w:firstLine="720" w:left="5040"/>
        <w:rPr>
          <w:rFonts w:cs="Arial"/>
          <w:sz w:val="24"/>
          <w:szCs w:val="24"/>
        </w:rPr>
      </w:pPr>
      <w:r>
        <w:rPr>
          <w:rFonts w:cs="Arial"/>
          <w:sz w:val="24"/>
          <w:szCs w:val="24"/>
        </w:rPr>
        <w:t>Professor of Information Science</w:t>
        <w:tab/>
        <w:tab/>
        <w:tab/>
      </w:r>
    </w:p>
    <w:p>
      <w:pPr>
        <w:pStyle w:val="Normal"/>
        <w:spacing w:lineRule="auto" w:line="276"/>
        <w:ind w:firstLine="720" w:left="5040"/>
        <w:rPr>
          <w:rFonts w:cs="Arial"/>
          <w:sz w:val="24"/>
          <w:szCs w:val="24"/>
        </w:rPr>
      </w:pPr>
      <w:r>
        <w:rPr>
          <w:rFonts w:cs="Arial"/>
          <w:sz w:val="24"/>
          <w:szCs w:val="24"/>
        </w:rPr>
      </w:r>
    </w:p>
    <w:p>
      <w:pPr>
        <w:pStyle w:val="Normal"/>
        <w:spacing w:lineRule="auto" w:line="276"/>
        <w:ind w:firstLine="720" w:left="5040"/>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Program Coordinator:</w:t>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Dr. John Talburt</w:t>
      </w:r>
    </w:p>
    <w:p>
      <w:pPr>
        <w:pStyle w:val="Normal"/>
        <w:spacing w:lineRule="auto" w:line="276"/>
        <w:ind w:firstLine="720" w:left="5040"/>
        <w:rPr>
          <w:rFonts w:cs="Arial"/>
          <w:sz w:val="24"/>
          <w:szCs w:val="24"/>
        </w:rPr>
      </w:pPr>
      <w:r>
        <w:rPr>
          <w:rFonts w:cs="Arial"/>
          <w:sz w:val="24"/>
          <w:szCs w:val="24"/>
        </w:rPr>
        <w:t xml:space="preserve">Professor of Information Science </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t>Graduate School Dean:</w:t>
        <w:tab/>
        <w:tab/>
        <w:tab/>
        <w:tab/>
        <w:t xml:space="preserve">  _______________________________ </w:t>
      </w:r>
    </w:p>
    <w:p>
      <w:pPr>
        <w:pStyle w:val="Normal"/>
        <w:spacing w:lineRule="auto" w:line="276"/>
        <w:ind w:firstLine="720" w:left="5040"/>
        <w:rPr>
          <w:rFonts w:cs="Arial"/>
          <w:sz w:val="24"/>
          <w:szCs w:val="24"/>
        </w:rPr>
      </w:pPr>
      <w:r>
        <w:rPr>
          <w:rFonts w:cs="Arial"/>
          <w:sz w:val="24"/>
          <w:szCs w:val="24"/>
        </w:rPr>
        <w:t>Dr. Brian C. Berry</w:t>
      </w:r>
    </w:p>
    <w:p>
      <w:pPr>
        <w:pStyle w:val="Normal"/>
        <w:spacing w:lineRule="auto" w:line="276"/>
        <w:ind w:firstLine="720" w:left="5040"/>
        <w:rPr>
          <w:rFonts w:cs="Arial"/>
          <w:sz w:val="24"/>
          <w:szCs w:val="24"/>
        </w:rPr>
      </w:pPr>
      <w:r>
        <w:rPr>
          <w:rFonts w:cs="Arial"/>
          <w:sz w:val="24"/>
          <w:szCs w:val="24"/>
        </w:rPr>
        <w:t xml:space="preserve">Professor of Chemistry </w:t>
      </w:r>
    </w:p>
    <w:p>
      <w:pPr>
        <w:pStyle w:val="Normal"/>
        <w:spacing w:lineRule="auto" w:line="276"/>
        <w:rPr>
          <w:rFonts w:cs="Arial"/>
          <w:sz w:val="24"/>
          <w:szCs w:val="24"/>
        </w:rPr>
      </w:pPr>
      <w:r>
        <w:rPr>
          <w:rFonts w:cs="Arial"/>
          <w:sz w:val="24"/>
          <w:szCs w:val="24"/>
        </w:rPr>
      </w:r>
    </w:p>
    <w:p>
      <w:pPr>
        <w:pStyle w:val="Normal"/>
        <w:spacing w:lineRule="auto" w:line="259" w:before="0" w:after="160"/>
        <w:rPr>
          <w:rFonts w:cs="Arial"/>
          <w:sz w:val="24"/>
          <w:szCs w:val="24"/>
        </w:rPr>
      </w:pPr>
      <w:r>
        <w:rPr>
          <w:rFonts w:cs="Arial"/>
          <w:sz w:val="24"/>
          <w:szCs w:val="24"/>
        </w:rPr>
      </w:r>
      <w:r>
        <w:br w:type="page"/>
      </w:r>
    </w:p>
    <w:p>
      <w:pPr>
        <w:pStyle w:val="Normal"/>
        <w:spacing w:lineRule="auto" w:line="276" w:before="0" w:after="0"/>
        <w:jc w:val="center"/>
        <w:rPr>
          <w:rFonts w:cs="Arial"/>
          <w:sz w:val="24"/>
          <w:szCs w:val="24"/>
        </w:rPr>
      </w:pPr>
      <w:r>
        <w:rPr>
          <w:rFonts w:cs="Arial"/>
          <w:sz w:val="24"/>
          <w:szCs w:val="24"/>
        </w:rPr>
        <w:t>© 2027 by Eric Charles Grasby</w:t>
      </w:r>
    </w:p>
    <w:p>
      <w:pPr>
        <w:pStyle w:val="Normal"/>
        <w:spacing w:lineRule="auto" w:line="276"/>
        <w:jc w:val="center"/>
        <w:rPr>
          <w:rFonts w:cs="Arial"/>
          <w:sz w:val="24"/>
          <w:szCs w:val="24"/>
        </w:rPr>
      </w:pPr>
      <w:r>
        <w:rPr>
          <w:rFonts w:cs="Arial"/>
          <w:sz w:val="24"/>
          <w:szCs w:val="24"/>
        </w:rPr>
        <w:t>All rights reserved.</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b/>
          <w:bCs/>
          <w:sz w:val="28"/>
          <w:szCs w:val="28"/>
        </w:rPr>
      </w:pPr>
      <w:r>
        <w:rPr>
          <w:rFonts w:cs="Arial"/>
          <w:b/>
          <w:bCs/>
          <w:sz w:val="28"/>
          <w:szCs w:val="28"/>
        </w:rPr>
        <w:t>Fair Use</w:t>
      </w:r>
    </w:p>
    <w:p>
      <w:pPr>
        <w:pStyle w:val="Normal"/>
        <w:rPr>
          <w:rFonts w:cs="Arial"/>
          <w:b/>
          <w:bCs/>
          <w:sz w:val="28"/>
          <w:szCs w:val="28"/>
        </w:rPr>
      </w:pPr>
      <w:r>
        <w:rPr>
          <w:rFonts w:cs="Arial"/>
          <w:b/>
          <w:bCs/>
          <w:sz w:val="28"/>
          <w:szCs w:val="28"/>
        </w:rPr>
      </w:r>
    </w:p>
    <w:p>
      <w:pPr>
        <w:pStyle w:val="Normal"/>
        <w:rPr>
          <w:rFonts w:cs="Arial"/>
          <w:sz w:val="24"/>
          <w:szCs w:val="24"/>
        </w:rPr>
      </w:pPr>
      <w:r>
        <w:rPr>
          <w:rFonts w:cs="Arial"/>
          <w:sz w:val="24"/>
          <w:szCs w:val="24"/>
        </w:rPr>
        <w:t xml:space="preserve">This dissertation is protected by the copyright laws of the United States (Title 17 of the </w:t>
      </w:r>
      <w:r>
        <w:rPr>
          <w:rFonts w:cs="Arial"/>
          <w:i/>
          <w:iCs/>
          <w:sz w:val="24"/>
          <w:szCs w:val="24"/>
        </w:rPr>
        <w:t>United States Code</w:t>
      </w:r>
      <w:r>
        <w:rPr>
          <w:rFonts w:cs="Arial"/>
          <w:sz w:val="24"/>
          <w:szCs w:val="24"/>
        </w:rPr>
        <w:t>, revised in December 2022). Consistent with fair use as defined in Section 107 of Title 17, brief quotations from this material are allowed with proper acknowledgment. Use of this material for financial gain without the author’s express written permission is not allowed.</w:t>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spacing w:lineRule="auto" w:line="276"/>
        <w:rPr>
          <w:rFonts w:cs="Arial"/>
          <w:b/>
          <w:bCs/>
          <w:sz w:val="28"/>
          <w:szCs w:val="28"/>
        </w:rPr>
      </w:pPr>
      <w:r>
        <w:rPr>
          <w:rFonts w:cs="Arial"/>
          <w:b/>
          <w:bCs/>
          <w:sz w:val="28"/>
          <w:szCs w:val="28"/>
        </w:rPr>
        <w:t>Duplication</w:t>
      </w:r>
    </w:p>
    <w:p>
      <w:pPr>
        <w:pStyle w:val="Normal"/>
        <w:spacing w:lineRule="auto" w:line="276"/>
        <w:rPr>
          <w:rFonts w:cs="Arial"/>
          <w:sz w:val="24"/>
          <w:szCs w:val="24"/>
        </w:rPr>
      </w:pPr>
      <w:r>
        <w:rPr>
          <w:rFonts w:cs="Arial"/>
          <w:sz w:val="24"/>
          <w:szCs w:val="24"/>
        </w:rPr>
      </w:r>
    </w:p>
    <w:p>
      <w:pPr>
        <w:pStyle w:val="Normal"/>
        <w:rPr>
          <w:rFonts w:cs="Arial"/>
          <w:sz w:val="24"/>
          <w:szCs w:val="24"/>
        </w:rPr>
      </w:pPr>
      <w:r>
        <w:rPr>
          <w:rFonts w:cs="Arial"/>
          <w:sz w:val="24"/>
          <w:szCs w:val="24"/>
        </w:rPr>
        <w:t>I authorize the Head of Interlibrary Loan or the Head of Archives at the Ottenheimer</w:t>
      </w:r>
    </w:p>
    <w:p>
      <w:pPr>
        <w:pStyle w:val="Normal"/>
        <w:rPr>
          <w:rFonts w:cs="Arial"/>
          <w:sz w:val="24"/>
          <w:szCs w:val="24"/>
        </w:rPr>
      </w:pPr>
      <w:r>
        <w:rPr>
          <w:rFonts w:cs="Arial"/>
          <w:sz w:val="24"/>
          <w:szCs w:val="24"/>
        </w:rPr>
        <w:t>Library at the University of Arkansas at Little Rock to arrange for duplication of this dissertation for educational or scholarly purposes when so requested by a library user. The duplication will be at the user’s expense.</w:t>
      </w:r>
    </w:p>
    <w:p>
      <w:pPr>
        <w:pStyle w:val="Normal"/>
        <w:rPr>
          <w:rFonts w:cs="Arial"/>
          <w:sz w:val="24"/>
          <w:szCs w:val="24"/>
        </w:rPr>
      </w:pPr>
      <w:r>
        <w:rPr>
          <w:rFonts w:cs="Arial"/>
          <w:sz w:val="24"/>
          <w:szCs w:val="24"/>
        </w:rPr>
      </w:r>
    </w:p>
    <w:p>
      <w:pPr>
        <w:pStyle w:val="Normal"/>
        <w:spacing w:lineRule="auto" w:line="276"/>
        <w:rPr>
          <w:rFonts w:cs="Arial"/>
          <w:sz w:val="24"/>
          <w:szCs w:val="24"/>
        </w:rPr>
      </w:pPr>
      <w:r>
        <w:rPr>
          <w:rFonts w:cs="Arial"/>
          <w:sz w:val="24"/>
          <w:szCs w:val="24"/>
        </w:rPr>
      </w:r>
    </w:p>
    <w:p>
      <w:pPr>
        <w:pStyle w:val="Normal"/>
        <w:rPr>
          <w:rFonts w:cs="Arial"/>
          <w:sz w:val="24"/>
          <w:szCs w:val="24"/>
        </w:rPr>
      </w:pPr>
      <w:r>
        <w:rPr>
          <w:rFonts w:cs="Arial"/>
          <w:sz w:val="24"/>
          <w:szCs w:val="24"/>
        </w:rPr>
      </w:r>
      <w:r>
        <w:br w:type="page"/>
      </w:r>
    </w:p>
    <w:p>
      <w:pPr>
        <w:pStyle w:val="Normal"/>
        <w:spacing w:lineRule="auto" w:line="276" w:before="0" w:after="0"/>
        <w:rPr>
          <w:rFonts w:cs="Arial"/>
          <w:b/>
          <w:bCs/>
          <w:sz w:val="28"/>
          <w:szCs w:val="28"/>
        </w:rPr>
      </w:pPr>
      <w:r>
        <w:rPr>
          <w:rFonts w:cs="Arial"/>
          <w:b/>
          <w:bCs/>
          <w:sz w:val="28"/>
          <w:szCs w:val="28"/>
        </w:rPr>
        <w:t>Abstract</w:t>
      </w:r>
    </w:p>
    <w:p>
      <w:pPr>
        <w:pStyle w:val="Normal"/>
        <w:spacing w:lineRule="auto" w:line="276"/>
        <w:rPr>
          <w:rFonts w:cs="Arial"/>
          <w:b/>
          <w:bCs/>
          <w:sz w:val="28"/>
          <w:szCs w:val="28"/>
        </w:rPr>
      </w:pPr>
      <w:r>
        <w:rPr>
          <w:rFonts w:cs="Arial"/>
          <w:b/>
          <w:bCs/>
          <w:sz w:val="28"/>
          <w:szCs w:val="28"/>
        </w:rPr>
      </w:r>
    </w:p>
    <w:p>
      <w:pPr>
        <w:pStyle w:val="Normal"/>
        <w:ind w:firstLine="720"/>
        <w:rPr>
          <w:rFonts w:cs="Arial"/>
          <w:sz w:val="24"/>
          <w:szCs w:val="24"/>
        </w:rPr>
      </w:pPr>
      <w:r>
        <w:rPr>
          <w:rFonts w:cs="Arial"/>
          <w:sz w:val="24"/>
          <w:szCs w:val="24"/>
        </w:rPr>
        <w:t>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pPr>
        <w:pStyle w:val="Normal"/>
        <w:ind w:firstLine="720"/>
        <w:rPr>
          <w:rFonts w:cs="Arial"/>
          <w:sz w:val="24"/>
          <w:szCs w:val="24"/>
        </w:rPr>
      </w:pPr>
      <w:r>
        <w:rPr>
          <w:rFonts w:cs="Arial"/>
          <w:sz w:val="24"/>
          <w:szCs w:val="24"/>
        </w:rPr>
        <w:t>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pPr>
        <w:pStyle w:val="Normal"/>
        <w:rPr>
          <w:rFonts w:cs="Arial"/>
          <w:sz w:val="24"/>
          <w:szCs w:val="24"/>
        </w:rPr>
      </w:pPr>
      <w:r>
        <w:rPr>
          <w:rFonts w:cs="Arial"/>
          <w:b/>
          <w:bCs/>
          <w:sz w:val="28"/>
          <w:szCs w:val="28"/>
        </w:rPr>
        <w:t>Dedication</w:t>
      </w:r>
    </w:p>
    <w:p>
      <w:pPr>
        <w:pStyle w:val="Normal"/>
        <w:rPr>
          <w:rFonts w:cs="Arial"/>
          <w:i/>
          <w:i/>
          <w:iCs/>
          <w:sz w:val="24"/>
          <w:szCs w:val="24"/>
        </w:rPr>
      </w:pPr>
      <w:r>
        <w:rPr>
          <w:rFonts w:cs="Arial"/>
          <w:sz w:val="24"/>
          <w:szCs w:val="24"/>
        </w:rPr>
        <w:tab/>
      </w:r>
      <w:r>
        <w:rPr>
          <w:rFonts w:cs="Arial"/>
          <w:i/>
          <w:iCs/>
          <w:sz w:val="24"/>
          <w:szCs w:val="24"/>
        </w:rPr>
        <w:t>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pPr>
        <w:pStyle w:val="Normal"/>
        <w:rPr>
          <w:rFonts w:cs="Arial"/>
          <w:i/>
          <w:i/>
          <w:iCs/>
          <w:sz w:val="24"/>
          <w:szCs w:val="24"/>
        </w:rPr>
      </w:pPr>
      <w:r>
        <w:rPr>
          <w:rFonts w:cs="Arial"/>
          <w:i/>
          <w:iCs/>
          <w:sz w:val="24"/>
          <w:szCs w:val="24"/>
        </w:rPr>
        <w:tab/>
        <w:t xml:space="preserve">And for my friend, Brenda (Fuller) Vammen. The world lost you too young. This achievement is for you, too. </w:t>
      </w:r>
    </w:p>
    <w:p>
      <w:pPr>
        <w:pStyle w:val="Normal"/>
        <w:spacing w:lineRule="auto" w:line="259" w:before="0" w:after="160"/>
        <w:rPr>
          <w:rFonts w:cs="Arial"/>
          <w:sz w:val="24"/>
          <w:szCs w:val="24"/>
        </w:rPr>
      </w:pPr>
      <w:r>
        <w:rPr>
          <w:rFonts w:cs="Arial"/>
          <w:sz w:val="24"/>
          <w:szCs w:val="24"/>
        </w:rPr>
      </w:r>
      <w:r>
        <w:br w:type="page"/>
      </w:r>
    </w:p>
    <w:p>
      <w:pPr>
        <w:pStyle w:val="Normal"/>
        <w:spacing w:lineRule="auto" w:line="276" w:before="0" w:after="0"/>
        <w:rPr>
          <w:rFonts w:cs="Arial"/>
          <w:b/>
          <w:bCs/>
          <w:sz w:val="28"/>
          <w:szCs w:val="28"/>
        </w:rPr>
      </w:pPr>
      <w:r>
        <w:rPr>
          <w:rFonts w:cs="Arial"/>
          <w:b/>
          <w:bCs/>
          <w:sz w:val="28"/>
          <w:szCs w:val="28"/>
        </w:rPr>
        <w:t>Acknowledgements</w:t>
      </w:r>
    </w:p>
    <w:p>
      <w:pPr>
        <w:pStyle w:val="Normal"/>
        <w:spacing w:lineRule="auto" w:line="276"/>
        <w:rPr>
          <w:rFonts w:cs="Arial"/>
          <w:b/>
          <w:bCs/>
          <w:sz w:val="28"/>
          <w:szCs w:val="28"/>
        </w:rPr>
      </w:pPr>
      <w:r>
        <w:rPr>
          <w:rFonts w:cs="Arial"/>
          <w:b/>
          <w:bCs/>
          <w:sz w:val="28"/>
          <w:szCs w:val="28"/>
        </w:rPr>
      </w:r>
    </w:p>
    <w:p>
      <w:pPr>
        <w:pStyle w:val="Normal"/>
        <w:ind w:firstLine="720"/>
        <w:rPr>
          <w:rFonts w:cs="Arial"/>
          <w:sz w:val="24"/>
          <w:szCs w:val="24"/>
        </w:rPr>
      </w:pPr>
      <w:r>
        <w:rPr>
          <w:rFonts w:cs="Arial"/>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pPr>
        <w:pStyle w:val="Normal"/>
        <w:ind w:firstLine="720"/>
        <w:rPr>
          <w:rFonts w:cs="Arial"/>
          <w:sz w:val="24"/>
          <w:szCs w:val="24"/>
        </w:rPr>
      </w:pPr>
      <w:r>
        <w:rPr>
          <w:rFonts w:cs="Arial"/>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pPr>
        <w:pStyle w:val="Normal"/>
        <w:ind w:firstLine="720"/>
        <w:rPr>
          <w:rFonts w:cs="Arial"/>
          <w:sz w:val="24"/>
          <w:szCs w:val="24"/>
        </w:rPr>
      </w:pPr>
      <w:r>
        <w:rPr>
          <w:rFonts w:cs="Arial"/>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pPr>
        <w:pStyle w:val="Normal"/>
        <w:ind w:firstLine="720"/>
        <w:rPr>
          <w:rFonts w:cs="Arial"/>
          <w:sz w:val="24"/>
          <w:szCs w:val="24"/>
        </w:rPr>
      </w:pPr>
      <w:r>
        <w:rPr>
          <w:rFonts w:cs="Arial"/>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pPr>
        <w:pStyle w:val="Normal"/>
        <w:ind w:firstLine="720"/>
        <w:rPr>
          <w:rFonts w:cs="Arial"/>
          <w:sz w:val="24"/>
          <w:szCs w:val="24"/>
        </w:rPr>
      </w:pPr>
      <w:r>
        <w:rPr>
          <w:rFonts w:cs="Arial"/>
          <w:sz w:val="24"/>
          <w:szCs w:val="24"/>
        </w:rPr>
        <w:t>I want to say thank you to my family for their support in helping me reach this point in my life, as well as my girlfriend, Rebecca Lush, who always makes sure that I take care of myself and that I go to bed on time.</w:t>
      </w:r>
    </w:p>
    <w:p>
      <w:pPr>
        <w:pStyle w:val="Normal"/>
        <w:rPr>
          <w:rFonts w:cs="Arial"/>
          <w:sz w:val="24"/>
          <w:szCs w:val="24"/>
        </w:rPr>
      </w:pPr>
      <w:r>
        <w:rPr>
          <w:rFonts w:cs="Arial"/>
          <w:sz w:val="24"/>
          <w:szCs w:val="24"/>
        </w:rPr>
        <w:tab/>
      </w:r>
      <w:r>
        <w:rPr>
          <w:rFonts w:cs="Arial"/>
          <w:i/>
          <w:iCs/>
          <w:sz w:val="24"/>
          <w:szCs w:val="24"/>
          <w:u w:val="none"/>
        </w:rPr>
        <w:t>And, finally, to Caroline – “ma</w:t>
      </w:r>
      <w:r>
        <w:rPr>
          <w:rFonts w:cs="Arial"/>
          <w:i/>
          <w:iCs/>
          <w:sz w:val="24"/>
          <w:szCs w:val="24"/>
        </w:rPr>
        <w:t>y you always live in interesting times</w:t>
      </w:r>
      <w:r>
        <w:rPr>
          <w:rFonts w:cs="Arial"/>
          <w:sz w:val="24"/>
          <w:szCs w:val="24"/>
        </w:rPr>
        <w:t>.”</w:t>
      </w:r>
      <w:r>
        <w:br w:type="page"/>
      </w:r>
    </w:p>
    <w:p>
      <w:pPr>
        <w:pStyle w:val="Normal"/>
        <w:spacing w:lineRule="auto" w:line="276" w:before="0" w:after="0"/>
        <w:rPr>
          <w:rFonts w:cs="Arial"/>
          <w:b/>
          <w:bCs/>
          <w:sz w:val="28"/>
          <w:szCs w:val="28"/>
        </w:rPr>
      </w:pPr>
      <w:r>
        <w:rPr>
          <w:rFonts w:cs="Arial"/>
          <w:b/>
          <w:bCs/>
          <w:sz w:val="28"/>
          <w:szCs w:val="28"/>
        </w:rPr>
        <w:t>Protocol or IRB Approval Statement</w:t>
      </w:r>
    </w:p>
    <w:p>
      <w:pPr>
        <w:pStyle w:val="Normal"/>
        <w:spacing w:lineRule="auto" w:line="276"/>
        <w:rPr>
          <w:rFonts w:cs="Arial"/>
          <w:b/>
          <w:bCs/>
          <w:sz w:val="28"/>
          <w:szCs w:val="28"/>
        </w:rPr>
      </w:pPr>
      <w:r>
        <w:rPr>
          <w:rFonts w:cs="Arial"/>
          <w:b/>
          <w:bCs/>
          <w:sz w:val="28"/>
          <w:szCs w:val="28"/>
        </w:rPr>
      </w:r>
    </w:p>
    <w:p>
      <w:pPr>
        <w:pStyle w:val="Normal"/>
        <w:keepNext w:val="true"/>
        <w:jc w:val="center"/>
        <w:rPr/>
      </w:pPr>
      <w:r>
        <w:rPr/>
        <w:drawing>
          <wp:inline distT="0" distB="0" distL="0" distR="0">
            <wp:extent cx="5743575" cy="7277100"/>
            <wp:effectExtent l="0" t="0" r="0" b="0"/>
            <wp:docPr id="2" name="Picture 2" descr="IRB Approval for the Delphi Study piece of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RB Approval for the Delphi Study piece of this research"/>
                    <pic:cNvPicPr>
                      <a:picLocks noChangeAspect="1" noChangeArrowheads="1"/>
                    </pic:cNvPicPr>
                  </pic:nvPicPr>
                  <pic:blipFill>
                    <a:blip r:embed="rId3"/>
                    <a:stretch>
                      <a:fillRect/>
                    </a:stretch>
                  </pic:blipFill>
                  <pic:spPr bwMode="auto">
                    <a:xfrm>
                      <a:off x="0" y="0"/>
                      <a:ext cx="5743575" cy="7277100"/>
                    </a:xfrm>
                    <a:prstGeom prst="rect">
                      <a:avLst/>
                    </a:prstGeom>
                    <a:ln w="12700">
                      <a:solidFill>
                        <a:srgbClr val="000000"/>
                      </a:solidFill>
                    </a:ln>
                  </pic:spPr>
                </pic:pic>
              </a:graphicData>
            </a:graphic>
          </wp:inline>
        </w:drawing>
      </w:r>
    </w:p>
    <w:p>
      <w:pPr>
        <w:pStyle w:val="Normal"/>
        <w:rPr>
          <w:rFonts w:cs="Arial"/>
          <w:sz w:val="24"/>
          <w:szCs w:val="24"/>
        </w:rPr>
      </w:pPr>
      <w:r>
        <w:rPr>
          <w:rFonts w:cs="Arial"/>
          <w:sz w:val="24"/>
          <w:szCs w:val="24"/>
        </w:rPr>
      </w:r>
    </w:p>
    <w:sdt>
      <w:sdtPr>
        <w:docPartObj>
          <w:docPartGallery w:val="Table of Contents"/>
          <w:docPartUnique w:val="true"/>
        </w:docPartObj>
      </w:sdtPr>
      <w:sdtContent>
        <w:p>
          <w:pPr>
            <w:pStyle w:val="TOCHeading"/>
            <w:rPr/>
          </w:pPr>
          <w:r>
            <w:br w:type="page"/>
          </w:r>
          <w:r>
            <w:rPr/>
            <w:t>Table of Contents</w:t>
          </w:r>
        </w:p>
        <w:p>
          <w:pPr>
            <w:pStyle w:val="TOC1"/>
            <w:tabs>
              <w:tab w:val="clear" w:pos="720"/>
              <w:tab w:val="right" w:pos="9359"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2302_401063098">
            <w:r>
              <w:rPr>
                <w:webHidden/>
                <w:rStyle w:val="IndexLink"/>
                <w:vanish w:val="false"/>
              </w:rPr>
              <w:t>List of Figures</w:t>
            </w:r>
            <w:r>
              <w:rPr>
                <w:rStyle w:val="IndexLink"/>
                <w:vanish w:val="false"/>
              </w:rPr>
              <w:tab/>
              <w:t>xi</w:t>
            </w:r>
          </w:hyperlink>
        </w:p>
        <w:p>
          <w:pPr>
            <w:pStyle w:val="TOC1"/>
            <w:tabs>
              <w:tab w:val="clear" w:pos="720"/>
              <w:tab w:val="right" w:pos="9359" w:leader="dot"/>
            </w:tabs>
            <w:rPr/>
          </w:pPr>
          <w:hyperlink w:anchor="__RefHeading___Toc2304_401063098">
            <w:r>
              <w:rPr>
                <w:webHidden/>
                <w:rStyle w:val="IndexLink"/>
                <w:vanish w:val="false"/>
              </w:rPr>
              <w:t>List of Tables</w:t>
              <w:tab/>
              <w:t>xii</w:t>
            </w:r>
          </w:hyperlink>
        </w:p>
        <w:p>
          <w:pPr>
            <w:pStyle w:val="TOC1"/>
            <w:tabs>
              <w:tab w:val="clear" w:pos="720"/>
              <w:tab w:val="right" w:pos="9359" w:leader="dot"/>
            </w:tabs>
            <w:rPr/>
          </w:pPr>
          <w:hyperlink w:anchor="__RefHeading___Toc2306_401063098">
            <w:r>
              <w:rPr>
                <w:webHidden/>
                <w:rStyle w:val="IndexLink"/>
                <w:vanish w:val="false"/>
              </w:rPr>
              <w:t>List of Symbols, Abbreviations, and Nomenclature</w:t>
              <w:tab/>
              <w:t>xiii</w:t>
            </w:r>
          </w:hyperlink>
        </w:p>
        <w:p>
          <w:pPr>
            <w:pStyle w:val="TOC1"/>
            <w:tabs>
              <w:tab w:val="clear" w:pos="720"/>
              <w:tab w:val="right" w:pos="9359" w:leader="dot"/>
            </w:tabs>
            <w:rPr/>
          </w:pPr>
          <w:hyperlink w:anchor="__RefHeading___Toc2308_401063098">
            <w:r>
              <w:rPr>
                <w:webHidden/>
                <w:rStyle w:val="IndexLink"/>
                <w:vanish w:val="false"/>
              </w:rPr>
              <w:t>Chapter 1: Introduction</w:t>
              <w:tab/>
              <w:t>1</w:t>
            </w:r>
          </w:hyperlink>
        </w:p>
        <w:p>
          <w:pPr>
            <w:pStyle w:val="TOC2"/>
            <w:tabs>
              <w:tab w:val="clear" w:pos="720"/>
              <w:tab w:val="right" w:pos="9359" w:leader="dot"/>
            </w:tabs>
            <w:rPr/>
          </w:pPr>
          <w:hyperlink w:anchor="__RefHeading___Toc2310_401063098">
            <w:r>
              <w:rPr>
                <w:webHidden/>
                <w:rStyle w:val="IndexLink"/>
                <w:vanish w:val="false"/>
              </w:rPr>
              <w:t>The North American Bulk Electric System</w:t>
              <w:tab/>
              <w:t>2</w:t>
            </w:r>
          </w:hyperlink>
        </w:p>
        <w:p>
          <w:pPr>
            <w:pStyle w:val="TOC2"/>
            <w:tabs>
              <w:tab w:val="clear" w:pos="720"/>
              <w:tab w:val="right" w:pos="9359" w:leader="dot"/>
            </w:tabs>
            <w:rPr/>
          </w:pPr>
          <w:hyperlink w:anchor="__RefHeading___Toc2312_401063098">
            <w:r>
              <w:rPr>
                <w:webHidden/>
                <w:rStyle w:val="IndexLink"/>
                <w:vanish w:val="false"/>
              </w:rPr>
              <w:t>An Introduction to Electricity Markets</w:t>
              <w:tab/>
              <w:t>5</w:t>
            </w:r>
          </w:hyperlink>
        </w:p>
        <w:p>
          <w:pPr>
            <w:pStyle w:val="TOC2"/>
            <w:tabs>
              <w:tab w:val="clear" w:pos="720"/>
              <w:tab w:val="right" w:pos="9359" w:leader="dot"/>
            </w:tabs>
            <w:rPr/>
          </w:pPr>
          <w:hyperlink w:anchor="__RefHeading___Toc2314_401063098">
            <w:r>
              <w:rPr>
                <w:webHidden/>
                <w:rStyle w:val="IndexLink"/>
                <w:vanish w:val="false"/>
              </w:rPr>
              <w:t>Entities</w:t>
              <w:tab/>
              <w:t>6</w:t>
            </w:r>
          </w:hyperlink>
        </w:p>
        <w:p>
          <w:pPr>
            <w:pStyle w:val="TOC3"/>
            <w:tabs>
              <w:tab w:val="clear" w:pos="720"/>
              <w:tab w:val="right" w:pos="9359" w:leader="dot"/>
            </w:tabs>
            <w:rPr/>
          </w:pPr>
          <w:hyperlink w:anchor="__RefHeading___Toc2316_401063098">
            <w:r>
              <w:rPr>
                <w:webHidden/>
                <w:rStyle w:val="IndexLink"/>
                <w:vanish w:val="false"/>
              </w:rPr>
              <w:t>Independent System Operator (ISO)</w:t>
              <w:tab/>
              <w:t>6</w:t>
            </w:r>
          </w:hyperlink>
        </w:p>
        <w:p>
          <w:pPr>
            <w:pStyle w:val="TOC3"/>
            <w:tabs>
              <w:tab w:val="clear" w:pos="720"/>
              <w:tab w:val="right" w:pos="9359" w:leader="dot"/>
            </w:tabs>
            <w:rPr/>
          </w:pPr>
          <w:hyperlink w:anchor="__RefHeading___Toc2318_401063098">
            <w:r>
              <w:rPr>
                <w:webHidden/>
                <w:rStyle w:val="IndexLink"/>
                <w:vanish w:val="false"/>
              </w:rPr>
              <w:t>Regional Transmission Operator (RTO)</w:t>
              <w:tab/>
              <w:t>7</w:t>
            </w:r>
          </w:hyperlink>
        </w:p>
        <w:p>
          <w:pPr>
            <w:pStyle w:val="TOC2"/>
            <w:tabs>
              <w:tab w:val="clear" w:pos="720"/>
              <w:tab w:val="right" w:pos="9359" w:leader="dot"/>
            </w:tabs>
            <w:rPr/>
          </w:pPr>
          <w:hyperlink w:anchor="__RefHeading___Toc2320_401063098">
            <w:r>
              <w:rPr>
                <w:webHidden/>
                <w:rStyle w:val="IndexLink"/>
                <w:vanish w:val="false"/>
              </w:rPr>
              <w:t>Types of Markets</w:t>
              <w:tab/>
              <w:t>8</w:t>
            </w:r>
          </w:hyperlink>
        </w:p>
        <w:p>
          <w:pPr>
            <w:pStyle w:val="TOC2"/>
            <w:tabs>
              <w:tab w:val="clear" w:pos="720"/>
              <w:tab w:val="right" w:pos="9359" w:leader="dot"/>
            </w:tabs>
            <w:rPr/>
          </w:pPr>
          <w:hyperlink w:anchor="__RefHeading___Toc2322_401063098">
            <w:r>
              <w:rPr>
                <w:webHidden/>
                <w:rStyle w:val="IndexLink"/>
                <w:vanish w:val="false"/>
              </w:rPr>
              <w:t>BES Complexity and Energy Markets</w:t>
              <w:tab/>
              <w:t>9</w:t>
            </w:r>
          </w:hyperlink>
        </w:p>
        <w:p>
          <w:pPr>
            <w:pStyle w:val="TOC2"/>
            <w:tabs>
              <w:tab w:val="clear" w:pos="720"/>
              <w:tab w:val="right" w:pos="9359" w:leader="dot"/>
            </w:tabs>
            <w:rPr/>
          </w:pPr>
          <w:hyperlink w:anchor="__RefHeading___Toc2324_401063098">
            <w:r>
              <w:rPr>
                <w:webHidden/>
                <w:rStyle w:val="IndexLink"/>
                <w:vanish w:val="false"/>
              </w:rPr>
              <w:t>The Fall of Enron Corporation</w:t>
              <w:tab/>
              <w:t>11</w:t>
            </w:r>
          </w:hyperlink>
        </w:p>
        <w:p>
          <w:pPr>
            <w:pStyle w:val="TOC2"/>
            <w:tabs>
              <w:tab w:val="clear" w:pos="720"/>
              <w:tab w:val="right" w:pos="9359" w:leader="dot"/>
            </w:tabs>
            <w:rPr/>
          </w:pPr>
          <w:hyperlink w:anchor="__RefHeading___Toc2326_401063098">
            <w:r>
              <w:rPr>
                <w:webHidden/>
                <w:rStyle w:val="IndexLink"/>
                <w:vanish w:val="false"/>
              </w:rPr>
              <w:t>Skills of a Market Monitor</w:t>
              <w:tab/>
              <w:t>14</w:t>
            </w:r>
          </w:hyperlink>
        </w:p>
        <w:p>
          <w:pPr>
            <w:pStyle w:val="TOC3"/>
            <w:tabs>
              <w:tab w:val="clear" w:pos="720"/>
              <w:tab w:val="right" w:pos="9359" w:leader="dot"/>
            </w:tabs>
            <w:rPr/>
          </w:pPr>
          <w:hyperlink w:anchor="__RefHeading___Toc2328_401063098">
            <w:r>
              <w:rPr>
                <w:webHidden/>
                <w:rStyle w:val="IndexLink"/>
                <w:vanish w:val="false"/>
              </w:rPr>
              <w:t>Market Monitoring Firms</w:t>
              <w:tab/>
              <w:t>16</w:t>
            </w:r>
          </w:hyperlink>
        </w:p>
        <w:p>
          <w:pPr>
            <w:pStyle w:val="TOC2"/>
            <w:tabs>
              <w:tab w:val="clear" w:pos="720"/>
              <w:tab w:val="right" w:pos="9359" w:leader="dot"/>
            </w:tabs>
            <w:rPr/>
          </w:pPr>
          <w:hyperlink w:anchor="__RefHeading___Toc2330_401063098">
            <w:r>
              <w:rPr>
                <w:webHidden/>
                <w:rStyle w:val="IndexLink"/>
                <w:vanish w:val="false"/>
              </w:rPr>
              <w:t>The Case for Information Quality Research in Market Monitoring</w:t>
              <w:tab/>
              <w:t>16</w:t>
            </w:r>
          </w:hyperlink>
        </w:p>
        <w:p>
          <w:pPr>
            <w:pStyle w:val="TOC2"/>
            <w:tabs>
              <w:tab w:val="clear" w:pos="720"/>
              <w:tab w:val="right" w:pos="9359" w:leader="dot"/>
            </w:tabs>
            <w:rPr/>
          </w:pPr>
          <w:hyperlink w:anchor="__RefHeading___Toc2332_401063098">
            <w:r>
              <w:rPr>
                <w:webHidden/>
                <w:rStyle w:val="IndexLink"/>
                <w:vanish w:val="false"/>
              </w:rPr>
              <w:t>Conducting Information Quality Research in Market Monitoring</w:t>
              <w:tab/>
              <w:t>17</w:t>
            </w:r>
          </w:hyperlink>
        </w:p>
        <w:p>
          <w:pPr>
            <w:pStyle w:val="TOC2"/>
            <w:tabs>
              <w:tab w:val="clear" w:pos="720"/>
              <w:tab w:val="right" w:pos="9359" w:leader="dot"/>
            </w:tabs>
            <w:rPr/>
          </w:pPr>
          <w:hyperlink w:anchor="__RefHeading___Toc2334_401063098">
            <w:r>
              <w:rPr>
                <w:webHidden/>
                <w:rStyle w:val="IndexLink"/>
                <w:vanish w:val="false"/>
              </w:rPr>
              <w:t>Subject Matter Expert (SME) Discussions</w:t>
              <w:tab/>
              <w:t>18</w:t>
            </w:r>
          </w:hyperlink>
        </w:p>
        <w:p>
          <w:pPr>
            <w:pStyle w:val="TOC2"/>
            <w:tabs>
              <w:tab w:val="clear" w:pos="720"/>
              <w:tab w:val="right" w:pos="9359" w:leader="dot"/>
            </w:tabs>
            <w:rPr/>
          </w:pPr>
          <w:hyperlink w:anchor="__RefHeading___Toc2336_401063098">
            <w:r>
              <w:rPr>
                <w:webHidden/>
                <w:rStyle w:val="IndexLink"/>
                <w:vanish w:val="false"/>
              </w:rPr>
              <w:t>Design Science Methodology</w:t>
              <w:tab/>
              <w:t>18</w:t>
            </w:r>
          </w:hyperlink>
        </w:p>
        <w:p>
          <w:pPr>
            <w:pStyle w:val="TOC2"/>
            <w:tabs>
              <w:tab w:val="clear" w:pos="720"/>
              <w:tab w:val="right" w:pos="9359" w:leader="dot"/>
            </w:tabs>
            <w:rPr/>
          </w:pPr>
          <w:hyperlink w:anchor="__RefHeading___Toc2338_401063098">
            <w:r>
              <w:rPr>
                <w:webHidden/>
                <w:rStyle w:val="IndexLink"/>
                <w:vanish w:val="false"/>
              </w:rPr>
              <w:t>Proposed Investigation</w:t>
              <w:tab/>
              <w:t>20</w:t>
            </w:r>
          </w:hyperlink>
        </w:p>
        <w:p>
          <w:pPr>
            <w:pStyle w:val="TOC2"/>
            <w:tabs>
              <w:tab w:val="clear" w:pos="720"/>
              <w:tab w:val="right" w:pos="9359" w:leader="dot"/>
            </w:tabs>
            <w:rPr/>
          </w:pPr>
          <w:hyperlink w:anchor="__RefHeading___Toc2340_401063098">
            <w:r>
              <w:rPr>
                <w:webHidden/>
                <w:rStyle w:val="IndexLink"/>
                <w:vanish w:val="false"/>
              </w:rPr>
              <w:t>Limitations of this Research</w:t>
              <w:tab/>
              <w:t>21</w:t>
            </w:r>
          </w:hyperlink>
        </w:p>
        <w:p>
          <w:pPr>
            <w:pStyle w:val="TOC1"/>
            <w:tabs>
              <w:tab w:val="clear" w:pos="720"/>
              <w:tab w:val="right" w:pos="9359" w:leader="dot"/>
            </w:tabs>
            <w:rPr/>
          </w:pPr>
          <w:hyperlink w:anchor="__RefHeading___Toc2342_401063098">
            <w:r>
              <w:rPr>
                <w:webHidden/>
                <w:rStyle w:val="IndexLink"/>
                <w:vanish w:val="false"/>
              </w:rPr>
              <w:t>Chapter 2: Literature Review</w:t>
              <w:tab/>
              <w:t>22</w:t>
            </w:r>
          </w:hyperlink>
        </w:p>
        <w:p>
          <w:pPr>
            <w:pStyle w:val="TOC2"/>
            <w:tabs>
              <w:tab w:val="clear" w:pos="720"/>
              <w:tab w:val="right" w:pos="9359" w:leader="dot"/>
            </w:tabs>
            <w:rPr/>
          </w:pPr>
          <w:hyperlink w:anchor="__RefHeading___Toc2344_401063098">
            <w:r>
              <w:rPr>
                <w:webHidden/>
                <w:rStyle w:val="IndexLink"/>
                <w:vanish w:val="false"/>
              </w:rPr>
              <w:t>An Aging Workforce</w:t>
              <w:tab/>
              <w:t>22</w:t>
            </w:r>
          </w:hyperlink>
        </w:p>
        <w:p>
          <w:pPr>
            <w:pStyle w:val="TOC2"/>
            <w:tabs>
              <w:tab w:val="clear" w:pos="720"/>
              <w:tab w:val="right" w:pos="9359" w:leader="dot"/>
            </w:tabs>
            <w:rPr/>
          </w:pPr>
          <w:hyperlink w:anchor="__RefHeading___Toc2346_401063098">
            <w:r>
              <w:rPr>
                <w:webHidden/>
                <w:rStyle w:val="IndexLink"/>
                <w:vanish w:val="false"/>
              </w:rPr>
              <w:t>Application to Market Monitoring Research</w:t>
              <w:tab/>
              <w:t>23</w:t>
            </w:r>
          </w:hyperlink>
        </w:p>
        <w:p>
          <w:pPr>
            <w:pStyle w:val="TOC2"/>
            <w:tabs>
              <w:tab w:val="clear" w:pos="720"/>
              <w:tab w:val="right" w:pos="9359" w:leader="dot"/>
            </w:tabs>
            <w:rPr/>
          </w:pPr>
          <w:hyperlink w:anchor="__RefHeading___Toc2260_2940850073">
            <w:r>
              <w:rPr>
                <w:webHidden/>
                <w:rStyle w:val="IndexLink"/>
                <w:vanish w:val="false"/>
              </w:rPr>
              <w:t>DSL Variations</w:t>
              <w:tab/>
              <w:t>26</w:t>
            </w:r>
          </w:hyperlink>
        </w:p>
        <w:p>
          <w:pPr>
            <w:pStyle w:val="TOC1"/>
            <w:tabs>
              <w:tab w:val="clear" w:pos="720"/>
              <w:tab w:val="right" w:pos="9359" w:leader="dot"/>
            </w:tabs>
            <w:rPr/>
          </w:pPr>
          <w:hyperlink w:anchor="__RefHeading___Toc2348_401063098">
            <w:r>
              <w:rPr>
                <w:webHidden/>
                <w:rStyle w:val="IndexLink"/>
                <w:vanish w:val="false"/>
              </w:rPr>
              <w:t>Chapter 3: System Requirements and Use-Cases</w:t>
              <w:tab/>
              <w:t>28</w:t>
            </w:r>
          </w:hyperlink>
        </w:p>
        <w:p>
          <w:pPr>
            <w:pStyle w:val="TOC1"/>
            <w:tabs>
              <w:tab w:val="clear" w:pos="720"/>
              <w:tab w:val="right" w:pos="9359" w:leader="dot"/>
            </w:tabs>
            <w:rPr/>
          </w:pPr>
          <w:hyperlink w:anchor="__RefHeading___Toc2350_401063098">
            <w:r>
              <w:rPr>
                <w:webHidden/>
                <w:rStyle w:val="IndexLink"/>
                <w:vanish w:val="false"/>
              </w:rPr>
              <w:t>Chapter 4: Proof-of-Concept Prototype Development</w:t>
              <w:tab/>
              <w:t>29</w:t>
            </w:r>
          </w:hyperlink>
        </w:p>
        <w:p>
          <w:pPr>
            <w:pStyle w:val="TOC1"/>
            <w:tabs>
              <w:tab w:val="clear" w:pos="720"/>
              <w:tab w:val="right" w:pos="9359" w:leader="dot"/>
            </w:tabs>
            <w:rPr/>
          </w:pPr>
          <w:hyperlink w:anchor="__RefHeading___Toc2745_401063098">
            <w:r>
              <w:rPr>
                <w:webHidden/>
                <w:rStyle w:val="IndexLink"/>
                <w:vanish w:val="false"/>
              </w:rPr>
              <w:t>Chapter 5: System Evaluation</w:t>
              <w:tab/>
              <w:t>30</w:t>
            </w:r>
          </w:hyperlink>
        </w:p>
        <w:p>
          <w:pPr>
            <w:pStyle w:val="TOC1"/>
            <w:tabs>
              <w:tab w:val="clear" w:pos="720"/>
              <w:tab w:val="right" w:pos="9359" w:leader="dot"/>
            </w:tabs>
            <w:rPr/>
          </w:pPr>
          <w:hyperlink w:anchor="__RefHeading___Toc2747_401063098">
            <w:r>
              <w:rPr>
                <w:webHidden/>
                <w:rStyle w:val="IndexLink"/>
                <w:vanish w:val="false"/>
              </w:rPr>
              <w:t>Chapter 6: Conclusion and Future Work</w:t>
              <w:tab/>
              <w:t>31</w:t>
            </w:r>
          </w:hyperlink>
        </w:p>
        <w:p>
          <w:pPr>
            <w:pStyle w:val="TOC1"/>
            <w:tabs>
              <w:tab w:val="clear" w:pos="720"/>
              <w:tab w:val="right" w:pos="9359" w:leader="dot"/>
            </w:tabs>
            <w:rPr/>
          </w:pPr>
          <w:hyperlink w:anchor="__RefHeading___Toc2352_401063098">
            <w:r>
              <w:rPr>
                <w:webHidden/>
                <w:rStyle w:val="IndexLink"/>
                <w:vanish w:val="false"/>
              </w:rPr>
              <w:t>References</w:t>
              <w:tab/>
              <w:t>32</w:t>
            </w:r>
          </w:hyperlink>
        </w:p>
        <w:p>
          <w:pPr>
            <w:pStyle w:val="TOC1"/>
            <w:tabs>
              <w:tab w:val="clear" w:pos="720"/>
              <w:tab w:val="right" w:pos="9359" w:leader="dot"/>
            </w:tabs>
            <w:rPr/>
          </w:pPr>
          <w:hyperlink w:anchor="__RefHeading___Toc2354_401063098">
            <w:r>
              <w:rPr>
                <w:webHidden/>
                <w:rStyle w:val="IndexLink"/>
                <w:vanish w:val="false"/>
              </w:rPr>
              <w:t>Appendix</w:t>
              <w:tab/>
              <w:t>34</w:t>
            </w:r>
          </w:hyperlink>
        </w:p>
        <w:p>
          <w:pPr>
            <w:pStyle w:val="TOC2"/>
            <w:tabs>
              <w:tab w:val="clear" w:pos="720"/>
              <w:tab w:val="right" w:pos="9359" w:leader="dot"/>
            </w:tabs>
            <w:rPr/>
          </w:pPr>
          <w:hyperlink w:anchor="__RefHeading___Toc2356_401063098">
            <w:r>
              <w:rPr>
                <w:webHidden/>
                <w:rStyle w:val="IndexLink"/>
                <w:vanish w:val="false"/>
              </w:rPr>
              <w:t>Appendix A: IRB Certificates</w:t>
              <w:tab/>
              <w:t>34</w:t>
            </w:r>
          </w:hyperlink>
        </w:p>
        <w:p>
          <w:pPr>
            <w:pStyle w:val="TOC2"/>
            <w:tabs>
              <w:tab w:val="clear" w:pos="720"/>
              <w:tab w:val="right" w:pos="9359" w:leader="dot"/>
            </w:tabs>
            <w:rPr/>
          </w:pPr>
          <w:hyperlink w:anchor="__RefHeading___Toc2358_401063098">
            <w:r>
              <w:rPr>
                <w:webHidden/>
                <w:rStyle w:val="IndexLink"/>
                <w:vanish w:val="false"/>
              </w:rPr>
              <w:t>Appendix B: Search Queries Used in Literature Review</w:t>
              <w:tab/>
              <w:t>34</w:t>
            </w:r>
          </w:hyperlink>
        </w:p>
        <w:p>
          <w:pPr>
            <w:pStyle w:val="TOC2"/>
            <w:tabs>
              <w:tab w:val="clear" w:pos="720"/>
              <w:tab w:val="right" w:pos="9359" w:leader="dot"/>
            </w:tabs>
            <w:rPr/>
          </w:pPr>
          <w:hyperlink w:anchor="__RefHeading___Toc2360_401063098">
            <w:r>
              <w:rPr>
                <w:webHidden/>
                <w:rStyle w:val="IndexLink"/>
                <w:vanish w:val="false"/>
              </w:rPr>
              <w:t>Appendix C: Schedule of Research Milestones</w:t>
              <w:tab/>
              <w:t>34</w:t>
            </w:r>
          </w:hyperlink>
        </w:p>
        <w:p>
          <w:pPr>
            <w:pStyle w:val="TOC2"/>
            <w:tabs>
              <w:tab w:val="clear" w:pos="720"/>
              <w:tab w:val="right" w:pos="9359" w:leader="dot"/>
            </w:tabs>
            <w:rPr/>
          </w:pPr>
          <w:hyperlink w:anchor="__RefHeading___Toc2362_401063098">
            <w:r>
              <w:rPr>
                <w:webHidden/>
                <w:rStyle w:val="IndexLink"/>
                <w:vanish w:val="false"/>
              </w:rPr>
              <w:t>Appendix D: Public Market Data Sources</w:t>
              <w:tab/>
              <w:t>34</w:t>
            </w:r>
          </w:hyperlink>
        </w:p>
        <w:p>
          <w:pPr>
            <w:pStyle w:val="TOC2"/>
            <w:tabs>
              <w:tab w:val="clear" w:pos="720"/>
              <w:tab w:val="right" w:pos="9359" w:leader="dot"/>
            </w:tabs>
            <w:rPr/>
          </w:pPr>
          <w:hyperlink w:anchor="__RefHeading___Toc2364_401063098">
            <w:r>
              <w:rPr>
                <w:webHidden/>
                <w:rStyle w:val="IndexLink"/>
                <w:vanish w:val="false"/>
              </w:rPr>
              <w:t>Appendix E: Market Monitoring Firms</w:t>
              <w:tab/>
              <w:t>34</w:t>
            </w:r>
          </w:hyperlink>
        </w:p>
        <w:p>
          <w:pPr>
            <w:pStyle w:val="TOC2"/>
            <w:tabs>
              <w:tab w:val="clear" w:pos="720"/>
              <w:tab w:val="right" w:pos="9359" w:leader="dot"/>
            </w:tabs>
            <w:rPr/>
          </w:pPr>
          <w:hyperlink w:anchor="__RefHeading___Toc2366_401063098">
            <w:r>
              <w:rPr>
                <w:webHidden/>
                <w:rStyle w:val="IndexLink"/>
                <w:vanish w:val="false"/>
              </w:rPr>
              <w:t>Appendix F: Delphi Study Questions</w:t>
              <w:tab/>
              <w:t>34</w:t>
            </w:r>
          </w:hyperlink>
          <w:r>
            <w:rPr>
              <w:rStyle w:val="IndexLink"/>
              <w:vanish w:val="false"/>
            </w:rPr>
            <w:fldChar w:fldCharType="end"/>
          </w:r>
        </w:p>
      </w:sdtContent>
    </w:sdt>
    <w:p>
      <w:pPr>
        <w:pStyle w:val="Normal"/>
        <w:rPr/>
      </w:pPr>
      <w:r>
        <w:rPr/>
      </w:r>
    </w:p>
    <w:p>
      <w:pPr>
        <w:pStyle w:val="Normal"/>
        <w:spacing w:lineRule="auto" w:line="276"/>
        <w:rPr>
          <w:rFonts w:cs="Arial"/>
          <w:sz w:val="24"/>
          <w:szCs w:val="24"/>
        </w:rPr>
      </w:pPr>
      <w:r>
        <w:rPr>
          <w:rFonts w:cs="Arial"/>
          <w:sz w:val="24"/>
          <w:szCs w:val="24"/>
        </w:rPr>
      </w:r>
    </w:p>
    <w:p>
      <w:pPr>
        <w:pStyle w:val="Normal"/>
        <w:rPr>
          <w:rFonts w:cs="Arial"/>
          <w:sz w:val="24"/>
          <w:szCs w:val="24"/>
        </w:rPr>
      </w:pPr>
      <w:r>
        <w:rPr>
          <w:rFonts w:cs="Arial"/>
          <w:sz w:val="24"/>
          <w:szCs w:val="24"/>
        </w:rPr>
      </w:r>
      <w:r>
        <w:br w:type="page"/>
      </w:r>
    </w:p>
    <w:p>
      <w:pPr>
        <w:pStyle w:val="Heading1"/>
        <w:spacing w:before="0" w:after="0"/>
        <w:rPr/>
      </w:pPr>
      <w:bookmarkStart w:id="0" w:name="__RefHeading___Toc2302_401063098"/>
      <w:bookmarkStart w:id="1" w:name="_Toc217395595"/>
      <w:bookmarkStart w:id="2" w:name="_Toc217378778"/>
      <w:bookmarkEnd w:id="0"/>
      <w:r>
        <w:rPr/>
        <w:t>List of Figures</w:t>
      </w:r>
      <w:bookmarkEnd w:id="1"/>
      <w:bookmarkEnd w:id="2"/>
    </w:p>
    <w:p>
      <w:pPr>
        <w:pStyle w:val="TableofFigures"/>
        <w:tabs>
          <w:tab w:val="clear" w:pos="720"/>
          <w:tab w:val="right" w:pos="9359" w:leader="dot"/>
        </w:tabs>
        <w:rPr/>
      </w:pPr>
      <w:r>
        <w:fldChar w:fldCharType="begin"/>
      </w:r>
      <w:r>
        <w:rPr>
          <w:rStyle w:val="IndexLink"/>
          <w:i w:val="false"/>
          <w:iCs w:val="false"/>
        </w:rPr>
        <w:instrText xml:space="preserve"> TOC \c "Figure" \h </w:instrText>
      </w:r>
      <w:r>
        <w:rPr>
          <w:rStyle w:val="IndexLink"/>
          <w:i w:val="false"/>
          <w:iCs w:val="false"/>
        </w:rPr>
        <w:fldChar w:fldCharType="separate"/>
      </w:r>
      <w:hyperlink w:anchor="Figure!0|sequence">
        <w:r>
          <w:rPr>
            <w:rStyle w:val="IndexLink"/>
            <w:i w:val="false"/>
            <w:iCs w:val="false"/>
          </w:rPr>
          <w:t>Figure 1 – Overall Cost of Energy, SPP Integrated Marketplace [3] [4] [5] [6]</w:t>
        </w:r>
        <w:r>
          <w:rPr>
            <w:rStyle w:val="IndexLink"/>
          </w:rPr>
          <w:tab/>
          <w:t>2</w:t>
        </w:r>
      </w:hyperlink>
    </w:p>
    <w:p>
      <w:pPr>
        <w:pStyle w:val="TableofFigures"/>
        <w:tabs>
          <w:tab w:val="clear" w:pos="720"/>
          <w:tab w:val="right" w:pos="9359" w:leader="dot"/>
        </w:tabs>
        <w:rPr/>
      </w:pPr>
      <w:hyperlink w:anchor="Figure!1|sequence">
        <w:r>
          <w:rPr>
            <w:rStyle w:val="IndexLink"/>
            <w:i w:val="false"/>
            <w:iCs w:val="false"/>
          </w:rPr>
          <w:t>Figure 2 - A Conceptual Illustration of the Bulk Electric System [7]</w:t>
        </w:r>
        <w:r>
          <w:rPr>
            <w:rStyle w:val="IndexLink"/>
          </w:rPr>
          <w:tab/>
          <w:t>3</w:t>
        </w:r>
      </w:hyperlink>
    </w:p>
    <w:p>
      <w:pPr>
        <w:pStyle w:val="TableofFigures"/>
        <w:tabs>
          <w:tab w:val="clear" w:pos="720"/>
          <w:tab w:val="right" w:pos="9359" w:leader="dot"/>
        </w:tabs>
        <w:rPr/>
      </w:pPr>
      <w:hyperlink w:anchor="Figure!2|sequence">
        <w:r>
          <w:rPr>
            <w:rStyle w:val="IndexLink"/>
            <w:i w:val="false"/>
            <w:iCs w:val="false"/>
          </w:rPr>
          <w:t>Figure 3 - Prevailing Energy Market Territories [1]</w:t>
        </w:r>
        <w:r>
          <w:rPr>
            <w:rStyle w:val="IndexLink"/>
          </w:rPr>
          <w:tab/>
          <w:t>5</w:t>
        </w:r>
      </w:hyperlink>
    </w:p>
    <w:p>
      <w:pPr>
        <w:pStyle w:val="TableofFigures"/>
        <w:tabs>
          <w:tab w:val="clear" w:pos="720"/>
          <w:tab w:val="right" w:pos="9359" w:leader="dot"/>
        </w:tabs>
        <w:rPr/>
      </w:pPr>
      <w:hyperlink w:anchor="Figure!3|sequence">
        <w:r>
          <w:rPr>
            <w:rStyle w:val="IndexLink"/>
            <w:i w:val="false"/>
            <w:iCs w:val="false"/>
          </w:rPr>
          <w:t>Figure 4 - Diverse Skill Sets of a Market Monitor</w:t>
        </w:r>
        <w:r>
          <w:rPr>
            <w:rStyle w:val="IndexLink"/>
          </w:rPr>
          <w:tab/>
          <w:t>15</w:t>
        </w:r>
      </w:hyperlink>
    </w:p>
    <w:p>
      <w:pPr>
        <w:pStyle w:val="TableofFigures"/>
        <w:tabs>
          <w:tab w:val="clear" w:pos="720"/>
          <w:tab w:val="right" w:pos="9359" w:leader="dot"/>
        </w:tabs>
        <w:rPr/>
      </w:pPr>
      <w:hyperlink w:anchor="Figure!4|sequence">
        <w:r>
          <w:rPr>
            <w:rStyle w:val="IndexLink"/>
          </w:rPr>
          <w:t>Figure 5: Design Science Research Methodology for this Dissertation</w:t>
          <w:tab/>
          <w:t>20</w:t>
        </w:r>
      </w:hyperlink>
      <w:r>
        <w:rPr>
          <w:rStyle w:val="IndexLink"/>
        </w:rPr>
        <w:fldChar w:fldCharType="end"/>
      </w:r>
    </w:p>
    <w:p>
      <w:pPr>
        <w:pStyle w:val="Normal"/>
        <w:rPr/>
      </w:pPr>
      <w:r>
        <w:rPr/>
      </w:r>
    </w:p>
    <w:p>
      <w:pPr>
        <w:pStyle w:val="Normal"/>
        <w:rPr/>
      </w:pPr>
      <w:r>
        <w:rPr/>
      </w:r>
    </w:p>
    <w:p>
      <w:pPr>
        <w:pStyle w:val="Normal"/>
        <w:rPr/>
      </w:pPr>
      <w:r>
        <w:rPr/>
      </w:r>
      <w:r>
        <w:br w:type="page"/>
      </w:r>
    </w:p>
    <w:p>
      <w:pPr>
        <w:pStyle w:val="Heading1"/>
        <w:spacing w:before="0" w:after="0"/>
        <w:rPr/>
      </w:pPr>
      <w:bookmarkStart w:id="3" w:name="__RefHeading___Toc2304_401063098"/>
      <w:bookmarkStart w:id="4" w:name="_Toc217378779"/>
      <w:bookmarkStart w:id="5" w:name="_Toc217395596"/>
      <w:bookmarkEnd w:id="3"/>
      <w:r>
        <w:rPr/>
        <w:t>List of Tables</w:t>
      </w:r>
      <w:bookmarkEnd w:id="4"/>
      <w:bookmarkEnd w:id="5"/>
    </w:p>
    <w:p>
      <w:pPr>
        <w:pStyle w:val="ListParagraph"/>
        <w:numPr>
          <w:ilvl w:val="0"/>
          <w:numId w:val="2"/>
        </w:numPr>
        <w:rPr/>
      </w:pPr>
      <w:r>
        <w:rPr/>
        <w:t>Table 1: Prevailing Electricity Market Designs…………………………………………… 6</w:t>
      </w:r>
    </w:p>
    <w:p>
      <w:pPr>
        <w:pStyle w:val="ListParagraph"/>
        <w:numPr>
          <w:ilvl w:val="0"/>
          <w:numId w:val="2"/>
        </w:numPr>
        <w:rPr/>
      </w:pPr>
      <w:r>
        <w:rPr/>
        <w:t>Table 2: Prominent Cases of Market Manipulation …………………………………….. XX</w:t>
      </w:r>
    </w:p>
    <w:p>
      <w:pPr>
        <w:pStyle w:val="ListParagraph"/>
        <w:numPr>
          <w:ilvl w:val="0"/>
          <w:numId w:val="2"/>
        </w:numPr>
        <w:rPr/>
      </w:pPr>
      <w:r>
        <w:rPr/>
        <w:t>Table 3: Selection of Well-Known Domain-Specific Languages ………………………. XY</w:t>
      </w:r>
    </w:p>
    <w:p>
      <w:pPr>
        <w:pStyle w:val="Normal"/>
        <w:spacing w:lineRule="auto" w:line="259" w:before="0" w:after="160"/>
        <w:rPr>
          <w:rFonts w:eastAsia="" w:cs="" w:cstheme="majorBidi" w:eastAsiaTheme="majorEastAsia"/>
          <w:b/>
          <w:color w:themeColor="text1" w:val="000000"/>
          <w:sz w:val="32"/>
          <w:szCs w:val="32"/>
        </w:rPr>
      </w:pPr>
      <w:r>
        <w:rPr>
          <w:rFonts w:eastAsia="" w:cs="" w:cstheme="majorBidi" w:eastAsiaTheme="majorEastAsia"/>
          <w:b/>
          <w:color w:themeColor="text1" w:val="000000"/>
          <w:sz w:val="32"/>
          <w:szCs w:val="32"/>
        </w:rPr>
      </w:r>
      <w:r>
        <w:br w:type="page"/>
      </w:r>
    </w:p>
    <w:p>
      <w:pPr>
        <w:pStyle w:val="Heading1"/>
        <w:spacing w:before="0" w:after="0"/>
        <w:rPr/>
      </w:pPr>
      <w:bookmarkStart w:id="6" w:name="__RefHeading___Toc2306_401063098"/>
      <w:bookmarkStart w:id="7" w:name="_Toc217395597"/>
      <w:bookmarkStart w:id="8" w:name="_Toc217378780"/>
      <w:bookmarkEnd w:id="6"/>
      <w:r>
        <w:rPr/>
        <w:t>List of Symbols, Abbreviations, and Nomenclature</w:t>
      </w:r>
      <w:bookmarkEnd w:id="7"/>
      <w:bookmarkEnd w:id="8"/>
    </w:p>
    <w:p>
      <w:pPr>
        <w:pStyle w:val="ListParagraph"/>
        <w:numPr>
          <w:ilvl w:val="0"/>
          <w:numId w:val="3"/>
        </w:numPr>
        <w:rPr/>
      </w:pPr>
      <w:r>
        <w:rPr/>
        <w:t>APAC</w:t>
        <w:tab/>
        <w:tab/>
        <w:t>Asian-Pacific Region</w:t>
      </w:r>
    </w:p>
    <w:p>
      <w:pPr>
        <w:pStyle w:val="ListParagraph"/>
        <w:numPr>
          <w:ilvl w:val="0"/>
          <w:numId w:val="3"/>
        </w:numPr>
        <w:rPr/>
      </w:pPr>
      <w:r>
        <w:rPr/>
        <w:t>AS</w:t>
        <w:tab/>
        <w:tab/>
        <w:t>Ancillary Services</w:t>
      </w:r>
    </w:p>
    <w:p>
      <w:pPr>
        <w:pStyle w:val="ListParagraph"/>
        <w:numPr>
          <w:ilvl w:val="0"/>
          <w:numId w:val="3"/>
        </w:numPr>
        <w:rPr/>
      </w:pPr>
      <w:r>
        <w:rPr/>
        <w:t>BES</w:t>
        <w:tab/>
        <w:tab/>
        <w:t>Bulk Electric System</w:t>
      </w:r>
    </w:p>
    <w:p>
      <w:pPr>
        <w:pStyle w:val="ListParagraph"/>
        <w:numPr>
          <w:ilvl w:val="0"/>
          <w:numId w:val="3"/>
        </w:numPr>
        <w:rPr/>
      </w:pPr>
      <w:r>
        <w:rPr/>
        <w:t>CRM</w:t>
        <w:tab/>
        <w:tab/>
        <w:t>Capacity Reserve Margin</w:t>
      </w:r>
    </w:p>
    <w:p>
      <w:pPr>
        <w:pStyle w:val="ListParagraph"/>
        <w:numPr>
          <w:ilvl w:val="0"/>
          <w:numId w:val="3"/>
        </w:numPr>
        <w:rPr/>
      </w:pPr>
      <w:r>
        <w:rPr/>
        <w:t>DA</w:t>
        <w:tab/>
        <w:tab/>
        <w:t>Day-Ahead Market (DAMKT)</w:t>
      </w:r>
    </w:p>
    <w:p>
      <w:pPr>
        <w:pStyle w:val="ListParagraph"/>
        <w:numPr>
          <w:ilvl w:val="0"/>
          <w:numId w:val="3"/>
        </w:numPr>
        <w:rPr/>
      </w:pPr>
      <w:r>
        <w:rPr/>
        <w:t>DSL</w:t>
        <w:tab/>
        <w:tab/>
        <w:t>Domain-Specific Language</w:t>
      </w:r>
    </w:p>
    <w:p>
      <w:pPr>
        <w:pStyle w:val="ListParagraph"/>
        <w:numPr>
          <w:ilvl w:val="0"/>
          <w:numId w:val="3"/>
        </w:numPr>
        <w:rPr/>
      </w:pPr>
      <w:r>
        <w:rPr/>
        <w:t>DSRM</w:t>
        <w:tab/>
        <w:tab/>
        <w:t>Design Science Research Methodology</w:t>
      </w:r>
    </w:p>
    <w:p>
      <w:pPr>
        <w:pStyle w:val="ListParagraph"/>
        <w:numPr>
          <w:ilvl w:val="0"/>
          <w:numId w:val="3"/>
        </w:numPr>
        <w:rPr/>
      </w:pPr>
      <w:r>
        <w:rPr>
          <w:rFonts w:cs="Arial"/>
          <w:sz w:val="24"/>
          <w:szCs w:val="24"/>
        </w:rPr>
        <w:t xml:space="preserve">DQ </w:t>
        <w:tab/>
        <w:tab/>
        <w:t>Data Quality</w:t>
      </w:r>
    </w:p>
    <w:p>
      <w:pPr>
        <w:pStyle w:val="ListParagraph"/>
        <w:numPr>
          <w:ilvl w:val="0"/>
          <w:numId w:val="3"/>
        </w:numPr>
        <w:rPr/>
      </w:pPr>
      <w:r>
        <w:rPr>
          <w:rFonts w:cs="Arial"/>
          <w:sz w:val="24"/>
          <w:szCs w:val="24"/>
        </w:rPr>
        <w:t xml:space="preserve">EMEA </w:t>
        <w:tab/>
        <w:t>Europe, the Middle-East, and Africa region</w:t>
      </w:r>
    </w:p>
    <w:p>
      <w:pPr>
        <w:pStyle w:val="ListParagraph"/>
        <w:numPr>
          <w:ilvl w:val="0"/>
          <w:numId w:val="3"/>
        </w:numPr>
        <w:rPr/>
      </w:pPr>
      <w:r>
        <w:rPr>
          <w:rFonts w:cs="Arial"/>
          <w:sz w:val="24"/>
          <w:szCs w:val="24"/>
        </w:rPr>
        <w:t xml:space="preserve">ETL </w:t>
        <w:tab/>
        <w:tab/>
        <w:t>Extract-Transform-Load</w:t>
      </w:r>
    </w:p>
    <w:p>
      <w:pPr>
        <w:pStyle w:val="ListParagraph"/>
        <w:numPr>
          <w:ilvl w:val="0"/>
          <w:numId w:val="3"/>
        </w:numPr>
        <w:rPr/>
      </w:pPr>
      <w:r>
        <w:rPr>
          <w:rFonts w:cs="Arial"/>
          <w:sz w:val="24"/>
          <w:szCs w:val="24"/>
        </w:rPr>
        <w:t xml:space="preserve">FERC </w:t>
        <w:tab/>
        <w:t>Federal Energy Regulatory Commission</w:t>
      </w:r>
    </w:p>
    <w:p>
      <w:pPr>
        <w:pStyle w:val="ListParagraph"/>
        <w:numPr>
          <w:ilvl w:val="0"/>
          <w:numId w:val="3"/>
        </w:numPr>
        <w:rPr/>
      </w:pPr>
      <w:r>
        <w:rPr>
          <w:rFonts w:cs="Arial"/>
          <w:sz w:val="24"/>
          <w:szCs w:val="24"/>
        </w:rPr>
        <w:t xml:space="preserve">GPL </w:t>
        <w:tab/>
        <w:tab/>
        <w:t>General-Purpose Language</w:t>
      </w:r>
    </w:p>
    <w:p>
      <w:pPr>
        <w:pStyle w:val="ListParagraph"/>
        <w:numPr>
          <w:ilvl w:val="0"/>
          <w:numId w:val="3"/>
        </w:numPr>
        <w:rPr/>
      </w:pPr>
      <w:r>
        <w:rPr>
          <w:rFonts w:cs="Arial"/>
          <w:sz w:val="24"/>
          <w:szCs w:val="24"/>
        </w:rPr>
        <w:t xml:space="preserve">HHI </w:t>
        <w:tab/>
        <w:tab/>
        <w:t>Herfindahl-Hirschman Index</w:t>
      </w:r>
    </w:p>
    <w:p>
      <w:pPr>
        <w:pStyle w:val="ListParagraph"/>
        <w:numPr>
          <w:ilvl w:val="0"/>
          <w:numId w:val="3"/>
        </w:numPr>
        <w:rPr/>
      </w:pPr>
      <w:r>
        <w:rPr>
          <w:rFonts w:cs="Arial"/>
          <w:sz w:val="24"/>
          <w:szCs w:val="24"/>
        </w:rPr>
        <w:t xml:space="preserve">IQ </w:t>
        <w:tab/>
        <w:tab/>
        <w:t>Information Quality</w:t>
      </w:r>
    </w:p>
    <w:p>
      <w:pPr>
        <w:pStyle w:val="ListParagraph"/>
        <w:numPr>
          <w:ilvl w:val="0"/>
          <w:numId w:val="3"/>
        </w:numPr>
        <w:rPr/>
      </w:pPr>
      <w:r>
        <w:rPr>
          <w:rFonts w:cs="Arial"/>
          <w:sz w:val="24"/>
          <w:szCs w:val="24"/>
        </w:rPr>
        <w:t xml:space="preserve">ISO </w:t>
        <w:tab/>
        <w:tab/>
        <w:t>Independent System Operator</w:t>
      </w:r>
    </w:p>
    <w:p>
      <w:pPr>
        <w:pStyle w:val="ListParagraph"/>
        <w:numPr>
          <w:ilvl w:val="0"/>
          <w:numId w:val="3"/>
        </w:numPr>
        <w:rPr/>
      </w:pPr>
      <w:r>
        <w:rPr>
          <w:rFonts w:cs="Arial"/>
          <w:sz w:val="24"/>
          <w:szCs w:val="24"/>
        </w:rPr>
        <w:t xml:space="preserve">LMP </w:t>
        <w:tab/>
        <w:tab/>
        <w:t>Locational Marginal Price</w:t>
      </w:r>
    </w:p>
    <w:p>
      <w:pPr>
        <w:pStyle w:val="ListParagraph"/>
        <w:numPr>
          <w:ilvl w:val="0"/>
          <w:numId w:val="3"/>
        </w:numPr>
        <w:rPr/>
      </w:pPr>
      <w:r>
        <w:rPr>
          <w:rFonts w:cs="Arial"/>
          <w:sz w:val="24"/>
          <w:szCs w:val="24"/>
        </w:rPr>
        <w:t xml:space="preserve">MMU </w:t>
        <w:tab/>
        <w:tab/>
        <w:t>Market Monitoring Unit</w:t>
      </w:r>
    </w:p>
    <w:p>
      <w:pPr>
        <w:pStyle w:val="ListParagraph"/>
        <w:numPr>
          <w:ilvl w:val="0"/>
          <w:numId w:val="3"/>
        </w:numPr>
        <w:rPr/>
      </w:pPr>
      <w:r>
        <w:rPr>
          <w:rFonts w:cs="Arial"/>
          <w:sz w:val="24"/>
          <w:szCs w:val="24"/>
        </w:rPr>
        <w:t xml:space="preserve">MP </w:t>
        <w:tab/>
        <w:tab/>
        <w:t>Market Participant</w:t>
      </w:r>
    </w:p>
    <w:p>
      <w:pPr>
        <w:pStyle w:val="ListParagraph"/>
        <w:numPr>
          <w:ilvl w:val="0"/>
          <w:numId w:val="3"/>
        </w:numPr>
        <w:rPr/>
      </w:pPr>
      <w:r>
        <w:rPr>
          <w:rFonts w:cs="Arial"/>
          <w:sz w:val="24"/>
          <w:szCs w:val="24"/>
        </w:rPr>
        <w:t xml:space="preserve">MW </w:t>
        <w:tab/>
        <w:tab/>
        <w:t>Megawatt</w:t>
      </w:r>
    </w:p>
    <w:p>
      <w:pPr>
        <w:pStyle w:val="ListParagraph"/>
        <w:numPr>
          <w:ilvl w:val="0"/>
          <w:numId w:val="3"/>
        </w:numPr>
        <w:rPr/>
      </w:pPr>
      <w:r>
        <w:rPr>
          <w:rFonts w:cs="Arial"/>
          <w:sz w:val="24"/>
          <w:szCs w:val="24"/>
        </w:rPr>
        <w:t xml:space="preserve">NERC </w:t>
        <w:tab/>
        <w:t>North-American Energy Reliability Corporation</w:t>
      </w:r>
    </w:p>
    <w:p>
      <w:pPr>
        <w:pStyle w:val="ListParagraph"/>
        <w:numPr>
          <w:ilvl w:val="0"/>
          <w:numId w:val="3"/>
        </w:numPr>
        <w:rPr/>
      </w:pPr>
      <w:r>
        <w:rPr>
          <w:rFonts w:cs="Arial"/>
          <w:sz w:val="24"/>
          <w:szCs w:val="24"/>
        </w:rPr>
        <w:t>RTO</w:t>
        <w:tab/>
        <w:tab/>
        <w:t>Regional Transmission Organization</w:t>
      </w:r>
    </w:p>
    <w:p>
      <w:pPr>
        <w:pStyle w:val="ListParagraph"/>
        <w:numPr>
          <w:ilvl w:val="0"/>
          <w:numId w:val="3"/>
        </w:numPr>
        <w:rPr/>
      </w:pPr>
      <w:r>
        <w:rPr>
          <w:rFonts w:cs="Arial"/>
          <w:sz w:val="24"/>
          <w:szCs w:val="24"/>
        </w:rPr>
        <w:t xml:space="preserve">RT </w:t>
        <w:tab/>
        <w:tab/>
        <w:t>Real-Time Market</w:t>
      </w:r>
    </w:p>
    <w:p>
      <w:pPr>
        <w:pStyle w:val="ListParagraph"/>
        <w:numPr>
          <w:ilvl w:val="0"/>
          <w:numId w:val="3"/>
        </w:numPr>
        <w:rPr/>
      </w:pPr>
      <w:r>
        <w:rPr>
          <w:rFonts w:cs="Arial"/>
          <w:sz w:val="24"/>
          <w:szCs w:val="24"/>
        </w:rPr>
        <w:t>SCADA</w:t>
        <w:tab/>
        <w:t>Supervisory Control and Data Acquisition</w:t>
      </w:r>
    </w:p>
    <w:p>
      <w:pPr>
        <w:pStyle w:val="ListParagraph"/>
        <w:numPr>
          <w:ilvl w:val="0"/>
          <w:numId w:val="3"/>
        </w:numPr>
        <w:rPr/>
      </w:pPr>
      <w:r>
        <w:rPr>
          <w:rFonts w:cs="Arial"/>
          <w:sz w:val="24"/>
          <w:szCs w:val="24"/>
        </w:rPr>
        <w:t>SCED</w:t>
        <w:tab/>
        <w:tab/>
        <w:t>Security-Constrained Economic Dispatch</w:t>
      </w:r>
    </w:p>
    <w:p>
      <w:pPr>
        <w:pStyle w:val="ListParagraph"/>
        <w:numPr>
          <w:ilvl w:val="0"/>
          <w:numId w:val="3"/>
        </w:numPr>
        <w:rPr/>
      </w:pPr>
      <w:r>
        <w:rPr>
          <w:rFonts w:cs="Arial"/>
          <w:sz w:val="24"/>
          <w:szCs w:val="24"/>
        </w:rPr>
        <w:t xml:space="preserve">SME </w:t>
        <w:tab/>
        <w:tab/>
        <w:t>Subject Matter Expert</w:t>
      </w:r>
    </w:p>
    <w:p>
      <w:pPr>
        <w:pStyle w:val="ListParagraph"/>
        <w:numPr>
          <w:ilvl w:val="0"/>
          <w:numId w:val="3"/>
        </w:numPr>
        <w:rPr/>
      </w:pPr>
      <w:r>
        <w:rPr>
          <w:rFonts w:cs="Arial"/>
          <w:sz w:val="24"/>
          <w:szCs w:val="24"/>
        </w:rPr>
        <w:t>SOX</w:t>
        <w:tab/>
        <w:tab/>
        <w:t>Sarbanes-Oxley Act of 2002</w:t>
      </w:r>
    </w:p>
    <w:p>
      <w:pPr>
        <w:pStyle w:val="ListParagraph"/>
        <w:numPr>
          <w:ilvl w:val="0"/>
          <w:numId w:val="3"/>
        </w:numPr>
        <w:rPr/>
      </w:pPr>
      <w:r>
        <w:rPr>
          <w:rFonts w:cs="Arial"/>
          <w:sz w:val="24"/>
          <w:szCs w:val="24"/>
        </w:rPr>
        <w:t>TCR / FTR</w:t>
        <w:tab/>
        <w:t>Transmission Congestion / Financial Transmission Rights</w:t>
      </w:r>
    </w:p>
    <w:p>
      <w:pPr>
        <w:pStyle w:val="ListParagraph"/>
        <w:numPr>
          <w:ilvl w:val="0"/>
          <w:numId w:val="3"/>
        </w:numPr>
        <w:rPr/>
      </w:pPr>
      <w:r>
        <w:rPr>
          <w:rFonts w:cs="Arial"/>
          <w:sz w:val="24"/>
          <w:szCs w:val="24"/>
        </w:rPr>
        <w:t xml:space="preserve">TO / TOP </w:t>
        <w:tab/>
        <w:t>Transmission Owner / Transmission Operator</w:t>
      </w:r>
    </w:p>
    <w:p>
      <w:pPr>
        <w:pStyle w:val="Normal"/>
        <w:rPr>
          <w:rFonts w:cs="Arial"/>
        </w:rPr>
      </w:pPr>
      <w:r>
        <w:rPr>
          <w:rFonts w:cs="Arial"/>
        </w:rPr>
      </w:r>
    </w:p>
    <w:p>
      <w:pPr>
        <w:pStyle w:val="Normal"/>
        <w:rPr>
          <w:rFonts w:cs="Arial"/>
        </w:rPr>
      </w:pPr>
      <w:r>
        <w:rPr>
          <w:rFonts w:cs="Arial"/>
        </w:rPr>
      </w:r>
    </w:p>
    <w:p>
      <w:pPr>
        <w:sectPr>
          <w:headerReference w:type="even" r:id="rId4"/>
          <w:headerReference w:type="default" r:id="rId5"/>
          <w:headerReference w:type="first" r:id="rId6"/>
          <w:type w:val="nextPage"/>
          <w:pgSz w:w="12240" w:h="15840"/>
          <w:pgMar w:left="1440" w:right="1440" w:gutter="0" w:header="720" w:top="1440" w:footer="0" w:bottom="1440"/>
          <w:pgNumType w:fmt="lowerRoman"/>
          <w:formProt w:val="false"/>
          <w:titlePg/>
          <w:textDirection w:val="lrTb"/>
          <w:docGrid w:type="default" w:linePitch="360" w:charSpace="4096"/>
        </w:sectPr>
        <w:pStyle w:val="Normal"/>
        <w:rPr>
          <w:rFonts w:cs="Arial"/>
        </w:rPr>
      </w:pPr>
      <w:r>
        <w:rPr>
          <w:rFonts w:cs="Arial"/>
        </w:rPr>
      </w:r>
    </w:p>
    <w:p>
      <w:pPr>
        <w:pStyle w:val="Heading1"/>
        <w:spacing w:before="280" w:after="0"/>
        <w:rPr/>
      </w:pPr>
      <w:bookmarkStart w:id="9" w:name="__RefHeading___Toc2308_401063098"/>
      <w:bookmarkStart w:id="10" w:name="_Toc217395598"/>
      <w:bookmarkStart w:id="11" w:name="_Toc217378781"/>
      <w:bookmarkEnd w:id="9"/>
      <w:r>
        <w:rPr/>
        <w:t>Chapter 1: Introduction</w:t>
      </w:r>
      <w:bookmarkEnd w:id="10"/>
      <w:bookmarkEnd w:id="11"/>
    </w:p>
    <w:p>
      <w:pPr>
        <w:pStyle w:val="Normal"/>
        <w:rPr>
          <w:sz w:val="24"/>
          <w:szCs w:val="24"/>
        </w:rPr>
      </w:pPr>
      <w:r>
        <w:rPr/>
        <w:tab/>
      </w:r>
      <w:r>
        <w:rPr>
          <w:sz w:val="24"/>
          <w:szCs w:val="24"/>
        </w:rPr>
        <w:t>This dissertation introduced information quality research into the electricity market monitoring industry, a regulatory component of organized electric markets in the United States</w:t>
      </w:r>
      <w:sdt>
        <w:sdtPr>
          <w:citation/>
        </w:sdtPr>
        <w:sdtContent>
          <w:r>
            <w:rPr>
              <w:sz w:val="24"/>
              <w:szCs w:val="24"/>
            </w:rPr>
            <w:fldChar w:fldCharType="begin"/>
          </w:r>
          <w:r>
            <w:rPr>
              <w:sz w:val="24"/>
              <w:szCs w:val="24"/>
            </w:rPr>
            <w:instrText xml:space="preserve"> CITATION FERC1 \l 1033 </w:instrText>
          </w:r>
          <w:r>
            <w:rPr>
              <w:sz w:val="24"/>
              <w:szCs w:val="24"/>
            </w:rPr>
            <w:fldChar w:fldCharType="separate"/>
          </w:r>
          <w:r>
            <w:rPr>
              <w:sz w:val="24"/>
              <w:szCs w:val="24"/>
            </w:rPr>
            <w:t xml:space="preserve"> [1]</w:t>
          </w:r>
          <w:r>
            <w:rPr>
              <w:sz w:val="24"/>
              <w:szCs w:val="24"/>
            </w:rPr>
            <w:fldChar w:fldCharType="end"/>
          </w:r>
        </w:sdtContent>
      </w:sdt>
      <w:r>
        <w:rPr>
          <w:sz w:val="24"/>
          <w:szCs w:val="24"/>
        </w:rPr>
        <w:t>.</w:t>
      </w:r>
      <w:r>
        <w:rPr>
          <w:sz w:val="24"/>
          <w:szCs w:val="24"/>
        </w:rPr>
        <w:t xml:space="preserve"> Organized electric markets are a critical component of the North American Bulk Electric System (BES) and its function to reliably and economically deliver power to consumers. Often touted as the “world’s largest machine” </w:t>
      </w:r>
      <w:sdt>
        <w:sdtPr>
          <w:citation/>
        </w:sdtPr>
        <w:sdtContent>
          <w:r>
            <w:rPr>
              <w:sz w:val="24"/>
              <w:szCs w:val="24"/>
            </w:rPr>
            <w:fldChar w:fldCharType="begin"/>
          </w:r>
          <w:r>
            <w:rPr>
              <w:sz w:val="24"/>
              <w:szCs w:val="24"/>
            </w:rPr>
            <w:instrText xml:space="preserve"> CITATION stenvignils \l 1033 </w:instrText>
          </w:r>
          <w:r>
            <w:rPr>
              <w:sz w:val="24"/>
              <w:szCs w:val="24"/>
            </w:rPr>
            <w:fldChar w:fldCharType="separate"/>
          </w:r>
          <w:r>
            <w:rPr>
              <w:sz w:val="24"/>
              <w:szCs w:val="24"/>
            </w:rPr>
            <w:t>[2]</w:t>
          </w:r>
          <w:r>
            <w:rPr>
              <w:sz w:val="24"/>
              <w:szCs w:val="24"/>
            </w:rPr>
            <w:fldChar w:fldCharType="end"/>
          </w:r>
        </w:sdtContent>
      </w:sdt>
      <w:r>
        <w:rPr>
          <w:sz w:val="24"/>
          <w:szCs w:val="24"/>
        </w:rPr>
        <w:t xml:space="preserve"> by electrical industry staff, the BES has become important to the lives of virtually every resident of the United States, Canada, and a portion of Mexico.</w:t>
      </w:r>
    </w:p>
    <w:p>
      <w:pPr>
        <w:pStyle w:val="Normal"/>
        <w:rPr>
          <w:sz w:val="24"/>
          <w:szCs w:val="24"/>
        </w:rPr>
      </w:pPr>
      <w:r>
        <w:rPr>
          <w:sz w:val="24"/>
          <w:szCs w:val="24"/>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to the Federal Energy Regulatory Commission (FERC). Wholesale markets clear billions of dollars (USD) in revenue each year. </w:t>
      </w:r>
      <w:r>
        <w:rPr>
          <w:sz w:val="24"/>
          <w:szCs w:val="24"/>
        </w:rPr>
        <w:fldChar w:fldCharType="begin"/>
      </w:r>
      <w:r>
        <w:rPr>
          <w:sz w:val="24"/>
          <w:szCs w:val="24"/>
        </w:rPr>
        <w:instrText xml:space="preserve"> REF _Ref217317095 \h </w:instrText>
      </w:r>
      <w:r>
        <w:rPr>
          <w:sz w:val="24"/>
          <w:szCs w:val="24"/>
        </w:rPr>
        <w:fldChar w:fldCharType="separate"/>
      </w:r>
      <w:r>
        <w:rPr>
          <w:sz w:val="24"/>
          <w:szCs w:val="24"/>
        </w:rPr>
        <w:t>Figure 1</w:t>
      </w:r>
      <w:r>
        <w:rPr>
          <w:sz w:val="24"/>
          <w:szCs w:val="24"/>
        </w:rPr>
        <w:fldChar w:fldCharType="end"/>
      </w:r>
      <w:r>
        <w:rPr>
          <w:sz w:val="24"/>
          <w:szCs w:val="24"/>
        </w:rPr>
        <w:t xml:space="preserve"> displays overall energy consumption and cost for one of these markets (Southwest Power Pool – SPP) from 2020 to 2023</w:t>
      </w:r>
      <w:r>
        <w:rPr>
          <w:rStyle w:val="FootnoteReference"/>
          <w:sz w:val="24"/>
          <w:szCs w:val="24"/>
        </w:rPr>
        <w:footnoteReference w:id="2"/>
      </w:r>
      <w:r>
        <w:rPr>
          <w:sz w:val="24"/>
          <w:szCs w:val="24"/>
        </w:rPr>
        <w:t>.</w:t>
      </w:r>
    </w:p>
    <w:p>
      <w:pPr>
        <w:pStyle w:val="Normal"/>
        <w:rPr>
          <w:sz w:val="24"/>
          <w:szCs w:val="24"/>
        </w:rPr>
      </w:pPr>
      <w:r>
        <w:rPr>
          <w:sz w:val="24"/>
          <w:szCs w:val="24"/>
        </w:rPr>
        <w:tab/>
        <w:t>To illustrate the opportunity that superimposing information quality research on the market monitoring domain presents, this chapter shall introduce the concepts of the BES, electric markets, market monitoring, and provide details as to how applying information quality concepts to market monitoring will address a previously unsolved problem within the industry.</w:t>
      </w:r>
    </w:p>
    <w:p>
      <w:pPr>
        <w:pStyle w:val="Normal"/>
        <w:spacing w:lineRule="auto" w:line="259" w:before="0" w:after="160"/>
        <w:rPr/>
      </w:pPr>
      <w:r>
        <w:rPr/>
      </w:r>
    </w:p>
    <w:p>
      <w:pPr>
        <w:pStyle w:val="Normal"/>
        <w:keepNext w:val="true"/>
        <w:jc w:val="center"/>
        <w:rPr/>
      </w:pPr>
      <w:r>
        <w:rPr/>
        <w:drawing>
          <wp:inline distT="0" distB="0" distL="0" distR="0">
            <wp:extent cx="5514340" cy="289179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5514340" cy="2891790"/>
                    </a:xfrm>
                    <a:prstGeom prst="rect">
                      <a:avLst/>
                    </a:prstGeom>
                  </pic:spPr>
                </pic:pic>
              </a:graphicData>
            </a:graphic>
          </wp:inline>
        </w:drawing>
      </w:r>
    </w:p>
    <w:p>
      <w:pPr>
        <w:pStyle w:val="Caption"/>
        <w:jc w:val="center"/>
        <w:rPr>
          <w:rFonts w:cs="Arial"/>
          <w:i w:val="false"/>
          <w:i w:val="false"/>
          <w:iCs w:val="false"/>
          <w:color w:val="auto"/>
          <w:sz w:val="24"/>
          <w:szCs w:val="24"/>
        </w:rPr>
      </w:pPr>
      <w:bookmarkStart w:id="12" w:name="_Toc217395627"/>
      <w:bookmarkStart w:id="13" w:name="_Ref217317095"/>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1</w:t>
      </w:r>
      <w:r>
        <w:rPr>
          <w:sz w:val="24"/>
          <w:i w:val="false"/>
          <w:szCs w:val="24"/>
          <w:iCs w:val="false"/>
          <w:rFonts w:cs="Arial"/>
          <w:color w:val="auto"/>
        </w:rPr>
        <w:fldChar w:fldCharType="end"/>
      </w:r>
      <w:bookmarkEnd w:id="13"/>
      <w:r>
        <w:rPr>
          <w:rFonts w:cs="Arial"/>
          <w:i w:val="false"/>
          <w:iCs w:val="false"/>
          <w:color w:val="auto"/>
          <w:sz w:val="24"/>
          <w:szCs w:val="24"/>
        </w:rPr>
        <w:t xml:space="preserve"> – Overall Cost of Energy, SPP Integrated Marketplace </w:t>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2020asom \l 1033 </w:instrText>
          </w:r>
          <w:r>
            <w:rPr>
              <w:sz w:val="24"/>
              <w:i w:val="false"/>
              <w:szCs w:val="24"/>
              <w:iCs w:val="false"/>
              <w:rFonts w:cs="Arial"/>
              <w:color w:val="auto"/>
            </w:rPr>
            <w:fldChar w:fldCharType="separate"/>
          </w:r>
          <w:r>
            <w:rPr>
              <w:sz w:val="24"/>
              <w:i w:val="false"/>
              <w:szCs w:val="24"/>
              <w:iCs w:val="false"/>
              <w:rFonts w:cs="Arial"/>
              <w:color w:val="auto"/>
            </w:rPr>
            <w:t>[3]</w:t>
          </w:r>
          <w:r>
            <w:rPr>
              <w:sz w:val="24"/>
              <w:i w:val="false"/>
              <w:szCs w:val="24"/>
              <w:iCs w:val="false"/>
              <w:rFonts w:cs="Arial"/>
              <w:color w:val="auto"/>
            </w:rPr>
            <w:fldChar w:fldCharType="end"/>
          </w:r>
        </w:sdtContent>
      </w:sdt>
      <w:r>
        <w:rPr>
          <w:rFonts w:cs="Arial"/>
          <w:i w:val="false"/>
          <w:iCs w:val="false"/>
          <w:color w:val="auto"/>
          <w:sz w:val="24"/>
          <w:szCs w:val="24"/>
        </w:rPr>
        <w:fldChar w:fldCharType="begin"/>
      </w:r>
      <w:r>
        <w:rPr>
          <w:sz w:val="24"/>
          <w:i w:val="false"/>
          <w:szCs w:val="24"/>
          <w:iCs w:val="false"/>
          <w:rFonts w:cs="Arial"/>
          <w:color w:val="auto"/>
        </w:rPr>
        <w:instrText xml:space="preserve"> CITATION 2021asom \l 1033 </w:instrText>
      </w:r>
      <w:r>
        <w:rPr>
          <w:sz w:val="24"/>
          <w:i w:val="false"/>
          <w:szCs w:val="24"/>
          <w:iCs w:val="false"/>
          <w:rFonts w:cs="Arial"/>
          <w:color w:val="auto"/>
        </w:rPr>
        <w:fldChar w:fldCharType="separate"/>
      </w:r>
      <w:r>
        <w:rPr>
          <w:sz w:val="24"/>
          <w:i w:val="false"/>
          <w:szCs w:val="24"/>
          <w:iCs w:val="false"/>
          <w:rFonts w:cs="Arial"/>
          <w:color w:val="auto"/>
        </w:rPr>
        <w:t xml:space="preserve"> [4]</w:t>
      </w:r>
      <w:r>
        <w:rPr>
          <w:sz w:val="24"/>
          <w:i w:val="false"/>
          <w:szCs w:val="24"/>
          <w:iCs w:val="false"/>
          <w:rFonts w:cs="Arial"/>
          <w:color w:val="auto"/>
        </w:rPr>
        <w:fldChar w:fldCharType="end"/>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2022asom \l 1033 </w:instrText>
          </w:r>
          <w:r>
            <w:rPr>
              <w:sz w:val="24"/>
              <w:i w:val="false"/>
              <w:szCs w:val="24"/>
              <w:iCs w:val="false"/>
              <w:rFonts w:cs="Arial"/>
              <w:color w:val="auto"/>
            </w:rPr>
            <w:fldChar w:fldCharType="separate"/>
          </w:r>
          <w:r>
            <w:rPr>
              <w:sz w:val="24"/>
              <w:i w:val="false"/>
              <w:szCs w:val="24"/>
              <w:iCs w:val="false"/>
              <w:rFonts w:cs="Arial"/>
              <w:color w:val="auto"/>
            </w:rPr>
            <w:t xml:space="preserve"> [5]</w:t>
          </w:r>
          <w:r>
            <w:rPr>
              <w:sz w:val="24"/>
              <w:i w:val="false"/>
              <w:szCs w:val="24"/>
              <w:iCs w:val="false"/>
              <w:rFonts w:cs="Arial"/>
              <w:color w:val="auto"/>
            </w:rPr>
            <w:fldChar w:fldCharType="end"/>
          </w:r>
        </w:sdtContent>
      </w:sdt>
      <w:r>
        <w:rPr>
          <w:rFonts w:cs="Arial"/>
          <w:i w:val="false"/>
          <w:iCs w:val="false"/>
          <w:color w:val="auto"/>
          <w:sz w:val="24"/>
          <w:szCs w:val="24"/>
        </w:rPr>
        <w:fldChar w:fldCharType="begin"/>
      </w:r>
      <w:r>
        <w:rPr>
          <w:sz w:val="24"/>
          <w:i w:val="false"/>
          <w:szCs w:val="24"/>
          <w:iCs w:val="false"/>
          <w:rFonts w:cs="Arial"/>
          <w:color w:val="auto"/>
        </w:rPr>
        <w:instrText xml:space="preserve"> CITATION 2023asom \l 1033 </w:instrText>
      </w:r>
      <w:r>
        <w:rPr>
          <w:sz w:val="24"/>
          <w:i w:val="false"/>
          <w:szCs w:val="24"/>
          <w:iCs w:val="false"/>
          <w:rFonts w:cs="Arial"/>
          <w:color w:val="auto"/>
        </w:rPr>
        <w:fldChar w:fldCharType="separate"/>
      </w:r>
      <w:r>
        <w:rPr>
          <w:sz w:val="24"/>
          <w:i w:val="false"/>
          <w:szCs w:val="24"/>
          <w:iCs w:val="false"/>
          <w:rFonts w:cs="Arial"/>
          <w:color w:val="auto"/>
        </w:rPr>
        <w:t xml:space="preserve"> [6]</w:t>
      </w:r>
      <w:r>
        <w:rPr>
          <w:sz w:val="24"/>
          <w:i w:val="false"/>
          <w:szCs w:val="24"/>
          <w:iCs w:val="false"/>
          <w:rFonts w:cs="Arial"/>
          <w:color w:val="auto"/>
        </w:rPr>
        <w:fldChar w:fldCharType="end"/>
      </w:r>
      <w:bookmarkEnd w:id="12"/>
    </w:p>
    <w:p>
      <w:pPr>
        <w:pStyle w:val="Heading2"/>
        <w:rPr/>
      </w:pPr>
      <w:r>
        <w:rPr/>
      </w:r>
    </w:p>
    <w:p>
      <w:pPr>
        <w:pStyle w:val="Heading2"/>
        <w:rPr/>
      </w:pPr>
      <w:bookmarkStart w:id="14" w:name="__RefHeading___Toc2310_401063098"/>
      <w:bookmarkStart w:id="15" w:name="_Toc217395599"/>
      <w:bookmarkStart w:id="16" w:name="_Toc217378782"/>
      <w:bookmarkEnd w:id="14"/>
      <w:r>
        <w:rPr/>
        <w:t>The North American Bulk Electric System</w:t>
      </w:r>
      <w:bookmarkEnd w:id="15"/>
      <w:bookmarkEnd w:id="16"/>
    </w:p>
    <w:p>
      <w:pPr>
        <w:pStyle w:val="Normal"/>
        <w:rPr>
          <w:sz w:val="24"/>
          <w:szCs w:val="24"/>
        </w:rPr>
      </w:pPr>
      <w:r>
        <w:rPr/>
        <w:tab/>
      </w:r>
      <w:r>
        <w:rPr>
          <w:sz w:val="24"/>
          <w:szCs w:val="24"/>
        </w:rPr>
        <w:t>The BES</w:t>
      </w:r>
      <w:r>
        <w:rPr>
          <w:rStyle w:val="FootnoteReference"/>
          <w:sz w:val="24"/>
          <w:szCs w:val="24"/>
        </w:rPr>
        <w:footnoteReference w:id="3"/>
      </w:r>
      <w:r>
        <w:rPr>
          <w:sz w:val="24"/>
          <w:szCs w:val="24"/>
        </w:rPr>
        <w:t xml:space="preserve"> is a highly integrated system that facilitates the transmission of electric power (generalized as “energy”) from generation to energy consumption (generalized as a “load”) in a real-time and balanced</w:t>
      </w:r>
      <w:r>
        <w:rPr>
          <w:rStyle w:val="FootnoteReference"/>
          <w:sz w:val="24"/>
          <w:szCs w:val="24"/>
        </w:rPr>
        <w:footnoteReference w:id="4"/>
      </w:r>
      <w:r>
        <w:rPr>
          <w:sz w:val="24"/>
          <w:szCs w:val="24"/>
        </w:rPr>
        <w:t xml:space="preserve"> manner. Built with more than 500,000 miles </w:t>
      </w:r>
      <w:r>
        <w:rPr>
          <w:sz w:val="24"/>
          <w:szCs w:val="24"/>
          <w:highlight w:val="yellow"/>
        </w:rPr>
        <w:t>[REF HERE – 9]</w:t>
      </w:r>
      <w:r>
        <w:rPr>
          <w:sz w:val="24"/>
          <w:szCs w:val="24"/>
        </w:rPr>
        <w:t xml:space="preserve"> of physical transmission cabling and over 70,000 electrical substations </w:t>
      </w:r>
      <w:r>
        <w:rPr>
          <w:sz w:val="24"/>
          <w:szCs w:val="24"/>
          <w:highlight w:val="yellow"/>
        </w:rPr>
        <w:t>[REF HERE – 10]</w:t>
      </w:r>
      <w:r>
        <w:rPr>
          <w:sz w:val="24"/>
          <w:szCs w:val="24"/>
        </w:rPr>
        <w:t>, the BES constantly serves energy to North American consumers and industries alike. With few (relatively recent) exceptions</w:t>
      </w:r>
      <w:r>
        <w:rPr>
          <w:rStyle w:val="FootnoteReference"/>
          <w:sz w:val="24"/>
          <w:szCs w:val="24"/>
        </w:rPr>
        <w:footnoteReference w:id="5"/>
      </w:r>
      <w:r>
        <w:rPr>
          <w:sz w:val="24"/>
          <w:szCs w:val="24"/>
        </w:rPr>
        <w:t xml:space="preserve">, energy is not stored in the system; it is generated (in response to a demand forecast) and then immediately transmitted and consumed by various loads. </w:t>
      </w:r>
      <w:r>
        <w:rPr>
          <w:sz w:val="24"/>
          <w:szCs w:val="24"/>
        </w:rPr>
        <w:fldChar w:fldCharType="begin"/>
      </w:r>
      <w:r>
        <w:rPr>
          <w:sz w:val="24"/>
          <w:szCs w:val="24"/>
        </w:rPr>
        <w:instrText xml:space="preserve"> REF _Ref217319576 \h </w:instrText>
      </w:r>
      <w:r>
        <w:rPr>
          <w:sz w:val="24"/>
          <w:szCs w:val="24"/>
        </w:rPr>
        <w:fldChar w:fldCharType="separate"/>
      </w:r>
      <w:r>
        <w:rPr>
          <w:sz w:val="24"/>
          <w:szCs w:val="24"/>
        </w:rPr>
        <w:t>Figure 2</w:t>
      </w:r>
      <w:r>
        <w:rPr>
          <w:sz w:val="24"/>
          <w:szCs w:val="24"/>
        </w:rPr>
        <w:fldChar w:fldCharType="end"/>
      </w:r>
      <w:r>
        <w:rPr>
          <w:sz w:val="24"/>
          <w:szCs w:val="24"/>
        </w:rPr>
        <w:t xml:space="preserve"> shows a conceptual configuration of some of the components</w:t>
      </w:r>
      <w:r>
        <w:rPr>
          <w:rStyle w:val="FootnoteReference"/>
          <w:sz w:val="24"/>
          <w:szCs w:val="24"/>
        </w:rPr>
        <w:footnoteReference w:id="6"/>
      </w:r>
      <w:r>
        <w:rPr>
          <w:sz w:val="24"/>
          <w:szCs w:val="24"/>
        </w:rPr>
        <w:t xml:space="preserve"> involved in the operation of the BES.</w:t>
      </w:r>
    </w:p>
    <w:p>
      <w:pPr>
        <w:pStyle w:val="Normal"/>
        <w:rPr/>
      </w:pPr>
      <w:r>
        <w:rPr/>
      </w:r>
    </w:p>
    <w:p>
      <w:pPr>
        <w:pStyle w:val="Normal"/>
        <w:keepNext w:val="true"/>
        <w:jc w:val="center"/>
        <w:rPr/>
      </w:pPr>
      <w:r>
        <w:rPr/>
        <w:drawing>
          <wp:inline distT="0" distB="0" distL="0" distR="0">
            <wp:extent cx="6229350" cy="265303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6229350" cy="2653030"/>
                    </a:xfrm>
                    <a:prstGeom prst="rect">
                      <a:avLst/>
                    </a:prstGeom>
                    <a:ln w="12700">
                      <a:solidFill>
                        <a:srgbClr val="000000"/>
                      </a:solidFill>
                    </a:ln>
                  </pic:spPr>
                </pic:pic>
              </a:graphicData>
            </a:graphic>
          </wp:inline>
        </w:drawing>
      </w:r>
    </w:p>
    <w:p>
      <w:pPr>
        <w:pStyle w:val="Caption"/>
        <w:jc w:val="center"/>
        <w:rPr>
          <w:rFonts w:cs="Arial"/>
          <w:i w:val="false"/>
          <w:i w:val="false"/>
          <w:iCs w:val="false"/>
          <w:color w:val="auto"/>
          <w:sz w:val="24"/>
          <w:szCs w:val="24"/>
        </w:rPr>
      </w:pPr>
      <w:bookmarkStart w:id="17" w:name="_Toc217395628"/>
      <w:bookmarkStart w:id="18" w:name="_Ref217319576"/>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2</w:t>
      </w:r>
      <w:r>
        <w:rPr>
          <w:sz w:val="24"/>
          <w:i w:val="false"/>
          <w:szCs w:val="24"/>
          <w:iCs w:val="false"/>
          <w:rFonts w:cs="Arial"/>
          <w:color w:val="auto"/>
        </w:rPr>
        <w:fldChar w:fldCharType="end"/>
      </w:r>
      <w:bookmarkEnd w:id="18"/>
      <w:r>
        <w:rPr>
          <w:rFonts w:cs="Arial"/>
          <w:i w:val="false"/>
          <w:iCs w:val="false"/>
          <w:color w:val="auto"/>
          <w:sz w:val="24"/>
          <w:szCs w:val="24"/>
        </w:rPr>
        <w:t xml:space="preserve"> - A Conceptual Illustration of the Bulk Electric System </w:t>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devasia \l 1033 </w:instrText>
          </w:r>
          <w:r>
            <w:rPr>
              <w:sz w:val="24"/>
              <w:i w:val="false"/>
              <w:szCs w:val="24"/>
              <w:iCs w:val="false"/>
              <w:rFonts w:cs="Arial"/>
              <w:color w:val="auto"/>
            </w:rPr>
            <w:fldChar w:fldCharType="separate"/>
          </w:r>
          <w:r>
            <w:rPr>
              <w:sz w:val="24"/>
              <w:i w:val="false"/>
              <w:szCs w:val="24"/>
              <w:iCs w:val="false"/>
              <w:rFonts w:cs="Arial"/>
              <w:color w:val="auto"/>
            </w:rPr>
            <w:t>[7]</w:t>
          </w:r>
          <w:r>
            <w:rPr>
              <w:sz w:val="24"/>
              <w:i w:val="false"/>
              <w:szCs w:val="24"/>
              <w:iCs w:val="false"/>
              <w:rFonts w:cs="Arial"/>
              <w:color w:val="auto"/>
            </w:rPr>
            <w:fldChar w:fldCharType="end"/>
          </w:r>
          <w:bookmarkEnd w:id="17"/>
        </w:sdtContent>
      </w:sdt>
    </w:p>
    <w:p>
      <w:pPr>
        <w:pStyle w:val="Normal"/>
        <w:rPr/>
      </w:pPr>
      <w:r>
        <w:rPr/>
      </w:r>
    </w:p>
    <w:p>
      <w:pPr>
        <w:pStyle w:val="Normal"/>
        <w:ind w:firstLine="720"/>
        <w:rPr>
          <w:sz w:val="24"/>
          <w:szCs w:val="24"/>
        </w:rPr>
      </w:pPr>
      <w:r>
        <w:rPr>
          <w:sz w:val="24"/>
          <w:szCs w:val="24"/>
        </w:rPr>
        <w:t>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Pr>
          <w:rStyle w:val="FootnoteReference"/>
          <w:sz w:val="24"/>
          <w:szCs w:val="24"/>
        </w:rPr>
        <w:footnoteReference w:id="7"/>
      </w:r>
      <w:r>
        <w:rPr>
          <w:sz w:val="24"/>
          <w:szCs w:val="24"/>
        </w:rPr>
        <w:t xml:space="preserve">, as do generator outages and fuel delivery problems </w:t>
      </w:r>
      <w:r>
        <w:rPr>
          <w:sz w:val="24"/>
          <w:szCs w:val="24"/>
          <w:highlight w:val="yellow"/>
        </w:rPr>
        <w:t>[REF HERE]</w:t>
      </w:r>
      <w:r>
        <w:rPr>
          <w:sz w:val="24"/>
          <w:szCs w:val="24"/>
        </w:rPr>
        <w:t>.  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pPr>
        <w:pStyle w:val="Normal"/>
        <w:ind w:firstLine="720"/>
        <w:rPr>
          <w:sz w:val="24"/>
          <w:szCs w:val="24"/>
        </w:rPr>
      </w:pPr>
      <w:r>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rStyle w:val="FootnoteReference"/>
          <w:sz w:val="24"/>
          <w:szCs w:val="24"/>
        </w:rPr>
        <w:footnoteReference w:id="8"/>
      </w:r>
      <w:r>
        <w:rPr>
          <w:sz w:val="24"/>
          <w:szCs w:val="24"/>
        </w:rPr>
        <w:t>, while respecting system constraints (a complex optimization concept termed security constrained economic dispatch [SCED]</w:t>
      </w:r>
      <w:r>
        <w:rPr>
          <w:rStyle w:val="FootnoteReference"/>
          <w:sz w:val="24"/>
          <w:szCs w:val="24"/>
        </w:rPr>
        <w:footnoteReference w:id="9"/>
      </w:r>
      <w:r>
        <w:rPr>
          <w:sz w:val="24"/>
          <w:szCs w:val="24"/>
        </w:rPr>
        <w:t>). It also serves  as a revenue-neutral clearing house for the bulk of energy and transmission-related transactions (as well as various financial products).</w:t>
      </w:r>
    </w:p>
    <w:p>
      <w:pPr>
        <w:pStyle w:val="Normal"/>
        <w:ind w:firstLine="720"/>
        <w:rPr>
          <w:sz w:val="24"/>
          <w:szCs w:val="24"/>
        </w:rPr>
      </w:pPr>
      <w:r>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Pr>
          <w:i/>
          <w:iCs/>
          <w:sz w:val="24"/>
          <w:szCs w:val="24"/>
        </w:rPr>
        <w:t>electricity markets</w:t>
      </w:r>
      <w:r>
        <w:rPr>
          <w:sz w:val="24"/>
          <w:szCs w:val="24"/>
        </w:rPr>
        <w:t>.</w:t>
      </w:r>
    </w:p>
    <w:p>
      <w:pPr>
        <w:pStyle w:val="Heading2"/>
        <w:rPr/>
      </w:pPr>
      <w:bookmarkStart w:id="19" w:name="__RefHeading___Toc2312_401063098"/>
      <w:bookmarkStart w:id="20" w:name="_Toc217395600"/>
      <w:bookmarkStart w:id="21" w:name="_Toc217378783"/>
      <w:bookmarkEnd w:id="19"/>
      <w:r>
        <w:rPr/>
        <w:t>An Introduction to Electricity Markets</w:t>
      </w:r>
      <w:bookmarkEnd w:id="20"/>
      <w:bookmarkEnd w:id="21"/>
    </w:p>
    <w:p>
      <w:pPr>
        <w:pStyle w:val="Normal"/>
        <w:ind w:firstLine="720"/>
        <w:rPr>
          <w:sz w:val="24"/>
          <w:szCs w:val="24"/>
        </w:rPr>
      </w:pPr>
      <w:r>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pPr>
        <w:pStyle w:val="Normal"/>
        <w:keepNext w:val="true"/>
        <w:ind w:firstLine="720"/>
        <w:jc w:val="center"/>
        <w:rPr/>
      </w:pPr>
      <w:r>
        <w:rPr/>
        <w:drawing>
          <wp:inline distT="0" distB="0" distL="0" distR="0">
            <wp:extent cx="5233670" cy="3314700"/>
            <wp:effectExtent l="0" t="0" r="0" b="0"/>
            <wp:docPr id="5" name="Image4"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Map&#10;&#10;AI-generated content may be incorrect."/>
                    <pic:cNvPicPr>
                      <a:picLocks noChangeAspect="1" noChangeArrowheads="1"/>
                    </pic:cNvPicPr>
                  </pic:nvPicPr>
                  <pic:blipFill>
                    <a:blip r:embed="rId9"/>
                    <a:stretch>
                      <a:fillRect/>
                    </a:stretch>
                  </pic:blipFill>
                  <pic:spPr bwMode="auto">
                    <a:xfrm>
                      <a:off x="0" y="0"/>
                      <a:ext cx="5233670" cy="3314700"/>
                    </a:xfrm>
                    <a:prstGeom prst="rect">
                      <a:avLst/>
                    </a:prstGeom>
                    <a:ln w="12700">
                      <a:solidFill>
                        <a:srgbClr val="000000"/>
                      </a:solidFill>
                    </a:ln>
                  </pic:spPr>
                </pic:pic>
              </a:graphicData>
            </a:graphic>
          </wp:inline>
        </w:drawing>
      </w:r>
    </w:p>
    <w:p>
      <w:pPr>
        <w:pStyle w:val="Caption"/>
        <w:jc w:val="center"/>
        <w:rPr>
          <w:rFonts w:cs="Arial"/>
          <w:i w:val="false"/>
          <w:i w:val="false"/>
          <w:iCs w:val="false"/>
          <w:color w:val="auto"/>
          <w:sz w:val="24"/>
          <w:szCs w:val="24"/>
        </w:rPr>
      </w:pPr>
      <w:bookmarkStart w:id="22" w:name="_Toc217395629"/>
      <w:bookmarkStart w:id="23" w:name="_Ref217374457"/>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3</w:t>
      </w:r>
      <w:r>
        <w:rPr>
          <w:sz w:val="24"/>
          <w:i w:val="false"/>
          <w:szCs w:val="24"/>
          <w:iCs w:val="false"/>
          <w:rFonts w:cs="Arial"/>
          <w:color w:val="auto"/>
        </w:rPr>
        <w:fldChar w:fldCharType="end"/>
      </w:r>
      <w:bookmarkEnd w:id="23"/>
      <w:r>
        <w:rPr>
          <w:rFonts w:cs="Arial"/>
          <w:i w:val="false"/>
          <w:iCs w:val="false"/>
          <w:color w:val="auto"/>
          <w:sz w:val="24"/>
          <w:szCs w:val="24"/>
        </w:rPr>
        <w:t xml:space="preserve"> - Prevailing Energy Market Territories </w:t>
      </w:r>
      <w:sdt>
        <w:sdtPr>
          <w:citation/>
        </w:sdtPr>
        <w:sdtContent>
          <w:r>
            <w:rPr>
              <w:rFonts w:cs="Arial"/>
              <w:i w:val="false"/>
              <w:iCs w:val="false"/>
              <w:color w:val="auto"/>
              <w:sz w:val="24"/>
              <w:szCs w:val="24"/>
            </w:rPr>
            <w:fldChar w:fldCharType="begin"/>
          </w:r>
          <w:r>
            <w:rPr>
              <w:sz w:val="24"/>
              <w:i w:val="false"/>
              <w:szCs w:val="24"/>
              <w:iCs w:val="false"/>
              <w:rFonts w:cs="Arial"/>
              <w:color w:val="auto"/>
            </w:rPr>
            <w:instrText xml:space="preserve"> CITATION FERC1 \l 1033 </w:instrText>
          </w:r>
          <w:r>
            <w:rPr>
              <w:sz w:val="24"/>
              <w:i w:val="false"/>
              <w:szCs w:val="24"/>
              <w:iCs w:val="false"/>
              <w:rFonts w:cs="Arial"/>
              <w:color w:val="auto"/>
            </w:rPr>
            <w:fldChar w:fldCharType="separate"/>
          </w:r>
          <w:r>
            <w:rPr>
              <w:sz w:val="24"/>
              <w:i w:val="false"/>
              <w:szCs w:val="24"/>
              <w:iCs w:val="false"/>
              <w:rFonts w:cs="Arial"/>
              <w:color w:val="auto"/>
            </w:rPr>
            <w:t>[1]</w:t>
          </w:r>
          <w:r>
            <w:rPr>
              <w:sz w:val="24"/>
              <w:i w:val="false"/>
              <w:szCs w:val="24"/>
              <w:iCs w:val="false"/>
              <w:rFonts w:cs="Arial"/>
              <w:color w:val="auto"/>
            </w:rPr>
            <w:fldChar w:fldCharType="end"/>
          </w:r>
          <w:bookmarkEnd w:id="22"/>
        </w:sdtContent>
      </w:sdt>
    </w:p>
    <w:p>
      <w:pPr>
        <w:pStyle w:val="Normal"/>
        <w:ind w:firstLine="720"/>
        <w:rPr/>
      </w:pPr>
      <w:r>
        <w:rPr/>
      </w:r>
    </w:p>
    <w:p>
      <w:pPr>
        <w:pStyle w:val="Normal"/>
        <w:ind w:firstLine="720"/>
        <w:rPr>
          <w:sz w:val="24"/>
          <w:szCs w:val="24"/>
        </w:rPr>
      </w:pPr>
      <w:r>
        <w:rPr>
          <w:sz w:val="24"/>
          <w:szCs w:val="24"/>
        </w:rPr>
        <w:fldChar w:fldCharType="begin"/>
      </w:r>
      <w:r>
        <w:rPr>
          <w:sz w:val="24"/>
          <w:szCs w:val="24"/>
        </w:rPr>
        <w:instrText xml:space="preserve"> REF _Ref217374457 \h </w:instrText>
      </w:r>
      <w:r>
        <w:rPr>
          <w:sz w:val="24"/>
          <w:szCs w:val="24"/>
        </w:rPr>
        <w:fldChar w:fldCharType="separate"/>
      </w:r>
      <w:r>
        <w:rPr>
          <w:sz w:val="24"/>
          <w:szCs w:val="24"/>
        </w:rPr>
        <w:t>Figure 3</w:t>
      </w:r>
      <w:r>
        <w:rPr>
          <w:sz w:val="24"/>
          <w:szCs w:val="24"/>
        </w:rPr>
        <w:fldChar w:fldCharType="end"/>
      </w:r>
      <w:r>
        <w:rPr>
          <w:sz w:val="24"/>
          <w:szCs w:val="24"/>
        </w:rPr>
        <w:t xml:space="preserve"> </w:t>
      </w:r>
      <w:r>
        <w:rPr>
          <w:sz w:val="24"/>
          <w:szCs w:val="24"/>
        </w:rPr>
        <w:t>displays, at a high level, how the US energy grid is divided into different territories and notes the name of the entity that runs the organized market. These territories are typically governed by FERC, with the exception of Texas</w:t>
      </w:r>
      <w:r>
        <w:rPr>
          <w:rStyle w:val="FootnoteReference"/>
          <w:sz w:val="24"/>
          <w:szCs w:val="24"/>
        </w:rPr>
        <w:footnoteReference w:id="10"/>
      </w:r>
      <w:r>
        <w:rPr>
          <w:sz w:val="24"/>
          <w:szCs w:val="24"/>
        </w:rPr>
        <w:t>.</w:t>
      </w:r>
    </w:p>
    <w:p>
      <w:pPr>
        <w:pStyle w:val="Heading2"/>
        <w:rPr/>
      </w:pPr>
      <w:bookmarkStart w:id="24" w:name="__RefHeading___Toc2314_401063098"/>
      <w:bookmarkStart w:id="25" w:name="_Toc217378784"/>
      <w:bookmarkStart w:id="26" w:name="_Toc217395601"/>
      <w:bookmarkEnd w:id="24"/>
      <w:r>
        <w:rPr/>
        <w:t>Entities</w:t>
      </w:r>
      <w:bookmarkEnd w:id="25"/>
      <w:bookmarkEnd w:id="26"/>
    </w:p>
    <w:p>
      <w:pPr>
        <w:pStyle w:val="Normal"/>
        <w:rPr>
          <w:sz w:val="24"/>
          <w:szCs w:val="24"/>
        </w:rPr>
      </w:pPr>
      <w:r>
        <w:rPr/>
        <w:tab/>
      </w:r>
      <w:r>
        <w:rPr>
          <w:sz w:val="24"/>
          <w:szCs w:val="24"/>
        </w:rPr>
        <w:t>Electricity markets are operated by a small number of operational entities</w:t>
      </w:r>
      <w:r>
        <w:rPr>
          <w:rStyle w:val="FootnoteReference"/>
          <w:sz w:val="24"/>
          <w:szCs w:val="24"/>
        </w:rPr>
        <w:footnoteReference w:id="11"/>
      </w:r>
      <w:r>
        <w:rPr>
          <w:sz w:val="24"/>
          <w:szCs w:val="24"/>
        </w:rPr>
        <w:t xml:space="preserve"> within North America. These entities mostly fall under the jurisdiction of FERC (see Figure XXYY). 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pPr>
        <w:pStyle w:val="Heading3"/>
        <w:rPr>
          <w:sz w:val="24"/>
        </w:rPr>
      </w:pPr>
      <w:bookmarkStart w:id="27" w:name="__RefHeading___Toc2316_401063098"/>
      <w:bookmarkStart w:id="28" w:name="_Toc217395602"/>
      <w:bookmarkStart w:id="29" w:name="_Toc217378785"/>
      <w:bookmarkEnd w:id="27"/>
      <w:r>
        <w:rPr>
          <w:sz w:val="24"/>
        </w:rPr>
        <w:t>Independent System Operator (ISO)</w:t>
      </w:r>
      <w:bookmarkEnd w:id="28"/>
      <w:bookmarkEnd w:id="29"/>
    </w:p>
    <w:p>
      <w:pPr>
        <w:pStyle w:val="Normal"/>
        <w:rPr>
          <w:sz w:val="24"/>
          <w:szCs w:val="24"/>
        </w:rPr>
      </w:pPr>
      <w:r>
        <w:rPr>
          <w:sz w:val="24"/>
          <w:szCs w:val="24"/>
        </w:rPr>
        <w:tab/>
        <w:t>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energy market. A common, helpful analogy that describes the function of an ISO is an air-traffic controller.</w:t>
      </w:r>
    </w:p>
    <w:p>
      <w:pPr>
        <w:pStyle w:val="Normal"/>
        <w:rPr>
          <w:sz w:val="24"/>
          <w:szCs w:val="24"/>
        </w:rPr>
      </w:pPr>
      <w:r>
        <w:rPr>
          <w:sz w:val="24"/>
          <w:szCs w:val="24"/>
        </w:rPr>
        <w:tab/>
        <w:t>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pPr>
        <w:pStyle w:val="Heading3"/>
        <w:rPr>
          <w:sz w:val="24"/>
        </w:rPr>
      </w:pPr>
      <w:bookmarkStart w:id="30" w:name="__RefHeading___Toc2318_401063098"/>
      <w:bookmarkStart w:id="31" w:name="_Toc217395603"/>
      <w:bookmarkStart w:id="32" w:name="_Toc217378786"/>
      <w:bookmarkEnd w:id="30"/>
      <w:r>
        <w:rPr>
          <w:sz w:val="24"/>
        </w:rPr>
        <w:t>Regional Transmission Operator (RTO)</w:t>
      </w:r>
      <w:bookmarkEnd w:id="31"/>
      <w:bookmarkEnd w:id="32"/>
    </w:p>
    <w:p>
      <w:pPr>
        <w:pStyle w:val="Normal"/>
        <w:rPr>
          <w:sz w:val="24"/>
          <w:szCs w:val="24"/>
        </w:rPr>
      </w:pPr>
      <w:r>
        <w:rPr>
          <w:sz w:val="24"/>
          <w:szCs w:val="24"/>
        </w:rPr>
        <w:tab/>
        <w:t>RTOs are another entity that manage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pPr>
        <w:pStyle w:val="Normal"/>
        <w:rPr>
          <w:sz w:val="24"/>
          <w:szCs w:val="24"/>
        </w:rPr>
      </w:pPr>
      <w:r>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pPr>
        <w:pStyle w:val="Normal"/>
        <w:rPr>
          <w:sz w:val="24"/>
          <w:szCs w:val="24"/>
        </w:rPr>
      </w:pPr>
      <w:r>
        <w:rPr>
          <w:sz w:val="24"/>
          <w:szCs w:val="24"/>
        </w:rPr>
        <w:tab/>
        <w:t>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pPr>
        <w:pStyle w:val="Heading2"/>
        <w:rPr>
          <w:rStyle w:val="Heading2Char"/>
          <w:b/>
        </w:rPr>
      </w:pPr>
      <w:bookmarkStart w:id="33" w:name="__RefHeading___Toc2320_401063098"/>
      <w:bookmarkStart w:id="34" w:name="_Toc217395604"/>
      <w:bookmarkStart w:id="35" w:name="_Toc217378787"/>
      <w:bookmarkEnd w:id="33"/>
      <w:r>
        <w:rPr>
          <w:rStyle w:val="Heading2Char"/>
          <w:b/>
        </w:rPr>
        <w:t>Types of Markets</w:t>
      </w:r>
      <w:bookmarkEnd w:id="34"/>
      <w:bookmarkEnd w:id="35"/>
    </w:p>
    <w:p>
      <w:pPr>
        <w:pStyle w:val="Normal"/>
        <w:ind w:firstLine="720"/>
        <w:rPr>
          <w:sz w:val="24"/>
          <w:szCs w:val="24"/>
        </w:rPr>
      </w:pPr>
      <w:r>
        <w:rPr>
          <w:sz w:val="24"/>
          <w:szCs w:val="24"/>
        </w:rPr>
        <w:t xml:space="preserve">Electricity markets are designed to serve one of several purposes. ISOs typically deploy and operate these different market designs, in concert, as a marketplace </w:t>
      </w:r>
      <w:r>
        <w:rPr>
          <w:sz w:val="24"/>
          <w:szCs w:val="24"/>
          <w:highlight w:val="yellow"/>
        </w:rPr>
        <w:t>[REF HERE].</w:t>
      </w:r>
      <w:r>
        <w:rPr>
          <w:sz w:val="24"/>
          <w:szCs w:val="24"/>
        </w:rPr>
        <w:t xml:space="preserve"> 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w:t>
      </w:r>
      <w:r>
        <w:rPr>
          <w:sz w:val="24"/>
          <w:szCs w:val="24"/>
        </w:rPr>
        <w:fldChar w:fldCharType="begin"/>
      </w:r>
      <w:r>
        <w:rPr>
          <w:sz w:val="24"/>
          <w:szCs w:val="24"/>
        </w:rPr>
        <w:instrText xml:space="preserve"> REF _Ref217381360 \h </w:instrText>
      </w:r>
      <w:r>
        <w:rPr>
          <w:sz w:val="24"/>
          <w:szCs w:val="24"/>
        </w:rPr>
        <w:fldChar w:fldCharType="separate"/>
      </w:r>
      <w:r>
        <w:rPr>
          <w:sz w:val="24"/>
          <w:szCs w:val="24"/>
        </w:rPr>
        <w:t>Table 1</w:t>
      </w:r>
      <w:r>
        <w:rPr>
          <w:sz w:val="24"/>
          <w:szCs w:val="24"/>
        </w:rPr>
        <w:fldChar w:fldCharType="end"/>
      </w:r>
      <w:r>
        <w:rPr>
          <w:sz w:val="24"/>
          <w:szCs w:val="24"/>
        </w:rPr>
        <w:t xml:space="preserve"> for information on prevailing design types.</w:t>
      </w:r>
    </w:p>
    <w:p>
      <w:pPr>
        <w:pStyle w:val="Normal"/>
        <w:rPr>
          <w:sz w:val="24"/>
          <w:szCs w:val="24"/>
        </w:rPr>
      </w:pPr>
      <w:r>
        <w:rPr>
          <w:sz w:val="24"/>
          <w:szCs w:val="24"/>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4"/>
        <w:gridCol w:w="7465"/>
      </w:tblGrid>
      <w:tr>
        <w:trPr/>
        <w:tc>
          <w:tcPr>
            <w:tcW w:w="1884"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Market Type</w:t>
            </w:r>
          </w:p>
        </w:tc>
        <w:tc>
          <w:tcPr>
            <w:tcW w:w="7465"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Purpose</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Capacity</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a load to purchase an agreement of firm capacity for service in the future, usually on the scale of months to years in the future.</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Day-Ahead (DA)</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buyers and sellers to secure positions a day before the market sells energy to be consumed (operating day). This aids in realistic price formation.</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Real-Time (RT)</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for adjustments between the DA market (what was expected on the day prior) and the system conditions that happen on the operating day.</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Ancillary Services (AS)</w:t>
            </w:r>
          </w:p>
        </w:tc>
        <w:tc>
          <w:tcPr>
            <w:tcW w:w="746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Allows other providers to sell products that support grid reliability. For example, the ability of a generator to quickly “ramp up” to a certain production requirement is such a product sold in an AS market.</w:t>
            </w:r>
          </w:p>
        </w:tc>
      </w:tr>
      <w:tr>
        <w:trPr/>
        <w:tc>
          <w:tcPr>
            <w:tcW w:w="1884"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Transmission Congestion Rights (TCR)</w:t>
            </w:r>
          </w:p>
        </w:tc>
        <w:tc>
          <w:tcPr>
            <w:tcW w:w="7465" w:type="dxa"/>
            <w:tcBorders/>
          </w:tcPr>
          <w:p>
            <w:pPr>
              <w:pStyle w:val="Normal"/>
              <w:keepNext w:val="true"/>
              <w:widowControl/>
              <w:suppressAutoHyphens w:val="true"/>
              <w:spacing w:before="0" w:after="0"/>
              <w:jc w:val="left"/>
              <w:rPr>
                <w:sz w:val="24"/>
                <w:szCs w:val="24"/>
              </w:rPr>
            </w:pPr>
            <w:r>
              <w:rPr>
                <w:rFonts w:eastAsia="Calibri" w:cs=""/>
                <w:kern w:val="2"/>
                <w:sz w:val="24"/>
                <w:szCs w:val="24"/>
                <w:lang w:val="en-US" w:eastAsia="en-US" w:bidi="ar-SA"/>
              </w:rPr>
              <w:t>Allows participants to hedge against congestion on the transmission system (adequate power can be produced in an area, but there may be difficulties in transmitting it to where it is consumed).</w:t>
            </w:r>
          </w:p>
        </w:tc>
      </w:tr>
    </w:tbl>
    <w:p>
      <w:pPr>
        <w:pStyle w:val="Caption"/>
        <w:jc w:val="center"/>
        <w:rPr>
          <w:rFonts w:cs="Arial"/>
          <w:i w:val="false"/>
          <w:i w:val="false"/>
          <w:iCs w:val="false"/>
          <w:color w:val="auto"/>
          <w:sz w:val="24"/>
          <w:szCs w:val="24"/>
        </w:rPr>
      </w:pPr>
      <w:bookmarkStart w:id="36" w:name="_Ref217381360"/>
      <w:r>
        <w:rPr>
          <w:rFonts w:cs="Arial"/>
          <w:i w:val="false"/>
          <w:iCs w:val="false"/>
          <w:color w:val="auto"/>
          <w:sz w:val="24"/>
          <w:szCs w:val="24"/>
        </w:rPr>
        <w:t xml:space="preserve">Table </w:t>
      </w:r>
      <w:r>
        <w:rPr>
          <w:rFonts w:cs="Arial"/>
          <w:i w:val="false"/>
          <w:iCs w:val="false"/>
          <w:color w:val="auto"/>
          <w:sz w:val="24"/>
          <w:szCs w:val="24"/>
        </w:rPr>
        <w:fldChar w:fldCharType="begin"/>
      </w:r>
      <w:r>
        <w:rPr>
          <w:sz w:val="24"/>
          <w:i w:val="false"/>
          <w:szCs w:val="24"/>
          <w:iCs w:val="false"/>
          <w:rFonts w:cs="Arial"/>
          <w:color w:val="auto"/>
        </w:rPr>
        <w:instrText xml:space="preserve"> SEQ Table \* ARABIC </w:instrText>
      </w:r>
      <w:r>
        <w:rPr>
          <w:sz w:val="24"/>
          <w:i w:val="false"/>
          <w:szCs w:val="24"/>
          <w:iCs w:val="false"/>
          <w:rFonts w:cs="Arial"/>
          <w:color w:val="auto"/>
        </w:rPr>
        <w:fldChar w:fldCharType="separate"/>
      </w:r>
      <w:r>
        <w:rPr>
          <w:sz w:val="24"/>
          <w:i w:val="false"/>
          <w:szCs w:val="24"/>
          <w:iCs w:val="false"/>
          <w:rFonts w:cs="Arial"/>
          <w:color w:val="auto"/>
        </w:rPr>
        <w:t>1</w:t>
      </w:r>
      <w:r>
        <w:rPr>
          <w:sz w:val="24"/>
          <w:i w:val="false"/>
          <w:szCs w:val="24"/>
          <w:iCs w:val="false"/>
          <w:rFonts w:cs="Arial"/>
          <w:color w:val="auto"/>
        </w:rPr>
        <w:fldChar w:fldCharType="end"/>
      </w:r>
      <w:bookmarkEnd w:id="36"/>
      <w:r>
        <w:rPr>
          <w:rFonts w:cs="Arial"/>
          <w:i w:val="false"/>
          <w:iCs w:val="false"/>
          <w:color w:val="auto"/>
          <w:sz w:val="24"/>
          <w:szCs w:val="24"/>
        </w:rPr>
        <w:t>: Prevailing Electricity Market Designs</w:t>
      </w:r>
    </w:p>
    <w:p>
      <w:pPr>
        <w:pStyle w:val="Normal"/>
        <w:rPr/>
      </w:pPr>
      <w:r>
        <w:rPr/>
      </w:r>
    </w:p>
    <w:p>
      <w:pPr>
        <w:pStyle w:val="Heading2"/>
        <w:rPr/>
      </w:pPr>
      <w:bookmarkStart w:id="37" w:name="__RefHeading___Toc2322_401063098"/>
      <w:bookmarkStart w:id="38" w:name="_Toc217395605"/>
      <w:bookmarkStart w:id="39" w:name="_Toc217378788"/>
      <w:bookmarkEnd w:id="37"/>
      <w:r>
        <w:rPr/>
        <w:t>BES Complexity and Energy Markets</w:t>
      </w:r>
      <w:bookmarkEnd w:id="38"/>
      <w:bookmarkEnd w:id="39"/>
    </w:p>
    <w:p>
      <w:pPr>
        <w:pStyle w:val="Normal"/>
        <w:ind w:firstLine="720"/>
        <w:rPr>
          <w:sz w:val="24"/>
          <w:szCs w:val="24"/>
        </w:rPr>
      </w:pPr>
      <w:r>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pPr>
        <w:pStyle w:val="Normal"/>
        <w:ind w:firstLine="720"/>
        <w:rPr>
          <w:sz w:val="24"/>
          <w:szCs w:val="24"/>
        </w:rPr>
      </w:pPr>
      <w:r>
        <w:rPr>
          <w:sz w:val="24"/>
          <w:szCs w:val="24"/>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Pr>
          <w:i/>
          <w:iCs/>
          <w:sz w:val="24"/>
          <w:szCs w:val="24"/>
        </w:rPr>
        <w:t>market intervals</w:t>
      </w:r>
      <w:r>
        <w:rPr>
          <w:sz w:val="24"/>
          <w:szCs w:val="24"/>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w:t>
      </w:r>
      <w:r>
        <w:rPr>
          <w:sz w:val="24"/>
          <w:szCs w:val="24"/>
          <w:highlight w:val="yellow"/>
        </w:rPr>
        <w:t>[REF HERE]</w:t>
      </w:r>
      <w:r>
        <w:rPr>
          <w:sz w:val="24"/>
          <w:szCs w:val="24"/>
        </w:rPr>
        <w:t xml:space="preserve"> (for calculation of real-time market prices).</w:t>
      </w:r>
    </w:p>
    <w:p>
      <w:pPr>
        <w:pStyle w:val="Normal"/>
        <w:ind w:firstLine="720"/>
        <w:rPr>
          <w:rStyle w:val="Heading2Char"/>
        </w:rPr>
      </w:pPr>
      <w:r>
        <w:rPr>
          <w:sz w:val="24"/>
          <w:szCs w:val="24"/>
        </w:rPr>
        <w:t>These diagnostic data are only a fraction of the data that are used in the operation of the BES, and much of it feeds into market systems</w:t>
      </w:r>
      <w:r>
        <w:rPr>
          <w:rStyle w:val="FootnoteReference"/>
          <w:sz w:val="24"/>
          <w:szCs w:val="24"/>
        </w:rPr>
        <w:footnoteReference w:id="12"/>
      </w:r>
      <w:r>
        <w:rPr>
          <w:sz w:val="24"/>
          <w:szCs w:val="24"/>
        </w:rPr>
        <w:t xml:space="preserve"> to calculate a realistic price of power at different locations throughout a market territory. Once the market solves, and locational prices are calculated, the market then must be </w:t>
      </w:r>
      <w:r>
        <w:rPr>
          <w:i/>
          <w:iCs/>
          <w:sz w:val="24"/>
          <w:szCs w:val="24"/>
        </w:rPr>
        <w:t>settled</w:t>
      </w:r>
      <w:r>
        <w:rPr>
          <w:rStyle w:val="FootnoteReference"/>
          <w:sz w:val="24"/>
          <w:szCs w:val="24"/>
        </w:rPr>
        <w:footnoteReference w:id="13"/>
      </w:r>
      <w:r>
        <w:rPr>
          <w:sz w:val="24"/>
          <w:szCs w:val="24"/>
        </w:rPr>
        <w:t>.  Market settlements are another area of market operations that generates complex and voluminous data. In SPP’s Integrated Marketplace ,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Pr>
          <w:rStyle w:val="FootnoteReference"/>
          <w:sz w:val="24"/>
          <w:szCs w:val="24"/>
        </w:rPr>
        <w:footnoteReference w:id="14"/>
      </w:r>
      <w:r>
        <w:rPr>
          <w:sz w:val="24"/>
          <w:szCs w:val="24"/>
        </w:rPr>
        <w:t>, or extreme weather events.</w:t>
      </w:r>
    </w:p>
    <w:p>
      <w:pPr>
        <w:pStyle w:val="Normal"/>
        <w:rPr/>
      </w:pPr>
      <w:bookmarkStart w:id="40" w:name="_Toc217395606"/>
      <w:bookmarkStart w:id="41" w:name="_Toc217378789"/>
      <w:r>
        <w:rPr>
          <w:rStyle w:val="Heading2Char"/>
        </w:rPr>
        <w:t>What is Market Monitoring?</w:t>
      </w:r>
      <w:bookmarkEnd w:id="40"/>
      <w:bookmarkEnd w:id="41"/>
      <w:r>
        <w:rPr/>
        <w:t xml:space="preserve"> </w:t>
      </w:r>
    </w:p>
    <w:p>
      <w:pPr>
        <w:pStyle w:val="Normal"/>
        <w:ind w:firstLine="720"/>
        <w:rPr>
          <w:sz w:val="24"/>
          <w:szCs w:val="24"/>
        </w:rPr>
      </w:pPr>
      <w:r>
        <w:rPr>
          <w:sz w:val="24"/>
          <w:szCs w:val="24"/>
        </w:rPr>
        <w:t xml:space="preserve">Market monitoring is a discipline that sits at the intersection of two major knowledge domains: </w:t>
      </w:r>
      <w:r>
        <w:rPr>
          <w:i/>
          <w:iCs/>
          <w:sz w:val="24"/>
          <w:szCs w:val="24"/>
        </w:rPr>
        <w:t>forensics</w:t>
      </w:r>
      <w:r>
        <w:rPr>
          <w:sz w:val="24"/>
          <w:szCs w:val="24"/>
        </w:rPr>
        <w:t xml:space="preserve"> and </w:t>
      </w:r>
      <w:r>
        <w:rPr>
          <w:i/>
          <w:iCs/>
          <w:sz w:val="24"/>
          <w:szCs w:val="24"/>
        </w:rPr>
        <w:t>economics</w:t>
      </w:r>
      <w:r>
        <w:rPr>
          <w:sz w:val="24"/>
          <w:szCs w:val="24"/>
        </w:rPr>
        <w:t xml:space="preserve">. As such, it takes a scientific approach to testing and analyzing transactions that occur within a marketplace. According to a report published by the United States Energy Association (USEA), Market Monitoring is a necessary component of markets “to ensure that market(s) participants cannot exercise market power, collude or engage in any behavior that could give them a market share, or higher profits” </w:t>
      </w:r>
      <w:r>
        <w:rPr>
          <w:sz w:val="24"/>
          <w:szCs w:val="24"/>
          <w:highlight w:val="yellow"/>
        </w:rPr>
        <w:t>[REF HERE]</w:t>
      </w:r>
      <w:r>
        <w:rPr>
          <w:sz w:val="24"/>
          <w:szCs w:val="24"/>
        </w:rPr>
        <w:t>.This need places the authority to request and analyze records generated by the operation of electricity markets into the hands of market monitoring units (MMUs).</w:t>
      </w:r>
    </w:p>
    <w:p>
      <w:pPr>
        <w:pStyle w:val="Normal"/>
        <w:ind w:firstLine="720"/>
        <w:rPr>
          <w:sz w:val="24"/>
          <w:szCs w:val="24"/>
        </w:rPr>
      </w:pPr>
      <w:r>
        <w:rPr>
          <w:sz w:val="24"/>
          <w:szCs w:val="24"/>
        </w:rPr>
        <w:t>Market monitors will generally screen for MP behavior that matches the following criteria:</w:t>
      </w:r>
    </w:p>
    <w:p>
      <w:pPr>
        <w:pStyle w:val="ListParagraph"/>
        <w:numPr>
          <w:ilvl w:val="0"/>
          <w:numId w:val="4"/>
        </w:numPr>
        <w:rPr>
          <w:rFonts w:eastAsia="" w:cs="" w:cstheme="majorBidi" w:eastAsiaTheme="majorEastAsia"/>
          <w:b/>
          <w:color w:themeColor="text1" w:val="000000"/>
          <w:sz w:val="28"/>
          <w:szCs w:val="28"/>
        </w:rPr>
      </w:pPr>
      <w:r>
        <w:rPr>
          <w:sz w:val="24"/>
          <w:szCs w:val="24"/>
        </w:rPr>
        <w:t>Exercised (or attempts to exercise) positions of market power</w:t>
      </w:r>
    </w:p>
    <w:p>
      <w:pPr>
        <w:pStyle w:val="ListParagraph"/>
        <w:numPr>
          <w:ilvl w:val="0"/>
          <w:numId w:val="4"/>
        </w:numPr>
        <w:rPr>
          <w:rFonts w:eastAsia="" w:cs="" w:cstheme="majorBidi" w:eastAsiaTheme="majorEastAsia"/>
          <w:b/>
          <w:color w:themeColor="text1" w:val="000000"/>
          <w:sz w:val="28"/>
          <w:szCs w:val="28"/>
        </w:rPr>
      </w:pPr>
      <w:r>
        <w:rPr>
          <w:sz w:val="24"/>
          <w:szCs w:val="24"/>
        </w:rPr>
        <w:t>Market gaming through oversights in current market protocols or policy (usually outlined in a governing document, known as a tariff).</w:t>
      </w:r>
    </w:p>
    <w:p>
      <w:pPr>
        <w:pStyle w:val="ListParagraph"/>
        <w:numPr>
          <w:ilvl w:val="0"/>
          <w:numId w:val="4"/>
        </w:numPr>
        <w:rPr>
          <w:rFonts w:eastAsia="" w:cs="" w:cstheme="majorBidi" w:eastAsiaTheme="majorEastAsia"/>
          <w:b/>
          <w:color w:themeColor="text1" w:val="000000"/>
          <w:sz w:val="28"/>
          <w:szCs w:val="28"/>
        </w:rPr>
      </w:pPr>
      <w:r>
        <w:rPr>
          <w:sz w:val="24"/>
          <w:szCs w:val="24"/>
        </w:rPr>
        <w:t>Committed cases of market manipulation through acts of collusion, cross-product manipulation, malevolent influence on price formation, or untoward manipulation schemes (economic withholding, uneconomic production, wash trades, “pump and dump” schemes, etc.)</w:t>
      </w:r>
    </w:p>
    <w:p>
      <w:pPr>
        <w:pStyle w:val="Heading2"/>
        <w:rPr>
          <w:rStyle w:val="Heading2Char"/>
          <w:b/>
        </w:rPr>
      </w:pPr>
      <w:bookmarkStart w:id="42" w:name="__RefHeading___Toc2324_401063098"/>
      <w:bookmarkStart w:id="43" w:name="_Toc217395607"/>
      <w:bookmarkStart w:id="44" w:name="_Toc217378790"/>
      <w:bookmarkEnd w:id="42"/>
      <w:r>
        <w:rPr>
          <w:rStyle w:val="Heading2Char"/>
          <w:b/>
        </w:rPr>
        <w:t>The Fall of Enron Corporation</w:t>
      </w:r>
      <w:bookmarkEnd w:id="43"/>
      <w:bookmarkEnd w:id="44"/>
    </w:p>
    <w:p>
      <w:pPr>
        <w:pStyle w:val="Normal"/>
        <w:ind w:firstLine="720"/>
        <w:rPr>
          <w:sz w:val="24"/>
          <w:szCs w:val="24"/>
        </w:rPr>
      </w:pPr>
      <w:r>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$2.5 billion in daily energy </w:t>
      </w:r>
      <w:r>
        <w:rPr>
          <w:sz w:val="24"/>
          <w:szCs w:val="24"/>
          <w:highlight w:val="yellow"/>
        </w:rPr>
        <w:t>transactions [REF HERE]</w:t>
      </w:r>
      <w:r>
        <w:rPr>
          <w:sz w:val="24"/>
          <w:szCs w:val="24"/>
        </w:rPr>
        <w:t>. Enron management, in reality, operated under a culture of willful non-compliance, including (but not limited to):</w:t>
      </w:r>
    </w:p>
    <w:p>
      <w:pPr>
        <w:pStyle w:val="ListParagraph"/>
        <w:numPr>
          <w:ilvl w:val="0"/>
          <w:numId w:val="4"/>
        </w:numPr>
        <w:rPr>
          <w:sz w:val="24"/>
          <w:szCs w:val="24"/>
        </w:rPr>
      </w:pPr>
      <w:r>
        <w:rPr>
          <w:sz w:val="24"/>
          <w:szCs w:val="24"/>
        </w:rPr>
        <w:t>Energy withholding practices that sometimes caused enormous energy prices in the California wholesale energy market</w:t>
      </w:r>
    </w:p>
    <w:p>
      <w:pPr>
        <w:pStyle w:val="ListParagraph"/>
        <w:numPr>
          <w:ilvl w:val="0"/>
          <w:numId w:val="4"/>
        </w:numPr>
        <w:rPr>
          <w:sz w:val="24"/>
          <w:szCs w:val="24"/>
        </w:rPr>
      </w:pPr>
      <w:r>
        <w:rPr>
          <w:sz w:val="24"/>
          <w:szCs w:val="24"/>
        </w:rPr>
        <w:t>Artificial energy shortages causing regular blackouts</w:t>
      </w:r>
      <w:r>
        <w:rPr>
          <w:rStyle w:val="FootnoteReference"/>
          <w:sz w:val="24"/>
          <w:szCs w:val="24"/>
        </w:rPr>
        <w:footnoteReference w:id="15"/>
      </w:r>
      <w:r>
        <w:rPr>
          <w:sz w:val="24"/>
          <w:szCs w:val="24"/>
        </w:rPr>
        <w:t xml:space="preserve"> within the California service territory</w:t>
      </w:r>
    </w:p>
    <w:p>
      <w:pPr>
        <w:pStyle w:val="ListParagraph"/>
        <w:numPr>
          <w:ilvl w:val="0"/>
          <w:numId w:val="4"/>
        </w:numPr>
        <w:rPr>
          <w:sz w:val="24"/>
          <w:szCs w:val="24"/>
        </w:rPr>
      </w:pPr>
      <w:r>
        <w:rPr>
          <w:sz w:val="24"/>
          <w:szCs w:val="24"/>
        </w:rPr>
        <w:t>Scheduling energy transactions with the intent of inflating congestion on California’s electric transmission system</w:t>
      </w:r>
    </w:p>
    <w:p>
      <w:pPr>
        <w:pStyle w:val="ListParagraph"/>
        <w:numPr>
          <w:ilvl w:val="0"/>
          <w:numId w:val="4"/>
        </w:numPr>
        <w:rPr>
          <w:sz w:val="24"/>
          <w:szCs w:val="24"/>
        </w:rPr>
      </w:pPr>
      <w:r>
        <w:rPr>
          <w:sz w:val="24"/>
          <w:szCs w:val="24"/>
        </w:rPr>
        <w:t>Accounting fraud (enabled by a creative used of “mark-to-market” based accounting) which allowed Enron to report expected revenues before they were realized</w:t>
      </w:r>
    </w:p>
    <w:p>
      <w:pPr>
        <w:pStyle w:val="Normal"/>
        <w:ind w:firstLine="720"/>
        <w:rPr>
          <w:sz w:val="24"/>
          <w:szCs w:val="24"/>
        </w:rPr>
      </w:pPr>
      <w:r>
        <w:rPr>
          <w:sz w:val="24"/>
          <w:szCs w:val="24"/>
        </w:rPr>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pPr>
        <w:pStyle w:val="Normal"/>
        <w:ind w:firstLine="720"/>
        <w:rPr>
          <w:sz w:val="24"/>
          <w:szCs w:val="24"/>
        </w:rPr>
      </w:pPr>
      <w:r>
        <w:rPr>
          <w:sz w:val="24"/>
          <w:szCs w:val="24"/>
        </w:rPr>
        <w:t>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Congress passed the Energy Policy Act of 2005 to introduce more stringent regulation over the energy industry.</w:t>
      </w:r>
    </w:p>
    <w:p>
      <w:pPr>
        <w:pStyle w:val="Normal"/>
        <w:ind w:firstLine="720"/>
        <w:rPr>
          <w:sz w:val="24"/>
          <w:szCs w:val="24"/>
        </w:rPr>
      </w:pPr>
      <w:r>
        <w:rPr>
          <w:sz w:val="24"/>
          <w:szCs w:val="24"/>
        </w:rPr>
        <w:t>Enron’s downfall resulted in a near-complete devaluation of their stock</w:t>
      </w:r>
      <w:r>
        <w:rPr>
          <w:rStyle w:val="FootnoteReference"/>
          <w:sz w:val="24"/>
          <w:szCs w:val="24"/>
        </w:rPr>
        <w:footnoteReference w:id="16"/>
      </w:r>
      <w:r>
        <w:rPr>
          <w:sz w:val="24"/>
          <w:szCs w:val="24"/>
        </w:rPr>
        <w:t>, the dismantling of Arthur Andersen (the auditor assigned to ensure that Enron was operating within the confines of financial reporting law), and a slew of legislation</w:t>
      </w:r>
      <w:r>
        <w:rPr>
          <w:rStyle w:val="FootnoteReference"/>
          <w:sz w:val="24"/>
          <w:szCs w:val="24"/>
        </w:rPr>
        <w:footnoteReference w:id="17"/>
      </w:r>
      <w:r>
        <w:rPr>
          <w:sz w:val="24"/>
          <w:szCs w:val="24"/>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pPr>
        <w:pStyle w:val="Normal"/>
        <w:ind w:firstLine="720"/>
        <w:rPr>
          <w:sz w:val="24"/>
          <w:szCs w:val="24"/>
        </w:rPr>
      </w:pPr>
      <w:r>
        <w:rPr>
          <w:sz w:val="24"/>
          <w:szCs w:val="24"/>
        </w:rPr>
        <w:t xml:space="preserve">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w:t>
      </w:r>
      <w:r>
        <w:rPr>
          <w:sz w:val="24"/>
          <w:szCs w:val="24"/>
        </w:rPr>
        <w:fldChar w:fldCharType="begin"/>
      </w:r>
      <w:r>
        <w:rPr>
          <w:sz w:val="24"/>
          <w:szCs w:val="24"/>
        </w:rPr>
        <w:instrText xml:space="preserve"> REF _Ref217381310 \h </w:instrText>
      </w:r>
      <w:r>
        <w:rPr>
          <w:sz w:val="24"/>
          <w:szCs w:val="24"/>
        </w:rPr>
        <w:fldChar w:fldCharType="separate"/>
      </w:r>
      <w:r>
        <w:rPr>
          <w:sz w:val="24"/>
          <w:szCs w:val="24"/>
        </w:rPr>
        <w:t>Table 2</w:t>
      </w:r>
      <w:r>
        <w:rPr>
          <w:sz w:val="24"/>
          <w:szCs w:val="24"/>
        </w:rPr>
        <w:fldChar w:fldCharType="end"/>
      </w:r>
      <w:r>
        <w:rPr>
          <w:sz w:val="24"/>
          <w:szCs w:val="24"/>
        </w:rPr>
        <w:t xml:space="preserve"> lists several high-profile cases of market manipulation that are distinct from the Enron case </w:t>
      </w:r>
      <w:r>
        <w:rPr>
          <w:sz w:val="24"/>
          <w:szCs w:val="24"/>
          <w:highlight w:val="yellow"/>
        </w:rPr>
        <w:t>[REF HERE] [REF HERE] [REF HERE]</w:t>
      </w:r>
      <w:r>
        <w:rPr>
          <w:sz w:val="24"/>
          <w:szCs w:val="24"/>
        </w:rPr>
        <w:t>.</w:t>
      </w:r>
    </w:p>
    <w:p>
      <w:pPr>
        <w:pStyle w:val="Normal"/>
        <w:ind w:firstLine="720"/>
        <w:rPr>
          <w:sz w:val="24"/>
          <w:szCs w:val="24"/>
        </w:rPr>
      </w:pPr>
      <w:r>
        <w:rPr>
          <w:sz w:val="24"/>
          <w:szCs w:val="24"/>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5"/>
        <w:gridCol w:w="1527"/>
        <w:gridCol w:w="6028"/>
      </w:tblGrid>
      <w:tr>
        <w:trPr/>
        <w:tc>
          <w:tcPr>
            <w:tcW w:w="1795"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MP</w:t>
            </w:r>
          </w:p>
        </w:tc>
        <w:tc>
          <w:tcPr>
            <w:tcW w:w="1527"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Damages</w:t>
            </w:r>
          </w:p>
        </w:tc>
        <w:tc>
          <w:tcPr>
            <w:tcW w:w="6028" w:type="dxa"/>
            <w:tcBorders/>
          </w:tcPr>
          <w:p>
            <w:pPr>
              <w:pStyle w:val="Normal"/>
              <w:widowControl/>
              <w:suppressAutoHyphens w:val="true"/>
              <w:spacing w:before="0" w:after="0"/>
              <w:jc w:val="left"/>
              <w:rPr>
                <w:b/>
                <w:bCs/>
                <w:sz w:val="24"/>
                <w:szCs w:val="24"/>
              </w:rPr>
            </w:pPr>
            <w:r>
              <w:rPr>
                <w:rFonts w:eastAsia="Calibri" w:cs=""/>
                <w:b/>
                <w:bCs/>
                <w:kern w:val="2"/>
                <w:sz w:val="24"/>
                <w:szCs w:val="24"/>
                <w:lang w:val="en-US" w:eastAsia="en-US" w:bidi="ar-SA"/>
              </w:rPr>
              <w:t>Incident</w:t>
            </w:r>
          </w:p>
        </w:tc>
      </w:tr>
      <w:tr>
        <w:trPr/>
        <w:tc>
          <w:tcPr>
            <w:tcW w:w="179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JP Morgan (2013)</w:t>
            </w:r>
          </w:p>
        </w:tc>
        <w:tc>
          <w:tcPr>
            <w:tcW w:w="1527"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$410 mm</w:t>
            </w:r>
          </w:p>
        </w:tc>
        <w:tc>
          <w:tcPr>
            <w:tcW w:w="6028"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Purchased and operated antiquated generation plants and offered them into the market as competitive generators</w:t>
            </w:r>
          </w:p>
        </w:tc>
      </w:tr>
      <w:tr>
        <w:trPr/>
        <w:tc>
          <w:tcPr>
            <w:tcW w:w="179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GreenHat Energy, LLC (2021)</w:t>
            </w:r>
          </w:p>
        </w:tc>
        <w:tc>
          <w:tcPr>
            <w:tcW w:w="1527"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&gt;$229 mm</w:t>
            </w:r>
          </w:p>
        </w:tc>
        <w:tc>
          <w:tcPr>
            <w:tcW w:w="6028"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Participated in insider trading to purchase enormous positions in PJM’s congestion market</w:t>
            </w:r>
          </w:p>
        </w:tc>
      </w:tr>
      <w:tr>
        <w:trPr/>
        <w:tc>
          <w:tcPr>
            <w:tcW w:w="1795"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Vitol Group (2024)</w:t>
            </w:r>
          </w:p>
        </w:tc>
        <w:tc>
          <w:tcPr>
            <w:tcW w:w="1527" w:type="dxa"/>
            <w:tcBorders/>
          </w:tcPr>
          <w:p>
            <w:pPr>
              <w:pStyle w:val="Normal"/>
              <w:widowControl/>
              <w:suppressAutoHyphens w:val="true"/>
              <w:spacing w:before="0" w:after="0"/>
              <w:jc w:val="left"/>
              <w:rPr>
                <w:sz w:val="24"/>
                <w:szCs w:val="24"/>
              </w:rPr>
            </w:pPr>
            <w:r>
              <w:rPr>
                <w:rFonts w:eastAsia="Calibri" w:cs=""/>
                <w:kern w:val="2"/>
                <w:sz w:val="24"/>
                <w:szCs w:val="24"/>
                <w:lang w:val="en-US" w:eastAsia="en-US" w:bidi="ar-SA"/>
              </w:rPr>
              <w:t>$2.3 mm</w:t>
            </w:r>
          </w:p>
        </w:tc>
        <w:tc>
          <w:tcPr>
            <w:tcW w:w="6028" w:type="dxa"/>
            <w:tcBorders/>
          </w:tcPr>
          <w:p>
            <w:pPr>
              <w:pStyle w:val="Normal"/>
              <w:keepNext w:val="true"/>
              <w:widowControl/>
              <w:suppressAutoHyphens w:val="true"/>
              <w:spacing w:before="0" w:after="0"/>
              <w:jc w:val="left"/>
              <w:rPr>
                <w:sz w:val="24"/>
                <w:szCs w:val="24"/>
              </w:rPr>
            </w:pPr>
            <w:r>
              <w:rPr>
                <w:rFonts w:eastAsia="Calibri" w:cs=""/>
                <w:kern w:val="2"/>
                <w:sz w:val="24"/>
                <w:szCs w:val="24"/>
                <w:lang w:val="en-US" w:eastAsia="en-US" w:bidi="ar-SA"/>
              </w:rPr>
              <w:t>Sold physical power at a loss in the DA market to favor their transmission congestion positions (a behavior known as “</w:t>
            </w:r>
            <w:r>
              <w:rPr>
                <w:rFonts w:eastAsia="Calibri" w:cs=""/>
                <w:i/>
                <w:iCs/>
                <w:kern w:val="2"/>
                <w:sz w:val="24"/>
                <w:szCs w:val="24"/>
                <w:lang w:val="en-US" w:eastAsia="en-US" w:bidi="ar-SA"/>
              </w:rPr>
              <w:t>cross-product manipulation</w:t>
            </w:r>
            <w:r>
              <w:rPr>
                <w:rFonts w:eastAsia="Calibri" w:cs=""/>
                <w:kern w:val="2"/>
                <w:sz w:val="24"/>
                <w:szCs w:val="24"/>
                <w:lang w:val="en-US" w:eastAsia="en-US" w:bidi="ar-SA"/>
              </w:rPr>
              <w:t>”)</w:t>
            </w:r>
          </w:p>
        </w:tc>
      </w:tr>
    </w:tbl>
    <w:p>
      <w:pPr>
        <w:pStyle w:val="Caption"/>
        <w:jc w:val="center"/>
        <w:rPr>
          <w:rFonts w:cs="Arial"/>
          <w:i w:val="false"/>
          <w:i w:val="false"/>
          <w:iCs w:val="false"/>
          <w:color w:val="auto"/>
          <w:sz w:val="24"/>
          <w:szCs w:val="24"/>
        </w:rPr>
      </w:pPr>
      <w:bookmarkStart w:id="45" w:name="_Ref217381306"/>
      <w:bookmarkStart w:id="46" w:name="_Ref217381310"/>
      <w:r>
        <w:rPr>
          <w:rFonts w:cs="Arial"/>
          <w:i w:val="false"/>
          <w:iCs w:val="false"/>
          <w:color w:val="auto"/>
          <w:sz w:val="24"/>
          <w:szCs w:val="24"/>
        </w:rPr>
        <w:t xml:space="preserve">Table </w:t>
      </w:r>
      <w:r>
        <w:rPr>
          <w:rFonts w:cs="Arial"/>
          <w:i w:val="false"/>
          <w:iCs w:val="false"/>
          <w:color w:val="auto"/>
          <w:sz w:val="24"/>
          <w:szCs w:val="24"/>
        </w:rPr>
        <w:fldChar w:fldCharType="begin"/>
      </w:r>
      <w:r>
        <w:rPr>
          <w:sz w:val="24"/>
          <w:i w:val="false"/>
          <w:szCs w:val="24"/>
          <w:iCs w:val="false"/>
          <w:rFonts w:cs="Arial"/>
          <w:color w:val="auto"/>
        </w:rPr>
        <w:instrText xml:space="preserve"> SEQ Table \* ARABIC </w:instrText>
      </w:r>
      <w:r>
        <w:rPr>
          <w:sz w:val="24"/>
          <w:i w:val="false"/>
          <w:szCs w:val="24"/>
          <w:iCs w:val="false"/>
          <w:rFonts w:cs="Arial"/>
          <w:color w:val="auto"/>
        </w:rPr>
        <w:fldChar w:fldCharType="separate"/>
      </w:r>
      <w:r>
        <w:rPr>
          <w:sz w:val="24"/>
          <w:i w:val="false"/>
          <w:szCs w:val="24"/>
          <w:iCs w:val="false"/>
          <w:rFonts w:cs="Arial"/>
          <w:color w:val="auto"/>
        </w:rPr>
        <w:t>2</w:t>
      </w:r>
      <w:r>
        <w:rPr>
          <w:sz w:val="24"/>
          <w:i w:val="false"/>
          <w:szCs w:val="24"/>
          <w:iCs w:val="false"/>
          <w:rFonts w:cs="Arial"/>
          <w:color w:val="auto"/>
        </w:rPr>
        <w:fldChar w:fldCharType="end"/>
      </w:r>
      <w:bookmarkEnd w:id="46"/>
      <w:r>
        <w:rPr>
          <w:rFonts w:cs="Arial"/>
          <w:i w:val="false"/>
          <w:iCs w:val="false"/>
          <w:color w:val="auto"/>
          <w:sz w:val="24"/>
          <w:szCs w:val="24"/>
        </w:rPr>
        <w:t>: Prominent Cases of Market Manipulation</w:t>
      </w:r>
      <w:bookmarkEnd w:id="45"/>
    </w:p>
    <w:p>
      <w:pPr>
        <w:pStyle w:val="Normal"/>
        <w:rPr/>
      </w:pPr>
      <w:r>
        <w:rPr/>
      </w:r>
    </w:p>
    <w:p>
      <w:pPr>
        <w:pStyle w:val="Heading2"/>
        <w:rPr/>
      </w:pPr>
      <w:bookmarkStart w:id="47" w:name="__RefHeading___Toc2326_401063098"/>
      <w:bookmarkStart w:id="48" w:name="_Toc217395608"/>
      <w:bookmarkStart w:id="49" w:name="_Toc217378798"/>
      <w:bookmarkEnd w:id="47"/>
      <w:r>
        <w:rPr/>
        <w:t>Skills of a Market Monitor</w:t>
      </w:r>
      <w:bookmarkEnd w:id="48"/>
      <w:bookmarkEnd w:id="49"/>
    </w:p>
    <w:p>
      <w:pPr>
        <w:pStyle w:val="Normal"/>
        <w:rPr>
          <w:sz w:val="24"/>
          <w:szCs w:val="24"/>
        </w:rPr>
      </w:pPr>
      <w:r>
        <w:rPr/>
        <w:tab/>
      </w:r>
      <w:r>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pPr>
        <w:pStyle w:val="Normal"/>
        <w:rPr/>
      </w:pPr>
      <w:r>
        <w:rPr>
          <w:sz w:val="24"/>
          <w:szCs w:val="24"/>
        </w:rPr>
        <w:tab/>
      </w:r>
      <w:r>
        <w:rPr>
          <w:sz w:val="24"/>
          <w:szCs w:val="24"/>
        </w:rPr>
        <w:fldChar w:fldCharType="begin"/>
      </w:r>
      <w:r>
        <w:rPr>
          <w:sz w:val="24"/>
          <w:szCs w:val="24"/>
        </w:rPr>
        <w:instrText xml:space="preserve"> REF _Ref217381145 \h </w:instrText>
      </w:r>
      <w:r>
        <w:rPr>
          <w:sz w:val="24"/>
          <w:szCs w:val="24"/>
        </w:rPr>
        <w:fldChar w:fldCharType="separate"/>
      </w:r>
      <w:r>
        <w:rPr>
          <w:sz w:val="24"/>
          <w:szCs w:val="24"/>
        </w:rPr>
        <w:t>Figure 4</w:t>
      </w:r>
      <w:r>
        <w:rPr>
          <w:sz w:val="24"/>
          <w:szCs w:val="24"/>
        </w:rPr>
        <w:fldChar w:fldCharType="end"/>
      </w:r>
      <w:r>
        <w:rPr>
          <w:sz w:val="24"/>
          <w:szCs w:val="24"/>
        </w:rPr>
        <w:t xml:space="preserve">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pPr>
        <w:pStyle w:val="Normal"/>
        <w:keepNext w:val="true"/>
        <w:jc w:val="center"/>
        <w:rPr/>
      </w:pPr>
      <w:r>
        <w:rPr/>
        <w:drawing>
          <wp:inline distT="0" distB="0" distL="0" distR="0">
            <wp:extent cx="4743450" cy="2771140"/>
            <wp:effectExtent l="0" t="0" r="0" b="0"/>
            <wp:docPr id="6" name="Image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Diagram&#10;&#10;AI-generated content may be incorrect."/>
                    <pic:cNvPicPr>
                      <a:picLocks noChangeAspect="1" noChangeArrowheads="1"/>
                    </pic:cNvPicPr>
                  </pic:nvPicPr>
                  <pic:blipFill>
                    <a:blip r:embed="rId10"/>
                    <a:stretch>
                      <a:fillRect/>
                    </a:stretch>
                  </pic:blipFill>
                  <pic:spPr bwMode="auto">
                    <a:xfrm>
                      <a:off x="0" y="0"/>
                      <a:ext cx="4743450" cy="2771140"/>
                    </a:xfrm>
                    <a:prstGeom prst="rect">
                      <a:avLst/>
                    </a:prstGeom>
                    <a:ln w="12700">
                      <a:solidFill>
                        <a:srgbClr val="000000"/>
                      </a:solidFill>
                    </a:ln>
                  </pic:spPr>
                </pic:pic>
              </a:graphicData>
            </a:graphic>
          </wp:inline>
        </w:drawing>
      </w:r>
    </w:p>
    <w:p>
      <w:pPr>
        <w:pStyle w:val="Caption"/>
        <w:jc w:val="center"/>
        <w:rPr>
          <w:rFonts w:cs="Arial"/>
          <w:i w:val="false"/>
          <w:i w:val="false"/>
          <w:iCs w:val="false"/>
          <w:color w:val="auto"/>
          <w:sz w:val="24"/>
          <w:szCs w:val="24"/>
        </w:rPr>
      </w:pPr>
      <w:bookmarkStart w:id="50" w:name="_Toc217395630"/>
      <w:bookmarkStart w:id="51" w:name="_Ref217381145"/>
      <w:r>
        <w:rPr>
          <w:rFonts w:cs="Arial"/>
          <w:i w:val="false"/>
          <w:iCs w:val="false"/>
          <w:color w:val="auto"/>
          <w:sz w:val="24"/>
          <w:szCs w:val="24"/>
        </w:rPr>
        <w:t xml:space="preserve">Figure </w:t>
      </w:r>
      <w:r>
        <w:rPr>
          <w:rFonts w:cs="Arial"/>
          <w:i w:val="false"/>
          <w:iCs w:val="false"/>
          <w:color w:val="auto"/>
          <w:sz w:val="24"/>
          <w:szCs w:val="24"/>
        </w:rPr>
        <w:fldChar w:fldCharType="begin"/>
      </w:r>
      <w:r>
        <w:rPr>
          <w:sz w:val="24"/>
          <w:i w:val="false"/>
          <w:szCs w:val="24"/>
          <w:iCs w:val="false"/>
          <w:rFonts w:cs="Arial"/>
          <w:color w:val="auto"/>
        </w:rPr>
        <w:instrText xml:space="preserve"> SEQ Figure \* ARABIC </w:instrText>
      </w:r>
      <w:r>
        <w:rPr>
          <w:sz w:val="24"/>
          <w:i w:val="false"/>
          <w:szCs w:val="24"/>
          <w:iCs w:val="false"/>
          <w:rFonts w:cs="Arial"/>
          <w:color w:val="auto"/>
        </w:rPr>
        <w:fldChar w:fldCharType="separate"/>
      </w:r>
      <w:r>
        <w:rPr>
          <w:sz w:val="24"/>
          <w:i w:val="false"/>
          <w:szCs w:val="24"/>
          <w:iCs w:val="false"/>
          <w:rFonts w:cs="Arial"/>
          <w:color w:val="auto"/>
        </w:rPr>
        <w:t>4</w:t>
      </w:r>
      <w:r>
        <w:rPr>
          <w:sz w:val="24"/>
          <w:i w:val="false"/>
          <w:szCs w:val="24"/>
          <w:iCs w:val="false"/>
          <w:rFonts w:cs="Arial"/>
          <w:color w:val="auto"/>
        </w:rPr>
        <w:fldChar w:fldCharType="end"/>
      </w:r>
      <w:bookmarkEnd w:id="51"/>
      <w:r>
        <w:rPr>
          <w:rFonts w:cs="Arial"/>
          <w:i w:val="false"/>
          <w:iCs w:val="false"/>
          <w:color w:val="auto"/>
          <w:sz w:val="24"/>
          <w:szCs w:val="24"/>
        </w:rPr>
        <w:t xml:space="preserve"> - Diverse Skill Sets of a Market Monitor</w:t>
      </w:r>
      <w:bookmarkEnd w:id="50"/>
    </w:p>
    <w:p>
      <w:pPr>
        <w:pStyle w:val="Normal"/>
        <w:rPr>
          <w:sz w:val="24"/>
          <w:szCs w:val="24"/>
        </w:rPr>
      </w:pPr>
      <w:r>
        <w:rPr>
          <w:sz w:val="24"/>
          <w:szCs w:val="24"/>
        </w:rPr>
        <w:tab/>
        <w:t>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Pr>
          <w:rStyle w:val="FootnoteReference"/>
          <w:sz w:val="24"/>
          <w:szCs w:val="24"/>
        </w:rPr>
        <w:footnoteReference w:id="18"/>
      </w:r>
      <w:r>
        <w:rPr>
          <w:sz w:val="24"/>
          <w:szCs w:val="24"/>
        </w:rPr>
        <w:t>, review out-of-market transactions that take place through bilateral settlement schedules (BSS)</w:t>
      </w:r>
      <w:r>
        <w:rPr>
          <w:rStyle w:val="FootnoteReference"/>
          <w:sz w:val="24"/>
          <w:szCs w:val="24"/>
        </w:rPr>
        <w:footnoteReference w:id="19"/>
      </w:r>
      <w:r>
        <w:rPr>
          <w:sz w:val="24"/>
          <w:szCs w:val="24"/>
        </w:rPr>
        <w:t>, and ensure that RTOs and ISOs are acting within the rules defined by their FERC-approved tariff</w:t>
      </w:r>
      <w:r>
        <w:rPr>
          <w:rStyle w:val="FootnoteReference"/>
          <w:sz w:val="24"/>
          <w:szCs w:val="24"/>
        </w:rPr>
        <w:footnoteReference w:id="20"/>
      </w:r>
      <w:r>
        <w:rPr>
          <w:sz w:val="24"/>
          <w:szCs w:val="24"/>
        </w:rPr>
        <w:t xml:space="preserve"> documents (excluding ERCOT, which does not fall under FERC jurisdiction)</w:t>
      </w:r>
      <w:bookmarkStart w:id="52" w:name="_Toc217378799"/>
      <w:r>
        <w:rPr>
          <w:sz w:val="24"/>
          <w:szCs w:val="24"/>
        </w:rPr>
        <w:t>.</w:t>
      </w:r>
    </w:p>
    <w:p>
      <w:pPr>
        <w:pStyle w:val="Heading3"/>
        <w:rPr/>
      </w:pPr>
      <w:bookmarkStart w:id="53" w:name="__RefHeading___Toc2328_401063098"/>
      <w:bookmarkStart w:id="54" w:name="_Toc217395609"/>
      <w:bookmarkEnd w:id="53"/>
      <w:r>
        <w:rPr/>
        <w:t>Market Monitoring Firms</w:t>
      </w:r>
      <w:bookmarkEnd w:id="54"/>
    </w:p>
    <w:p>
      <w:pPr>
        <w:pStyle w:val="Normal"/>
        <w:rPr>
          <w:sz w:val="24"/>
          <w:szCs w:val="24"/>
        </w:rPr>
      </w:pPr>
      <w:r>
        <w:rPr>
          <w:sz w:val="24"/>
          <w:szCs w:val="24"/>
        </w:rPr>
        <w:tab/>
        <w:t>The current groups involved with electricity market monitoring (both in North America and internationally</w:t>
      </w:r>
      <w:r>
        <w:rPr>
          <w:rStyle w:val="FootnoteReference"/>
          <w:sz w:val="24"/>
          <w:szCs w:val="24"/>
        </w:rPr>
        <w:footnoteReference w:id="21"/>
      </w:r>
      <w:r>
        <w:rPr>
          <w:sz w:val="24"/>
          <w:szCs w:val="24"/>
        </w:rPr>
        <w:t>)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pPr>
        <w:pStyle w:val="Heading2"/>
        <w:rPr/>
      </w:pPr>
      <w:bookmarkStart w:id="55" w:name="__RefHeading___Toc2330_401063098"/>
      <w:bookmarkStart w:id="56" w:name="_Toc217395610"/>
      <w:bookmarkStart w:id="57" w:name="_Toc217378800"/>
      <w:bookmarkEnd w:id="52"/>
      <w:bookmarkEnd w:id="55"/>
      <w:r>
        <w:rPr/>
        <w:t>The Case for Information Quality Research in Market Monitorin</w:t>
      </w:r>
      <w:bookmarkEnd w:id="57"/>
      <w:r>
        <w:rPr/>
        <w:t>g</w:t>
      </w:r>
      <w:bookmarkEnd w:id="56"/>
    </w:p>
    <w:p>
      <w:pPr>
        <w:pStyle w:val="Normal"/>
        <w:rPr>
          <w:sz w:val="24"/>
          <w:szCs w:val="24"/>
        </w:rPr>
      </w:pPr>
      <w:r>
        <w:rPr/>
        <w:tab/>
      </w:r>
      <w:r>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Pr>
          <w:rStyle w:val="FootnoteReference"/>
          <w:sz w:val="24"/>
          <w:szCs w:val="24"/>
        </w:rPr>
        <w:footnoteReference w:id="22"/>
      </w:r>
      <w:r>
        <w:rPr>
          <w:sz w:val="24"/>
          <w:szCs w:val="24"/>
        </w:rPr>
        <w:t xml:space="preserve"> and concentration analysis (for example, the classic Herfindahl-Hirschman Index [HHI] or the Residual Supply Index [RSI]), mitigating abuses of local market power by market participants, and performing policy analysis to determine efficient market design </w:t>
      </w:r>
      <w:r>
        <w:rPr>
          <w:sz w:val="24"/>
          <w:szCs w:val="24"/>
          <w:highlight w:val="yellow"/>
        </w:rPr>
        <w:t>[REF HERE] [REF HERE]</w:t>
      </w:r>
      <w:r>
        <w:rPr>
          <w:sz w:val="24"/>
          <w:szCs w:val="24"/>
        </w:rPr>
        <w:t>. It also requires calculating known system metrics, Capacity Reserve Margin (CRM) for example</w:t>
      </w:r>
      <w:r>
        <w:rPr>
          <w:rStyle w:val="FootnoteReference"/>
          <w:sz w:val="24"/>
          <w:szCs w:val="24"/>
        </w:rPr>
        <w:footnoteReference w:id="23"/>
      </w:r>
      <w:r>
        <w:rPr>
          <w:sz w:val="24"/>
          <w:szCs w:val="24"/>
        </w:rPr>
        <w:t>, and developing new metrics to measure and track market performance. Data collection, processing, and analysis enables each of these activities, but knowledge of how to make decisions on these data is typically learned through on-the-job training.</w:t>
      </w:r>
    </w:p>
    <w:p>
      <w:pPr>
        <w:pStyle w:val="Normal"/>
        <w:rPr>
          <w:sz w:val="24"/>
          <w:szCs w:val="24"/>
        </w:rPr>
      </w:pPr>
      <w:r>
        <w:rPr>
          <w:sz w:val="24"/>
          <w:szCs w:val="24"/>
        </w:rPr>
        <w:tab/>
        <w:t xml:space="preserve">In </w:t>
      </w:r>
      <w:r>
        <w:rPr>
          <w:i/>
          <w:iCs/>
          <w:sz w:val="24"/>
          <w:szCs w:val="24"/>
        </w:rPr>
        <w:t>Overview of Data Quality: Examining the Dimensions, Antecedents, and Impacts of Data Quality</w:t>
      </w:r>
      <w:r>
        <w:rPr>
          <w:sz w:val="24"/>
          <w:szCs w:val="24"/>
        </w:rPr>
        <w:t xml:space="preserve">, one of the antecedents that can directly affect data quality is “information overload” </w:t>
      </w:r>
      <w:r>
        <w:rPr>
          <w:sz w:val="24"/>
          <w:szCs w:val="24"/>
          <w:highlight w:val="yellow"/>
        </w:rPr>
        <w:t>[REF HERE]</w:t>
      </w:r>
      <w:r>
        <w:rPr>
          <w:sz w:val="24"/>
          <w:szCs w:val="24"/>
        </w:rPr>
        <w:t>. This can be especially true in market monitoring, where users must derive a decision by “fusing” data from many different sources. In instances where users are not familiar with the sources, this has potential impact on both accuracy and trust in the final product.</w:t>
      </w:r>
    </w:p>
    <w:p>
      <w:pPr>
        <w:pStyle w:val="Normal"/>
        <w:rPr/>
      </w:pPr>
      <w:r>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w:t>
      </w:r>
      <w:r>
        <w:rPr>
          <w:sz w:val="24"/>
          <w:szCs w:val="24"/>
          <w:highlight w:val="yellow"/>
        </w:rPr>
        <w:t>[REF HERE]</w:t>
      </w:r>
      <w:r>
        <w:rPr>
          <w:sz w:val="24"/>
          <w:szCs w:val="24"/>
        </w:rPr>
        <w:t xml:space="preserve">. In this example, electric utilities may prioritize data templating and formatting over accuracy and trust. Market monitoring cannot afford to make this trade-off. Market monitors work in complex and high-volume data environments. Systems deployed in these environments must be accessible and user-friendly to help market monitors handle the inherent data and information complexity. </w:t>
      </w:r>
    </w:p>
    <w:p>
      <w:pPr>
        <w:pStyle w:val="Heading2"/>
        <w:rPr/>
      </w:pPr>
      <w:bookmarkStart w:id="58" w:name="__RefHeading___Toc2332_401063098"/>
      <w:bookmarkStart w:id="59" w:name="_Toc217395611"/>
      <w:bookmarkStart w:id="60" w:name="_Toc217378801"/>
      <w:bookmarkEnd w:id="58"/>
      <w:r>
        <w:rPr/>
        <w:t>Conducting Information Quality Research in Market Monitoring</w:t>
      </w:r>
      <w:bookmarkEnd w:id="59"/>
      <w:bookmarkEnd w:id="60"/>
    </w:p>
    <w:p>
      <w:pPr>
        <w:pStyle w:val="Normal"/>
        <w:rPr/>
      </w:pPr>
      <w:r>
        <w:rPr/>
        <w:tab/>
      </w:r>
      <w:r>
        <w:rPr>
          <w:sz w:val="24"/>
          <w:szCs w:val="24"/>
        </w:rPr>
        <w:t>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a lack of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p>
    <w:p>
      <w:pPr>
        <w:pStyle w:val="Normal"/>
        <w:rPr>
          <w:sz w:val="24"/>
          <w:szCs w:val="24"/>
        </w:rPr>
      </w:pPr>
      <w:r>
        <w:rPr>
          <w:sz w:val="24"/>
          <w:szCs w:val="24"/>
        </w:rPr>
        <w:tab/>
        <w:t>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pPr>
        <w:pStyle w:val="Heading2"/>
        <w:rPr/>
      </w:pPr>
      <w:bookmarkStart w:id="61" w:name="__RefHeading___Toc2334_401063098"/>
      <w:bookmarkStart w:id="62" w:name="_Toc217395612"/>
      <w:bookmarkStart w:id="63" w:name="_Toc217378802"/>
      <w:bookmarkEnd w:id="61"/>
      <w:r>
        <w:rPr/>
        <w:t>Subject Matter Expert (SME) Discussions</w:t>
      </w:r>
      <w:bookmarkEnd w:id="62"/>
      <w:bookmarkEnd w:id="63"/>
    </w:p>
    <w:p>
      <w:pPr>
        <w:pStyle w:val="Normal"/>
        <w:rPr/>
      </w:pPr>
      <w:r>
        <w:rPr/>
        <w:tab/>
      </w:r>
      <w:r>
        <w:rPr>
          <w:sz w:val="24"/>
          <w:szCs w:val="24"/>
        </w:rPr>
        <w:t>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Oyoo, performed information systems research in a different sector of the energy grid, “power and utilities”, focusing on the distribution of electricity to end users.</w:t>
      </w:r>
    </w:p>
    <w:p>
      <w:pPr>
        <w:pStyle w:val="Normal"/>
        <w:rPr>
          <w:sz w:val="24"/>
          <w:szCs w:val="24"/>
        </w:rPr>
      </w:pPr>
      <w:r>
        <w:rPr>
          <w:sz w:val="24"/>
          <w:szCs w:val="24"/>
        </w:rPr>
        <w:tab/>
        <w:t xml:space="preserve">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w:t>
      </w:r>
      <w:r>
        <w:rPr>
          <w:rFonts w:eastAsia="Calibri" w:cs="" w:cstheme="minorBidi" w:eastAsiaTheme="minorHAnsi"/>
          <w:sz w:val="24"/>
          <w:szCs w:val="24"/>
          <w:shd w:fill="FFFF00" w:val="clear"/>
          <w14:ligatures w14:val="standardContextual"/>
        </w:rPr>
        <w:t>[REF HERE]</w:t>
      </w:r>
      <w:r>
        <w:rPr>
          <w:sz w:val="24"/>
          <w:szCs w:val="24"/>
        </w:rPr>
        <w:t>. Such a methodology has potential impacts for the market monitoring discipline, and may have an influence on the resulting system architecture of this dissertation.</w:t>
      </w:r>
    </w:p>
    <w:p>
      <w:pPr>
        <w:pStyle w:val="Heading2"/>
        <w:rPr/>
      </w:pPr>
      <w:bookmarkStart w:id="64" w:name="__RefHeading___Toc2336_401063098"/>
      <w:bookmarkStart w:id="65" w:name="_Toc217395613"/>
      <w:bookmarkStart w:id="66" w:name="_Toc217378803"/>
      <w:bookmarkEnd w:id="64"/>
      <w:r>
        <w:rPr/>
        <w:t>Design Science Methodology</w:t>
      </w:r>
      <w:bookmarkEnd w:id="65"/>
      <w:bookmarkEnd w:id="66"/>
    </w:p>
    <w:p>
      <w:pPr>
        <w:pStyle w:val="Normal"/>
        <w:rPr/>
      </w:pPr>
      <w:r>
        <w:rPr/>
        <w:tab/>
      </w:r>
      <w:r>
        <w:rPr>
          <w:sz w:val="24"/>
          <w:szCs w:val="24"/>
        </w:rPr>
        <w:t>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p>
    <w:p>
      <w:pPr>
        <w:pStyle w:val="Normal"/>
        <w:rPr>
          <w:sz w:val="24"/>
          <w:szCs w:val="24"/>
        </w:rPr>
      </w:pPr>
      <w:r>
        <w:rPr>
          <w:sz w:val="24"/>
          <w:szCs w:val="24"/>
        </w:rPr>
        <w:tab/>
        <w:t>Data and information quality problems exist today in the market monitoring body of knowledge that a DSL-based system can help address:</w:t>
      </w:r>
    </w:p>
    <w:p>
      <w:pPr>
        <w:pStyle w:val="Normal"/>
        <w:rPr>
          <w:sz w:val="24"/>
          <w:szCs w:val="24"/>
        </w:rPr>
      </w:pPr>
      <w:r>
        <w:rPr>
          <w:sz w:val="24"/>
          <w:szCs w:val="24"/>
        </w:rPr>
      </w:r>
    </w:p>
    <w:p>
      <w:pPr>
        <w:pStyle w:val="Normal"/>
        <w:numPr>
          <w:ilvl w:val="0"/>
          <w:numId w:val="6"/>
        </w:numPr>
        <w:rPr>
          <w:sz w:val="24"/>
          <w:szCs w:val="24"/>
        </w:rPr>
      </w:pPr>
      <w:r>
        <w:rPr>
          <w:sz w:val="24"/>
          <w:szCs w:val="24"/>
        </w:rPr>
        <w:t>Analysts in different teams that arrive at different values when trying to quantify metrics (market impact, for example)</w:t>
      </w:r>
    </w:p>
    <w:p>
      <w:pPr>
        <w:pStyle w:val="Normal"/>
        <w:numPr>
          <w:ilvl w:val="0"/>
          <w:numId w:val="6"/>
        </w:numPr>
        <w:rPr>
          <w:sz w:val="24"/>
          <w:szCs w:val="24"/>
        </w:rPr>
      </w:pPr>
      <w:r>
        <w:rPr>
          <w:sz w:val="24"/>
          <w:szCs w:val="24"/>
        </w:rPr>
        <w:t>Lack of robust metadata assets such as data dictionaries and well-defined data stewardship roles</w:t>
      </w:r>
    </w:p>
    <w:p>
      <w:pPr>
        <w:pStyle w:val="Normal"/>
        <w:numPr>
          <w:ilvl w:val="0"/>
          <w:numId w:val="6"/>
        </w:numPr>
        <w:rPr>
          <w:sz w:val="24"/>
          <w:szCs w:val="24"/>
        </w:rPr>
      </w:pPr>
      <w:r>
        <w:rPr>
          <w:sz w:val="24"/>
          <w:szCs w:val="24"/>
        </w:rPr>
        <w:t>Lack of a mature change management program for software (which, in turn, can impact report reproducibility)</w:t>
      </w:r>
    </w:p>
    <w:p>
      <w:pPr>
        <w:pStyle w:val="Normal"/>
        <w:numPr>
          <w:ilvl w:val="0"/>
          <w:numId w:val="6"/>
        </w:numPr>
        <w:rPr>
          <w:sz w:val="24"/>
          <w:szCs w:val="24"/>
        </w:rPr>
      </w:pPr>
      <w:r>
        <w:rPr>
          <w:sz w:val="24"/>
          <w:szCs w:val="24"/>
        </w:rPr>
        <w:t>A lack of full automation and meta-automation, causing analysts to spend time performing tedious ETL and archival tasks</w:t>
      </w:r>
    </w:p>
    <w:p>
      <w:pPr>
        <w:pStyle w:val="Normal"/>
        <w:rPr>
          <w:sz w:val="24"/>
          <w:szCs w:val="24"/>
        </w:rPr>
      </w:pPr>
      <w:r>
        <w:rPr>
          <w:sz w:val="24"/>
          <w:szCs w:val="24"/>
        </w:rPr>
      </w:r>
    </w:p>
    <w:p>
      <w:pPr>
        <w:pStyle w:val="Normal"/>
        <w:rPr/>
      </w:pPr>
      <w:r>
        <w:rPr>
          <w:sz w:val="24"/>
          <w:szCs w:val="24"/>
        </w:rPr>
        <w:tab/>
        <w:t>Domain-specific languages are powerful models for allowing users to systematically solve problems within a specific domain. As is discussed in the literature review (see Chapter 2), DSLs have had only limited exposure in electricity markets (and even less exposure in market monitoring). This discovered gap in existing research, complemented by the DQ and IQ issues discussed in the review, serves as the inspiration for this project. Figure XXYYAA provides more detail on the planned use of design science within this project</w:t>
      </w:r>
      <w:r>
        <w:rPr>
          <w:rStyle w:val="FootnoteReference"/>
          <w:sz w:val="24"/>
          <w:szCs w:val="24"/>
        </w:rPr>
        <w:footnoteReference w:id="24"/>
      </w:r>
      <w:r>
        <w:rPr>
          <w:sz w:val="24"/>
          <w:szCs w:val="24"/>
        </w:rPr>
        <w:t>.</w:t>
      </w:r>
    </w:p>
    <w:p>
      <w:pPr>
        <w:pStyle w:val="Heading2"/>
        <w:rPr/>
      </w:pPr>
      <w:r>
        <w:rPr/>
        <w:t>Proposed Investigatio</w:t>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834890" cy="3970020"/>
                <wp:effectExtent l="0" t="0" r="0" b="0"/>
                <wp:wrapSquare wrapText="largest"/>
                <wp:docPr id="7" name="Frame1"/>
                <a:graphic xmlns:a="http://schemas.openxmlformats.org/drawingml/2006/main">
                  <a:graphicData uri="http://schemas.microsoft.com/office/word/2010/wordprocessingShape">
                    <wps:wsp>
                      <wps:cNvSpPr/>
                      <wps:spPr>
                        <a:xfrm>
                          <a:off x="0" y="0"/>
                          <a:ext cx="4834800" cy="397008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pPr>
                            <w:r>
                              <w:rPr/>
                              <w:drawing>
                                <wp:inline distT="0" distB="0" distL="0" distR="0">
                                  <wp:extent cx="4942840" cy="3871595"/>
                                  <wp:effectExtent l="0" t="0" r="0" b="0"/>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1"/>
                                          <a:stretch>
                                            <a:fillRect/>
                                          </a:stretch>
                                        </pic:blipFill>
                                        <pic:spPr bwMode="auto">
                                          <a:xfrm>
                                            <a:off x="0" y="0"/>
                                            <a:ext cx="4942840" cy="3871595"/>
                                          </a:xfrm>
                                          <a:prstGeom prst="rect">
                                            <a:avLst/>
                                          </a:prstGeom>
                                        </pic:spPr>
                                      </pic:pic>
                                    </a:graphicData>
                                  </a:graphic>
                                </wp:inline>
                              </w:drawing>
                            </w:r>
                            <w:r>
                              <w:rPr>
                                <w:i w:val="false"/>
                                <w:iCs w:val="false"/>
                                <w:color w:val="000000"/>
                                <w:sz w:val="24"/>
                                <w:szCs w:val="24"/>
                              </w:rPr>
                              <w:t xml:space="preserve">Figure </w:t>
                            </w:r>
                            <w:r>
                              <w:rPr>
                                <w:i w:val="false"/>
                                <w:iCs w:val="false"/>
                                <w:color w:val="000000"/>
                                <w:sz w:val="24"/>
                                <w:szCs w:val="24"/>
                              </w:rPr>
                              <w:fldChar w:fldCharType="begin"/>
                            </w:r>
                            <w:r>
                              <w:rPr>
                                <w:sz w:val="24"/>
                                <w:i w:val="false"/>
                                <w:szCs w:val="24"/>
                                <w:iCs w:val="false"/>
                                <w:color w:val="000000"/>
                              </w:rPr>
                              <w:instrText xml:space="preserve"> SEQ Figure \* ARABIC </w:instrText>
                            </w:r>
                            <w:r>
                              <w:rPr>
                                <w:sz w:val="24"/>
                                <w:i w:val="false"/>
                                <w:szCs w:val="24"/>
                                <w:iCs w:val="false"/>
                                <w:color w:val="000000"/>
                              </w:rPr>
                              <w:fldChar w:fldCharType="separate"/>
                            </w:r>
                            <w:r>
                              <w:rPr>
                                <w:sz w:val="24"/>
                                <w:i w:val="false"/>
                                <w:szCs w:val="24"/>
                                <w:iCs w:val="false"/>
                                <w:color w:val="000000"/>
                              </w:rPr>
                              <w:t>5</w:t>
                            </w:r>
                            <w:r>
                              <w:rPr>
                                <w:sz w:val="24"/>
                                <w:i w:val="false"/>
                                <w:szCs w:val="24"/>
                                <w:iCs w:val="false"/>
                                <w:color w:val="000000"/>
                              </w:rPr>
                              <w:fldChar w:fldCharType="end"/>
                            </w:r>
                            <w:r>
                              <w:rPr>
                                <w:i w:val="false"/>
                                <w:iCs w:val="false"/>
                                <w:color w:val="000000"/>
                                <w:sz w:val="24"/>
                                <w:szCs w:val="24"/>
                              </w:rPr>
                              <w:t>: Design Science Research Methodology for this Dissertation</w:t>
                            </w:r>
                          </w:p>
                        </w:txbxContent>
                      </wps:txbx>
                      <wps:bodyPr lIns="18360" rIns="18360" tIns="18360" bIns="18360" anchor="t">
                        <a:noAutofit/>
                      </wps:bodyPr>
                    </wps:wsp>
                  </a:graphicData>
                </a:graphic>
              </wp:anchor>
            </w:drawing>
          </mc:Choice>
          <mc:Fallback>
            <w:pict>
              <v:rect id="shape_0" ID="Frame1" path="m0,0l-2147483645,0l-2147483645,-2147483646l0,-2147483646xe" fillcolor="white" stroked="f" o:allowincell="f" style="position:absolute;margin-left:43.65pt;margin-top:0.05pt;width:380.65pt;height:312.55pt;mso-wrap-style:square;v-text-anchor:top;mso-position-horizontal:center">
                <v:fill o:detectmouseclick="t" type="solid" color2="black"/>
                <v:stroke color="#3465a4" joinstyle="round" endcap="flat"/>
                <v:textbox>
                  <w:txbxContent>
                    <w:p>
                      <w:pPr>
                        <w:pStyle w:val="Figure"/>
                        <w:spacing w:before="0" w:after="200"/>
                        <w:jc w:val="center"/>
                        <w:rPr/>
                      </w:pPr>
                      <w:r>
                        <w:rPr/>
                        <w:drawing>
                          <wp:inline distT="0" distB="0" distL="0" distR="0">
                            <wp:extent cx="4942840" cy="3871595"/>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2"/>
                                    <a:stretch>
                                      <a:fillRect/>
                                    </a:stretch>
                                  </pic:blipFill>
                                  <pic:spPr bwMode="auto">
                                    <a:xfrm>
                                      <a:off x="0" y="0"/>
                                      <a:ext cx="4942840" cy="3871595"/>
                                    </a:xfrm>
                                    <a:prstGeom prst="rect">
                                      <a:avLst/>
                                    </a:prstGeom>
                                  </pic:spPr>
                                </pic:pic>
                              </a:graphicData>
                            </a:graphic>
                          </wp:inline>
                        </w:drawing>
                      </w:r>
                      <w:r>
                        <w:rPr>
                          <w:i w:val="false"/>
                          <w:iCs w:val="false"/>
                          <w:color w:val="000000"/>
                          <w:sz w:val="24"/>
                          <w:szCs w:val="24"/>
                        </w:rPr>
                        <w:t xml:space="preserve">Figure </w:t>
                      </w:r>
                      <w:r>
                        <w:rPr>
                          <w:i w:val="false"/>
                          <w:iCs w:val="false"/>
                          <w:color w:val="000000"/>
                          <w:sz w:val="24"/>
                          <w:szCs w:val="24"/>
                        </w:rPr>
                        <w:fldChar w:fldCharType="begin"/>
                      </w:r>
                      <w:r>
                        <w:rPr>
                          <w:sz w:val="24"/>
                          <w:i w:val="false"/>
                          <w:szCs w:val="24"/>
                          <w:iCs w:val="false"/>
                          <w:color w:val="000000"/>
                        </w:rPr>
                        <w:instrText xml:space="preserve"> SEQ Figure \* ARABIC </w:instrText>
                      </w:r>
                      <w:r>
                        <w:rPr>
                          <w:sz w:val="24"/>
                          <w:i w:val="false"/>
                          <w:szCs w:val="24"/>
                          <w:iCs w:val="false"/>
                          <w:color w:val="000000"/>
                        </w:rPr>
                        <w:fldChar w:fldCharType="separate"/>
                      </w:r>
                      <w:r>
                        <w:rPr>
                          <w:sz w:val="24"/>
                          <w:i w:val="false"/>
                          <w:szCs w:val="24"/>
                          <w:iCs w:val="false"/>
                          <w:color w:val="000000"/>
                        </w:rPr>
                        <w:t>5</w:t>
                      </w:r>
                      <w:r>
                        <w:rPr>
                          <w:sz w:val="24"/>
                          <w:i w:val="false"/>
                          <w:szCs w:val="24"/>
                          <w:iCs w:val="false"/>
                          <w:color w:val="000000"/>
                        </w:rPr>
                        <w:fldChar w:fldCharType="end"/>
                      </w:r>
                      <w:r>
                        <w:rPr>
                          <w:i w:val="false"/>
                          <w:iCs w:val="false"/>
                          <w:color w:val="000000"/>
                          <w:sz w:val="24"/>
                          <w:szCs w:val="24"/>
                        </w:rPr>
                        <w:t>: Design Science Research Methodology for this Dissertation</w:t>
                      </w:r>
                    </w:p>
                  </w:txbxContent>
                </v:textbox>
                <w10:wrap type="square" side="largest"/>
              </v:rect>
            </w:pict>
          </mc:Fallback>
        </mc:AlternateContent>
      </w:r>
      <w:r>
        <w:rPr/>
        <w:t>n</w:t>
      </w:r>
    </w:p>
    <w:p>
      <w:pPr>
        <w:pStyle w:val="Normal"/>
        <w:rPr>
          <w:sz w:val="24"/>
          <w:szCs w:val="24"/>
        </w:rPr>
      </w:pPr>
      <w:r>
        <w:rPr/>
        <w:tab/>
      </w:r>
      <w:r>
        <w:rPr>
          <w:sz w:val="24"/>
          <w:szCs w:val="24"/>
        </w:rPr>
        <w:t xml:space="preserve">In </w:t>
      </w:r>
      <w:r>
        <w:rPr>
          <w:i/>
          <w:iCs/>
          <w:sz w:val="24"/>
          <w:szCs w:val="24"/>
        </w:rPr>
        <w:t>What Design Science Is Not (2008)</w:t>
      </w:r>
      <w:r>
        <w:rPr>
          <w:sz w:val="24"/>
          <w:szCs w:val="24"/>
        </w:rPr>
        <w:t xml:space="preserve">, Baskerville states that one view of design science is to be generative. That is, design science leads to the generation of artifacts that then influence the formulation of a theory </w:t>
      </w:r>
      <w:r>
        <w:rPr>
          <w:sz w:val="24"/>
          <w:szCs w:val="24"/>
          <w:highlight w:val="yellow"/>
        </w:rPr>
        <w:t>[REF HERE]</w:t>
      </w:r>
      <w:r>
        <w:rPr>
          <w:sz w:val="24"/>
          <w:szCs w:val="24"/>
        </w:rPr>
        <w:t>.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monitoring. It shall also explain how the results of this study influenced the design of the proof-of-concept system.</w:t>
      </w:r>
    </w:p>
    <w:p>
      <w:pPr>
        <w:pStyle w:val="Normal"/>
        <w:rPr>
          <w:sz w:val="24"/>
          <w:szCs w:val="24"/>
        </w:rPr>
      </w:pPr>
      <w:r>
        <w:rPr>
          <w:sz w:val="24"/>
          <w:szCs w:val="24"/>
        </w:rPr>
        <w:tab/>
        <w:t>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pPr>
        <w:pStyle w:val="Heading2"/>
        <w:rPr/>
      </w:pPr>
      <w:bookmarkStart w:id="67" w:name="__RefHeading___Toc2340_401063098"/>
      <w:bookmarkStart w:id="68" w:name="_Toc217395615"/>
      <w:bookmarkStart w:id="69" w:name="_Toc217378805"/>
      <w:bookmarkEnd w:id="67"/>
      <w:r>
        <w:rPr/>
        <w:t>Limitations of this Research</w:t>
      </w:r>
      <w:bookmarkEnd w:id="68"/>
      <w:bookmarkEnd w:id="69"/>
    </w:p>
    <w:p>
      <w:pPr>
        <w:pStyle w:val="Normal"/>
        <w:ind w:firstLine="720"/>
        <w:rPr>
          <w:sz w:val="24"/>
          <w:szCs w:val="24"/>
        </w:rPr>
      </w:pPr>
      <w:r>
        <w:rPr>
          <w:sz w:val="24"/>
          <w:szCs w:val="24"/>
        </w:rPr>
        <w:t xml:space="preserve">The scope of work proposed in this dissertation is limited to the objectives outlined in the </w:t>
      </w:r>
      <w:r>
        <w:rPr>
          <w:i/>
          <w:iCs/>
          <w:sz w:val="24"/>
          <w:szCs w:val="24"/>
        </w:rPr>
        <w:fldChar w:fldCharType="begin"/>
      </w:r>
      <w:r>
        <w:rPr>
          <w:sz w:val="24"/>
          <w:i/>
          <w:szCs w:val="24"/>
          <w:iCs/>
        </w:rPr>
        <w:instrText xml:space="preserve"> REF _Ref217391036 \h </w:instrText>
      </w:r>
      <w:r>
        <w:rPr>
          <w:sz w:val="24"/>
          <w:i/>
          <w:szCs w:val="24"/>
          <w:iCs/>
        </w:rPr>
        <w:fldChar w:fldCharType="separate"/>
      </w:r>
      <w:r>
        <w:rPr>
          <w:sz w:val="24"/>
          <w:i/>
          <w:szCs w:val="24"/>
          <w:iCs/>
        </w:rPr>
        <w:t>Error: Reference source not found</w:t>
      </w:r>
      <w:r>
        <w:rPr>
          <w:sz w:val="24"/>
          <w:i/>
          <w:szCs w:val="24"/>
          <w:iCs/>
        </w:rPr>
        <w:fldChar w:fldCharType="end"/>
      </w:r>
      <w:r>
        <w:rPr>
          <w:sz w:val="24"/>
          <w:szCs w:val="24"/>
        </w:rPr>
        <w:t xml:space="preserve"> section. Specifically, it shall ultimately evaluate how well the developed prototype functions as a </w:t>
      </w:r>
      <w:r>
        <w:rPr>
          <w:i/>
          <w:iCs/>
          <w:sz w:val="24"/>
          <w:szCs w:val="24"/>
        </w:rPr>
        <w:t>minimal viable product</w:t>
      </w:r>
      <w:r>
        <w:rPr>
          <w:sz w:val="24"/>
          <w:szCs w:val="24"/>
        </w:rPr>
        <w:t xml:space="preserve"> (MVP) for energy market analysis.</w:t>
      </w:r>
    </w:p>
    <w:p>
      <w:pPr>
        <w:pStyle w:val="Normal"/>
        <w:ind w:firstLine="720"/>
        <w:rPr>
          <w:sz w:val="24"/>
          <w:szCs w:val="24"/>
        </w:rPr>
      </w:pPr>
      <w:r>
        <w:rPr>
          <w:sz w:val="24"/>
          <w:szCs w:val="24"/>
        </w:rPr>
        <w:t xml:space="preserve">The proof-of-concept system discussed in this dissertation </w:t>
      </w:r>
      <w:r>
        <w:rPr>
          <w:b/>
          <w:bCs/>
          <w:sz w:val="24"/>
          <w:szCs w:val="24"/>
        </w:rPr>
        <w:t>is not intended to be a production-ready system</w:t>
      </w:r>
      <w:r>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pPr>
        <w:sectPr>
          <w:headerReference w:type="default" r:id="rId13"/>
          <w:headerReference w:type="first" r:id="rId14"/>
          <w:footnotePr>
            <w:numFmt w:val="decimal"/>
            <w:numRestart w:val="eachSect"/>
          </w:footnotePr>
          <w:type w:val="nextPage"/>
          <w:pgSz w:w="12240" w:h="15840"/>
          <w:pgMar w:left="1440" w:right="1440" w:gutter="0" w:header="720" w:top="1440" w:footer="0" w:bottom="1440"/>
          <w:pgNumType w:start="1" w:fmt="decimal"/>
          <w:formProt w:val="false"/>
          <w:textDirection w:val="lrTb"/>
          <w:docGrid w:type="default" w:linePitch="360" w:charSpace="4096"/>
        </w:sectPr>
        <w:pStyle w:val="Normal"/>
        <w:ind w:firstLine="720"/>
        <w:rPr>
          <w:sz w:val="24"/>
          <w:szCs w:val="24"/>
        </w:rPr>
      </w:pPr>
      <w:r>
        <w:rPr>
          <w:sz w:val="24"/>
          <w:szCs w:val="24"/>
        </w:rPr>
        <w:t>Further system optimization, bug fixes, scalability concerns, and use in live market monitoring scenarios are all considered “out of scope” for this dissertation and are reserved for future work. The researcher, however, may pursue future enhancements to this system as separate research endeavors.</w:t>
      </w:r>
    </w:p>
    <w:p>
      <w:pPr>
        <w:pStyle w:val="Heading1"/>
        <w:spacing w:before="280" w:after="0"/>
        <w:rPr/>
      </w:pPr>
      <w:bookmarkStart w:id="70" w:name="__RefHeading___Toc2342_401063098"/>
      <w:bookmarkStart w:id="71" w:name="_Toc217395616"/>
      <w:bookmarkEnd w:id="70"/>
      <w:r>
        <w:rPr/>
        <w:t>Chapter 2: Literature Review</w:t>
      </w:r>
      <w:bookmarkEnd w:id="71"/>
    </w:p>
    <w:p>
      <w:pPr>
        <w:pStyle w:val="Normal"/>
        <w:spacing w:before="0" w:after="160"/>
        <w:ind w:firstLine="720"/>
        <w:rPr>
          <w:sz w:val="24"/>
          <w:szCs w:val="24"/>
        </w:rPr>
      </w:pPr>
      <w:r>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pPr>
        <w:pStyle w:val="ListParagraph"/>
        <w:numPr>
          <w:ilvl w:val="0"/>
          <w:numId w:val="5"/>
        </w:numPr>
        <w:spacing w:before="0" w:after="160"/>
        <w:contextualSpacing/>
        <w:rPr>
          <w:sz w:val="24"/>
          <w:szCs w:val="24"/>
        </w:rPr>
      </w:pPr>
      <w:r>
        <w:rPr>
          <w:sz w:val="24"/>
          <w:szCs w:val="24"/>
        </w:rPr>
        <w:t>Development of technology surrounding domain-specific language engineering</w:t>
      </w:r>
    </w:p>
    <w:p>
      <w:pPr>
        <w:pStyle w:val="ListParagraph"/>
        <w:numPr>
          <w:ilvl w:val="0"/>
          <w:numId w:val="5"/>
        </w:numPr>
        <w:spacing w:before="0" w:after="160"/>
        <w:contextualSpacing/>
        <w:rPr>
          <w:sz w:val="24"/>
          <w:szCs w:val="24"/>
        </w:rPr>
      </w:pPr>
      <w:r>
        <w:rPr>
          <w:sz w:val="24"/>
          <w:szCs w:val="24"/>
        </w:rPr>
        <w:t>An aging workforce in the electric utilities industry that is reaching the tipping point for replacement</w:t>
      </w:r>
    </w:p>
    <w:p>
      <w:pPr>
        <w:pStyle w:val="ListParagraph"/>
        <w:numPr>
          <w:ilvl w:val="0"/>
          <w:numId w:val="5"/>
        </w:numPr>
        <w:spacing w:before="0" w:after="160"/>
        <w:contextualSpacing/>
        <w:rPr>
          <w:sz w:val="24"/>
          <w:szCs w:val="24"/>
        </w:rPr>
      </w:pPr>
      <w:r>
        <w:rPr>
          <w:sz w:val="24"/>
          <w:szCs w:val="24"/>
        </w:rPr>
        <w:t>A lack of existing research on data and information quality within the market monitoring sphere</w:t>
      </w:r>
    </w:p>
    <w:p>
      <w:pPr>
        <w:pStyle w:val="ListParagraph"/>
        <w:numPr>
          <w:ilvl w:val="0"/>
          <w:numId w:val="5"/>
        </w:numPr>
        <w:spacing w:before="0" w:after="160"/>
        <w:contextualSpacing/>
        <w:rPr>
          <w:sz w:val="24"/>
          <w:szCs w:val="24"/>
        </w:rPr>
      </w:pPr>
      <w:r>
        <w:rPr>
          <w:sz w:val="24"/>
          <w:szCs w:val="24"/>
        </w:rPr>
        <w:t>A disruption of traditional energy market design due to advances in technology and the energy regulatory landscape</w:t>
      </w:r>
    </w:p>
    <w:p>
      <w:pPr>
        <w:pStyle w:val="Normal"/>
        <w:spacing w:before="0"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rStyle w:val="FootnoteReference"/>
          <w:sz w:val="24"/>
          <w:szCs w:val="24"/>
        </w:rPr>
        <w:footnoteReference w:id="25"/>
      </w:r>
      <w:r>
        <w:rPr>
          <w:sz w:val="24"/>
          <w:szCs w:val="24"/>
        </w:rPr>
        <w:t>, then introduce specific possible sources of data that enable the development of a domain-specific language for market monitors.</w:t>
      </w:r>
    </w:p>
    <w:p>
      <w:pPr>
        <w:pStyle w:val="Heading2"/>
        <w:rPr/>
      </w:pPr>
      <w:bookmarkStart w:id="72" w:name="__RefHeading___Toc2344_401063098"/>
      <w:bookmarkEnd w:id="72"/>
      <w:r>
        <w:rPr/>
        <w:t>An Aging Workforce</w:t>
      </w:r>
    </w:p>
    <w:p>
      <w:pPr>
        <w:pStyle w:val="Normal"/>
        <w:spacing w:lineRule="auto" w:line="480" w:before="0" w:after="160"/>
        <w:rPr/>
      </w:pPr>
      <w:r>
        <w:rPr/>
        <w:tab/>
      </w:r>
      <w:r>
        <w:rPr>
          <w:sz w:val="24"/>
          <w:szCs w:val="24"/>
        </w:rPr>
        <w:t xml:space="preserve">Many technical industries are experiencing the problem of an aging workforce; trained professionals are reaching retirement age at a rate faster than that of replacement. A 2006 study showed that the largest staff segment, of a surveyed group of energy professionals, is at (or beyond) retirement age. This same study cited “retirements, restructuring, and technology changes” as being the primary drivers of staff leaving the energy professional </w:t>
      </w:r>
      <w:r>
        <w:rPr>
          <w:rFonts w:eastAsia="Calibri" w:cs="" w:cstheme="minorBidi" w:eastAsiaTheme="minorHAnsi"/>
          <w:sz w:val="24"/>
          <w:szCs w:val="24"/>
          <w:shd w:fill="FFFF00" w:val="clear"/>
          <w14:ligatures w14:val="standardContextual"/>
        </w:rPr>
        <w:t>[REF HERE]</w:t>
      </w:r>
      <w:r>
        <w:rPr>
          <w:sz w:val="24"/>
          <w:szCs w:val="24"/>
        </w:rPr>
        <w:t>. Given the age of this study, many industries are currently going through a period of training new career professionals. Such a problem impacts market monitoring as well.</w:t>
      </w:r>
    </w:p>
    <w:p>
      <w:pPr>
        <w:pStyle w:val="Normal"/>
        <w:spacing w:lineRule="auto" w:line="480" w:before="0" w:after="160"/>
        <w:rPr>
          <w:sz w:val="24"/>
          <w:szCs w:val="24"/>
        </w:rPr>
      </w:pPr>
      <w:r>
        <w:rPr>
          <w:sz w:val="24"/>
          <w:szCs w:val="24"/>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Lesieutre, and Bartholomew, all operational market monitoring groups in the US had fewer than 20 FTEs (each) in employ by 2004 </w:t>
      </w:r>
      <w:r>
        <w:rPr>
          <w:rFonts w:eastAsia="Calibri" w:cs="" w:cstheme="minorBidi" w:eastAsiaTheme="minorHAnsi"/>
          <w:sz w:val="24"/>
          <w:szCs w:val="24"/>
          <w:shd w:fill="FFFF00" w:val="clear"/>
          <w14:ligatures w14:val="standardContextual"/>
        </w:rPr>
        <w:t>[REF HERE]</w:t>
      </w:r>
      <w:r>
        <w:rPr>
          <w:sz w:val="24"/>
          <w:szCs w:val="24"/>
        </w:rPr>
        <w:t>.</w:t>
      </w:r>
    </w:p>
    <w:p>
      <w:pPr>
        <w:pStyle w:val="Normal"/>
        <w:spacing w:lineRule="auto" w:line="480" w:before="0" w:after="160"/>
        <w:rPr>
          <w:sz w:val="24"/>
          <w:szCs w:val="24"/>
        </w:rPr>
      </w:pPr>
      <w:r>
        <w:rPr>
          <w:sz w:val="24"/>
          <w:szCs w:val="24"/>
        </w:rPr>
        <w:tab/>
        <w:t>While these numbers appear low in comparison to other organizations with energy industry staff</w:t>
      </w:r>
      <w:r>
        <w:rPr>
          <w:rStyle w:val="FootnoteReference"/>
          <w:sz w:val="24"/>
          <w:szCs w:val="24"/>
        </w:rPr>
        <w:footnoteReference w:id="26"/>
      </w:r>
      <w:r>
        <w:rPr>
          <w:sz w:val="24"/>
          <w:szCs w:val="24"/>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retention” </w:t>
      </w:r>
      <w:r>
        <w:rPr>
          <w:rFonts w:eastAsia="Calibri" w:cs="" w:cstheme="minorBidi" w:eastAsiaTheme="minorHAnsi"/>
          <w:sz w:val="24"/>
          <w:szCs w:val="24"/>
          <w:shd w:fill="FFFF00" w:val="clear"/>
          <w14:ligatures w14:val="standardContextual"/>
        </w:rPr>
        <w:t>[REF HERE]</w:t>
      </w:r>
      <w:r>
        <w:rPr>
          <w:sz w:val="24"/>
          <w:szCs w:val="24"/>
        </w:rPr>
        <w:t>, including systems (supported by an IT organization) that capture necessary process knowledge.</w:t>
      </w:r>
    </w:p>
    <w:p>
      <w:pPr>
        <w:pStyle w:val="Heading2"/>
        <w:rPr/>
      </w:pPr>
      <w:bookmarkStart w:id="73" w:name="__RefHeading___Toc2346_401063098"/>
      <w:bookmarkEnd w:id="73"/>
      <w:r>
        <w:rPr/>
        <w:t>Application to Market Monitoring Research</w:t>
      </w:r>
    </w:p>
    <w:p>
      <w:pPr>
        <w:pStyle w:val="Normal"/>
        <w:rPr/>
      </w:pPr>
      <w:r>
        <w:rPr/>
        <w:tab/>
      </w:r>
      <w:r>
        <w:rPr>
          <w:sz w:val="24"/>
          <w:szCs w:val="24"/>
        </w:rPr>
        <w:t>Domain-specific programming languages (DSLs) are powerful interfaces that subject-matter experts (SME), in any particular domain of expertise, to perform tasks similar to a proper software developer that builds applications in general-purpose languages (GPL). A well-defined DSL can save many hours of development time for specific groups that have IT oriented needs. DSLs also have the ability to lower the “barriers to entry” for SMEs that wish to write applications to handle work within their purview. With support from a DSL,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p>
    <w:p>
      <w:pPr>
        <w:pStyle w:val="Normal"/>
        <w:rPr>
          <w:sz w:val="24"/>
          <w:szCs w:val="24"/>
        </w:rPr>
      </w:pPr>
      <w:r>
        <w:rPr>
          <w:sz w:val="24"/>
          <w:szCs w:val="24"/>
        </w:rPr>
        <w:tab/>
        <w:t>Following the theme of how DSLs are able to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pPr>
        <w:pStyle w:val="Normal"/>
        <w:rPr>
          <w:sz w:val="24"/>
          <w:szCs w:val="24"/>
        </w:rPr>
      </w:pPr>
      <w:r>
        <w:rPr>
          <w:sz w:val="24"/>
          <w:szCs w:val="24"/>
        </w:rPr>
        <w:t>An Analysis of Domain-Specific Languages</w:t>
      </w:r>
    </w:p>
    <w:p>
      <w:pPr>
        <w:pStyle w:val="Normal"/>
        <w:rPr>
          <w:sz w:val="24"/>
          <w:szCs w:val="24"/>
        </w:rPr>
      </w:pPr>
      <w:r>
        <w:rPr>
          <w:sz w:val="24"/>
          <w:szCs w:val="24"/>
        </w:rPr>
        <w:tab/>
        <w:t>Consider programming languages on a spectrum from general purpose languages (GPLs) at one end to domain-specific languages (DSLs) on the opposite end [REF HERE].</w:t>
      </w:r>
      <w:r>
        <w:rPr>
          <w:rStyle w:val="FootnoteReference"/>
          <w:sz w:val="24"/>
          <w:szCs w:val="24"/>
        </w:rPr>
        <w:footnoteReference w:id="27"/>
      </w:r>
      <w:r>
        <w:rPr>
          <w:sz w:val="24"/>
          <w:szCs w:val="24"/>
        </w:rPr>
        <w:t xml:space="preserve"> DSLs are languages that are limited in purpose, scope, and grammar. Rather than supporting a programming language that can be utilized for constructing almost anything (as GPLs do), DSLs are created to solve issues within a single problem domain.</w:t>
      </w:r>
    </w:p>
    <w:p>
      <w:pPr>
        <w:pStyle w:val="Normal"/>
        <w:rPr/>
      </w:pPr>
      <w:r>
        <w:rPr/>
      </w:r>
    </w:p>
    <w:tbl>
      <w:tblPr>
        <w:tblW w:w="9390" w:type="dxa"/>
        <w:jc w:val="left"/>
        <w:tblInd w:w="25" w:type="dxa"/>
        <w:tblLayout w:type="fixed"/>
        <w:tblCellMar>
          <w:top w:w="55" w:type="dxa"/>
          <w:left w:w="55" w:type="dxa"/>
          <w:bottom w:w="55" w:type="dxa"/>
          <w:right w:w="55" w:type="dxa"/>
        </w:tblCellMar>
      </w:tblPr>
      <w:tblGrid>
        <w:gridCol w:w="2247"/>
        <w:gridCol w:w="2703"/>
        <w:gridCol w:w="2884"/>
        <w:gridCol w:w="1555"/>
      </w:tblGrid>
      <w:tr>
        <w:trPr/>
        <w:tc>
          <w:tcPr>
            <w:tcW w:w="2247" w:type="dxa"/>
            <w:tcBorders>
              <w:top w:val="single" w:sz="4" w:space="0" w:color="000000"/>
              <w:left w:val="single" w:sz="4" w:space="0" w:color="000000"/>
              <w:bottom w:val="single" w:sz="4" w:space="0" w:color="000000"/>
            </w:tcBorders>
          </w:tcPr>
          <w:p>
            <w:pPr>
              <w:pStyle w:val="TableContents"/>
              <w:keepNext w:val="true"/>
              <w:rPr>
                <w:sz w:val="24"/>
                <w:szCs w:val="24"/>
              </w:rPr>
            </w:pPr>
            <w:r>
              <w:rPr>
                <w:b/>
                <w:bCs/>
                <w:sz w:val="24"/>
                <w:szCs w:val="24"/>
              </w:rPr>
              <w:t>Language</w:t>
            </w:r>
          </w:p>
        </w:tc>
        <w:tc>
          <w:tcPr>
            <w:tcW w:w="2703" w:type="dxa"/>
            <w:tcBorders>
              <w:top w:val="single" w:sz="4" w:space="0" w:color="000000"/>
              <w:left w:val="single" w:sz="4" w:space="0" w:color="000000"/>
              <w:bottom w:val="single" w:sz="4" w:space="0" w:color="000000"/>
            </w:tcBorders>
          </w:tcPr>
          <w:p>
            <w:pPr>
              <w:pStyle w:val="TableContents"/>
              <w:rPr>
                <w:sz w:val="24"/>
                <w:szCs w:val="24"/>
              </w:rPr>
            </w:pPr>
            <w:r>
              <w:rPr>
                <w:b/>
                <w:bCs/>
                <w:sz w:val="24"/>
                <w:szCs w:val="24"/>
              </w:rPr>
              <w:t>Supporting Enterprise</w:t>
            </w:r>
          </w:p>
        </w:tc>
        <w:tc>
          <w:tcPr>
            <w:tcW w:w="2884" w:type="dxa"/>
            <w:tcBorders>
              <w:top w:val="single" w:sz="4" w:space="0" w:color="000000"/>
              <w:left w:val="single" w:sz="4" w:space="0" w:color="000000"/>
              <w:bottom w:val="single" w:sz="4" w:space="0" w:color="000000"/>
            </w:tcBorders>
          </w:tcPr>
          <w:p>
            <w:pPr>
              <w:pStyle w:val="TableContents"/>
              <w:rPr>
                <w:sz w:val="24"/>
                <w:szCs w:val="24"/>
              </w:rPr>
            </w:pPr>
            <w:r>
              <w:rPr>
                <w:b/>
                <w:bCs/>
                <w:sz w:val="24"/>
                <w:szCs w:val="24"/>
              </w:rPr>
              <w:t>Problem Domain</w:t>
            </w:r>
          </w:p>
        </w:tc>
        <w:tc>
          <w:tcPr>
            <w:tcW w:w="1555"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b/>
                <w:bCs/>
                <w:sz w:val="24"/>
                <w:szCs w:val="24"/>
              </w:rPr>
              <w:t>Paradigm</w:t>
            </w:r>
          </w:p>
        </w:tc>
      </w:tr>
      <w:tr>
        <w:trPr/>
        <w:tc>
          <w:tcPr>
            <w:tcW w:w="2247" w:type="dxa"/>
            <w:tcBorders>
              <w:left w:val="single" w:sz="4" w:space="0" w:color="000000"/>
              <w:bottom w:val="single" w:sz="4" w:space="0" w:color="000000"/>
            </w:tcBorders>
          </w:tcPr>
          <w:p>
            <w:pPr>
              <w:pStyle w:val="TableContents"/>
              <w:keepNext w:val="true"/>
              <w:rPr>
                <w:sz w:val="24"/>
                <w:szCs w:val="24"/>
              </w:rPr>
            </w:pPr>
            <w:r>
              <w:rPr>
                <w:sz w:val="24"/>
                <w:szCs w:val="24"/>
              </w:rPr>
              <w:t>Structure Query Language (SQL)</w:t>
            </w:r>
          </w:p>
        </w:tc>
        <w:tc>
          <w:tcPr>
            <w:tcW w:w="2703" w:type="dxa"/>
            <w:tcBorders>
              <w:left w:val="single" w:sz="4" w:space="0" w:color="000000"/>
              <w:bottom w:val="single" w:sz="4" w:space="0" w:color="000000"/>
            </w:tcBorders>
          </w:tcPr>
          <w:p>
            <w:pPr>
              <w:pStyle w:val="TableContents"/>
              <w:rPr>
                <w:sz w:val="24"/>
                <w:szCs w:val="24"/>
              </w:rPr>
            </w:pPr>
            <w:r>
              <w:rPr>
                <w:sz w:val="24"/>
                <w:szCs w:val="24"/>
              </w:rPr>
              <w:t>Various</w:t>
            </w:r>
          </w:p>
        </w:tc>
        <w:tc>
          <w:tcPr>
            <w:tcW w:w="2884" w:type="dxa"/>
            <w:tcBorders>
              <w:left w:val="single" w:sz="4" w:space="0" w:color="000000"/>
              <w:bottom w:val="single" w:sz="4" w:space="0" w:color="000000"/>
            </w:tcBorders>
          </w:tcPr>
          <w:p>
            <w:pPr>
              <w:pStyle w:val="TableContents"/>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Declarative</w:t>
            </w:r>
          </w:p>
        </w:tc>
      </w:tr>
      <w:tr>
        <w:trPr/>
        <w:tc>
          <w:tcPr>
            <w:tcW w:w="2247" w:type="dxa"/>
            <w:tcBorders>
              <w:left w:val="single" w:sz="4" w:space="0" w:color="000000"/>
              <w:bottom w:val="single" w:sz="4" w:space="0" w:color="000000"/>
            </w:tcBorders>
          </w:tcPr>
          <w:p>
            <w:pPr>
              <w:pStyle w:val="TableContents"/>
              <w:keepNext w:val="true"/>
              <w:rPr>
                <w:sz w:val="24"/>
                <w:szCs w:val="24"/>
              </w:rPr>
            </w:pPr>
            <w:r>
              <w:rPr>
                <w:sz w:val="24"/>
                <w:szCs w:val="24"/>
              </w:rPr>
              <w:t>Terraform (HCL)</w:t>
            </w:r>
          </w:p>
        </w:tc>
        <w:tc>
          <w:tcPr>
            <w:tcW w:w="2703" w:type="dxa"/>
            <w:tcBorders>
              <w:left w:val="single" w:sz="4" w:space="0" w:color="000000"/>
              <w:bottom w:val="single" w:sz="4" w:space="0" w:color="000000"/>
            </w:tcBorders>
          </w:tcPr>
          <w:p>
            <w:pPr>
              <w:pStyle w:val="TableContents"/>
              <w:rPr>
                <w:sz w:val="24"/>
                <w:szCs w:val="24"/>
              </w:rPr>
            </w:pPr>
            <w:r>
              <w:rPr>
                <w:sz w:val="24"/>
                <w:szCs w:val="24"/>
              </w:rPr>
              <w:t>Hashicorp</w:t>
            </w:r>
          </w:p>
        </w:tc>
        <w:tc>
          <w:tcPr>
            <w:tcW w:w="2884" w:type="dxa"/>
            <w:tcBorders>
              <w:left w:val="single" w:sz="4" w:space="0" w:color="000000"/>
              <w:bottom w:val="single" w:sz="4" w:space="0" w:color="000000"/>
            </w:tcBorders>
          </w:tcPr>
          <w:p>
            <w:pPr>
              <w:pStyle w:val="TableContents"/>
              <w:rPr>
                <w:sz w:val="24"/>
                <w:szCs w:val="24"/>
              </w:rPr>
            </w:pPr>
            <w:r>
              <w:rPr>
                <w:sz w:val="24"/>
                <w:szCs w:val="24"/>
              </w:rPr>
              <w:t>Cloud Infrastructure</w:t>
            </w:r>
          </w:p>
        </w:tc>
        <w:tc>
          <w:tcPr>
            <w:tcW w:w="1555"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Declarative</w:t>
            </w:r>
          </w:p>
        </w:tc>
      </w:tr>
      <w:tr>
        <w:trPr/>
        <w:tc>
          <w:tcPr>
            <w:tcW w:w="2247" w:type="dxa"/>
            <w:tcBorders>
              <w:left w:val="single" w:sz="4" w:space="0" w:color="000000"/>
              <w:bottom w:val="single" w:sz="4" w:space="0" w:color="000000"/>
            </w:tcBorders>
          </w:tcPr>
          <w:p>
            <w:pPr>
              <w:pStyle w:val="TableContents"/>
              <w:keepNext w:val="true"/>
              <w:rPr>
                <w:sz w:val="24"/>
                <w:szCs w:val="24"/>
              </w:rPr>
            </w:pPr>
            <w:r>
              <w:rPr>
                <w:sz w:val="24"/>
                <w:szCs w:val="24"/>
              </w:rPr>
              <w:t>Apache Pig</w:t>
            </w:r>
          </w:p>
          <w:p>
            <w:pPr>
              <w:pStyle w:val="TableContents"/>
              <w:rPr>
                <w:sz w:val="24"/>
                <w:szCs w:val="24"/>
              </w:rPr>
            </w:pPr>
            <w:r>
              <w:rPr>
                <w:sz w:val="24"/>
                <w:szCs w:val="24"/>
              </w:rPr>
              <w:t>(“Pig Latin”)</w:t>
            </w:r>
          </w:p>
        </w:tc>
        <w:tc>
          <w:tcPr>
            <w:tcW w:w="2703" w:type="dxa"/>
            <w:tcBorders>
              <w:left w:val="single" w:sz="4" w:space="0" w:color="000000"/>
              <w:bottom w:val="single" w:sz="4" w:space="0" w:color="000000"/>
            </w:tcBorders>
          </w:tcPr>
          <w:p>
            <w:pPr>
              <w:pStyle w:val="TableContents"/>
              <w:rPr>
                <w:sz w:val="24"/>
                <w:szCs w:val="24"/>
              </w:rPr>
            </w:pPr>
            <w:r>
              <w:rPr>
                <w:sz w:val="24"/>
                <w:szCs w:val="24"/>
              </w:rPr>
              <w:t>Yahoo, Apache Software Foundation</w:t>
            </w:r>
          </w:p>
        </w:tc>
        <w:tc>
          <w:tcPr>
            <w:tcW w:w="2884" w:type="dxa"/>
            <w:tcBorders>
              <w:left w:val="single" w:sz="4" w:space="0" w:color="000000"/>
              <w:bottom w:val="single" w:sz="4" w:space="0" w:color="000000"/>
            </w:tcBorders>
          </w:tcPr>
          <w:p>
            <w:pPr>
              <w:pStyle w:val="TableContents"/>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Declarative</w:t>
            </w:r>
          </w:p>
        </w:tc>
      </w:tr>
      <w:tr>
        <w:trPr/>
        <w:tc>
          <w:tcPr>
            <w:tcW w:w="2247" w:type="dxa"/>
            <w:tcBorders>
              <w:left w:val="single" w:sz="4" w:space="0" w:color="000000"/>
              <w:bottom w:val="single" w:sz="4" w:space="0" w:color="000000"/>
            </w:tcBorders>
          </w:tcPr>
          <w:p>
            <w:pPr>
              <w:pStyle w:val="TableContents"/>
              <w:keepNext w:val="true"/>
              <w:rPr>
                <w:sz w:val="24"/>
                <w:szCs w:val="24"/>
              </w:rPr>
            </w:pPr>
            <w:r>
              <w:rPr>
                <w:sz w:val="24"/>
                <w:szCs w:val="24"/>
              </w:rPr>
              <w:t>awk</w:t>
            </w:r>
          </w:p>
        </w:tc>
        <w:tc>
          <w:tcPr>
            <w:tcW w:w="2703" w:type="dxa"/>
            <w:tcBorders>
              <w:left w:val="single" w:sz="4" w:space="0" w:color="000000"/>
              <w:bottom w:val="single" w:sz="4" w:space="0" w:color="000000"/>
            </w:tcBorders>
          </w:tcPr>
          <w:p>
            <w:pPr>
              <w:pStyle w:val="TableContents"/>
              <w:rPr>
                <w:sz w:val="24"/>
                <w:szCs w:val="24"/>
              </w:rPr>
            </w:pPr>
            <w:r>
              <w:rPr>
                <w:sz w:val="24"/>
                <w:szCs w:val="24"/>
              </w:rPr>
              <w:t>Bell Labs (originally)</w:t>
            </w:r>
          </w:p>
        </w:tc>
        <w:tc>
          <w:tcPr>
            <w:tcW w:w="2884" w:type="dxa"/>
            <w:tcBorders>
              <w:left w:val="single" w:sz="4" w:space="0" w:color="000000"/>
              <w:bottom w:val="single" w:sz="4" w:space="0" w:color="000000"/>
            </w:tcBorders>
          </w:tcPr>
          <w:p>
            <w:pPr>
              <w:pStyle w:val="TableContents"/>
              <w:rPr>
                <w:sz w:val="24"/>
                <w:szCs w:val="24"/>
              </w:rPr>
            </w:pPr>
            <w:r>
              <w:rPr>
                <w:sz w:val="24"/>
                <w:szCs w:val="24"/>
              </w:rPr>
              <w:t>Text Processing</w:t>
            </w:r>
          </w:p>
        </w:tc>
        <w:tc>
          <w:tcPr>
            <w:tcW w:w="1555" w:type="dxa"/>
            <w:tcBorders>
              <w:left w:val="single" w:sz="4" w:space="0" w:color="000000"/>
              <w:bottom w:val="single" w:sz="4" w:space="0" w:color="000000"/>
              <w:right w:val="single" w:sz="4" w:space="0" w:color="000000"/>
            </w:tcBorders>
          </w:tcPr>
          <w:p>
            <w:pPr>
              <w:pStyle w:val="TableContents"/>
              <w:rPr>
                <w:sz w:val="24"/>
                <w:szCs w:val="24"/>
              </w:rPr>
            </w:pPr>
            <w:r>
              <w:rPr>
                <w:sz w:val="24"/>
                <w:szCs w:val="24"/>
              </w:rPr>
              <w:t>Procedural</w:t>
            </w:r>
          </w:p>
        </w:tc>
      </w:tr>
    </w:tbl>
    <w:p>
      <w:pPr>
        <w:pStyle w:val="Table"/>
        <w:jc w:val="center"/>
        <w:rPr>
          <w:b w:val="false"/>
          <w:bCs w:val="false"/>
          <w:i w:val="false"/>
          <w:i w:val="false"/>
          <w:iCs w:val="false"/>
          <w:color w:val="000000"/>
          <w:sz w:val="24"/>
          <w:szCs w:val="24"/>
        </w:rPr>
      </w:pPr>
      <w:r>
        <w:rPr>
          <w:b w:val="false"/>
          <w:bCs w:val="false"/>
          <w:i w:val="false"/>
          <w:iCs w:val="false"/>
          <w:color w:val="000000"/>
          <w:sz w:val="24"/>
          <w:szCs w:val="24"/>
        </w:rPr>
        <w:t xml:space="preserve">Table </w:t>
      </w:r>
      <w:r>
        <w:rPr>
          <w:b w:val="false"/>
          <w:bCs w:val="false"/>
          <w:i w:val="false"/>
          <w:iCs w:val="false"/>
          <w:color w:val="000000"/>
          <w:sz w:val="24"/>
          <w:szCs w:val="24"/>
        </w:rPr>
        <w:fldChar w:fldCharType="begin"/>
      </w:r>
      <w:r>
        <w:rPr>
          <w:sz w:val="24"/>
          <w:i w:val="false"/>
          <w:b w:val="false"/>
          <w:szCs w:val="24"/>
          <w:iCs w:val="false"/>
          <w:bCs w:val="false"/>
          <w:color w:val="000000"/>
        </w:rPr>
        <w:instrText xml:space="preserve"> SEQ Table \* ARABIC </w:instrText>
      </w:r>
      <w:r>
        <w:rPr>
          <w:sz w:val="24"/>
          <w:i w:val="false"/>
          <w:b w:val="false"/>
          <w:szCs w:val="24"/>
          <w:iCs w:val="false"/>
          <w:bCs w:val="false"/>
          <w:color w:val="000000"/>
        </w:rPr>
        <w:fldChar w:fldCharType="separate"/>
      </w:r>
      <w:r>
        <w:rPr>
          <w:sz w:val="24"/>
          <w:i w:val="false"/>
          <w:b w:val="false"/>
          <w:szCs w:val="24"/>
          <w:iCs w:val="false"/>
          <w:bCs w:val="false"/>
          <w:color w:val="000000"/>
        </w:rPr>
        <w:t>3</w:t>
      </w:r>
      <w:r>
        <w:rPr>
          <w:sz w:val="24"/>
          <w:i w:val="false"/>
          <w:b w:val="false"/>
          <w:szCs w:val="24"/>
          <w:iCs w:val="false"/>
          <w:bCs w:val="false"/>
          <w:color w:val="000000"/>
        </w:rPr>
        <w:fldChar w:fldCharType="end"/>
      </w:r>
      <w:r>
        <w:rPr>
          <w:b w:val="false"/>
          <w:bCs w:val="false"/>
          <w:i w:val="false"/>
          <w:iCs w:val="false"/>
          <w:color w:val="000000"/>
          <w:sz w:val="24"/>
          <w:szCs w:val="24"/>
        </w:rPr>
        <w:t>: Selection of Well-Known Domain-Specific Languages</w:t>
      </w:r>
    </w:p>
    <w:p>
      <w:pPr>
        <w:pStyle w:val="Normal"/>
        <w:rPr/>
      </w:pPr>
      <w:r>
        <w:rPr/>
      </w:r>
    </w:p>
    <w:p>
      <w:pPr>
        <w:pStyle w:val="Normal"/>
        <w:rPr/>
      </w:pPr>
      <w:r>
        <w:rPr/>
        <w:tab/>
      </w:r>
      <w:r>
        <w:rPr>
          <w:i/>
          <w:iCs/>
          <w:sz w:val="24"/>
          <w:szCs w:val="24"/>
        </w:rPr>
        <w:t xml:space="preserve">Structured Query Language (SQL) </w:t>
      </w:r>
      <w:r>
        <w:rPr>
          <w:sz w:val="24"/>
          <w:szCs w:val="24"/>
        </w:rPr>
        <w:t>[REF HERE] 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p>
    <w:p>
      <w:pPr>
        <w:pStyle w:val="Normal"/>
        <w:rPr>
          <w:sz w:val="24"/>
          <w:szCs w:val="24"/>
        </w:rPr>
      </w:pPr>
      <w:r>
        <w:rPr>
          <w:sz w:val="24"/>
          <w:szCs w:val="24"/>
        </w:rPr>
        <w:tab/>
      </w:r>
      <w:r>
        <w:rPr>
          <w:i/>
          <w:iCs/>
          <w:sz w:val="24"/>
          <w:szCs w:val="24"/>
        </w:rPr>
        <w:t>Terraform (HCL)</w:t>
      </w:r>
      <w:r>
        <w:rPr>
          <w:sz w:val="24"/>
          <w:szCs w:val="24"/>
        </w:rPr>
        <w:t xml:space="preserve"> [</w:t>
      </w:r>
      <w:r>
        <w:rPr>
          <w:rFonts w:eastAsia="Calibri" w:cs="" w:cstheme="minorBidi" w:eastAsiaTheme="minorHAnsi"/>
          <w:sz w:val="24"/>
          <w:szCs w:val="24"/>
          <w:shd w:fill="FFFF00" w:val="clear"/>
          <w14:ligatures w14:val="standardContextual"/>
        </w:rPr>
        <w:t>REF HERE]</w:t>
      </w:r>
      <w:r>
        <w:rPr>
          <w:sz w:val="24"/>
          <w:szCs w:val="24"/>
        </w:rPr>
        <w:t>, a product of Hashicorp Corporation, is yet another example of a domain-specific language that is prevalent among cloud-based companies. Terraform is known as an "infrastructure-as-code" language, used to interact with numerous cloud platform providers (e.g. Amazon Web Services) to quickly deploy, scale, and spin-down cloud resources. Instead of requiring an engineer to use a console environment to configure cloud resources, that same engineer can write a set of scripts that will precisely configure and deploy all of their desired infrastructure at once.</w:t>
      </w:r>
    </w:p>
    <w:p>
      <w:pPr>
        <w:pStyle w:val="Normal"/>
        <w:rPr/>
      </w:pPr>
      <w:r>
        <w:rPr/>
        <w:tab/>
      </w:r>
      <w:r>
        <w:rPr>
          <w:i/>
          <w:iCs/>
          <w:sz w:val="24"/>
          <w:szCs w:val="24"/>
        </w:rPr>
        <w:t>Apache Pig</w:t>
      </w:r>
      <w:r>
        <w:rPr>
          <w:sz w:val="24"/>
          <w:szCs w:val="24"/>
        </w:rPr>
        <w:t xml:space="preserve"> [</w:t>
      </w:r>
      <w:r>
        <w:rPr>
          <w:rFonts w:eastAsia="Calibri" w:cs="" w:cstheme="minorBidi" w:eastAsiaTheme="minorHAnsi"/>
          <w:sz w:val="24"/>
          <w:szCs w:val="24"/>
          <w:shd w:fill="FFFF00" w:val="clear"/>
          <w14:ligatures w14:val="standardContextual"/>
        </w:rPr>
        <w:t>REF HERE]</w:t>
      </w:r>
      <w:r>
        <w:rPr>
          <w:sz w:val="24"/>
          <w:szCs w:val="24"/>
        </w:rPr>
        <w:t xml:space="preserve"> (and its associated programming language “</w:t>
      </w:r>
      <w:r>
        <w:rPr>
          <w:i/>
          <w:iCs/>
          <w:sz w:val="24"/>
          <w:szCs w:val="24"/>
        </w:rPr>
        <w:t>Pig Latin</w:t>
      </w:r>
      <w:r>
        <w:rPr>
          <w:sz w:val="24"/>
          <w:szCs w:val="24"/>
        </w:rPr>
        <w:t>”) is also a DSL. It is a declarative language used for data retrieval and processing. Developers at Yahoo created Pig as a way to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p>
    <w:p>
      <w:pPr>
        <w:pStyle w:val="Normal"/>
        <w:rPr>
          <w:sz w:val="24"/>
          <w:szCs w:val="24"/>
        </w:rPr>
      </w:pPr>
      <w:r>
        <w:rPr>
          <w:sz w:val="24"/>
          <w:szCs w:val="24"/>
        </w:rPr>
        <w:tab/>
        <w:t xml:space="preserve">Yet another powerful example of DSLs can be seen in the ubiquitous Unix program: awk </w:t>
      </w:r>
      <w:r>
        <w:rPr>
          <w:rFonts w:eastAsia="Calibri" w:cs="" w:cstheme="minorBidi" w:eastAsiaTheme="minorHAnsi"/>
          <w:sz w:val="24"/>
          <w:szCs w:val="24"/>
          <w:shd w:fill="FFFF00" w:val="clear"/>
          <w14:ligatures w14:val="standardContextual"/>
        </w:rPr>
        <w:t>[REF HERE]</w:t>
      </w:r>
      <w:r>
        <w:rPr>
          <w:sz w:val="24"/>
          <w:szCs w:val="24"/>
        </w:rPr>
        <w:t>. Originally created by Unix developers Aho, Weinberger and Kerninghan</w:t>
      </w:r>
      <w:r>
        <w:rPr>
          <w:rStyle w:val="FootnoteReference"/>
          <w:sz w:val="24"/>
          <w:szCs w:val="24"/>
        </w:rPr>
        <w:footnoteReference w:id="28"/>
      </w:r>
      <w:r>
        <w:rPr>
          <w:sz w:val="24"/>
          <w:szCs w:val="24"/>
        </w:rPr>
        <w:t xml:space="preserve"> , awk is a scripting language designed to process textual data— one line at a time. The power of this systems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pPr>
        <w:pStyle w:val="Normal"/>
        <w:rPr>
          <w:sz w:val="24"/>
          <w:szCs w:val="24"/>
        </w:rPr>
      </w:pPr>
      <w:r>
        <w:rPr>
          <w:sz w:val="24"/>
          <w:szCs w:val="24"/>
        </w:rPr>
        <w:tab/>
        <w:t>Each of the languages represented in this review are, on their own, infeasible for writing general purpose applications. SQL, for example, should not be used to write a desktop program. They were, instead, each created to solve specific issues within their respective problem domains. Likewise, Terraform cannot be used to create web applications or develop billing software. One of the "upsides" of these languages are that they can quickly handle tasks within a specific problem domain.</w:t>
      </w:r>
    </w:p>
    <w:p>
      <w:pPr>
        <w:pStyle w:val="Heading2"/>
        <w:rPr/>
      </w:pPr>
      <w:bookmarkStart w:id="74" w:name="__RefHeading___Toc2260_2940850073"/>
      <w:bookmarkEnd w:id="74"/>
      <w:r>
        <w:rPr/>
        <w:t>DSL Variations</w:t>
      </w:r>
    </w:p>
    <w:p>
      <w:pPr>
        <w:pStyle w:val="Normal"/>
        <w:rPr/>
      </w:pPr>
      <w:r>
        <w:rPr/>
        <w:tab/>
      </w:r>
      <w:r>
        <w:rPr>
          <w:sz w:val="24"/>
          <w:szCs w:val="24"/>
        </w:rPr>
        <w:t xml:space="preserve">Each of the language examples provided here share a common characteristic in that they are </w:t>
      </w:r>
      <w:r>
        <w:rPr>
          <w:i/>
          <w:iCs/>
          <w:sz w:val="24"/>
          <w:szCs w:val="24"/>
        </w:rPr>
        <w:t>external DSLs</w:t>
      </w:r>
      <w:r>
        <w:rPr>
          <w:sz w:val="24"/>
          <w:szCs w:val="24"/>
        </w:rPr>
        <w:t xml:space="preserve">. They are interpreted and executed by a runtime program. This trait of DSLs separates them from another subset of domain-specific languages: </w:t>
      </w:r>
      <w:r>
        <w:rPr>
          <w:i/>
          <w:iCs/>
          <w:sz w:val="24"/>
          <w:szCs w:val="24"/>
        </w:rPr>
        <w:t>internal DSLs</w:t>
      </w:r>
      <w:r>
        <w:rPr>
          <w:sz w:val="24"/>
          <w:szCs w:val="24"/>
        </w:rPr>
        <w:t xml:space="preserve">. These are embedded languages (sometimes referred to as fluent interfaces) that rely on (usually) general-purpose languages to parse their individual syntactic structures and execute logic. These DSL features are sometimes referred to as </w:t>
      </w:r>
      <w:r>
        <w:rPr>
          <w:i/>
          <w:iCs/>
          <w:sz w:val="24"/>
          <w:szCs w:val="24"/>
        </w:rPr>
        <w:t xml:space="preserve">syntactic sugar </w:t>
      </w:r>
      <w:r>
        <w:rPr>
          <w:i w:val="false"/>
          <w:iCs w:val="false"/>
          <w:sz w:val="24"/>
          <w:szCs w:val="24"/>
        </w:rPr>
        <w:t>[</w:t>
      </w:r>
      <w:r>
        <w:rPr>
          <w:rFonts w:eastAsia="Calibri" w:cs="" w:cstheme="minorBidi" w:eastAsiaTheme="minorHAnsi"/>
          <w:i w:val="false"/>
          <w:iCs w:val="false"/>
          <w:sz w:val="24"/>
          <w:szCs w:val="24"/>
          <w:shd w:fill="FFFF00" w:val="clear"/>
          <w14:ligatures w14:val="standardContextual"/>
        </w:rPr>
        <w:t>REF HERE],</w:t>
      </w:r>
      <w:r>
        <w:rPr>
          <w:i w:val="false"/>
          <w:iCs w:val="false"/>
          <w:sz w:val="24"/>
          <w:szCs w:val="24"/>
        </w:rPr>
        <w:t xml:space="preserve"> implying that they make the experience of developing solutions in them “sweeter” than without them.</w:t>
      </w:r>
    </w:p>
    <w:p>
      <w:pPr>
        <w:pStyle w:val="Normal"/>
        <w:rPr>
          <w:sz w:val="24"/>
          <w:szCs w:val="24"/>
        </w:rPr>
      </w:pPr>
      <w:r>
        <w:rPr>
          <w:i w:val="false"/>
          <w:iCs w:val="false"/>
          <w:sz w:val="24"/>
          <w:szCs w:val="24"/>
        </w:rPr>
        <w:tab/>
        <w:t>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Jetbrains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general purpose language). With basic instruction, users can string together components that construct repeatable workflows without requiring them to possess deep programming knowledge.</w:t>
      </w:r>
    </w:p>
    <w:p>
      <w:pPr>
        <w:pStyle w:val="Heading2"/>
        <w:rPr/>
      </w:pPr>
      <w:r>
        <w:rPr>
          <w:i w:val="false"/>
          <w:iCs w:val="false"/>
        </w:rPr>
        <w:t>Extant Domain-Specific Language Use Cases in the Energy Sector</w:t>
      </w:r>
    </w:p>
    <w:p>
      <w:pPr>
        <w:pStyle w:val="Normal"/>
        <w:rPr/>
      </w:pPr>
      <w:r>
        <w:rPr>
          <w:i w:val="false"/>
          <w:iCs w:val="false"/>
        </w:rPr>
        <w:tab/>
      </w:r>
      <w:r>
        <w:rPr>
          <w:i w:val="false"/>
          <w:iCs w:val="false"/>
          <w:sz w:val="24"/>
          <w:szCs w:val="24"/>
        </w:rPr>
        <w:t>The literature uncovered in this review supports the claim that DSLs can achieve high efficacy in financial contexts. Krasts, Kleins, and Teilans (2012) illustrates how 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w:t>
      </w:r>
      <w:r>
        <w:rPr>
          <w:rFonts w:eastAsia="Calibri" w:cs="" w:cstheme="minorBidi" w:eastAsiaTheme="minorHAnsi"/>
          <w:i w:val="false"/>
          <w:iCs w:val="false"/>
          <w:sz w:val="24"/>
          <w:szCs w:val="24"/>
          <w:shd w:fill="FFFF00" w:val="clear"/>
          <w14:ligatures w14:val="standardContextual"/>
        </w:rPr>
        <w:t xml:space="preserve"> [REF HERE]</w:t>
      </w:r>
      <w:r>
        <w:rPr>
          <w:i w:val="false"/>
          <w:iCs w:val="false"/>
          <w:sz w:val="24"/>
          <w:szCs w:val="24"/>
        </w:rPr>
        <w:t>.</w:t>
      </w:r>
    </w:p>
    <w:p>
      <w:pPr>
        <w:pStyle w:val="Normal"/>
        <w:rPr>
          <w:sz w:val="24"/>
          <w:szCs w:val="24"/>
        </w:rPr>
      </w:pPr>
      <w:r>
        <w:rPr>
          <w:i w:val="false"/>
          <w:iCs w:val="false"/>
          <w:sz w:val="24"/>
          <w:szCs w:val="24"/>
        </w:rPr>
        <w:tab/>
        <w:t xml:space="preserve">The literature, even more interestingly, shows that DSLs have been deployed in other areas of the energy sector, as identified by Sobernig, Strembeck, and Beck </w:t>
      </w:r>
      <w:r>
        <w:rPr>
          <w:rFonts w:eastAsia="Calibri" w:cs="" w:cstheme="minorBidi" w:eastAsiaTheme="minorHAnsi"/>
          <w:i w:val="false"/>
          <w:iCs w:val="false"/>
          <w:sz w:val="24"/>
          <w:szCs w:val="24"/>
          <w:shd w:fill="FFFF00" w:val="clear"/>
          <w14:ligatures w14:val="standardContextual"/>
        </w:rPr>
        <w:t>[REF HERE]</w:t>
      </w:r>
      <w:r>
        <w:rPr>
          <w:i w:val="false"/>
          <w:iCs w:val="false"/>
          <w:sz w:val="24"/>
          <w:szCs w:val="24"/>
        </w:rPr>
        <w:t xml:space="preserve"> in </w:t>
      </w:r>
      <w:r>
        <w:rPr>
          <w:i/>
          <w:iCs/>
          <w:sz w:val="24"/>
          <w:szCs w:val="24"/>
        </w:rPr>
        <w:t xml:space="preserve">Developing a Domain Specific Language for Scheduling in the European Energy Sector. </w:t>
      </w:r>
      <w:r>
        <w:rPr>
          <w:i w:val="false"/>
          <w:iCs w:val="false"/>
          <w:sz w:val="24"/>
          <w:szCs w:val="24"/>
        </w:rPr>
        <w:t>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Pr>
          <w:rStyle w:val="FootnoteReference"/>
          <w:i w:val="false"/>
          <w:iCs w:val="false"/>
          <w:sz w:val="24"/>
          <w:szCs w:val="24"/>
        </w:rPr>
        <w:footnoteReference w:id="29"/>
      </w:r>
      <w:r>
        <w:rPr>
          <w:i w:val="false"/>
          <w:iCs w:val="false"/>
          <w:sz w:val="24"/>
          <w:szCs w:val="24"/>
        </w:rPr>
        <w:t xml:space="preserve"> issues that are seen throughout the North American Bulk Electric System. Market monitoring, while interested in aspects of transmission scheduling, encompasses a much broader scope of analytics in the energy sector.</w:t>
      </w:r>
    </w:p>
    <w:p>
      <w:pPr>
        <w:pStyle w:val="Heading2"/>
        <w:rPr/>
      </w:pPr>
      <w:r>
        <w:rPr/>
        <w:t>The Data Domain in Market Monitoring</w:t>
      </w:r>
    </w:p>
    <w:p>
      <w:pPr>
        <w:pStyle w:val="Normal"/>
        <w:rPr/>
      </w:pPr>
      <w:r>
        <w:rPr>
          <w:i w:val="false"/>
          <w:iCs w:val="false"/>
        </w:rPr>
        <w:tab/>
      </w:r>
      <w:r>
        <w:rPr>
          <w:i w:val="false"/>
          <w:iCs w:val="false"/>
          <w:sz w:val="24"/>
          <w:szCs w:val="24"/>
        </w:rPr>
        <w:t xml:space="preserve">The data domain in market monitoring entities is a large ecosystem. It is common for monitoring analysts to synthesize information both from internal and external data sources. This type of ecosystem can quickly become a </w:t>
      </w:r>
      <w:r>
        <w:rPr>
          <w:i/>
          <w:iCs/>
          <w:sz w:val="24"/>
          <w:szCs w:val="24"/>
        </w:rPr>
        <w:t>data swamp</w:t>
      </w:r>
      <w:r>
        <w:rPr>
          <w:rStyle w:val="FootnoteReference"/>
          <w:i w:val="false"/>
          <w:iCs w:val="false"/>
          <w:sz w:val="24"/>
          <w:szCs w:val="24"/>
        </w:rPr>
        <w:footnoteReference w:id="30"/>
      </w:r>
      <w:r>
        <w:rPr>
          <w:i w:val="false"/>
          <w:iCs w:val="false"/>
          <w:sz w:val="24"/>
          <w:szCs w:val="24"/>
        </w:rPr>
        <w:t xml:space="preserve"> without careful attention to business rules and the possession of institutional knowledge for how processes are executed on market information.</w:t>
      </w:r>
    </w:p>
    <w:p>
      <w:pPr>
        <w:pStyle w:val="Normal"/>
        <w:rPr>
          <w:sz w:val="24"/>
          <w:szCs w:val="24"/>
        </w:rPr>
      </w:pPr>
      <w:r>
        <w:rPr>
          <w:i w:val="false"/>
          <w:iCs w:val="false"/>
          <w:sz w:val="24"/>
          <w:szCs w:val="24"/>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w:t>
      </w:r>
      <w:r>
        <w:rPr>
          <w:rFonts w:eastAsia="Calibri" w:cs="" w:cstheme="minorBidi" w:eastAsiaTheme="minorHAnsi"/>
          <w:i w:val="false"/>
          <w:iCs w:val="false"/>
          <w:sz w:val="24"/>
          <w:szCs w:val="24"/>
          <w:shd w:fill="FFFF00" w:val="clear"/>
          <w14:ligatures w14:val="standardContextual"/>
        </w:rPr>
        <w:t>[REF HERE]</w:t>
      </w:r>
      <w:r>
        <w:rPr>
          <w:i w:val="false"/>
          <w:iCs w:val="false"/>
          <w:sz w:val="24"/>
          <w:szCs w:val="24"/>
        </w:rPr>
        <w:t xml:space="preserve">: </w:t>
      </w:r>
    </w:p>
    <w:p>
      <w:pPr>
        <w:pStyle w:val="Normal"/>
        <w:numPr>
          <w:ilvl w:val="0"/>
          <w:numId w:val="7"/>
        </w:numPr>
        <w:rPr>
          <w:sz w:val="24"/>
          <w:szCs w:val="24"/>
        </w:rPr>
      </w:pPr>
      <w:r>
        <w:rPr>
          <w:i w:val="false"/>
          <w:iCs w:val="false"/>
          <w:sz w:val="24"/>
          <w:szCs w:val="24"/>
        </w:rPr>
        <w:t>Supply offers and demand bids for energy and ancillary services</w:t>
      </w:r>
    </w:p>
    <w:p>
      <w:pPr>
        <w:pStyle w:val="Normal"/>
        <w:numPr>
          <w:ilvl w:val="0"/>
          <w:numId w:val="7"/>
        </w:numPr>
        <w:rPr>
          <w:sz w:val="24"/>
          <w:szCs w:val="24"/>
        </w:rPr>
      </w:pPr>
      <w:r>
        <w:rPr>
          <w:i w:val="false"/>
          <w:iCs w:val="false"/>
          <w:sz w:val="24"/>
          <w:szCs w:val="24"/>
        </w:rPr>
        <w:t>Virtual</w:t>
      </w:r>
      <w:r>
        <w:rPr>
          <w:rStyle w:val="FootnoteReference"/>
          <w:i w:val="false"/>
          <w:iCs w:val="false"/>
          <w:sz w:val="24"/>
          <w:szCs w:val="24"/>
        </w:rPr>
        <w:footnoteReference w:id="31"/>
      </w:r>
      <w:r>
        <w:rPr>
          <w:i w:val="false"/>
          <w:iCs w:val="false"/>
          <w:sz w:val="24"/>
          <w:szCs w:val="24"/>
        </w:rPr>
        <w:t xml:space="preserve"> offers and bids</w:t>
      </w:r>
    </w:p>
    <w:p>
      <w:pPr>
        <w:pStyle w:val="Normal"/>
        <w:numPr>
          <w:ilvl w:val="0"/>
          <w:numId w:val="7"/>
        </w:numPr>
        <w:rPr>
          <w:sz w:val="24"/>
          <w:szCs w:val="24"/>
        </w:rPr>
      </w:pPr>
      <w:r>
        <w:rPr>
          <w:i w:val="false"/>
          <w:iCs w:val="false"/>
          <w:sz w:val="24"/>
          <w:szCs w:val="24"/>
        </w:rPr>
        <w:t>Energy/ancillary service awards</w:t>
      </w:r>
    </w:p>
    <w:p>
      <w:pPr>
        <w:pStyle w:val="Normal"/>
        <w:numPr>
          <w:ilvl w:val="0"/>
          <w:numId w:val="7"/>
        </w:numPr>
        <w:rPr>
          <w:sz w:val="24"/>
          <w:szCs w:val="24"/>
        </w:rPr>
      </w:pPr>
      <w:r>
        <w:rPr>
          <w:i w:val="false"/>
          <w:iCs w:val="false"/>
          <w:sz w:val="24"/>
          <w:szCs w:val="24"/>
        </w:rPr>
        <w:t>Capacity market offers, designations, and prices</w:t>
      </w:r>
    </w:p>
    <w:p>
      <w:pPr>
        <w:pStyle w:val="Normal"/>
        <w:numPr>
          <w:ilvl w:val="0"/>
          <w:numId w:val="7"/>
        </w:numPr>
        <w:rPr>
          <w:sz w:val="24"/>
          <w:szCs w:val="24"/>
        </w:rPr>
      </w:pPr>
      <w:r>
        <w:rPr>
          <w:i w:val="false"/>
          <w:iCs w:val="false"/>
          <w:sz w:val="24"/>
          <w:szCs w:val="24"/>
        </w:rPr>
        <w:t>Resource (electricity generation) output</w:t>
      </w:r>
    </w:p>
    <w:p>
      <w:pPr>
        <w:pStyle w:val="Normal"/>
        <w:numPr>
          <w:ilvl w:val="0"/>
          <w:numId w:val="7"/>
        </w:numPr>
        <w:rPr>
          <w:sz w:val="24"/>
          <w:szCs w:val="24"/>
        </w:rPr>
      </w:pPr>
      <w:r>
        <w:rPr>
          <w:i w:val="false"/>
          <w:iCs w:val="false"/>
          <w:sz w:val="24"/>
          <w:szCs w:val="24"/>
        </w:rPr>
        <w:t>Marginal cost estimates</w:t>
      </w:r>
    </w:p>
    <w:p>
      <w:pPr>
        <w:pStyle w:val="Normal"/>
        <w:numPr>
          <w:ilvl w:val="0"/>
          <w:numId w:val="7"/>
        </w:numPr>
        <w:rPr>
          <w:sz w:val="24"/>
          <w:szCs w:val="24"/>
        </w:rPr>
      </w:pPr>
      <w:r>
        <w:rPr>
          <w:i w:val="false"/>
          <w:iCs w:val="false"/>
          <w:sz w:val="24"/>
          <w:szCs w:val="24"/>
        </w:rPr>
        <w:t>Day-ahead market (DA) shift factors</w:t>
      </w:r>
      <w:r>
        <w:rPr>
          <w:rStyle w:val="FootnoteReference"/>
          <w:i w:val="false"/>
          <w:iCs w:val="false"/>
          <w:sz w:val="24"/>
          <w:szCs w:val="24"/>
        </w:rPr>
        <w:footnoteReference w:id="32"/>
      </w:r>
    </w:p>
    <w:p>
      <w:pPr>
        <w:pStyle w:val="Normal"/>
        <w:numPr>
          <w:ilvl w:val="0"/>
          <w:numId w:val="7"/>
        </w:numPr>
        <w:rPr>
          <w:sz w:val="24"/>
          <w:szCs w:val="24"/>
        </w:rPr>
      </w:pPr>
      <w:r>
        <w:rPr>
          <w:i w:val="false"/>
          <w:iCs w:val="false"/>
          <w:sz w:val="24"/>
          <w:szCs w:val="24"/>
        </w:rPr>
        <w:t>Financial Transmission Right (FTR) data</w:t>
      </w:r>
    </w:p>
    <w:p>
      <w:pPr>
        <w:pStyle w:val="Normal"/>
        <w:numPr>
          <w:ilvl w:val="0"/>
          <w:numId w:val="7"/>
        </w:numPr>
        <w:rPr>
          <w:sz w:val="24"/>
          <w:szCs w:val="24"/>
        </w:rPr>
      </w:pPr>
      <w:r>
        <w:rPr>
          <w:i w:val="false"/>
          <w:iCs w:val="false"/>
          <w:sz w:val="24"/>
          <w:szCs w:val="24"/>
        </w:rPr>
        <w:t>Bilateral Contracts</w:t>
      </w:r>
    </w:p>
    <w:p>
      <w:pPr>
        <w:pStyle w:val="Normal"/>
        <w:numPr>
          <w:ilvl w:val="0"/>
          <w:numId w:val="7"/>
        </w:numPr>
        <w:rPr>
          <w:sz w:val="24"/>
          <w:szCs w:val="24"/>
        </w:rPr>
      </w:pPr>
      <w:r>
        <w:rPr>
          <w:i w:val="false"/>
          <w:iCs w:val="false"/>
          <w:sz w:val="24"/>
          <w:szCs w:val="24"/>
        </w:rPr>
        <w:t>Interchange transactions (otherwise known as “scheduling and tagging”)</w:t>
      </w:r>
    </w:p>
    <w:p>
      <w:pPr>
        <w:pStyle w:val="Normal"/>
        <w:rPr>
          <w:i w:val="false"/>
          <w:i w:val="false"/>
          <w:iCs w:val="false"/>
          <w:sz w:val="24"/>
          <w:szCs w:val="24"/>
        </w:rPr>
      </w:pPr>
      <w:r>
        <w:rPr>
          <w:i w:val="false"/>
          <w:iCs w:val="false"/>
          <w:sz w:val="24"/>
          <w:szCs w:val="24"/>
        </w:rPr>
      </w:r>
    </w:p>
    <w:p>
      <w:pPr>
        <w:pStyle w:val="Normal"/>
        <w:rPr>
          <w:sz w:val="24"/>
          <w:szCs w:val="24"/>
        </w:rPr>
      </w:pPr>
      <w:r>
        <w:rPr>
          <w:i w:val="false"/>
          <w:iCs w:val="false"/>
          <w:sz w:val="24"/>
          <w:szCs w:val="24"/>
        </w:rPr>
        <w:tab/>
        <w:t xml:space="preserve">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w:t>
      </w:r>
      <w:r>
        <w:rPr>
          <w:rFonts w:eastAsia="Calibri" w:cs="" w:cstheme="minorBidi" w:eastAsiaTheme="minorHAnsi"/>
          <w:i w:val="false"/>
          <w:iCs w:val="false"/>
          <w:sz w:val="24"/>
          <w:szCs w:val="24"/>
          <w:shd w:fill="FFFF00" w:val="clear"/>
          <w14:ligatures w14:val="standardContextual"/>
        </w:rPr>
        <w:t>[REF HERE]</w:t>
      </w:r>
      <w:r>
        <w:rPr>
          <w:i w:val="false"/>
          <w:iCs w:val="false"/>
          <w:sz w:val="24"/>
          <w:szCs w:val="24"/>
        </w:rPr>
        <w:t xml:space="preserve">. </w:t>
      </w:r>
    </w:p>
    <w:p>
      <w:pPr>
        <w:pStyle w:val="Heading2"/>
        <w:rPr/>
      </w:pPr>
      <w:r>
        <w:rPr/>
        <w:t>Public Data Systems for Wholesale Energy Markets</w:t>
      </w:r>
    </w:p>
    <w:p>
      <w:pPr>
        <w:pStyle w:val="Normal"/>
        <w:rPr/>
      </w:pPr>
      <w:r>
        <w:rPr>
          <w:i w:val="false"/>
          <w:iCs w:val="false"/>
        </w:rPr>
        <w:tab/>
      </w:r>
      <w:r>
        <w:rPr>
          <w:i w:val="false"/>
          <w:iCs w:val="false"/>
          <w:sz w:val="24"/>
          <w:szCs w:val="24"/>
        </w:rPr>
        <w:t>In a similar manner to how market operators provide regular data to FERC, RTOs and ISOs also regularly publish data that allows the general public</w:t>
      </w:r>
      <w:r>
        <w:rPr>
          <w:rStyle w:val="FootnoteReference"/>
          <w:i w:val="false"/>
          <w:iCs w:val="false"/>
          <w:sz w:val="24"/>
          <w:szCs w:val="24"/>
        </w:rPr>
        <w:footnoteReference w:id="33"/>
      </w:r>
      <w:r>
        <w:rPr>
          <w:i w:val="false"/>
          <w:iCs w:val="false"/>
          <w:sz w:val="24"/>
          <w:szCs w:val="24"/>
        </w:rPr>
        <w:t xml:space="preserve"> a view into the operation and settlement of these markets. Table XXYYAS lists the existing systems that this research can utilize for test data. Much of the data contained in these systems match the data requirements for FERC Order 760 (though some identifiers may be omitted or obfuscated to preserve confidentiality).</w:t>
      </w:r>
    </w:p>
    <w:p>
      <w:pPr>
        <w:pStyle w:val="Normal"/>
        <w:rPr/>
      </w:pPr>
      <w:r>
        <w:rPr>
          <w:i w:val="false"/>
          <w:iCs w:val="false"/>
          <w:sz w:val="24"/>
          <w:szCs w:val="24"/>
        </w:rPr>
        <w:tab/>
        <w:t>The researcher intends to source data assets that model market conditions (especially for price formation) from these systems, and use such data for demonstrating 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keepNext w:val="true"/>
              <w:rPr>
                <w:sz w:val="22"/>
                <w:szCs w:val="22"/>
              </w:rPr>
            </w:pPr>
            <w:r>
              <w:rPr>
                <w:b/>
                <w:bCs/>
                <w:sz w:val="22"/>
                <w:szCs w:val="22"/>
              </w:rPr>
              <w:t>Publishing Entity</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sz w:val="22"/>
                <w:szCs w:val="22"/>
              </w:rPr>
            </w:pPr>
            <w:r>
              <w:rPr>
                <w:b/>
                <w:bCs/>
                <w:sz w:val="22"/>
                <w:szCs w:val="22"/>
              </w:rPr>
              <w:t>Data Repository Name</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PJM Corporation</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Data Miner 2</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Monitoring Analytics</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Member Information Reporting Application (MIRA)</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Electric Relability Council of Texas (ERCOT)</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Market Data Transparency Service</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California Independent System Operator (CAISO)</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OASIS &amp; Data Library</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Midcontinent Independent System Operator (MISO)</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MISO Data Exchange</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Southwest Power Pool (SPP)</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Public Data Portal</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New York Independent System Operator (NYISO)</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Operational Data Portal</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Independent System Operator of New England (ISO-NE)</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ISO Express</w:t>
            </w:r>
          </w:p>
        </w:tc>
      </w:tr>
      <w:tr>
        <w:trPr/>
        <w:tc>
          <w:tcPr>
            <w:tcW w:w="4679" w:type="dxa"/>
            <w:tcBorders>
              <w:left w:val="single" w:sz="4" w:space="0" w:color="000000"/>
              <w:bottom w:val="single" w:sz="4" w:space="0" w:color="000000"/>
            </w:tcBorders>
          </w:tcPr>
          <w:p>
            <w:pPr>
              <w:pStyle w:val="TableContents"/>
              <w:keepNext w:val="true"/>
              <w:rPr>
                <w:sz w:val="22"/>
                <w:szCs w:val="22"/>
              </w:rPr>
            </w:pPr>
            <w:r>
              <w:rPr>
                <w:sz w:val="22"/>
                <w:szCs w:val="22"/>
              </w:rPr>
              <w:t>US Energy Information Administration (EIA)</w:t>
            </w:r>
          </w:p>
        </w:tc>
        <w:tc>
          <w:tcPr>
            <w:tcW w:w="4680" w:type="dxa"/>
            <w:tcBorders>
              <w:left w:val="single" w:sz="4" w:space="0" w:color="000000"/>
              <w:bottom w:val="single" w:sz="4" w:space="0" w:color="000000"/>
              <w:right w:val="single" w:sz="4" w:space="0" w:color="000000"/>
            </w:tcBorders>
          </w:tcPr>
          <w:p>
            <w:pPr>
              <w:pStyle w:val="TableContents"/>
              <w:rPr>
                <w:sz w:val="22"/>
                <w:szCs w:val="22"/>
              </w:rPr>
            </w:pPr>
            <w:r>
              <w:rPr>
                <w:sz w:val="22"/>
                <w:szCs w:val="22"/>
              </w:rPr>
              <w:t>Wholesale Energy Market Reports</w:t>
            </w:r>
          </w:p>
        </w:tc>
      </w:tr>
    </w:tbl>
    <w:p>
      <w:pPr>
        <w:pStyle w:val="Table"/>
        <w:jc w:val="center"/>
        <w:rPr>
          <w:i w:val="false"/>
          <w:i w:val="false"/>
          <w:iCs w:val="false"/>
          <w:color w:val="000000"/>
          <w:sz w:val="26"/>
          <w:szCs w:val="18"/>
        </w:rPr>
      </w:pPr>
      <w:r>
        <w:rPr>
          <w:i w:val="false"/>
          <w:iCs w:val="false"/>
          <w:color w:val="000000"/>
          <w:sz w:val="26"/>
          <w:szCs w:val="18"/>
        </w:rPr>
        <w:t xml:space="preserve">Table </w:t>
      </w:r>
      <w:r>
        <w:rPr>
          <w:i w:val="false"/>
          <w:iCs w:val="false"/>
          <w:color w:val="000000"/>
          <w:sz w:val="26"/>
          <w:szCs w:val="18"/>
        </w:rPr>
        <w:fldChar w:fldCharType="begin"/>
      </w:r>
      <w:r>
        <w:rPr>
          <w:sz w:val="26"/>
          <w:i w:val="false"/>
          <w:szCs w:val="18"/>
          <w:iCs w:val="false"/>
          <w:color w:val="000000"/>
        </w:rPr>
        <w:instrText xml:space="preserve"> SEQ Table \* ARABIC </w:instrText>
      </w:r>
      <w:r>
        <w:rPr>
          <w:sz w:val="26"/>
          <w:i w:val="false"/>
          <w:szCs w:val="18"/>
          <w:iCs w:val="false"/>
          <w:color w:val="000000"/>
        </w:rPr>
        <w:fldChar w:fldCharType="separate"/>
      </w:r>
      <w:r>
        <w:rPr>
          <w:sz w:val="26"/>
          <w:i w:val="false"/>
          <w:szCs w:val="18"/>
          <w:iCs w:val="false"/>
          <w:color w:val="000000"/>
        </w:rPr>
        <w:t>4</w:t>
      </w:r>
      <w:r>
        <w:rPr>
          <w:sz w:val="26"/>
          <w:i w:val="false"/>
          <w:szCs w:val="18"/>
          <w:iCs w:val="false"/>
          <w:color w:val="000000"/>
        </w:rPr>
        <w:fldChar w:fldCharType="end"/>
      </w:r>
      <w:r>
        <w:rPr>
          <w:i w:val="false"/>
          <w:iCs w:val="false"/>
          <w:color w:val="000000"/>
          <w:sz w:val="26"/>
          <w:szCs w:val="18"/>
        </w:rPr>
        <w:t>: Public Energy Market Data Systems</w:t>
      </w:r>
    </w:p>
    <w:p>
      <w:pPr>
        <w:pStyle w:val="Normal"/>
        <w:rPr>
          <w:i w:val="false"/>
          <w:i w:val="false"/>
          <w:iCs w:val="false"/>
        </w:rPr>
      </w:pPr>
      <w:r>
        <w:rPr>
          <w:i w:val="false"/>
          <w:iCs w:val="false"/>
        </w:rPr>
      </w:r>
      <w:r>
        <w:br w:type="page"/>
      </w:r>
    </w:p>
    <w:p>
      <w:pPr>
        <w:pStyle w:val="Heading1"/>
        <w:spacing w:before="0" w:after="0"/>
        <w:rPr/>
      </w:pPr>
      <w:bookmarkStart w:id="75" w:name="__RefHeading___Toc2348_401063098"/>
      <w:bookmarkStart w:id="76" w:name="_Toc217395617"/>
      <w:bookmarkEnd w:id="75"/>
      <w:r>
        <w:rPr/>
        <w:t xml:space="preserve">Chapter 3: </w:t>
      </w:r>
      <w:bookmarkEnd w:id="76"/>
      <w:r>
        <w:rPr/>
        <w:t>System Requirements and Use-Cases</w:t>
      </w:r>
    </w:p>
    <w:p>
      <w:pPr>
        <w:pStyle w:val="Normal"/>
        <w:spacing w:lineRule="auto" w:line="480" w:before="0" w:after="160"/>
        <w:rPr/>
      </w:pPr>
      <w:r>
        <w:rPr/>
        <w:tab/>
      </w:r>
      <w:r>
        <w:rPr>
          <w:sz w:val="24"/>
          <w:szCs w:val="24"/>
        </w:rPr>
        <w:t>Design science shall be used as the primary method of investigation in this dissertation due to its ability to derive insights from the development of new artifacts. However, design science is only a process that guides the investigation. To effectuate this process, the researcher has developed the following plan to build and evaluate a software system (powered by a domain-specific programming language) for potential use in the professional domain of energy market monitoring.</w:t>
      </w:r>
    </w:p>
    <w:p>
      <w:pPr>
        <w:pStyle w:val="Normal"/>
        <w:spacing w:lineRule="auto" w:line="480" w:before="0" w:after="160"/>
        <w:rPr>
          <w:sz w:val="24"/>
          <w:szCs w:val="24"/>
        </w:rPr>
      </w:pPr>
      <w:r>
        <w:rPr>
          <w:sz w:val="24"/>
          <w:szCs w:val="24"/>
        </w:rPr>
        <w:tab/>
        <w:t>The plan includes the following details (illustrated by Figure YYYY):</w:t>
      </w:r>
    </w:p>
    <w:p>
      <w:pPr>
        <w:pStyle w:val="Normal"/>
        <w:numPr>
          <w:ilvl w:val="0"/>
          <w:numId w:val="10"/>
        </w:numPr>
        <w:spacing w:lineRule="auto" w:line="480" w:before="0" w:after="160"/>
        <w:rPr>
          <w:sz w:val="24"/>
          <w:szCs w:val="24"/>
        </w:rPr>
      </w:pPr>
      <w:r>
        <w:rPr>
          <w:sz w:val="24"/>
          <w:szCs w:val="24"/>
        </w:rPr>
        <w:t>A literature review to both introduce the research area and to establish relevance and novelty</w:t>
      </w:r>
    </w:p>
    <w:p>
      <w:pPr>
        <w:pStyle w:val="Normal"/>
        <w:numPr>
          <w:ilvl w:val="0"/>
          <w:numId w:val="10"/>
        </w:numPr>
        <w:spacing w:lineRule="auto" w:line="480" w:before="0" w:after="160"/>
        <w:rPr>
          <w:sz w:val="24"/>
          <w:szCs w:val="24"/>
        </w:rPr>
      </w:pPr>
      <w:r>
        <w:rPr>
          <w:sz w:val="24"/>
          <w:szCs w:val="24"/>
        </w:rPr>
        <w:t>A Delphi-based study using a panel of experts (within market monitoring) to identify the current needs of these experts</w:t>
      </w:r>
      <w:r>
        <w:rPr>
          <w:rStyle w:val="FootnoteReference"/>
          <w:sz w:val="24"/>
          <w:szCs w:val="24"/>
        </w:rPr>
        <w:footnoteReference w:id="34"/>
      </w:r>
      <w:r>
        <w:rPr>
          <w:sz w:val="24"/>
          <w:szCs w:val="24"/>
        </w:rPr>
        <w:t>, including:</w:t>
      </w:r>
    </w:p>
    <w:p>
      <w:pPr>
        <w:pStyle w:val="Normal"/>
        <w:numPr>
          <w:ilvl w:val="1"/>
          <w:numId w:val="10"/>
        </w:numPr>
        <w:spacing w:lineRule="auto" w:line="480" w:before="0" w:after="160"/>
        <w:rPr>
          <w:sz w:val="24"/>
          <w:szCs w:val="24"/>
        </w:rPr>
      </w:pPr>
      <w:r>
        <w:rPr>
          <w:sz w:val="24"/>
          <w:szCs w:val="24"/>
        </w:rPr>
        <w:t>The current landscape of a market monitor’s workflow</w:t>
      </w:r>
    </w:p>
    <w:p>
      <w:pPr>
        <w:pStyle w:val="Normal"/>
        <w:numPr>
          <w:ilvl w:val="1"/>
          <w:numId w:val="10"/>
        </w:numPr>
        <w:spacing w:lineRule="auto" w:line="480" w:before="0" w:after="160"/>
        <w:rPr>
          <w:sz w:val="24"/>
          <w:szCs w:val="24"/>
        </w:rPr>
      </w:pPr>
      <w:r>
        <w:rPr>
          <w:sz w:val="24"/>
          <w:szCs w:val="24"/>
        </w:rPr>
        <w:t>Perspectives from the entire market monitoring community, including market monitors that work outside of the United States</w:t>
      </w:r>
    </w:p>
    <w:p>
      <w:pPr>
        <w:pStyle w:val="Normal"/>
        <w:numPr>
          <w:ilvl w:val="0"/>
          <w:numId w:val="10"/>
        </w:numPr>
        <w:spacing w:lineRule="auto" w:line="480" w:before="0" w:after="160"/>
        <w:rPr>
          <w:sz w:val="24"/>
          <w:szCs w:val="24"/>
        </w:rPr>
      </w:pPr>
      <w:r>
        <w:rPr>
          <w:sz w:val="24"/>
          <w:szCs w:val="24"/>
        </w:rPr>
        <w:t>A comprehensive data and system architecture plan for setting up and operating a DSL-enabled data analysis system</w:t>
      </w:r>
    </w:p>
    <w:p>
      <w:pPr>
        <w:pStyle w:val="Normal"/>
        <w:numPr>
          <w:ilvl w:val="0"/>
          <w:numId w:val="10"/>
        </w:numPr>
        <w:spacing w:lineRule="auto" w:line="480" w:before="0" w:after="160"/>
        <w:rPr>
          <w:sz w:val="24"/>
          <w:szCs w:val="24"/>
        </w:rPr>
      </w:pPr>
      <w:r>
        <w:rPr>
          <w:sz w:val="24"/>
          <w:szCs w:val="24"/>
        </w:rPr>
        <w:t>Development of a prototype system to serve as a proof-of-concept for using a DSL in the context of market monitoring analysis</w:t>
      </w:r>
    </w:p>
    <w:p>
      <w:pPr>
        <w:pStyle w:val="Normal"/>
        <w:numPr>
          <w:ilvl w:val="0"/>
          <w:numId w:val="10"/>
        </w:numPr>
        <w:spacing w:lineRule="auto" w:line="480" w:before="0" w:after="160"/>
        <w:rPr>
          <w:sz w:val="24"/>
          <w:szCs w:val="24"/>
        </w:rPr>
      </w:pPr>
      <w:r>
        <w:rPr>
          <w:sz w:val="24"/>
          <w:szCs w:val="24"/>
        </w:rPr>
        <w:t xml:space="preserve">Develop a </w:t>
      </w:r>
      <w:r>
        <w:rPr>
          <w:i/>
          <w:iCs/>
          <w:sz w:val="24"/>
          <w:szCs w:val="24"/>
        </w:rPr>
        <w:t>traceability matrix</w:t>
      </w:r>
      <w:r>
        <w:rPr>
          <w:sz w:val="24"/>
          <w:szCs w:val="24"/>
        </w:rPr>
        <w:t xml:space="preserve"> </w:t>
      </w:r>
      <w:r>
        <w:rPr>
          <w:rFonts w:eastAsia="Calibri" w:cs="" w:cstheme="minorBidi" w:eastAsiaTheme="minorHAnsi"/>
          <w:sz w:val="24"/>
          <w:szCs w:val="24"/>
          <w:shd w:fill="FFFF00" w:val="clear"/>
          <w14:ligatures w14:val="standardContextual"/>
        </w:rPr>
        <w:t>[REF HERE]</w:t>
      </w:r>
      <w:r>
        <w:rPr>
          <w:sz w:val="24"/>
          <w:szCs w:val="24"/>
        </w:rPr>
        <w:t xml:space="preserve"> that can serve as a method of evaluation, for this system, to ensure that the prototype serves the intended functional requirements</w:t>
      </w:r>
    </w:p>
    <w:p>
      <w:pPr>
        <w:pStyle w:val="Normal"/>
        <w:numPr>
          <w:ilvl w:val="0"/>
          <w:numId w:val="10"/>
        </w:numPr>
        <w:spacing w:lineRule="auto" w:line="480" w:before="0" w:after="160"/>
        <w:rPr>
          <w:sz w:val="24"/>
          <w:szCs w:val="24"/>
        </w:rPr>
      </w:pPr>
      <w:r>
        <w:rPr>
          <w:sz w:val="24"/>
          <w:szCs w:val="24"/>
        </w:rPr>
        <w:t>A discussion of the performance of the system (as this also impacts the system’s usability)</w:t>
      </w:r>
    </w:p>
    <w:p>
      <w:pPr>
        <w:pStyle w:val="Normal"/>
        <w:spacing w:lineRule="auto" w:line="480" w:before="0" w:after="160"/>
        <w:rPr/>
      </w:pPr>
      <w:r>
        <w:rPr/>
        <w:t xml:space="preserve">These deliverables shall be joined together to form a software system (for which a domain-specific language is the primary user interface). To aid in drawing quantitative conclusions from this system, the researcher plans to develop a </w:t>
      </w:r>
      <w:r>
        <w:rPr>
          <w:i/>
          <w:iCs/>
        </w:rPr>
        <w:t>traceability matrix</w:t>
      </w:r>
      <w:r>
        <w:rP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21325" cy="6678295"/>
                <wp:effectExtent l="0" t="0" r="0" b="0"/>
                <wp:wrapSquare wrapText="bothSides"/>
                <wp:docPr id="8" name="Frame2"/>
                <a:graphic xmlns:a="http://schemas.openxmlformats.org/drawingml/2006/main">
                  <a:graphicData uri="http://schemas.microsoft.com/office/word/2010/wordprocessingShape">
                    <wps:wsp>
                      <wps:cNvSpPr/>
                      <wps:spPr>
                        <a:xfrm>
                          <a:off x="0" y="0"/>
                          <a:ext cx="5521320" cy="667836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i w:val="false"/>
                                <w:i w:val="false"/>
                                <w:iCs w:val="false"/>
                              </w:rPr>
                            </w:pPr>
                            <w:r>
                              <w:rPr/>
                              <w:drawing>
                                <wp:inline distT="0" distB="0" distL="0" distR="0">
                                  <wp:extent cx="5960745" cy="6500495"/>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5"/>
                                          <a:stretch>
                                            <a:fillRect/>
                                          </a:stretch>
                                        </pic:blipFill>
                                        <pic:spPr bwMode="auto">
                                          <a:xfrm>
                                            <a:off x="0" y="0"/>
                                            <a:ext cx="5960745" cy="6500495"/>
                                          </a:xfrm>
                                          <a:prstGeom prst="rect">
                                            <a:avLst/>
                                          </a:prstGeom>
                                        </pic:spPr>
                                      </pic:pic>
                                    </a:graphicData>
                                  </a:graphic>
                                </wp:inline>
                              </w:drawing>
                            </w:r>
                            <w:r>
                              <w:rPr>
                                <w:i w:val="false"/>
                                <w:iCs w:val="false"/>
                                <w:color w:val="000000"/>
                                <w:sz w:val="24"/>
                                <w:szCs w:val="24"/>
                              </w:rPr>
                              <w:t xml:space="preserve">Figure </w:t>
                            </w:r>
                            <w:r>
                              <w:rPr>
                                <w:i w:val="false"/>
                                <w:iCs w:val="false"/>
                                <w:color w:val="000000"/>
                                <w:sz w:val="24"/>
                                <w:szCs w:val="24"/>
                              </w:rPr>
                              <w:fldChar w:fldCharType="begin"/>
                            </w:r>
                            <w:r>
                              <w:rPr>
                                <w:sz w:val="24"/>
                                <w:i w:val="false"/>
                                <w:szCs w:val="24"/>
                                <w:iCs w:val="false"/>
                                <w:color w:val="000000"/>
                              </w:rPr>
                              <w:instrText xml:space="preserve"> SEQ Figure \* ARABIC </w:instrText>
                            </w:r>
                            <w:r>
                              <w:rPr>
                                <w:sz w:val="24"/>
                                <w:i w:val="false"/>
                                <w:szCs w:val="24"/>
                                <w:iCs w:val="false"/>
                                <w:color w:val="000000"/>
                              </w:rPr>
                              <w:fldChar w:fldCharType="separate"/>
                            </w:r>
                            <w:r>
                              <w:rPr>
                                <w:sz w:val="24"/>
                                <w:i w:val="false"/>
                                <w:szCs w:val="24"/>
                                <w:iCs w:val="false"/>
                                <w:color w:val="000000"/>
                              </w:rPr>
                              <w:t>6</w:t>
                            </w:r>
                            <w:r>
                              <w:rPr>
                                <w:sz w:val="24"/>
                                <w:i w:val="false"/>
                                <w:szCs w:val="24"/>
                                <w:iCs w:val="false"/>
                                <w:color w:val="000000"/>
                              </w:rPr>
                              <w:fldChar w:fldCharType="end"/>
                            </w:r>
                            <w:r>
                              <w:rPr>
                                <w:i w:val="false"/>
                                <w:iCs w:val="false"/>
                                <w:color w:val="000000"/>
                                <w:sz w:val="24"/>
                                <w:szCs w:val="24"/>
                              </w:rPr>
                              <w:t>: Flowchart of Project Deliverables</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16.6pt;margin-top:0.05pt;width:434.7pt;height:525.8pt;mso-wrap-style:square;v-text-anchor:top;mso-position-horizontal:center">
                <v:fill o:detectmouseclick="t" type="solid" color2="black"/>
                <v:stroke color="#3465a4" joinstyle="round" endcap="flat"/>
                <v:textbox>
                  <w:txbxContent>
                    <w:p>
                      <w:pPr>
                        <w:pStyle w:val="Figure"/>
                        <w:spacing w:before="0" w:after="200"/>
                        <w:jc w:val="center"/>
                        <w:rPr>
                          <w:i w:val="false"/>
                          <w:i w:val="false"/>
                          <w:iCs w:val="false"/>
                        </w:rPr>
                      </w:pPr>
                      <w:r>
                        <w:rPr/>
                        <w:drawing>
                          <wp:inline distT="0" distB="0" distL="0" distR="0">
                            <wp:extent cx="5960745" cy="6500495"/>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6"/>
                                    <a:stretch>
                                      <a:fillRect/>
                                    </a:stretch>
                                  </pic:blipFill>
                                  <pic:spPr bwMode="auto">
                                    <a:xfrm>
                                      <a:off x="0" y="0"/>
                                      <a:ext cx="5960745" cy="6500495"/>
                                    </a:xfrm>
                                    <a:prstGeom prst="rect">
                                      <a:avLst/>
                                    </a:prstGeom>
                                  </pic:spPr>
                                </pic:pic>
                              </a:graphicData>
                            </a:graphic>
                          </wp:inline>
                        </w:drawing>
                      </w:r>
                      <w:r>
                        <w:rPr>
                          <w:i w:val="false"/>
                          <w:iCs w:val="false"/>
                          <w:color w:val="000000"/>
                          <w:sz w:val="24"/>
                          <w:szCs w:val="24"/>
                        </w:rPr>
                        <w:t xml:space="preserve">Figure </w:t>
                      </w:r>
                      <w:r>
                        <w:rPr>
                          <w:i w:val="false"/>
                          <w:iCs w:val="false"/>
                          <w:color w:val="000000"/>
                          <w:sz w:val="24"/>
                          <w:szCs w:val="24"/>
                        </w:rPr>
                        <w:fldChar w:fldCharType="begin"/>
                      </w:r>
                      <w:r>
                        <w:rPr>
                          <w:sz w:val="24"/>
                          <w:i w:val="false"/>
                          <w:szCs w:val="24"/>
                          <w:iCs w:val="false"/>
                          <w:color w:val="000000"/>
                        </w:rPr>
                        <w:instrText xml:space="preserve"> SEQ Figure \* ARABIC </w:instrText>
                      </w:r>
                      <w:r>
                        <w:rPr>
                          <w:sz w:val="24"/>
                          <w:i w:val="false"/>
                          <w:szCs w:val="24"/>
                          <w:iCs w:val="false"/>
                          <w:color w:val="000000"/>
                        </w:rPr>
                        <w:fldChar w:fldCharType="separate"/>
                      </w:r>
                      <w:r>
                        <w:rPr>
                          <w:sz w:val="24"/>
                          <w:i w:val="false"/>
                          <w:szCs w:val="24"/>
                          <w:iCs w:val="false"/>
                          <w:color w:val="000000"/>
                        </w:rPr>
                        <w:t>6</w:t>
                      </w:r>
                      <w:r>
                        <w:rPr>
                          <w:sz w:val="24"/>
                          <w:i w:val="false"/>
                          <w:szCs w:val="24"/>
                          <w:iCs w:val="false"/>
                          <w:color w:val="000000"/>
                        </w:rPr>
                        <w:fldChar w:fldCharType="end"/>
                      </w:r>
                      <w:r>
                        <w:rPr>
                          <w:i w:val="false"/>
                          <w:iCs w:val="false"/>
                          <w:color w:val="000000"/>
                          <w:sz w:val="24"/>
                          <w:szCs w:val="24"/>
                        </w:rPr>
                        <w:t>: Flowchart of Project Deliverables</w:t>
                      </w:r>
                    </w:p>
                  </w:txbxContent>
                </v:textbox>
                <w10:wrap type="square"/>
              </v:rect>
            </w:pict>
          </mc:Fallback>
        </mc:AlternateContent>
      </w:r>
      <w:r>
        <w:rPr/>
        <w:t xml:space="preserve"> from the requirements contained in the functional requirements document (FRD). This matrix will be joined to the test cases (TC) that are crafted directly from the requirements in the FRD.</w:t>
      </w:r>
    </w:p>
    <w:p>
      <w:pPr>
        <w:pStyle w:val="Normal"/>
        <w:spacing w:lineRule="auto" w:line="480" w:before="0" w:after="160"/>
        <w:rPr/>
      </w:pPr>
      <w:r>
        <w:rPr/>
        <w:tab/>
        <w:t xml:space="preserve">There is precedent for the use of a traceability matrix when evaluating prototypical software. Ye utilized this approach in A Positive Data Control System for the Automation of Data Governance Functions. Ye’s research identified a table of ten (10) system conditions that should be considered in the development of a data control system </w:t>
      </w:r>
      <w:r>
        <w:rPr>
          <w:rFonts w:eastAsia="Calibri" w:cs="" w:cstheme="minorBidi" w:eastAsiaTheme="minorHAnsi"/>
          <w:shd w:fill="FFFF00" w:val="clear"/>
          <w14:ligatures w14:val="standardContextual"/>
        </w:rPr>
        <w:t>[REF HERE]</w:t>
      </w:r>
      <w:r>
        <w:rPr/>
        <w:t>. Ye then evaluated this prototype to determine how closely the artifact conformed to those requirements.</w:t>
      </w:r>
    </w:p>
    <w:p>
      <w:pPr>
        <w:pStyle w:val="Normal"/>
        <w:spacing w:lineRule="auto" w:line="480" w:before="0" w:after="160"/>
        <w:rPr/>
      </w:pPr>
      <w:r>
        <w:rPr/>
        <w:tab/>
        <w:t xml:space="preserve">Such a scheme for system evaluation is advantageous because it helps to calculate overall system scores – which are useful when determining if such a software application meets the needs of the intended user base. These scores are often used in data quality settings where quality is gauged on a percentage basis. As an example, a metric that may be computed while evaluating the proof-of-concept system is a </w:t>
      </w:r>
      <w:r>
        <w:rPr>
          <w:i/>
          <w:iCs/>
        </w:rPr>
        <w:t xml:space="preserve">conformance score </w:t>
      </w:r>
      <w:r>
        <w:rPr>
          <w:i w:val="false"/>
          <w:iCs w:val="false"/>
        </w:rPr>
        <w:t>of the number of test cases that pass for a given requirement (e.g. requirement ID R1.0.0). This example is illustrated by the following equation:</w:t>
      </w:r>
    </w:p>
    <w:p>
      <w:pPr>
        <w:pStyle w:val="Normal"/>
        <w:spacing w:lineRule="auto" w:line="480" w:before="0" w:after="160"/>
        <w:jc w:val="center"/>
        <w:rPr>
          <w:i w:val="false"/>
          <w:i w:val="false"/>
          <w:iCs w:val="false"/>
        </w:rPr>
      </w:pPr>
      <w:r>
        <w:rPr>
          <w:i w:val="false"/>
          <w:iCs w:val="false"/>
        </w:rPr>
        <w:t>CONFORMANCE SCORE FORMULA GOES HERE</w:t>
      </w:r>
    </w:p>
    <w:p>
      <w:pPr>
        <w:pStyle w:val="Normal"/>
        <w:spacing w:lineRule="auto" w:line="480" w:before="0" w:after="160"/>
        <w:jc w:val="left"/>
        <w:rPr>
          <w:i w:val="false"/>
          <w:i w:val="false"/>
          <w:iCs w:val="false"/>
        </w:rPr>
      </w:pPr>
      <w:r>
        <w:rPr>
          <w:i w:val="false"/>
          <w:iCs w:val="false"/>
        </w:rPr>
        <w:tab/>
        <w:t xml:space="preserve">Another possible evaluation score is the number of test cycles completed to ensure that all test cases pass for a specific requirement. This evaluation scheme is also helpful because the researcher can justify why a given requirement may have changed (or been removed) during the design and development phases of this research. This traceability matrix is intended to be completed in concert with the requirements document, which is ultimately dependent on the completion of the Delphi study. </w:t>
      </w:r>
    </w:p>
    <w:p>
      <w:pPr>
        <w:pStyle w:val="Heading2"/>
        <w:rPr/>
      </w:pPr>
      <w:r>
        <w:rPr/>
        <w:t>Requirements Solicitation via Delphi Study</w:t>
      </w:r>
    </w:p>
    <w:p>
      <w:pPr>
        <w:pStyle w:val="Normal"/>
        <w:spacing w:lineRule="auto" w:line="480" w:before="0" w:after="160"/>
        <w:jc w:val="left"/>
        <w:rPr>
          <w:i w:val="false"/>
          <w:i w:val="false"/>
          <w:iCs w:val="false"/>
        </w:rPr>
      </w:pPr>
      <w:r>
        <w:rPr>
          <w:i w:val="false"/>
          <w:iCs w:val="false"/>
        </w:rPr>
        <w:tab/>
        <w:t>As was previously discussed in this research, energy market monitoring is a niche industry. While data analytics is a common practice across most industries, there are undoubtedly analysis concepts that are unique to the practices of market monitors. It follows that the sensible way to design a language, one that is usable to market monitors, is to solicit the requirements from the users themselves. This technique is advantageous for several reasons:</w:t>
      </w:r>
    </w:p>
    <w:p>
      <w:pPr>
        <w:pStyle w:val="Normal"/>
        <w:numPr>
          <w:ilvl w:val="0"/>
          <w:numId w:val="11"/>
        </w:numPr>
        <w:spacing w:lineRule="auto" w:line="480" w:before="0" w:after="160"/>
        <w:jc w:val="left"/>
        <w:rPr>
          <w:i w:val="false"/>
          <w:i w:val="false"/>
          <w:iCs w:val="false"/>
        </w:rPr>
      </w:pPr>
      <w:r>
        <w:rPr>
          <w:i w:val="false"/>
          <w:iCs w:val="false"/>
        </w:rPr>
        <w:t>Users often think about what tools and techniques would make their jobs more efficient to perform</w:t>
      </w:r>
    </w:p>
    <w:p>
      <w:pPr>
        <w:pStyle w:val="Normal"/>
        <w:numPr>
          <w:ilvl w:val="0"/>
          <w:numId w:val="11"/>
        </w:numPr>
        <w:spacing w:lineRule="auto" w:line="480" w:before="0" w:after="160"/>
        <w:jc w:val="left"/>
        <w:rPr>
          <w:i w:val="false"/>
          <w:i w:val="false"/>
          <w:iCs w:val="false"/>
        </w:rPr>
      </w:pPr>
      <w:r>
        <w:rPr>
          <w:i w:val="false"/>
          <w:iCs w:val="false"/>
        </w:rPr>
        <w:t>In market monitoring, users most likely range in levels of experience, ensuring that the resulting system design is approachable and useful to analysts at different levels of expertise</w:t>
      </w:r>
    </w:p>
    <w:p>
      <w:pPr>
        <w:pStyle w:val="Normal"/>
        <w:numPr>
          <w:ilvl w:val="0"/>
          <w:numId w:val="11"/>
        </w:numPr>
        <w:spacing w:lineRule="auto" w:line="480" w:before="0" w:after="160"/>
        <w:jc w:val="left"/>
        <w:rPr>
          <w:i w:val="false"/>
          <w:i w:val="false"/>
          <w:iCs w:val="false"/>
        </w:rPr>
      </w:pPr>
      <w:r>
        <w:rPr>
          <w:i w:val="false"/>
          <w:iCs w:val="false"/>
        </w:rPr>
        <w:t>Given that the language (and associated tooling) shall help aid with on-boarding and knowledge transition for new employees, it is important to identify what issues current market monitors encounter when on-boarding new employees</w:t>
      </w:r>
    </w:p>
    <w:p>
      <w:pPr>
        <w:pStyle w:val="Heading3"/>
        <w:rPr/>
      </w:pPr>
      <w:r>
        <w:rPr/>
        <w:t>Study Design</w:t>
      </w:r>
    </w:p>
    <w:p>
      <w:pPr>
        <w:pStyle w:val="Normal"/>
        <w:rPr/>
      </w:pPr>
      <w:r>
        <w:rPr/>
        <w:tab/>
      </w:r>
      <w:r>
        <w:rPr/>
        <w:t>To effectuate the process of prompting the users for system requirements, the researcher chose to proctor a Delphi study – recruiting any member of the market monitoring community that wished to participate and share their thoughts.</w:t>
      </w:r>
    </w:p>
    <w:p>
      <w:pPr>
        <w:pStyle w:val="Normal"/>
        <w:rPr/>
      </w:pPr>
      <w:r>
        <w:rPr/>
        <w:tab/>
        <w:t xml:space="preserve">The researcher opened recruitment for this expert panel to the Energy Intermarket </w:t>
      </w:r>
      <w:r>
        <w:rPr/>
        <w:t>S</w:t>
      </w:r>
      <w:r>
        <w:rPr/>
        <w:t>urveil</w:t>
      </w:r>
      <w:r>
        <w:rPr/>
        <w:t xml:space="preserve">lance Group (EISG), a professional governing body of market monitors from around the globe. Parameters for recruitment into the Delphi study expert panel include the following: </w:t>
      </w:r>
    </w:p>
    <w:p>
      <w:pPr>
        <w:pStyle w:val="Normal"/>
        <w:numPr>
          <w:ilvl w:val="0"/>
          <w:numId w:val="12"/>
        </w:numPr>
        <w:rPr/>
      </w:pPr>
      <w:r>
        <w:rPr/>
        <w:t>Participants must be over the age of 18</w:t>
      </w:r>
    </w:p>
    <w:p>
      <w:pPr>
        <w:pStyle w:val="Normal"/>
        <w:numPr>
          <w:ilvl w:val="0"/>
          <w:numId w:val="12"/>
        </w:numPr>
        <w:rPr/>
      </w:pPr>
      <w:r>
        <w:rPr/>
        <w:t>Participants must be a member of the EISG</w:t>
      </w:r>
      <w:r>
        <w:rPr>
          <w:rStyle w:val="FootnoteReference"/>
        </w:rPr>
        <w:footnoteReference w:id="35"/>
      </w:r>
    </w:p>
    <w:p>
      <w:pPr>
        <w:pStyle w:val="Normal"/>
        <w:rPr/>
      </w:pPr>
      <w:r>
        <w:rPr/>
        <w:tab/>
        <w:t>By identifying these parameters, the researcher can maintain a baseline of relevance. This helps to ensure that the survey questions posed in this study are answered by the same individuals that may (potentially) use such an analysis system. Before administering any questions (and before beginning recruitment) the researcher developed an investigation protocol and submitted the protocol in its entirety to the UA Little Rock Institutional Review Board</w:t>
      </w:r>
      <w:r>
        <w:rPr>
          <w:rStyle w:val="FootnoteReference"/>
        </w:rPr>
        <w:footnoteReference w:id="36"/>
      </w:r>
      <w:r>
        <w:rPr/>
        <w:t xml:space="preserve"> (IRB). The IRB classified this Delphi study as human participant research. A link to the research protocol and the waiver of informed consent (provided to the panelists) is included in a GitHub repository, maintained by the researcher, at the following address: </w:t>
      </w:r>
      <w:hyperlink r:id="rId17">
        <w:r>
          <w:rPr>
            <w:rStyle w:val="Hyperlink"/>
          </w:rPr>
          <w:t>https://github.com/echarlesgrasby/dissertation/blob/master/ext/Delphi_WaiverInformedConsent_Grasby.pdf</w:t>
        </w:r>
      </w:hyperlink>
    </w:p>
    <w:p>
      <w:pPr>
        <w:pStyle w:val="Heading3"/>
        <w:rPr/>
      </w:pPr>
      <w:r>
        <w:rPr/>
        <w:t>Study Conduct</w:t>
      </w:r>
    </w:p>
    <w:p>
      <w:pPr>
        <w:pStyle w:val="Normal"/>
        <w:rPr/>
      </w:pPr>
      <w:r>
        <w:rPr/>
        <w:tab/>
      </w:r>
      <w:r>
        <w:rPr/>
        <w:t>The study was conducted in two (2) rounds, where a “round” corresponds to a list of survey-style questions that were provided to the panelists. The questions included a mix of free-form text response questions, multiple choice questions, and questions provided in a Likert-style format. The questions were crafted and stored in Google Forms surveys (using UA Little Rock’s managed Google productivity suite) and “responder-ready” links were provided to the panelists via email.</w:t>
      </w:r>
    </w:p>
    <w:p>
      <w:pPr>
        <w:pStyle w:val="Normal"/>
        <w:rPr/>
      </w:pPr>
      <w:r>
        <w:rPr/>
        <w:tab/>
      </w:r>
      <w:r>
        <w:rPr/>
        <w:t xml:space="preserve">The initial link was sent to the entire EISG population and members were provided with a “cut-off” time to provide their responses (at which point, round 1 was considered closed and no new responses were accepted). Participants who provided responses before the cut-off date constituted the Delphi panel. At the end of the first round, the EISG had a confirmed registration of 131 members; </w:t>
      </w:r>
      <w:r>
        <w:rPr/>
        <w:t xml:space="preserve">this Delphi panel consisted of 19 participants. This yielded a response rate of </w:t>
      </w:r>
      <w:r>
        <w:rPr>
          <w:i/>
          <w:iCs/>
        </w:rPr>
        <w:t>19/131 (</w:t>
      </w:r>
      <w:r>
        <w:rPr>
          <w:i w:val="false"/>
          <w:iCs w:val="false"/>
        </w:rPr>
        <w:t xml:space="preserve">roughly a </w:t>
      </w:r>
      <w:r>
        <w:rPr>
          <w:b/>
          <w:bCs/>
          <w:i w:val="false"/>
          <w:iCs w:val="false"/>
        </w:rPr>
        <w:t>15% response rate</w:t>
      </w:r>
      <w:r>
        <w:rPr>
          <w:b w:val="false"/>
          <w:bCs w:val="false"/>
          <w:i w:val="false"/>
          <w:iCs w:val="false"/>
        </w:rPr>
        <w:t>) for the first round of the study.</w:t>
      </w:r>
      <w:r>
        <w:br w:type="page"/>
      </w:r>
    </w:p>
    <w:p>
      <w:pPr>
        <w:pStyle w:val="Heading1"/>
        <w:spacing w:before="0" w:after="0"/>
        <w:rPr/>
      </w:pPr>
      <w:bookmarkStart w:id="77" w:name="__RefHeading___Toc2350_401063098"/>
      <w:bookmarkStart w:id="78" w:name="_Toc217395618"/>
      <w:bookmarkEnd w:id="77"/>
      <w:r>
        <w:rPr/>
        <w:t xml:space="preserve">Chapter 4: </w:t>
      </w:r>
      <w:bookmarkEnd w:id="78"/>
      <w:r>
        <w:rPr/>
        <w:t>Proof-of-Concept Prototype Development</w:t>
      </w:r>
    </w:p>
    <w:p>
      <w:pPr>
        <w:pStyle w:val="Normal"/>
        <w:spacing w:lineRule="auto" w:line="259" w:before="0" w:after="160"/>
        <w:rPr/>
      </w:pPr>
      <w:r>
        <w:rPr/>
        <w:t>Placeholder</w:t>
      </w:r>
    </w:p>
    <w:p>
      <w:pPr>
        <w:pStyle w:val="Normal"/>
        <w:spacing w:lineRule="auto" w:line="259" w:before="0" w:after="160"/>
        <w:rPr/>
      </w:pPr>
      <w:r>
        <w:rPr/>
      </w:r>
      <w:r>
        <w:br w:type="page"/>
      </w:r>
    </w:p>
    <w:p>
      <w:pPr>
        <w:pStyle w:val="Heading1"/>
        <w:spacing w:before="0" w:after="0"/>
        <w:rPr/>
      </w:pPr>
      <w:bookmarkStart w:id="79" w:name="__RefHeading___Toc2745_401063098"/>
      <w:bookmarkEnd w:id="79"/>
      <w:r>
        <w:rPr/>
        <w:t>Chapter 5: System Evaluation</w:t>
      </w:r>
    </w:p>
    <w:p>
      <w:pPr>
        <w:pStyle w:val="Normal"/>
        <w:spacing w:lineRule="auto" w:line="259" w:before="0" w:after="160"/>
        <w:rPr/>
      </w:pPr>
      <w:r>
        <w:rPr/>
        <w:t>Placeholder</w:t>
      </w:r>
    </w:p>
    <w:p>
      <w:pPr>
        <w:pStyle w:val="Normal"/>
        <w:spacing w:lineRule="auto" w:line="259" w:before="0" w:after="160"/>
        <w:rPr/>
      </w:pPr>
      <w:r>
        <w:rPr/>
      </w:r>
      <w:r>
        <w:br w:type="page"/>
      </w:r>
    </w:p>
    <w:p>
      <w:pPr>
        <w:pStyle w:val="Heading1"/>
        <w:spacing w:before="0" w:after="0"/>
        <w:rPr/>
      </w:pPr>
      <w:bookmarkStart w:id="80" w:name="__RefHeading___Toc2747_401063098"/>
      <w:bookmarkEnd w:id="80"/>
      <w:r>
        <w:rPr/>
        <w:t>Chapter 6: Conclusion and Future Work</w:t>
      </w:r>
    </w:p>
    <w:p>
      <w:pPr>
        <w:pStyle w:val="Normal"/>
        <w:spacing w:lineRule="auto" w:line="259" w:before="0" w:after="160"/>
        <w:rPr/>
      </w:pPr>
      <w:r>
        <w:rPr/>
        <w:t>Placeholder</w:t>
      </w:r>
      <w:r>
        <w:br w:type="page"/>
      </w:r>
    </w:p>
    <w:sdt>
      <w:sdtPr>
        <w:docPartObj>
          <w:docPartGallery w:val="Bibliographies"/>
          <w:docPartUnique w:val="true"/>
        </w:docPartObj>
      </w:sdtPr>
      <w:sdtContent>
        <w:p>
          <w:pPr>
            <w:pStyle w:val="Heading1"/>
            <w:spacing w:before="0" w:after="0"/>
            <w:rPr/>
          </w:pPr>
          <w:bookmarkStart w:id="81" w:name="__RefHeading___Toc2352_401063098"/>
          <w:bookmarkStart w:id="82" w:name="_Toc217395619"/>
          <w:bookmarkStart w:id="83" w:name="_Toc217378807"/>
          <w:bookmarkEnd w:id="81"/>
          <w:r>
            <w:rPr/>
            <w:t>References</w:t>
          </w:r>
          <w:bookmarkEnd w:id="82"/>
          <w:bookmarkEnd w:id="83"/>
        </w:p>
        <w:p>
          <w:pPr>
            <w:pStyle w:val="Normal"/>
            <w:rPr>
              <w:rFonts w:ascii="Calibri" w:hAnsi="Calibri" w:asciiTheme="minorHAnsi" w:hAnsiTheme="minorHAnsi"/>
            </w:rPr>
          </w:pPr>
          <w:r>
            <w:fldChar w:fldCharType="begin"/>
          </w:r>
          <w:r>
            <w:rPr>
              <w:rFonts w:ascii="Calibri" w:hAnsi="Calibri"/>
            </w:rPr>
            <w:instrText xml:space="preserve"> BIBLIOGRAPHY </w:instrText>
          </w:r>
          <w:r>
            <w:rPr>
              <w:rFonts w:ascii="Calibri" w:hAnsi="Calibri"/>
            </w:rPr>
            <w:fldChar w:fldCharType="separate"/>
          </w:r>
          <w:r>
            <w:rPr>
              <w:rFonts w:asciiTheme="minorHAnsi" w:hAnsiTheme="minorHAnsi" w:ascii="Calibri" w:hAnsi="Calibri"/>
            </w:rPr>
          </w:r>
        </w:p>
      </w:sdtContent>
    </w:sdt>
    <w:tbl>
      <w:tblPr>
        <w:tblW w:w="9923" w:type="dxa"/>
        <w:jc w:val="left"/>
        <w:tblInd w:w="-300" w:type="dxa"/>
        <w:tblLayout w:type="fixed"/>
        <w:tblCellMar>
          <w:top w:w="15" w:type="dxa"/>
          <w:left w:w="15" w:type="dxa"/>
          <w:bottom w:w="15" w:type="dxa"/>
          <w:right w:w="15" w:type="dxa"/>
        </w:tblCellMar>
        <w:tblLook w:val="04a0" w:noHBand="0" w:noVBand="1" w:firstColumn="1" w:lastRow="0" w:lastColumn="0" w:firstRow="1"/>
      </w:tblPr>
      <w:tblGrid>
        <w:gridCol w:w="673"/>
        <w:gridCol w:w="9249"/>
      </w:tblGrid>
      <w:tr>
        <w:trPr/>
        <w:tc>
          <w:tcPr>
            <w:tcW w:w="673" w:type="dxa"/>
            <w:tcBorders/>
          </w:tcPr>
          <w:p>
            <w:pPr>
              <w:pStyle w:val="Bibliography"/>
              <w:rPr>
                <w:kern w:val="0"/>
                <w:sz w:val="24"/>
                <w:szCs w:val="24"/>
                <w14:ligatures w14:val="none"/>
              </w:rPr>
            </w:pPr>
            <w:r>
              <w:rPr/>
              <w:t>[1]</w:t>
            </w:r>
          </w:p>
        </w:tc>
        <w:tc>
          <w:tcPr>
            <w:tcW w:w="9249" w:type="dxa"/>
            <w:tcBorders/>
          </w:tcPr>
          <w:p>
            <w:pPr>
              <w:pStyle w:val="Bibliography"/>
              <w:rPr/>
            </w:pPr>
            <w:r>
              <w:rPr/>
              <w:t>FERC, "An Introductory Guide to Electricity Markets regulated by the Federal Energy Regulatory Commission," Federal Energy Regulatory Commission, [Online]. Available: https://www.ferc.gov/introductory-guide-electricity-markets-regulated-federal-energy-regulatory-commission. [Accessed 18 11 2024].</w:t>
            </w:r>
          </w:p>
        </w:tc>
      </w:tr>
      <w:tr>
        <w:trPr/>
        <w:tc>
          <w:tcPr>
            <w:tcW w:w="673" w:type="dxa"/>
            <w:tcBorders/>
          </w:tcPr>
          <w:p>
            <w:pPr>
              <w:pStyle w:val="Bibliography"/>
              <w:rPr/>
            </w:pPr>
            <w:r>
              <w:rPr/>
              <w:t>[2]</w:t>
            </w:r>
          </w:p>
        </w:tc>
        <w:tc>
          <w:tcPr>
            <w:tcW w:w="9249" w:type="dxa"/>
            <w:tcBorders/>
          </w:tcPr>
          <w:p>
            <w:pPr>
              <w:pStyle w:val="Bibliography"/>
              <w:rPr/>
            </w:pPr>
            <w:r>
              <w:rPr/>
              <w:t>N. Stenvig, "Exploring the world's largest machine," Oak Ridge National Laboratory, [Online]. Available: https://www.ornl.gov/blog/nils-stenvig-exploring-worlds-largest-machine. [Accessed 01 11 2024].</w:t>
            </w:r>
          </w:p>
        </w:tc>
      </w:tr>
      <w:tr>
        <w:trPr/>
        <w:tc>
          <w:tcPr>
            <w:tcW w:w="673" w:type="dxa"/>
            <w:tcBorders/>
          </w:tcPr>
          <w:p>
            <w:pPr>
              <w:pStyle w:val="Bibliography"/>
              <w:rPr/>
            </w:pPr>
            <w:r>
              <w:rPr/>
              <w:t>[3]</w:t>
            </w:r>
          </w:p>
        </w:tc>
        <w:tc>
          <w:tcPr>
            <w:tcW w:w="9249" w:type="dxa"/>
            <w:tcBorders/>
          </w:tcPr>
          <w:p>
            <w:pPr>
              <w:pStyle w:val="Bibliography"/>
              <w:rPr/>
            </w:pPr>
            <w:r>
              <w:rPr/>
              <w:t>SPP Market Monitoring Unit, "2020 Annual State of the Market Report," 2021. [Online]. Available: https://www.spp.org/documents/65161/2020%20annual%20state%20of%20the%20market%20report.pdf. [Accessed 09 04 2024].</w:t>
            </w:r>
          </w:p>
        </w:tc>
      </w:tr>
      <w:tr>
        <w:trPr/>
        <w:tc>
          <w:tcPr>
            <w:tcW w:w="673" w:type="dxa"/>
            <w:tcBorders/>
          </w:tcPr>
          <w:p>
            <w:pPr>
              <w:pStyle w:val="Bibliography"/>
              <w:rPr/>
            </w:pPr>
            <w:r>
              <w:rPr/>
              <w:t>[4]</w:t>
            </w:r>
          </w:p>
        </w:tc>
        <w:tc>
          <w:tcPr>
            <w:tcW w:w="9249" w:type="dxa"/>
            <w:tcBorders/>
          </w:tcPr>
          <w:p>
            <w:pPr>
              <w:pStyle w:val="Bibliography"/>
              <w:rPr/>
            </w:pPr>
            <w:r>
              <w:rPr/>
              <w:t>SPP Market Monitoring Unit, "2021 Annual State of the Market Report," 2022. [Online]. Available: https://www.spp.org/documents/67104/2021%20annual%20state%20of%20the%20market%20report.pdf. [Accessed 09 04 2025].</w:t>
            </w:r>
          </w:p>
        </w:tc>
      </w:tr>
      <w:tr>
        <w:trPr/>
        <w:tc>
          <w:tcPr>
            <w:tcW w:w="673" w:type="dxa"/>
            <w:tcBorders/>
          </w:tcPr>
          <w:p>
            <w:pPr>
              <w:pStyle w:val="Bibliography"/>
              <w:rPr/>
            </w:pPr>
            <w:r>
              <w:rPr/>
              <w:t>[5]</w:t>
            </w:r>
          </w:p>
        </w:tc>
        <w:tc>
          <w:tcPr>
            <w:tcW w:w="9249" w:type="dxa"/>
            <w:tcBorders/>
          </w:tcPr>
          <w:p>
            <w:pPr>
              <w:pStyle w:val="Bibliography"/>
              <w:rPr/>
            </w:pPr>
            <w:r>
              <w:rPr/>
              <w:t>SPP Market Monitoring Unit, "2022 Annual State of the Market Report," 2023. [Online]. Available: https://www.spp.org/documents/69330/2022%20annual%20state%20of%20the%20market%20report.pdf. [Accessed 09 04 2024].</w:t>
            </w:r>
          </w:p>
        </w:tc>
      </w:tr>
      <w:tr>
        <w:trPr/>
        <w:tc>
          <w:tcPr>
            <w:tcW w:w="673" w:type="dxa"/>
            <w:tcBorders/>
          </w:tcPr>
          <w:p>
            <w:pPr>
              <w:pStyle w:val="Bibliography"/>
              <w:rPr/>
            </w:pPr>
            <w:r>
              <w:rPr/>
              <w:t>[6]</w:t>
            </w:r>
          </w:p>
        </w:tc>
        <w:tc>
          <w:tcPr>
            <w:tcW w:w="9249" w:type="dxa"/>
            <w:tcBorders/>
          </w:tcPr>
          <w:p>
            <w:pPr>
              <w:pStyle w:val="Bibliography"/>
              <w:rPr/>
            </w:pPr>
            <w:r>
              <w:rPr/>
              <w:t>SPP Market Monitoring Unit, "2023 State of the Market Report," 2024. [Online]. Available: https://www.spp.org/documents/71645/2023%20annual%20state%20of%20the%20market%20report%20v2.pdf. [Accessed 09 04 2025].</w:t>
            </w:r>
          </w:p>
        </w:tc>
      </w:tr>
      <w:tr>
        <w:trPr/>
        <w:tc>
          <w:tcPr>
            <w:tcW w:w="673" w:type="dxa"/>
            <w:tcBorders/>
          </w:tcPr>
          <w:p>
            <w:pPr>
              <w:pStyle w:val="Bibliography"/>
              <w:rPr/>
            </w:pPr>
            <w:r>
              <w:rPr/>
              <w:t>[7]</w:t>
            </w:r>
          </w:p>
        </w:tc>
        <w:tc>
          <w:tcPr>
            <w:tcW w:w="9249" w:type="dxa"/>
            <w:tcBorders/>
          </w:tcPr>
          <w:p>
            <w:pPr>
              <w:pStyle w:val="Bibliography"/>
              <w:rPr/>
            </w:pPr>
            <w:r>
              <w:rPr/>
              <w:t>A. Devasia, "Everything You Need to Know about NERC CIP Compliance," Safe and Sound Security, 26 9 2023. [Online]. Available: https://getsafeandsound.com/blog/what-is-nerc-cip-certification/. [Accessed 01 11 2024].</w:t>
            </w:r>
          </w:p>
        </w:tc>
      </w:tr>
      <w:tr>
        <w:trPr/>
        <w:tc>
          <w:tcPr>
            <w:tcW w:w="673" w:type="dxa"/>
            <w:tcBorders/>
          </w:tcPr>
          <w:p>
            <w:pPr>
              <w:pStyle w:val="Bibliography"/>
              <w:rPr/>
            </w:pPr>
            <w:r>
              <w:rPr/>
              <w:t>[8]</w:t>
            </w:r>
          </w:p>
        </w:tc>
        <w:tc>
          <w:tcPr>
            <w:tcW w:w="9249" w:type="dxa"/>
            <w:tcBorders/>
          </w:tcPr>
          <w:p>
            <w:pPr>
              <w:pStyle w:val="Bibliography"/>
              <w:rPr/>
            </w:pPr>
            <w:r>
              <w:rPr/>
              <w:t>U.S. Department of Energy, "How it Works: The Role of a Balancing Authority," 08 2023. [Online]. Available: https://www.energy.gov/sites/default/files/2023-08/Balancing%20Authority%20Backgrounder_2022-Formatted_041723_508.pdf. [Accessed 19 03 2025].</w:t>
            </w:r>
          </w:p>
        </w:tc>
      </w:tr>
      <w:tr>
        <w:trPr/>
        <w:tc>
          <w:tcPr>
            <w:tcW w:w="673" w:type="dxa"/>
            <w:tcBorders/>
          </w:tcPr>
          <w:p>
            <w:pPr>
              <w:pStyle w:val="Bibliography"/>
              <w:rPr/>
            </w:pPr>
            <w:r>
              <w:rPr/>
              <w:t>[9]</w:t>
            </w:r>
          </w:p>
        </w:tc>
        <w:tc>
          <w:tcPr>
            <w:tcW w:w="9249" w:type="dxa"/>
            <w:tcBorders/>
          </w:tcPr>
          <w:p>
            <w:pPr>
              <w:pStyle w:val="Bibliography"/>
              <w:rPr/>
            </w:pPr>
            <w:r>
              <w:rPr/>
              <w:t>National Renewable Energy Laboratory (NREL), "Explained: Causes of Three Recent Major Blackouts and What is Being Done in Response," [Online]. Available: https://www.nrel.gov/docs/fy24osti/87308.pdf. [Accessed 01 04 2025].</w:t>
            </w:r>
          </w:p>
        </w:tc>
      </w:tr>
      <w:tr>
        <w:trPr/>
        <w:tc>
          <w:tcPr>
            <w:tcW w:w="673" w:type="dxa"/>
            <w:tcBorders/>
          </w:tcPr>
          <w:p>
            <w:pPr>
              <w:pStyle w:val="Bibliography"/>
              <w:rPr/>
            </w:pPr>
            <w:r>
              <w:rPr/>
              <w:t>[10]</w:t>
            </w:r>
          </w:p>
        </w:tc>
        <w:tc>
          <w:tcPr>
            <w:tcW w:w="9249" w:type="dxa"/>
            <w:tcBorders/>
          </w:tcPr>
          <w:p>
            <w:pPr>
              <w:pStyle w:val="Bibliography"/>
              <w:rPr/>
            </w:pPr>
            <w:r>
              <w:rPr/>
              <w:t>Federal Energy Regulatory Commission, "Electric Power Markets | Federal Energy Regulatory Commission," Federal Energy Regulatory Commission, [Online]. Available: https://www.ferc.gov/electric-power-markets. [Accessed 01 11 2024].</w:t>
            </w:r>
          </w:p>
        </w:tc>
      </w:tr>
      <w:tr>
        <w:trPr/>
        <w:tc>
          <w:tcPr>
            <w:tcW w:w="673" w:type="dxa"/>
            <w:tcBorders/>
          </w:tcPr>
          <w:p>
            <w:pPr>
              <w:pStyle w:val="Bibliography"/>
              <w:rPr/>
            </w:pPr>
            <w:r>
              <w:rPr/>
              <w:t>[11]</w:t>
            </w:r>
          </w:p>
        </w:tc>
        <w:tc>
          <w:tcPr>
            <w:tcW w:w="9249" w:type="dxa"/>
            <w:tcBorders/>
          </w:tcPr>
          <w:p>
            <w:pPr>
              <w:pStyle w:val="Bibliography"/>
              <w:rPr/>
            </w:pPr>
            <w:r>
              <w:rPr/>
              <w:t>National Renewable Energy Labs (NREL), "National transmission analysis maps next chapter of US grid evolution," National Renewable Energy Laboratory, 2024. [Online]. Available: https://www.nrel.gov/news/features/2024/national-transmission-planning-study.html. [Accessed 09 04 2025].</w:t>
            </w:r>
          </w:p>
        </w:tc>
      </w:tr>
      <w:tr>
        <w:trPr>
          <w:trHeight w:val="1586" w:hRule="atLeast"/>
        </w:trPr>
        <w:tc>
          <w:tcPr>
            <w:tcW w:w="673" w:type="dxa"/>
            <w:tcBorders/>
          </w:tcPr>
          <w:p>
            <w:pPr>
              <w:pStyle w:val="Bibliography"/>
              <w:rPr/>
            </w:pPr>
            <w:r>
              <w:rPr/>
              <w:t>[12]</w:t>
            </w:r>
          </w:p>
        </w:tc>
        <w:tc>
          <w:tcPr>
            <w:tcW w:w="9249" w:type="dxa"/>
            <w:tcBorders/>
          </w:tcPr>
          <w:p>
            <w:pPr>
              <w:pStyle w:val="Bibliography"/>
              <w:rPr/>
            </w:pPr>
            <w:r>
              <w:rPr/>
              <w:t>J. Koolemans-Beynen, "The Role of the Independent Market Monitor around the World," [Online]. Available: https://www.superservicios.gov.co/sites/default/files/inline-files/johanna\_presentation\_independent\_market\_monitor\_presentations2.pdf. [Accessed 01 11 2024].</w:t>
            </w:r>
            <w:r>
              <w:rPr/>
              <w:fldChar w:fldCharType="end"/>
            </w:r>
          </w:p>
        </w:tc>
      </w:tr>
    </w:tbl>
    <w:p>
      <w:pPr>
        <w:sectPr>
          <w:headerReference w:type="default" r:id="rId18"/>
          <w:headerReference w:type="first" r:id="rId19"/>
          <w:footnotePr>
            <w:numFmt w:val="decimal"/>
            <w:numRestart w:val="eachSect"/>
          </w:footnotePr>
          <w:type w:val="nextPage"/>
          <w:pgSz w:w="12240" w:h="15840"/>
          <w:pgMar w:left="1440" w:right="1440" w:gutter="0" w:header="720" w:top="1440" w:footer="0" w:bottom="1440"/>
          <w:pgNumType w:fmt="decimal"/>
          <w:formProt w:val="false"/>
          <w:textDirection w:val="lrTb"/>
          <w:docGrid w:type="default" w:linePitch="360" w:charSpace="4096"/>
        </w:sectPr>
      </w:pPr>
    </w:p>
    <w:p>
      <w:pPr>
        <w:pStyle w:val="Heading1"/>
        <w:spacing w:before="280" w:after="0"/>
        <w:rPr/>
      </w:pPr>
      <w:bookmarkStart w:id="84" w:name="__RefHeading___Toc2354_401063098"/>
      <w:bookmarkStart w:id="85" w:name="_Toc217395620"/>
      <w:bookmarkEnd w:id="84"/>
      <w:r>
        <w:rPr/>
        <w:t>Appendix</w:t>
      </w:r>
      <w:bookmarkEnd w:id="85"/>
    </w:p>
    <w:p>
      <w:pPr>
        <w:pStyle w:val="Heading2"/>
        <w:rPr/>
      </w:pPr>
      <w:bookmarkStart w:id="86" w:name="__RefHeading___Toc2356_401063098"/>
      <w:bookmarkStart w:id="87" w:name="_Toc217395621"/>
      <w:bookmarkEnd w:id="86"/>
      <w:r>
        <w:rPr/>
        <w:t>Appendix A: IRB Certificates</w:t>
      </w:r>
      <w:bookmarkEnd w:id="87"/>
    </w:p>
    <w:p>
      <w:pPr>
        <w:pStyle w:val="Normal"/>
        <w:rPr/>
      </w:pPr>
      <w:r>
        <w:rPr/>
        <w:t>Placeholder</w:t>
      </w:r>
    </w:p>
    <w:p>
      <w:pPr>
        <w:pStyle w:val="Normal"/>
        <w:rPr/>
      </w:pPr>
      <w:r>
        <w:rPr/>
      </w:r>
      <w:r>
        <w:br w:type="page"/>
      </w:r>
    </w:p>
    <w:p>
      <w:pPr>
        <w:pStyle w:val="Heading2"/>
        <w:spacing w:before="0" w:after="0"/>
        <w:rPr/>
      </w:pPr>
      <w:bookmarkStart w:id="88" w:name="__RefHeading___Toc2358_401063098"/>
      <w:bookmarkStart w:id="89" w:name="_Toc217395622"/>
      <w:bookmarkEnd w:id="88"/>
      <w:r>
        <w:rPr/>
        <w:t>Appendix B: Search Queries Used in Literature Review</w:t>
      </w:r>
      <w:bookmarkEnd w:id="89"/>
    </w:p>
    <w:p>
      <w:pPr>
        <w:pStyle w:val="Normal"/>
        <w:rPr>
          <w:i/>
          <w:i/>
          <w:iCs/>
        </w:rPr>
      </w:pPr>
      <w:r>
        <w:rPr>
          <w:i/>
          <w:iCs/>
        </w:rPr>
        <w:t>Google Scholar and IEEE Xplore were the primary academic databases that were queried for this dissertation.</w:t>
      </w:r>
    </w:p>
    <w:p>
      <w:pPr>
        <w:pStyle w:val="Normal"/>
        <w:rPr/>
      </w:pPr>
      <w:r>
        <w:rPr/>
      </w:r>
    </w:p>
    <w:p>
      <w:pPr>
        <w:pStyle w:val="Normal"/>
        <w:rPr/>
      </w:pPr>
      <w:r>
        <w:rPr/>
        <w:t>High-level searches used to find seminal articles in the areas of energy markets, market monitoring, and domain-specific languages:</w:t>
      </w:r>
    </w:p>
    <w:p>
      <w:pPr>
        <w:pStyle w:val="Normal"/>
        <w:numPr>
          <w:ilvl w:val="0"/>
          <w:numId w:val="8"/>
        </w:numPr>
        <w:rPr/>
      </w:pPr>
      <w:r>
        <w:rPr/>
        <w:t>MARKET MONITORING</w:t>
      </w:r>
    </w:p>
    <w:p>
      <w:pPr>
        <w:pStyle w:val="Normal"/>
        <w:numPr>
          <w:ilvl w:val="0"/>
          <w:numId w:val="8"/>
        </w:numPr>
        <w:rPr/>
      </w:pPr>
      <w:r>
        <w:rPr/>
        <w:t>MARKET MONITORING AND DOMAIN SPECIFIC LANGUAGE</w:t>
      </w:r>
    </w:p>
    <w:p>
      <w:pPr>
        <w:pStyle w:val="Normal"/>
        <w:numPr>
          <w:ilvl w:val="0"/>
          <w:numId w:val="8"/>
        </w:numPr>
        <w:rPr/>
      </w:pPr>
      <w:r>
        <w:rPr/>
        <w:t>DOMAIN-SPECIFIC LANGUAGE AND BULK ELECTRIC SYSTEM</w:t>
      </w:r>
    </w:p>
    <w:p>
      <w:pPr>
        <w:pStyle w:val="Normal"/>
        <w:numPr>
          <w:ilvl w:val="0"/>
          <w:numId w:val="8"/>
        </w:numPr>
        <w:rPr/>
      </w:pPr>
      <w:r>
        <w:rPr/>
        <w:t>DOMAIN SPECIFIC LANGUAGE AND FORENSICS</w:t>
      </w:r>
    </w:p>
    <w:p>
      <w:pPr>
        <w:pStyle w:val="Normal"/>
        <w:numPr>
          <w:ilvl w:val="0"/>
          <w:numId w:val="8"/>
        </w:numPr>
        <w:rPr/>
      </w:pPr>
      <w:r>
        <w:rPr/>
        <w:t>DOMAIN-SPECIFIC LANGUAGE</w:t>
      </w:r>
    </w:p>
    <w:p>
      <w:pPr>
        <w:pStyle w:val="Normal"/>
        <w:rPr/>
      </w:pPr>
      <w:r>
        <w:rPr/>
      </w:r>
    </w:p>
    <w:p>
      <w:pPr>
        <w:pStyle w:val="Normal"/>
        <w:rPr/>
      </w:pPr>
      <w:r>
        <w:rPr/>
        <w:t>Boolean and grouping operators were also employed to narrow the scope of the relevant articles returned for this literature review. Some of the queries included:</w:t>
      </w:r>
    </w:p>
    <w:p>
      <w:pPr>
        <w:pStyle w:val="Normal"/>
        <w:numPr>
          <w:ilvl w:val="0"/>
          <w:numId w:val="9"/>
        </w:numPr>
        <w:rPr/>
      </w:pPr>
      <w:r>
        <w:rPr/>
        <w:t>“</w:t>
      </w:r>
      <w:r>
        <w:rPr/>
        <w:t>MARKET MONITORING” AND (‘DOMAIN SPECIFIC LANGUAGE” OR “DOMAIN-SPECIFIC LANGUAGE”)</w:t>
      </w:r>
    </w:p>
    <w:p>
      <w:pPr>
        <w:pStyle w:val="Normal"/>
        <w:numPr>
          <w:ilvl w:val="0"/>
          <w:numId w:val="9"/>
        </w:numPr>
        <w:rPr/>
      </w:pPr>
      <w:r>
        <w:rPr/>
        <w:t>“</w:t>
      </w:r>
      <w:r>
        <w:rPr/>
        <w:t>MARKET MONITORING” AND (“DOMAIN SPECIFIC LANGUAGE” OR “DOMAIN-SPECIFIC LANGUAGE”) AND (“ELECTRIC” OR “ELECTRICITY”) -STOCK</w:t>
      </w:r>
    </w:p>
    <w:p>
      <w:pPr>
        <w:pStyle w:val="Normal"/>
        <w:numPr>
          <w:ilvl w:val="0"/>
          <w:numId w:val="9"/>
        </w:numPr>
        <w:rPr/>
      </w:pPr>
      <w:r>
        <w:rPr/>
        <w:t>(“INFORMATION QUALITY” OR “DATA QUALITY”) (“ELECTRICITY MARKET” OR “POWER MARKET” OR “ELECTRIC MARKET”)</w:t>
      </w:r>
    </w:p>
    <w:p>
      <w:pPr>
        <w:pStyle w:val="Normal"/>
        <w:numPr>
          <w:ilvl w:val="0"/>
          <w:numId w:val="9"/>
        </w:numPr>
        <w:rPr/>
      </w:pPr>
      <w:r>
        <w:rPr/>
        <w:t>(“INFORMATION QUALITY” OR “DATA QUALITY”) (ELECTRICITY OR POWER OR ELECTRIC OR ENERGY) MARKET</w:t>
      </w:r>
    </w:p>
    <w:p>
      <w:pPr>
        <w:pStyle w:val="Normal"/>
        <w:numPr>
          <w:ilvl w:val="0"/>
          <w:numId w:val="9"/>
        </w:numPr>
        <w:rPr/>
      </w:pPr>
      <w:r>
        <w:rPr/>
        <w:t>("INFORMATION QUALITY" OR "DATA QUALITY") (ELECTRICITY OR POWER OR ELECTRIC OR ENERGY) "MARKET MONITORING"</w:t>
      </w:r>
    </w:p>
    <w:p>
      <w:pPr>
        <w:pStyle w:val="Normal"/>
        <w:numPr>
          <w:ilvl w:val="0"/>
          <w:numId w:val="9"/>
        </w:numPr>
        <w:rPr/>
      </w:pPr>
      <w:r>
        <w:rPr/>
        <w:t>("INFORMATION QUALITY" OR "DATA QUALITY") (ELECTRICITY OR POWER OR ELECTRIC OR ENERGY) WHOLESALE "MARKET MONITORING" -LABOR -LABOUR -"FINANCIAL MARKET"</w:t>
      </w:r>
    </w:p>
    <w:p>
      <w:pPr>
        <w:pStyle w:val="Normal"/>
        <w:numPr>
          <w:ilvl w:val="0"/>
          <w:numId w:val="9"/>
        </w:numPr>
        <w:rPr/>
      </w:pPr>
      <w:r>
        <w:rPr/>
        <w:t xml:space="preserve">ALLINTITLE: WHOLESALE "INFORMATION QUALITY" OR "DATA QUALITY" OR ELECTRICITY OR POWER OR ELECTRIC OR ENERGY "MARKET MONITORING" </w:t>
      </w:r>
    </w:p>
    <w:p>
      <w:pPr>
        <w:pStyle w:val="Normal"/>
        <w:numPr>
          <w:ilvl w:val="0"/>
          <w:numId w:val="0"/>
        </w:numPr>
        <w:ind w:hanging="0" w:left="720"/>
        <w:rPr/>
      </w:pPr>
      <w:r>
        <w:rPr/>
        <w:t>-LABOR -LABOUR -"FINANCIAL MARKET"</w:t>
      </w:r>
    </w:p>
    <w:p>
      <w:pPr>
        <w:pStyle w:val="Normal"/>
        <w:numPr>
          <w:ilvl w:val="0"/>
          <w:numId w:val="9"/>
        </w:numPr>
        <w:rPr/>
      </w:pPr>
      <w:r>
        <w:rPr/>
        <w:t>ALLINTITLE: ELECTRICITY “INFORMATION QUALITY” OR “DATA QUALITY” OR “MARKET MONITORING” -LABOR -LABOUR (“dOMAIN-SPECIFIC LANGUAGE” OR “DOMAIN SPECIFIC LANGUAGE”) (“ELECTRICITY OR ELECTRIC OR POWER OR ENERGY)</w:t>
      </w:r>
    </w:p>
    <w:p>
      <w:pPr>
        <w:pStyle w:val="Normal"/>
        <w:rPr/>
      </w:pPr>
      <w:r>
        <w:rPr/>
      </w:r>
      <w:r>
        <w:br w:type="page"/>
      </w:r>
    </w:p>
    <w:p>
      <w:pPr>
        <w:pStyle w:val="Heading2"/>
        <w:spacing w:before="0" w:after="0"/>
        <w:rPr/>
      </w:pPr>
      <w:bookmarkStart w:id="90" w:name="__RefHeading___Toc2360_401063098"/>
      <w:bookmarkStart w:id="91" w:name="_Toc217395623"/>
      <w:bookmarkEnd w:id="90"/>
      <w:r>
        <w:rPr/>
        <w:t>Appendix C: Schedule of Research Milestones</w:t>
      </w:r>
      <w:bookmarkEnd w:id="91"/>
    </w:p>
    <w:p>
      <w:pPr>
        <w:pStyle w:val="Normal"/>
        <w:rPr/>
      </w:pPr>
      <w:r>
        <w:rPr/>
        <w:t>Placeholder</w:t>
      </w:r>
      <w:r>
        <w:br w:type="page"/>
      </w:r>
    </w:p>
    <w:p>
      <w:pPr>
        <w:pStyle w:val="Heading2"/>
        <w:spacing w:before="0" w:after="0"/>
        <w:rPr/>
      </w:pPr>
      <w:bookmarkStart w:id="92" w:name="__RefHeading___Toc2362_401063098"/>
      <w:bookmarkStart w:id="93" w:name="_Toc217395624"/>
      <w:bookmarkEnd w:id="92"/>
      <w:r>
        <w:rPr/>
        <w:t>Appendix D: Public Market Data Sources</w:t>
      </w:r>
      <w:bookmarkEnd w:id="93"/>
    </w:p>
    <w:p>
      <w:pPr>
        <w:pStyle w:val="Normal"/>
        <w:rPr/>
      </w:pPr>
      <w:r>
        <w:rPr/>
        <w:t>Placeholder</w:t>
      </w:r>
      <w:r>
        <w:br w:type="page"/>
      </w:r>
    </w:p>
    <w:p>
      <w:pPr>
        <w:pStyle w:val="Heading2"/>
        <w:spacing w:before="0" w:after="0"/>
        <w:rPr/>
      </w:pPr>
      <w:bookmarkStart w:id="94" w:name="__RefHeading___Toc2364_401063098"/>
      <w:bookmarkStart w:id="95" w:name="_Toc217395625"/>
      <w:bookmarkEnd w:id="94"/>
      <w:r>
        <w:rPr/>
        <w:t>Appendix E: Market Monitoring Firms</w:t>
      </w:r>
      <w:bookmarkEnd w:id="95"/>
    </w:p>
    <w:p>
      <w:pPr>
        <w:pStyle w:val="Normal"/>
        <w:rPr/>
      </w:pPr>
      <w:r>
        <w:rPr/>
        <w:t>Placeholder</w:t>
      </w:r>
      <w:r>
        <w:br w:type="page"/>
      </w:r>
    </w:p>
    <w:p>
      <w:pPr>
        <w:pStyle w:val="Heading2"/>
        <w:spacing w:before="0" w:after="0"/>
        <w:rPr/>
      </w:pPr>
      <w:bookmarkStart w:id="96" w:name="__RefHeading___Toc2366_401063098"/>
      <w:bookmarkStart w:id="97" w:name="_Toc217395626"/>
      <w:bookmarkEnd w:id="96"/>
      <w:r>
        <w:rPr/>
        <w:t>Appendix F: Delphi Study Questions</w:t>
      </w:r>
      <w:bookmarkEnd w:id="97"/>
    </w:p>
    <w:p>
      <w:pPr>
        <w:pStyle w:val="Normal"/>
        <w:rPr/>
      </w:pPr>
      <w:r>
        <w:rPr/>
        <w:t>Placeholder</w:t>
      </w:r>
    </w:p>
    <w:sectPr>
      <w:headerReference w:type="default" r:id="rId20"/>
      <w:headerReference w:type="first" r:id="rId21"/>
      <w:footnotePr>
        <w:numFmt w:val="decimal"/>
        <w:numRestart w:val="eachSect"/>
      </w:footnotePr>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360"/>
        <w:rPr/>
      </w:pPr>
      <w:r>
        <w:rPr>
          <w:rStyle w:val="FootnoteCharacters"/>
        </w:rPr>
        <w:footnoteRef/>
      </w:r>
      <w:r>
        <w:rPr/>
        <w:t xml:space="preserve"> </w:t>
      </w:r>
      <w:r>
        <w:rPr/>
        <w:t xml:space="preserve">Across the time frame shown in </w:t>
      </w:r>
      <w:r>
        <w:rPr/>
        <w:fldChar w:fldCharType="begin"/>
      </w:r>
      <w:r>
        <w:rPr/>
        <w:instrText xml:space="preserve"> REF _Ref217317095 \h </w:instrText>
      </w:r>
      <w:r>
        <w:rPr/>
        <w:fldChar w:fldCharType="separate"/>
      </w:r>
      <w:r>
        <w:rPr/>
        <w:t>Figure 1</w:t>
      </w:r>
      <w:r>
        <w:rPr/>
        <w:fldChar w:fldCharType="end"/>
      </w:r>
      <w:r>
        <w:rPr/>
        <w:t xml:space="preserve">, the observed market generated an average revenue of over $9.5 billion, serving and average energy load of over 261 GWh. This figure was generated using data combined from multiple public reports </w:t>
      </w:r>
      <w:sdt>
        <w:sdtPr>
          <w:citation/>
        </w:sdtPr>
        <w:sdtContent>
          <w:r>
            <w:rPr/>
            <w:fldChar w:fldCharType="begin"/>
          </w:r>
          <w:r>
            <w:rPr/>
            <w:instrText xml:space="preserve"> CITATION 2020asom \l 1033 </w:instrText>
          </w:r>
          <w:r>
            <w:rPr/>
            <w:fldChar w:fldCharType="separate"/>
          </w:r>
          <w:r>
            <w:rPr/>
            <w:t>[3]</w:t>
          </w:r>
          <w:r>
            <w:rPr/>
            <w:fldChar w:fldCharType="end"/>
          </w:r>
        </w:sdtContent>
      </w:sdt>
      <w:r>
        <w:rPr/>
        <w:fldChar w:fldCharType="begin"/>
      </w:r>
      <w:r>
        <w:rPr/>
        <w:instrText xml:space="preserve"> CITATION 2021asom \l 1033 </w:instrText>
      </w:r>
      <w:r>
        <w:rPr/>
        <w:fldChar w:fldCharType="separate"/>
      </w:r>
      <w:r>
        <w:rPr/>
        <w:t xml:space="preserve"> [4]</w:t>
      </w:r>
      <w:r>
        <w:rPr/>
        <w:fldChar w:fldCharType="end"/>
      </w:r>
      <w:sdt>
        <w:sdtPr>
          <w:citation/>
        </w:sdtPr>
        <w:sdtContent>
          <w:r>
            <w:rPr/>
            <w:fldChar w:fldCharType="begin"/>
          </w:r>
          <w:r>
            <w:rPr/>
            <w:instrText xml:space="preserve"> CITATION 2022asom \l 1033 </w:instrText>
          </w:r>
          <w:r>
            <w:rPr/>
            <w:fldChar w:fldCharType="separate"/>
          </w:r>
          <w:r>
            <w:rPr/>
            <w:t xml:space="preserve"> [5]</w:t>
          </w:r>
          <w:r>
            <w:rPr/>
            <w:fldChar w:fldCharType="end"/>
          </w:r>
        </w:sdtContent>
      </w:sdt>
      <w:r>
        <w:rPr/>
        <w:fldChar w:fldCharType="begin"/>
      </w:r>
      <w:r>
        <w:rPr/>
        <w:instrText xml:space="preserve"> CITATION 2023asom \l 1033 </w:instrText>
      </w:r>
      <w:r>
        <w:rPr/>
        <w:fldChar w:fldCharType="separate"/>
      </w:r>
      <w:r>
        <w:rPr/>
        <w:t xml:space="preserve"> [6]</w:t>
      </w:r>
      <w:r>
        <w:rPr/>
        <w:fldChar w:fldCharType="end"/>
      </w:r>
      <w:r>
        <w:rPr/>
        <w:t>.</w:t>
      </w:r>
    </w:p>
  </w:footnote>
  <w:footnote w:id="3">
    <w:p>
      <w:pPr>
        <w:pStyle w:val="FootnoteText"/>
        <w:spacing w:lineRule="auto" w:line="360"/>
        <w:rPr/>
      </w:pPr>
      <w:r>
        <w:rPr>
          <w:rStyle w:val="FootnoteCharacters"/>
        </w:rPr>
        <w:footnoteRef/>
      </w:r>
      <w:r>
        <w:rPr/>
        <w:t xml:space="preserve"> </w:t>
      </w:r>
      <w:r>
        <w:rPr/>
        <w:t>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pPr>
        <w:pStyle w:val="FootnoteText"/>
        <w:spacing w:lineRule="auto" w:line="360"/>
        <w:rPr/>
      </w:pPr>
      <w:r>
        <w:rPr/>
      </w:r>
    </w:p>
  </w:footnote>
  <w:footnote w:id="4">
    <w:p>
      <w:pPr>
        <w:pStyle w:val="FootnoteText"/>
        <w:spacing w:lineRule="auto" w:line="360"/>
        <w:rPr/>
      </w:pPr>
      <w:r>
        <w:rPr>
          <w:rStyle w:val="FootnoteCharacters"/>
        </w:rPr>
        <w:footnoteRef/>
      </w:r>
      <w:r>
        <w:rPr/>
        <w:t xml:space="preserve"> </w:t>
      </w:r>
      <w:r>
        <w:rPr/>
        <w:t>The term “balancing” refers to the need to only generate power as it is needed for consumption, subject to system capacity and economic constraints.</w:t>
      </w:r>
    </w:p>
  </w:footnote>
  <w:footnote w:id="5">
    <w:p>
      <w:pPr>
        <w:pStyle w:val="FootnoteText"/>
        <w:spacing w:lineRule="auto" w:line="360"/>
        <w:rPr/>
      </w:pPr>
      <w:r>
        <w:rPr>
          <w:rStyle w:val="FootnoteCharacters"/>
        </w:rPr>
        <w:footnoteRef/>
      </w:r>
      <w:r>
        <w:rPr/>
        <w:t xml:space="preserve"> </w:t>
      </w:r>
      <w:r>
        <w:rPr/>
        <w:t>Storage resources are a developing technology that can store energy for dispatch during reliability emergencies or intervals of energy scarcity</w:t>
      </w:r>
    </w:p>
    <w:p>
      <w:pPr>
        <w:pStyle w:val="FootnoteText"/>
        <w:spacing w:lineRule="auto" w:line="360"/>
        <w:rPr/>
      </w:pPr>
      <w:r>
        <w:rPr/>
      </w:r>
    </w:p>
  </w:footnote>
  <w:footnote w:id="6">
    <w:p>
      <w:pPr>
        <w:pStyle w:val="FootnoteText"/>
        <w:spacing w:lineRule="auto" w:line="360"/>
        <w:rPr/>
      </w:pPr>
      <w:r>
        <w:rPr>
          <w:rStyle w:val="FootnoteCharacters"/>
        </w:rPr>
        <w:footnoteRef/>
      </w:r>
      <w:r>
        <w:rPr/>
        <w:t xml:space="preserve"> </w:t>
      </w:r>
      <w:r>
        <w:rPr/>
        <w:t xml:space="preserve">An important distinction to note is between the </w:t>
      </w:r>
      <w:r>
        <w:rPr>
          <w:i/>
          <w:iCs/>
        </w:rPr>
        <w:t>utility</w:t>
      </w:r>
      <w:r>
        <w:rPr/>
        <w:t xml:space="preserve"> and </w:t>
      </w:r>
      <w:r>
        <w:rPr>
          <w:i/>
          <w:iCs/>
        </w:rPr>
        <w:t>retail</w:t>
      </w:r>
      <w:r>
        <w:rPr/>
        <w:t xml:space="preserve"> sectors, shown in </w:t>
      </w:r>
      <w:r>
        <w:rPr/>
        <w:fldChar w:fldCharType="begin"/>
      </w:r>
      <w:r>
        <w:rPr/>
        <w:instrText xml:space="preserve"> REF _Ref217319576 \h </w:instrText>
      </w:r>
      <w:r>
        <w:rPr/>
        <w:fldChar w:fldCharType="separate"/>
      </w:r>
      <w:r>
        <w:rPr/>
        <w:t>Figure 2</w:t>
      </w:r>
      <w:r>
        <w:rPr/>
        <w:fldChar w:fldCharType="end"/>
      </w:r>
      <w:r>
        <w:rPr/>
        <w:t>.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pPr>
        <w:pStyle w:val="FootnoteText"/>
        <w:spacing w:lineRule="auto" w:line="360"/>
        <w:rPr/>
      </w:pPr>
      <w:r>
        <w:rPr/>
      </w:r>
    </w:p>
  </w:footnote>
  <w:footnote w:id="7">
    <w:p>
      <w:pPr>
        <w:pStyle w:val="FootnoteText"/>
        <w:spacing w:lineRule="auto" w:line="360"/>
        <w:rPr/>
      </w:pPr>
      <w:r>
        <w:rPr>
          <w:rStyle w:val="FootnoteCharacters"/>
        </w:rPr>
        <w:footnoteRef/>
      </w:r>
      <w:r>
        <w:rPr/>
        <w:t xml:space="preserve"> </w:t>
      </w:r>
      <w:r>
        <w:rPr/>
        <w:t xml:space="preserve">Notable weather events that have materially impacted BES reliability include the 2020 Californian heat wave, as well as severe winter weather storms in 2021 and 2022 </w:t>
      </w:r>
      <w:r>
        <w:rPr>
          <w:highlight w:val="yellow"/>
        </w:rPr>
        <w:t>[REF HERE]</w:t>
      </w:r>
      <w:r>
        <w:rPr/>
        <w:t>.</w:t>
      </w:r>
    </w:p>
    <w:p>
      <w:pPr>
        <w:pStyle w:val="FootnoteText"/>
        <w:spacing w:lineRule="auto" w:line="360"/>
        <w:rPr/>
      </w:pPr>
      <w:r>
        <w:rPr/>
      </w:r>
    </w:p>
  </w:footnote>
  <w:footnote w:id="8">
    <w:p>
      <w:pPr>
        <w:pStyle w:val="FootnoteText"/>
        <w:spacing w:lineRule="auto" w:line="360"/>
        <w:rPr/>
      </w:pPr>
      <w:r>
        <w:rPr>
          <w:rStyle w:val="FootnoteCharacters"/>
        </w:rPr>
        <w:footnoteRef/>
      </w:r>
      <w:r>
        <w:rPr/>
        <w:t xml:space="preserve"> </w:t>
      </w:r>
      <w:r>
        <w:rPr>
          <w:i/>
          <w:iCs/>
        </w:rPr>
        <w:t>Economic order</w:t>
      </w:r>
      <w:r>
        <w:rPr/>
        <w:t xml:space="preserve"> refers to the stacking of generator energy offers, in order, from least expensive to most expensive.</w:t>
      </w:r>
    </w:p>
    <w:p>
      <w:pPr>
        <w:pStyle w:val="FootnoteText"/>
        <w:spacing w:lineRule="auto" w:line="360"/>
        <w:rPr/>
      </w:pPr>
      <w:r>
        <w:rPr/>
      </w:r>
    </w:p>
  </w:footnote>
  <w:footnote w:id="9">
    <w:p>
      <w:pPr>
        <w:pStyle w:val="FootnoteText"/>
        <w:spacing w:lineRule="auto" w:line="360"/>
        <w:rPr/>
      </w:pPr>
      <w:r>
        <w:rPr>
          <w:rStyle w:val="FootnoteCharacters"/>
        </w:rPr>
        <w:footnoteRef/>
      </w:r>
      <w:r>
        <w:rPr/>
        <w:t xml:space="preserve"> </w:t>
      </w:r>
      <w:r>
        <w:rPr/>
        <w:t>Economic dispatch (ED) is a concept that blends economics and the physical reality of the electric grid.</w:t>
      </w:r>
    </w:p>
  </w:footnote>
  <w:footnote w:id="10">
    <w:p>
      <w:pPr>
        <w:pStyle w:val="FootnoteText"/>
        <w:spacing w:lineRule="auto" w:line="360"/>
        <w:rPr/>
      </w:pPr>
      <w:r>
        <w:rPr>
          <w:rStyle w:val="FootnoteCharacters"/>
        </w:rPr>
        <w:footnoteRef/>
      </w:r>
      <w:r>
        <w:rPr/>
        <w:t xml:space="preserve"> </w:t>
      </w:r>
      <w:r>
        <w:rPr/>
        <w:t>ERCOT, the electric system operator for Texas, is not within the jurisdiction of FERC. The Public Utility Commission of Texas, instead, has oversight of the ERCOT market territory. Alaska and Hawaii, additionally, maintain isolated electricity infrastructure.</w:t>
      </w:r>
    </w:p>
    <w:p>
      <w:pPr>
        <w:pStyle w:val="FootnoteText"/>
        <w:spacing w:lineRule="auto" w:line="360"/>
        <w:rPr/>
      </w:pPr>
      <w:r>
        <w:rPr/>
      </w:r>
    </w:p>
  </w:footnote>
  <w:footnote w:id="11">
    <w:p>
      <w:pPr>
        <w:pStyle w:val="FootnoteText"/>
        <w:spacing w:lineRule="auto" w:line="360"/>
        <w:rPr/>
      </w:pPr>
      <w:r>
        <w:rPr>
          <w:rStyle w:val="FootnoteCharacters"/>
        </w:rPr>
        <w:footnoteRef/>
      </w:r>
      <w:r>
        <w:rPr/>
        <w:t xml:space="preserve"> </w:t>
      </w:r>
      <w:r>
        <w:rPr/>
        <w:t xml:space="preserve">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2">
    <w:p>
      <w:pPr>
        <w:pStyle w:val="FootnoteText"/>
        <w:spacing w:lineRule="auto" w:line="360"/>
        <w:rPr/>
      </w:pPr>
      <w:r>
        <w:rPr>
          <w:rStyle w:val="FootnoteCharacters"/>
        </w:rPr>
        <w:footnoteRef/>
      </w:r>
      <w:r>
        <w:rPr/>
        <w:t xml:space="preserve"> </w:t>
      </w:r>
      <w:r>
        <w:rPr/>
        <w:t xml:space="preserve">While market systems are composed of many different products, they are generally referred to as a </w:t>
      </w:r>
      <w:r>
        <w:rPr>
          <w:i/>
          <w:iCs/>
        </w:rPr>
        <w:t>market clearing engine</w:t>
      </w:r>
      <w:r>
        <w:rPr/>
        <w:t>.</w:t>
      </w:r>
    </w:p>
    <w:p>
      <w:pPr>
        <w:pStyle w:val="FootnoteText"/>
        <w:spacing w:lineRule="auto" w:line="360"/>
        <w:rPr/>
      </w:pPr>
      <w:r>
        <w:rPr/>
      </w:r>
    </w:p>
  </w:footnote>
  <w:footnote w:id="13">
    <w:p>
      <w:pPr>
        <w:pStyle w:val="FootnoteText"/>
        <w:spacing w:lineRule="auto" w:line="360"/>
        <w:rPr/>
      </w:pPr>
      <w:r>
        <w:rPr>
          <w:rStyle w:val="FootnoteCharacters"/>
        </w:rPr>
        <w:footnoteRef/>
      </w:r>
      <w:r>
        <w:rPr/>
        <w:t xml:space="preserve"> </w:t>
      </w:r>
      <w:r>
        <w:rPr/>
        <w:t>Settlements are also facilitated by shadow accounting, a process of maintaining a separate system (in addition to a production accounting system) to track transactions and ensure that accounts are appropriately balanced.</w:t>
      </w:r>
    </w:p>
    <w:p>
      <w:pPr>
        <w:pStyle w:val="FootnoteText"/>
        <w:spacing w:lineRule="auto" w:line="360"/>
        <w:rPr/>
      </w:pPr>
      <w:r>
        <w:rPr/>
      </w:r>
    </w:p>
  </w:footnote>
  <w:footnote w:id="14">
    <w:p>
      <w:pPr>
        <w:pStyle w:val="FootnoteText"/>
        <w:spacing w:lineRule="auto" w:line="360"/>
        <w:rPr/>
      </w:pPr>
      <w:r>
        <w:rPr>
          <w:rStyle w:val="FootnoteCharacters"/>
        </w:rPr>
        <w:footnoteRef/>
      </w:r>
      <w:r>
        <w:rPr/>
        <w:t xml:space="preserve"> </w:t>
      </w:r>
      <w:r>
        <w:rPr/>
        <w:t xml:space="preserve">Data elements used to monitor and dispatch generation in the BES are collected and shared in the form of SCADA (Supervisory Control and Data Acquisition) </w:t>
      </w:r>
      <w:r>
        <w:rPr>
          <w:highlight w:val="yellow"/>
        </w:rPr>
        <w:t>[REF HERE].</w:t>
      </w:r>
    </w:p>
  </w:footnote>
  <w:footnote w:id="15">
    <w:p>
      <w:pPr>
        <w:pStyle w:val="FootnoteText"/>
        <w:spacing w:lineRule="auto" w:line="360"/>
        <w:rPr/>
      </w:pPr>
      <w:r>
        <w:rPr>
          <w:rStyle w:val="FootnoteCharacters"/>
        </w:rPr>
        <w:footnoteRef/>
      </w:r>
      <w:r>
        <w:rPr/>
        <w:t xml:space="preserve"> </w:t>
      </w:r>
      <w:r>
        <w:rPr/>
        <w:t xml:space="preserve">A blackout (an event where power cannot be served) is a breakdown of a portion of grid infrastructure, caused by “an imbalance between power generation and power consumption” </w:t>
      </w:r>
      <w:r>
        <w:rPr>
          <w:highlight w:val="yellow"/>
        </w:rPr>
        <w:t>[REF HERE].</w:t>
      </w:r>
    </w:p>
  </w:footnote>
  <w:footnote w:id="16">
    <w:p>
      <w:pPr>
        <w:pStyle w:val="FootnoteText"/>
        <w:spacing w:lineRule="auto" w:line="360"/>
        <w:rPr/>
      </w:pPr>
      <w:r>
        <w:rPr>
          <w:rStyle w:val="FootnoteCharacters"/>
        </w:rPr>
        <w:footnoteRef/>
      </w:r>
      <w:r>
        <w:rPr/>
        <w:t xml:space="preserve"> </w:t>
      </w:r>
      <w:r>
        <w:rPr/>
        <w:t xml:space="preserve">As Enron entered legal proceedings, their stock fell to under $1 per share (from a peak as high as $90 per share in mid-2000) </w:t>
      </w:r>
      <w:r>
        <w:rPr>
          <w:highlight w:val="yellow"/>
        </w:rPr>
        <w:t>[REF HERE]</w:t>
      </w:r>
      <w:r>
        <w:rPr/>
        <w:t>.</w:t>
      </w:r>
    </w:p>
    <w:p>
      <w:pPr>
        <w:pStyle w:val="FootnoteText"/>
        <w:spacing w:lineRule="auto" w:line="360"/>
        <w:rPr/>
      </w:pPr>
      <w:r>
        <w:rPr/>
      </w:r>
    </w:p>
  </w:footnote>
  <w:footnote w:id="17">
    <w:p>
      <w:pPr>
        <w:pStyle w:val="FootnoteText"/>
        <w:spacing w:lineRule="auto" w:line="360"/>
        <w:rPr/>
      </w:pPr>
      <w:r>
        <w:rPr>
          <w:rStyle w:val="FootnoteCharacters"/>
        </w:rPr>
        <w:footnoteRef/>
      </w:r>
      <w:r>
        <w:rPr/>
        <w:t xml:space="preserve"> </w:t>
      </w:r>
      <w:r>
        <w:rPr/>
        <w:t>18 CFR § 1c.2 (Prohibition of Electric Energy Market Manipulation) is an example of legislation that clearly calls for the need of monitoring in energy markets.</w:t>
      </w:r>
    </w:p>
  </w:footnote>
  <w:footnote w:id="18">
    <w:p>
      <w:pPr>
        <w:pStyle w:val="FootnoteText"/>
        <w:spacing w:lineRule="auto" w:line="360"/>
        <w:rPr/>
      </w:pPr>
      <w:r>
        <w:rPr>
          <w:rStyle w:val="FootnoteCharacters"/>
        </w:rPr>
        <w:footnoteRef/>
      </w:r>
      <w:r>
        <w:rPr/>
        <w:t xml:space="preserve"> </w:t>
      </w:r>
      <w:r>
        <w:rPr/>
        <w:t>Energy market prices are typically set on a marginal, spatial basis (representing the cost of injecting another MW of energy, at a location, in a market territory) [</w:t>
      </w:r>
      <w:r>
        <w:rPr>
          <w:highlight w:val="yellow"/>
        </w:rPr>
        <w:t>REF HERE</w:t>
      </w:r>
      <w:r>
        <w:rPr/>
        <w:t>].</w:t>
      </w:r>
    </w:p>
    <w:p>
      <w:pPr>
        <w:pStyle w:val="FootnoteText"/>
        <w:spacing w:lineRule="auto" w:line="360"/>
        <w:rPr/>
      </w:pPr>
      <w:r>
        <w:rPr/>
      </w:r>
    </w:p>
  </w:footnote>
  <w:footnote w:id="19">
    <w:p>
      <w:pPr>
        <w:pStyle w:val="FootnoteText"/>
        <w:spacing w:lineRule="auto" w:line="360"/>
        <w:rPr/>
      </w:pPr>
      <w:r>
        <w:rPr>
          <w:rStyle w:val="FootnoteCharacters"/>
        </w:rPr>
        <w:footnoteRef/>
      </w:r>
      <w:r>
        <w:rPr/>
        <w:t xml:space="preserve"> </w:t>
      </w:r>
      <w:r>
        <w:rPr/>
        <w:t xml:space="preserve">Bilateral settlement schedules are agreements between market participants that are used to trade energy outside of normal market operations </w:t>
      </w:r>
      <w:r>
        <w:rPr>
          <w:highlight w:val="yellow"/>
        </w:rPr>
        <w:t>[REF HERE</w:t>
      </w:r>
      <w:r>
        <w:rPr/>
        <w:t>], which help manage credit exposure in the marketplace.</w:t>
      </w:r>
    </w:p>
    <w:p>
      <w:pPr>
        <w:pStyle w:val="FootnoteText"/>
        <w:spacing w:lineRule="auto" w:line="360"/>
        <w:rPr/>
      </w:pPr>
      <w:r>
        <w:rPr/>
      </w:r>
    </w:p>
  </w:footnote>
  <w:footnote w:id="20">
    <w:p>
      <w:pPr>
        <w:pStyle w:val="FootnoteText"/>
        <w:spacing w:lineRule="auto" w:line="360"/>
        <w:rPr/>
      </w:pPr>
      <w:r>
        <w:rPr>
          <w:rStyle w:val="FootnoteCharacters"/>
        </w:rPr>
        <w:footnoteRef/>
      </w:r>
      <w:r>
        <w:rPr/>
        <w:t xml:space="preserve"> </w:t>
      </w:r>
      <w:r>
        <w:rPr/>
        <w:t>A tariff is a governing document that outlines the rules for operating (and participating in) an energy market.</w:t>
      </w:r>
    </w:p>
    <w:p>
      <w:pPr>
        <w:pStyle w:val="FootnoteText"/>
        <w:spacing w:lineRule="auto" w:line="360"/>
        <w:rPr/>
      </w:pPr>
      <w:r>
        <w:rPr/>
      </w:r>
    </w:p>
  </w:footnote>
  <w:footnote w:id="21">
    <w:p>
      <w:pPr>
        <w:pStyle w:val="FootnoteText"/>
        <w:spacing w:lineRule="auto" w:line="480"/>
        <w:rPr/>
      </w:pPr>
      <w:r>
        <w:rPr>
          <w:rStyle w:val="FootnoteCharacters"/>
        </w:rPr>
        <w:footnoteRef/>
      </w:r>
      <w:r>
        <w:rPr/>
        <w:t xml:space="preserve"> </w:t>
      </w:r>
      <w:r>
        <w:rPr/>
        <w:t>The US Energy Association (USEA) published a report outlining international, independent market monitoring groups. Many of the international groups on this list come from that report (see Appendix E).</w:t>
      </w:r>
    </w:p>
    <w:p>
      <w:pPr>
        <w:pStyle w:val="FootnoteText"/>
        <w:spacing w:lineRule="auto" w:line="480"/>
        <w:rPr/>
      </w:pPr>
      <w:r>
        <w:rPr/>
      </w:r>
    </w:p>
  </w:footnote>
  <w:footnote w:id="22">
    <w:p>
      <w:pPr>
        <w:pStyle w:val="FootnoteText"/>
        <w:spacing w:lineRule="auto" w:line="480"/>
        <w:rPr/>
      </w:pPr>
      <w:r>
        <w:rPr>
          <w:rStyle w:val="FootnoteCharacters"/>
        </w:rPr>
        <w:footnoteRef/>
      </w:r>
      <w:r>
        <w:rPr/>
        <w:t xml:space="preserve"> </w:t>
      </w:r>
      <w:r>
        <w:rPr/>
        <w:t>Market power is often defined as “the ability of a seller to profitably maintain prices above competitive levels for a significant period of time</w:t>
      </w:r>
      <w:r>
        <w:rPr>
          <w:highlight w:val="yellow"/>
        </w:rPr>
        <w:t>” [REF HERE</w:t>
      </w:r>
      <w:r>
        <w:rPr/>
        <w:t>].</w:t>
      </w:r>
    </w:p>
    <w:p>
      <w:pPr>
        <w:pStyle w:val="FootnoteText"/>
        <w:spacing w:lineRule="auto" w:line="360"/>
        <w:rPr/>
      </w:pPr>
      <w:r>
        <w:rPr/>
      </w:r>
    </w:p>
  </w:footnote>
  <w:footnote w:id="23">
    <w:p>
      <w:pPr>
        <w:pStyle w:val="FootnoteText"/>
        <w:spacing w:lineRule="auto" w:line="480"/>
        <w:rPr/>
      </w:pPr>
      <w:r>
        <w:rPr>
          <w:rStyle w:val="FootnoteCharacters"/>
        </w:rPr>
        <w:footnoteRef/>
      </w:r>
      <w:r>
        <w:rPr/>
        <w:t xml:space="preserve"> </w:t>
      </w:r>
      <w:r>
        <w:rPr/>
        <w:t xml:space="preserve">CRM is a metric (computed by taking the difference between total available capacity and peak system demand) that helps identify how reliable and prepared the [BES] system has been”, in normal operations </w:t>
      </w:r>
      <w:r>
        <w:rPr>
          <w:highlight w:val="yellow"/>
        </w:rPr>
        <w:t>[REF HERE</w:t>
      </w:r>
      <w:r>
        <w:rPr/>
        <w:t>].</w:t>
      </w:r>
    </w:p>
  </w:footnote>
  <w:footnote w:id="24">
    <w:p>
      <w:pPr>
        <w:pStyle w:val="FootnoteText"/>
        <w:rPr/>
      </w:pPr>
      <w:r>
        <w:rPr>
          <w:rStyle w:val="FootnoteCharacters"/>
        </w:rPr>
        <w:footnoteRef/>
      </w:r>
      <w:r>
        <w:rPr/>
        <w:t>See Appendix C for a schedule of the milestones and expected completion timeline for this project.</w:t>
      </w:r>
    </w:p>
  </w:footnote>
  <w:footnote w:id="25">
    <w:p>
      <w:pPr>
        <w:pStyle w:val="FootnoteText"/>
        <w:spacing w:lineRule="auto" w:line="480"/>
        <w:rPr/>
      </w:pPr>
      <w:r>
        <w:rPr>
          <w:rStyle w:val="FootnoteCharacters"/>
        </w:rPr>
        <w:footnoteRef/>
      </w:r>
      <w:r>
        <w:rPr/>
        <w:t xml:space="preserve"> </w:t>
      </w:r>
      <w:r>
        <w:rPr/>
        <w:t>Appendix B contains a listing of different search phrases used for locating relevant research discussed in this chapter.</w:t>
      </w:r>
    </w:p>
  </w:footnote>
  <w:footnote w:id="26">
    <w:p>
      <w:pPr>
        <w:pStyle w:val="FootnoteText"/>
        <w:spacing w:lineRule="auto" w:line="480"/>
        <w:rPr/>
      </w:pPr>
      <w:r>
        <w:rPr>
          <w:rStyle w:val="FootnoteCharacters"/>
        </w:rPr>
        <w:footnoteRef/>
      </w:r>
      <w:r>
        <w:rPr/>
        <w:t>As of Q1 2025, Southwest Power Pool employs over 800 FTEs (including their internal market monitoring staff).</w:t>
      </w:r>
    </w:p>
  </w:footnote>
  <w:footnote w:id="27">
    <w:p>
      <w:pPr>
        <w:pStyle w:val="FootnoteText"/>
        <w:spacing w:lineRule="auto" w:line="480"/>
        <w:rPr/>
      </w:pPr>
      <w:r>
        <w:rPr>
          <w:rStyle w:val="FootnoteCharacters"/>
        </w:rPr>
        <w:footnoteRef/>
      </w:r>
      <w:r>
        <w:rPr/>
        <w:t xml:space="preserve">Kosar, Tomaz, et al. Indicate the “schism” between the two languages by discussing that “GPLs tend to be general, resulting in poor support for domain-specific notation </w:t>
      </w:r>
      <w:r>
        <w:rPr>
          <w:rFonts w:eastAsia="Calibri" w:cs="" w:cstheme="minorBidi" w:eastAsiaTheme="minorHAnsi"/>
          <w:shd w:fill="FFFF00" w:val="clear"/>
          <w14:ligatures w14:val="standardContextual"/>
        </w:rPr>
        <w:t>[REF HERE]</w:t>
      </w:r>
      <w:r>
        <w:rPr/>
        <w:t>.”</w:t>
      </w:r>
    </w:p>
  </w:footnote>
  <w:footnote w:id="28">
    <w:p>
      <w:pPr>
        <w:pStyle w:val="FootnoteText"/>
        <w:rPr/>
      </w:pPr>
      <w:r>
        <w:rPr>
          <w:rStyle w:val="FootnoteCharacters"/>
        </w:rPr>
        <w:footnoteRef/>
      </w:r>
      <w:r>
        <w:rPr/>
        <w:t>The name “awk” is an acronym formed from the first letters of the developer’s last names.</w:t>
      </w:r>
    </w:p>
  </w:footnote>
  <w:footnote w:id="29">
    <w:p>
      <w:pPr>
        <w:pStyle w:val="FootnoteText"/>
        <w:spacing w:lineRule="auto" w:line="480"/>
        <w:rPr/>
      </w:pPr>
      <w:r>
        <w:rPr>
          <w:rStyle w:val="FootnoteCharacters"/>
        </w:rPr>
        <w:footnoteRef/>
      </w:r>
      <w:r>
        <w:rPr/>
        <w:t>Current issues in North America show large pockets of stranded load, which have significant economic (and, by extension, reliability) implications. Congestion on the BES constitutes a market (Financial Transmission Rights – FTR) that settles for billions of dollars. This is all due to the fact that monies must be paid to rights holders for transmitting energy across a congested transmission infrastructure.</w:t>
      </w:r>
    </w:p>
    <w:p>
      <w:pPr>
        <w:pStyle w:val="FootnoteText"/>
        <w:spacing w:lineRule="auto" w:line="480"/>
        <w:rPr/>
      </w:pPr>
      <w:r>
        <w:rPr/>
      </w:r>
    </w:p>
  </w:footnote>
  <w:footnote w:id="30">
    <w:p>
      <w:pPr>
        <w:pStyle w:val="FootnoteText"/>
        <w:spacing w:lineRule="auto" w:line="480"/>
        <w:rPr/>
      </w:pPr>
      <w:r>
        <w:rPr>
          <w:rStyle w:val="FootnoteCharacters"/>
        </w:rPr>
        <w:footnoteRef/>
      </w:r>
      <w:r>
        <w:rPr/>
        <w:t xml:space="preserve">Atlan, a leading data governance company, classifies a data swamp as a repository that possesses: poor quality, undocumented code and data schemas, and leads to situations where users must “...spend considerable time on tasks such as data discovery, cleaning, integration, and management” </w:t>
      </w:r>
      <w:r>
        <w:rPr>
          <w:rFonts w:eastAsia="Calibri" w:cs="" w:cstheme="minorBidi" w:eastAsiaTheme="minorHAnsi"/>
          <w:shd w:fill="FFFF00" w:val="clear"/>
          <w14:ligatures w14:val="standardContextual"/>
        </w:rPr>
        <w:t>[REF HERE]</w:t>
      </w:r>
      <w:r>
        <w:rPr/>
        <w:t>.</w:t>
      </w:r>
    </w:p>
    <w:p>
      <w:pPr>
        <w:pStyle w:val="FootnoteText"/>
        <w:spacing w:lineRule="auto" w:line="480"/>
        <w:rPr/>
      </w:pPr>
      <w:r>
        <w:rPr/>
      </w:r>
    </w:p>
  </w:footnote>
  <w:footnote w:id="31">
    <w:p>
      <w:pPr>
        <w:pStyle w:val="FootnoteText"/>
        <w:spacing w:lineRule="auto" w:line="480"/>
        <w:rPr/>
      </w:pPr>
      <w:r>
        <w:rPr>
          <w:rStyle w:val="FootnoteCharacters"/>
        </w:rPr>
        <w:footnoteRef/>
      </w:r>
      <w:r>
        <w:rPr/>
        <w:t xml:space="preserve">A “virtual” transaction (as defined by Southwest Power Pool’s glossary of terms) is a transaction for purchasing (bid) or selling (offer) energy “at a specific price, settlement location, and period of time … that is not associated with a physical load” </w:t>
      </w:r>
      <w:r>
        <w:rPr>
          <w:rFonts w:eastAsia="Calibri" w:cs="" w:cstheme="minorBidi" w:eastAsiaTheme="minorHAnsi"/>
          <w:shd w:fill="FFFF00" w:val="clear"/>
          <w14:ligatures w14:val="standardContextual"/>
        </w:rPr>
        <w:t>[REF HERE]</w:t>
      </w:r>
      <w:r>
        <w:rPr/>
        <w:t>.</w:t>
      </w:r>
    </w:p>
    <w:p>
      <w:pPr>
        <w:pStyle w:val="FootnoteText"/>
        <w:spacing w:lineRule="auto" w:line="480"/>
        <w:rPr/>
      </w:pPr>
      <w:r>
        <w:rPr/>
      </w:r>
    </w:p>
  </w:footnote>
  <w:footnote w:id="32">
    <w:p>
      <w:pPr>
        <w:pStyle w:val="FootnoteText"/>
        <w:spacing w:lineRule="auto" w:line="480"/>
        <w:rPr/>
      </w:pPr>
      <w:r>
        <w:rPr>
          <w:rStyle w:val="FootnoteCharacters"/>
        </w:rPr>
        <w:footnoteRef/>
      </w:r>
      <w:r>
        <w:rPr/>
        <w:t xml:space="preserve">A </w:t>
      </w:r>
      <w:r>
        <w:rPr>
          <w:i/>
          <w:iCs/>
        </w:rPr>
        <w:t>shift factor</w:t>
      </w:r>
      <w:r>
        <w:rPr/>
        <w:t xml:space="preserve"> is a percentage based value that determines how much energy a transmission line will receive when a generator injects energy into the transmission grid </w:t>
      </w:r>
      <w:r>
        <w:rPr>
          <w:rFonts w:eastAsia="Calibri" w:cs="" w:cstheme="minorBidi" w:eastAsiaTheme="minorHAnsi"/>
          <w:shd w:fill="FFFF00" w:val="clear"/>
          <w14:ligatures w14:val="standardContextual"/>
        </w:rPr>
        <w:t>[REF HERE].</w:t>
      </w:r>
    </w:p>
    <w:p>
      <w:pPr>
        <w:pStyle w:val="FootnoteText"/>
        <w:spacing w:lineRule="auto" w:line="480"/>
        <w:rPr>
          <w:rFonts w:eastAsia="Calibri" w:cs="" w:cstheme="minorBidi" w:eastAsiaTheme="minorHAnsi"/>
          <w:highlight w:val="none"/>
          <w:shd w:fill="FFFF00" w:val="clear"/>
          <w14:ligatures w14:val="standardContextual"/>
        </w:rPr>
      </w:pPr>
      <w:r>
        <w:rPr/>
      </w:r>
    </w:p>
  </w:footnote>
  <w:footnote w:id="33">
    <w:p>
      <w:pPr>
        <w:pStyle w:val="FootnoteText"/>
        <w:spacing w:lineRule="auto" w:line="480"/>
        <w:rPr/>
      </w:pPr>
      <w:r>
        <w:rPr>
          <w:rStyle w:val="FootnoteCharacters"/>
        </w:rPr>
        <w:footnoteRef/>
      </w:r>
      <w:r>
        <w:rPr/>
        <w:t>See Appendix D for a list of hyperlinks to view more information on these public sources of energy market data.</w:t>
      </w:r>
    </w:p>
  </w:footnote>
  <w:footnote w:id="34">
    <w:p>
      <w:pPr>
        <w:pStyle w:val="FootnoteText"/>
        <w:spacing w:lineRule="auto" w:line="480"/>
        <w:rPr/>
      </w:pPr>
      <w:r>
        <w:rPr>
          <w:rStyle w:val="FootnoteCharacters"/>
        </w:rPr>
        <w:footnoteRef/>
      </w:r>
      <w:r>
        <w:rPr/>
        <w:t>The results of this panel shall serve as the basis for constructing a comprehensive software requirements document used during the development of this system.</w:t>
      </w:r>
    </w:p>
  </w:footnote>
  <w:footnote w:id="35">
    <w:p>
      <w:pPr>
        <w:pStyle w:val="FootnoteText"/>
        <w:spacing w:lineRule="auto" w:line="480"/>
        <w:rPr/>
      </w:pPr>
      <w:r>
        <w:rPr>
          <w:rStyle w:val="FootnoteCharacters"/>
        </w:rPr>
        <w:footnoteRef/>
      </w:r>
      <w:r>
        <w:rPr/>
        <w:t>A given professional is a member of the EISG by virtue of working for an MMU that is an organizational member of the EISG. Many of these member organizations are the same as those listed in Appendix E.</w:t>
      </w:r>
    </w:p>
  </w:footnote>
  <w:footnote w:id="36">
    <w:p>
      <w:pPr>
        <w:pStyle w:val="FootnoteText"/>
        <w:spacing w:lineRule="auto" w:line="480"/>
        <w:rPr/>
      </w:pPr>
      <w:r>
        <w:rPr>
          <w:rStyle w:val="FootnoteCharacters"/>
        </w:rPr>
        <w:footnoteRef/>
      </w:r>
      <w:r>
        <w:rPr/>
        <w:t>A managerial member of the EISG was contacted via email to receive permission to conduct this study prior to beginning recruitment.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69934790"/>
    </w:sdtPr>
    <w:sdtContent>
      <w:p>
        <w:pPr>
          <w:pStyle w:val="Header"/>
          <w:jc w:val="right"/>
          <w:rPr/>
        </w:pPr>
        <w:r>
          <w:rPr/>
          <w:fldChar w:fldCharType="begin"/>
        </w:r>
        <w:r>
          <w:rPr/>
          <w:instrText xml:space="preserve"> PAGE </w:instrText>
        </w:r>
        <w:r>
          <w:rPr/>
          <w:fldChar w:fldCharType="separate"/>
        </w:r>
        <w:r>
          <w:rPr/>
          <w:t>ii</w:t>
        </w:r>
        <w:r>
          <w:rPr/>
          <w:fldChar w:fldCharType="end"/>
        </w:r>
      </w:p>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pPr>
        <w:r>
          <w:rPr/>
          <w:fldChar w:fldCharType="begin"/>
        </w:r>
        <w:r>
          <w:rPr/>
          <w:instrText xml:space="preserve"> PAGE </w:instrText>
        </w:r>
        <w:r>
          <w:rPr/>
          <w:fldChar w:fldCharType="separate"/>
        </w:r>
        <w:r>
          <w:rPr/>
          <w:t>22</w:t>
        </w:r>
        <w:r>
          <w:rPr/>
          <w:fldChar w:fldCharType="end"/>
        </w:r>
      </w:p>
      <w:p>
        <w:pPr>
          <w:pStyle w:val="Header"/>
          <w:rPr/>
        </w:pPr>
        <w:r>
          <w:rPr/>
        </w:r>
      </w:p>
    </w:sdtContent>
  </w:sdt>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pPr>
        <w:r>
          <w:rPr/>
          <w:fldChar w:fldCharType="begin"/>
        </w:r>
        <w:r>
          <w:rPr/>
          <w:instrText xml:space="preserve"> PAGE </w:instrText>
        </w:r>
        <w:r>
          <w:rPr/>
          <w:fldChar w:fldCharType="separate"/>
        </w:r>
        <w:r>
          <w:rPr/>
          <w:t>43</w:t>
        </w:r>
        <w:r>
          <w:rPr/>
          <w:fldChar w:fldCharType="end"/>
        </w:r>
      </w:p>
      <w:p>
        <w:pPr>
          <w:pStyle w:val="Header"/>
          <w:rPr/>
        </w:pPr>
        <w:r>
          <w:rPr/>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pPr>
        <w:r>
          <w:rPr/>
          <w:fldChar w:fldCharType="begin"/>
        </w:r>
        <w:r>
          <w:rPr/>
          <w:instrText xml:space="preserve"> PAGE </w:instrText>
        </w:r>
        <w:r>
          <w:rPr/>
          <w:fldChar w:fldCharType="separate"/>
        </w:r>
        <w:r>
          <w:rPr/>
          <w:t>50</w:t>
        </w:r>
        <w:r>
          <w:rPr/>
          <w:fldChar w:fldCharType="end"/>
        </w:r>
      </w:p>
      <w:p>
        <w:pPr>
          <w:pStyle w:val="Header"/>
          <w:rPr/>
        </w:pPr>
        <w:r>
          <w:rPr/>
          <w:t xml:space="preserve">  </w:t>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7"/>
  <w:defaultTabStop w:val="720"/>
  <w:autoHyphenation w:val="true"/>
  <w:footnotePr>
    <w:numFmt w:val="decimal"/>
    <w:numRestart w:val="eachSect"/>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3732"/>
    <w:pPr>
      <w:widowControl/>
      <w:suppressAutoHyphens w:val="true"/>
      <w:bidi w:val="0"/>
      <w:spacing w:lineRule="auto" w:line="480" w:before="0" w:after="0"/>
      <w:jc w:val="left"/>
    </w:pPr>
    <w:rPr>
      <w:rFonts w:ascii="Arial" w:hAnsi="Arial" w:eastAsia="Calibri" w:cs="" w:cstheme="minorBidi" w:eastAsia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ae6f58"/>
    <w:pPr>
      <w:keepNext w:val="true"/>
      <w:keepLines/>
      <w:spacing w:beforeAutospacing="1" w:after="0"/>
      <w:outlineLvl w:val="0"/>
    </w:pPr>
    <w:rPr>
      <w:rFonts w:eastAsia="" w:cs="" w:cstheme="majorBidi" w:eastAsiaTheme="majorEastAsia"/>
      <w:b/>
      <w:color w:themeColor="text1" w:val="000000"/>
      <w:sz w:val="32"/>
      <w:szCs w:val="32"/>
    </w:rPr>
  </w:style>
  <w:style w:type="paragraph" w:styleId="Heading2">
    <w:name w:val="Heading 2"/>
    <w:basedOn w:val="Normal"/>
    <w:next w:val="Normal"/>
    <w:link w:val="Heading2Char"/>
    <w:uiPriority w:val="9"/>
    <w:unhideWhenUsed/>
    <w:qFormat/>
    <w:rsid w:val="00f55a1d"/>
    <w:pPr>
      <w:keepNext w:val="true"/>
      <w:keepLines/>
      <w:spacing w:before="120" w:after="0"/>
      <w:outlineLvl w:val="1"/>
    </w:pPr>
    <w:rPr>
      <w:rFonts w:eastAsia="" w:cs="" w:cstheme="majorBidi" w:eastAsiaTheme="majorEastAsia"/>
      <w:b/>
      <w:color w:themeColor="text1" w:val="000000"/>
      <w:sz w:val="24"/>
      <w:szCs w:val="26"/>
    </w:rPr>
  </w:style>
  <w:style w:type="paragraph" w:styleId="Heading3">
    <w:name w:val="Heading 3"/>
    <w:basedOn w:val="Normal"/>
    <w:next w:val="Normal"/>
    <w:link w:val="Heading3Char"/>
    <w:uiPriority w:val="9"/>
    <w:unhideWhenUsed/>
    <w:qFormat/>
    <w:rsid w:val="00f55a1d"/>
    <w:pPr>
      <w:keepNext w:val="true"/>
      <w:keepLines/>
      <w:spacing w:before="120" w:after="0"/>
      <w:outlineLvl w:val="2"/>
    </w:pPr>
    <w:rPr>
      <w:rFonts w:eastAsia="" w:cs="" w:cstheme="majorBidi" w:eastAsiaTheme="majorEastAsia"/>
      <w:b/>
      <w:i/>
      <w:color w:themeColor="text1" w:val="000000"/>
      <w:szCs w:val="24"/>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e6f58"/>
    <w:rPr>
      <w:rFonts w:ascii="Arial" w:hAnsi="Arial" w:eastAsia="" w:cs="" w:cstheme="majorBidi" w:eastAsiaTheme="majorEastAsia"/>
      <w:b/>
      <w:color w:themeColor="text1" w:val="000000"/>
      <w:sz w:val="32"/>
      <w:szCs w:val="32"/>
    </w:rPr>
  </w:style>
  <w:style w:type="character" w:styleId="Heading2Char" w:customStyle="1">
    <w:name w:val="Heading 2 Char"/>
    <w:basedOn w:val="DefaultParagraphFont"/>
    <w:link w:val="Heading2"/>
    <w:uiPriority w:val="9"/>
    <w:qFormat/>
    <w:rsid w:val="00f55a1d"/>
    <w:rPr>
      <w:rFonts w:ascii="Arial" w:hAnsi="Arial" w:eastAsia="" w:cs="" w:cstheme="majorBidi" w:eastAsiaTheme="majorEastAsia"/>
      <w:b/>
      <w:color w:themeColor="text1" w:val="000000"/>
      <w:sz w:val="24"/>
      <w:szCs w:val="26"/>
    </w:rPr>
  </w:style>
  <w:style w:type="character" w:styleId="Heading3Char" w:customStyle="1">
    <w:name w:val="Heading 3 Char"/>
    <w:basedOn w:val="DefaultParagraphFont"/>
    <w:link w:val="Heading3"/>
    <w:uiPriority w:val="9"/>
    <w:qFormat/>
    <w:rsid w:val="00f55a1d"/>
    <w:rPr>
      <w:rFonts w:ascii="Arial" w:hAnsi="Arial" w:eastAsia="" w:cs="" w:cstheme="majorBidi" w:eastAsiaTheme="majorEastAsia"/>
      <w:b/>
      <w:i/>
      <w:color w:themeColor="text1" w:val="000000"/>
      <w:szCs w:val="24"/>
    </w:rPr>
  </w:style>
  <w:style w:type="character" w:styleId="Hyperlink">
    <w:name w:val="Hyperlink"/>
    <w:basedOn w:val="DefaultParagraphFont"/>
    <w:uiPriority w:val="99"/>
    <w:unhideWhenUsed/>
    <w:rsid w:val="003e0393"/>
    <w:rPr>
      <w:color w:themeColor="hyperlink" w:val="0563C1"/>
      <w:u w:val="single"/>
    </w:rPr>
  </w:style>
  <w:style w:type="character" w:styleId="HeaderChar" w:customStyle="1">
    <w:name w:val="Header Char"/>
    <w:basedOn w:val="DefaultParagraphFont"/>
    <w:link w:val="Header"/>
    <w:uiPriority w:val="99"/>
    <w:qFormat/>
    <w:rsid w:val="0016016e"/>
    <w:rPr>
      <w:rFonts w:ascii="Arial" w:hAnsi="Arial"/>
    </w:rPr>
  </w:style>
  <w:style w:type="character" w:styleId="FooterChar" w:customStyle="1">
    <w:name w:val="Footer Char"/>
    <w:basedOn w:val="DefaultParagraphFont"/>
    <w:link w:val="Footer"/>
    <w:uiPriority w:val="99"/>
    <w:qFormat/>
    <w:rsid w:val="0016016e"/>
    <w:rPr>
      <w:rFonts w:ascii="Arial" w:hAnsi="Arial"/>
    </w:rPr>
  </w:style>
  <w:style w:type="character" w:styleId="FootnoteTextChar" w:customStyle="1">
    <w:name w:val="Footnote Text Char"/>
    <w:basedOn w:val="DefaultParagraphFont"/>
    <w:link w:val="FootnoteText"/>
    <w:uiPriority w:val="99"/>
    <w:semiHidden/>
    <w:qFormat/>
    <w:rsid w:val="009d2361"/>
    <w:rPr>
      <w:rFonts w:ascii="Arial" w:hAnsi="Arial"/>
      <w:sz w:val="20"/>
      <w:szCs w:val="20"/>
    </w:rPr>
  </w:style>
  <w:style w:type="character" w:styleId="FootnoteCharacters">
    <w:name w:val="Footnote Characters"/>
    <w:uiPriority w:val="99"/>
    <w:semiHidden/>
    <w:unhideWhenUsed/>
    <w:qFormat/>
    <w:rsid w:val="009d2361"/>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326ddf"/>
    <w:rPr>
      <w:rFonts w:ascii="Arial" w:hAnsi="Arial"/>
      <w:sz w:val="20"/>
      <w:szCs w:val="20"/>
    </w:rPr>
  </w:style>
  <w:style w:type="character" w:styleId="EndnoteCharacters">
    <w:name w:val="Endnote Characters"/>
    <w:uiPriority w:val="99"/>
    <w:semiHidden/>
    <w:unhideWhenUsed/>
    <w:qFormat/>
    <w:rsid w:val="00326ddf"/>
    <w:rPr>
      <w:vertAlign w:val="superscript"/>
    </w:rPr>
  </w:style>
  <w:style w:type="character" w:styleId="EndnoteReference">
    <w:name w:val="Endnote Reference"/>
    <w:rPr>
      <w:vertAlign w:val="superscript"/>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9d5453"/>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IndexHeading">
    <w:name w:val="Index Heading"/>
    <w:basedOn w:val="Heading"/>
    <w:pPr/>
    <w:rPr/>
  </w:style>
  <w:style w:type="paragraph" w:styleId="TOCHeading">
    <w:name w:val="TOC Heading"/>
    <w:basedOn w:val="Heading1"/>
    <w:next w:val="Normal"/>
    <w:uiPriority w:val="39"/>
    <w:unhideWhenUsed/>
    <w:qFormat/>
    <w:rsid w:val="003e0393"/>
    <w:pPr>
      <w:spacing w:beforeAutospacing="0" w:before="0" w:after="0"/>
      <w:outlineLvl w:val="9"/>
    </w:pPr>
    <w:rPr>
      <w:kern w:val="0"/>
      <w14:ligatures w14:val="none"/>
    </w:rPr>
  </w:style>
  <w:style w:type="paragraph" w:styleId="TOC1">
    <w:name w:val="TOC 1"/>
    <w:basedOn w:val="Normal"/>
    <w:next w:val="Normal"/>
    <w:autoRedefine/>
    <w:uiPriority w:val="39"/>
    <w:unhideWhenUsed/>
    <w:rsid w:val="003e0393"/>
    <w:pPr>
      <w:spacing w:before="0" w:after="100"/>
    </w:pPr>
    <w:rPr/>
  </w:style>
  <w:style w:type="paragraph" w:styleId="TOC2">
    <w:name w:val="TOC 2"/>
    <w:basedOn w:val="Normal"/>
    <w:next w:val="Normal"/>
    <w:autoRedefine/>
    <w:uiPriority w:val="39"/>
    <w:unhideWhenUsed/>
    <w:rsid w:val="003e0393"/>
    <w:pPr>
      <w:spacing w:before="0" w:after="100"/>
      <w:ind w:left="220"/>
    </w:pPr>
    <w:rPr/>
  </w:style>
  <w:style w:type="paragraph" w:styleId="TOC3">
    <w:name w:val="TOC 3"/>
    <w:basedOn w:val="Normal"/>
    <w:next w:val="Normal"/>
    <w:autoRedefine/>
    <w:uiPriority w:val="39"/>
    <w:unhideWhenUsed/>
    <w:rsid w:val="003e0393"/>
    <w:pPr>
      <w:spacing w:before="0" w:after="100"/>
      <w:ind w:left="44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6016e"/>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16016e"/>
    <w:pPr>
      <w:tabs>
        <w:tab w:val="clear" w:pos="720"/>
        <w:tab w:val="center" w:pos="4680" w:leader="none"/>
        <w:tab w:val="right" w:pos="9360" w:leader="none"/>
      </w:tabs>
      <w:spacing w:lineRule="auto" w:line="240"/>
    </w:pPr>
    <w:rPr/>
  </w:style>
  <w:style w:type="paragraph" w:styleId="TableofFigures">
    <w:name w:val="Table of Figures"/>
    <w:basedOn w:val="Normal"/>
    <w:next w:val="Normal"/>
    <w:uiPriority w:val="99"/>
    <w:unhideWhenUsed/>
    <w:rsid w:val="00833763"/>
    <w:pPr>
      <w:ind w:hanging="440" w:left="440"/>
    </w:pPr>
    <w:rPr>
      <w:rFonts w:ascii="Calibri" w:hAnsi="Calibri" w:cs="Calibri" w:asciiTheme="minorHAnsi" w:cstheme="minorHAnsi" w:hAnsiTheme="minorHAnsi"/>
      <w:caps/>
      <w:sz w:val="20"/>
      <w:szCs w:val="20"/>
    </w:rPr>
  </w:style>
  <w:style w:type="paragraph" w:styleId="Bibliography">
    <w:name w:val="Bibliography"/>
    <w:basedOn w:val="Normal"/>
    <w:next w:val="Normal"/>
    <w:uiPriority w:val="37"/>
    <w:unhideWhenUsed/>
    <w:qFormat/>
    <w:rsid w:val="001064a5"/>
    <w:pPr/>
    <w:rPr/>
  </w:style>
  <w:style w:type="paragraph" w:styleId="FootnoteText">
    <w:name w:val="Footnote Text"/>
    <w:basedOn w:val="Normal"/>
    <w:link w:val="FootnoteTextChar"/>
    <w:uiPriority w:val="99"/>
    <w:semiHidden/>
    <w:unhideWhenUsed/>
    <w:rsid w:val="009d2361"/>
    <w:pPr>
      <w:spacing w:lineRule="auto" w:line="240"/>
    </w:pPr>
    <w:rPr>
      <w:sz w:val="20"/>
      <w:szCs w:val="20"/>
    </w:rPr>
  </w:style>
  <w:style w:type="paragraph" w:styleId="ListParagraph">
    <w:name w:val="List Paragraph"/>
    <w:basedOn w:val="Normal"/>
    <w:uiPriority w:val="34"/>
    <w:qFormat/>
    <w:rsid w:val="008838f1"/>
    <w:pPr>
      <w:spacing w:before="0" w:after="0"/>
      <w:ind w:left="720"/>
      <w:contextualSpacing/>
    </w:pPr>
    <w:rPr/>
  </w:style>
  <w:style w:type="paragraph" w:styleId="EndnoteText">
    <w:name w:val="Endnote Text"/>
    <w:basedOn w:val="Normal"/>
    <w:link w:val="EndnoteTextChar"/>
    <w:uiPriority w:val="99"/>
    <w:semiHidden/>
    <w:unhideWhenUsed/>
    <w:rsid w:val="00326ddf"/>
    <w:pPr>
      <w:spacing w:lineRule="auto" w:line="240"/>
    </w:pPr>
    <w:rPr>
      <w:sz w:val="20"/>
      <w:szCs w:val="20"/>
    </w:rPr>
  </w:style>
  <w:style w:type="paragraph" w:styleId="HeaderLeft">
    <w:name w:val="Header Left"/>
    <w:basedOn w:val="Header"/>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Bibliography1">
    <w:name w:val="Bibliography 1"/>
    <w:basedOn w:val="Index"/>
    <w:qFormat/>
    <w:pPr>
      <w:tabs>
        <w:tab w:val="clear" w:pos="720"/>
        <w:tab w:val="right" w:pos="9360" w:leader="dot"/>
      </w:tabs>
      <w:ind w:hanging="0" w:left="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036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7.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hyperlink" Target="https://github.com/echarlesgrasby/dissertation/blob/master/ext/Delphi_WaiverInformedConsent_Grasby.pdf" TargetMode="External"/><Relationship Id="rId18" Type="http://schemas.openxmlformats.org/officeDocument/2006/relationships/header" Target="head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FERC1</b:Tag>
    <b:SourceType>InternetSite</b:SourceType>
    <b:Guid>{521B4D40-901C-4A6B-B3A5-F702582C147C}</b:Guid>
    <b:Title>An Introductory Guide to Electricity Markets regulated by the Federal Energy Regulatory Commission</b:Title>
    <b:Author>
      <b:Author>
        <b:Corporate>FERC</b:Corporate>
      </b:Author>
    </b:Author>
    <b:ProductionCompany>Federal Energy Regulatory Commission</b:ProductionCompany>
    <b:YearAccessed>2024</b:YearAccessed>
    <b:MonthAccessed>11</b:MonthAccessed>
    <b:DayAccessed>18</b:DayAccessed>
    <b:URL>https://www.ferc.gov/introductory-guide-electricity-markets-regulated-federal-energy-regulatory-commission</b:URL>
    <b:RefOrder>1</b:RefOrder>
  </b:Source>
  <b:Source>
    <b:Tag>2020asom</b:Tag>
    <b:SourceType>DocumentFromInternetSite</b:SourceType>
    <b:Guid>{D44FA4ED-FE2D-4FA3-9A17-5748C69D3635}</b:Guid>
    <b:Author>
      <b:Author>
        <b:Corporate>SPP Market Monitoring Unit</b:Corporate>
      </b:Author>
    </b:Author>
    <b:Title>2020 Annual State of the Market Report</b:Title>
    <b:Year>2021</b:Year>
    <b:YearAccessed>2024</b:YearAccessed>
    <b:MonthAccessed>04</b:MonthAccessed>
    <b:DayAccessed>09</b:DayAccessed>
    <b:URL>https://www.spp.org/documents/65161/2020%20annual%20state%20of%20the%20market%20report.pdf</b:URL>
    <b:RefOrder>3</b:RefOrder>
  </b:Source>
  <b:Source>
    <b:Tag>2022asom</b:Tag>
    <b:SourceType>DocumentFromInternetSite</b:SourceType>
    <b:Guid>{070ED64A-4FA9-4FE4-9E07-1D57BD0C2572}</b:Guid>
    <b:Author>
      <b:Author>
        <b:Corporate>SPP Market Monitoring Unit</b:Corporate>
      </b:Author>
    </b:Author>
    <b:Title>2022 Annual State of the Market Report</b:Title>
    <b:Year>2023</b:Year>
    <b:YearAccessed>2024</b:YearAccessed>
    <b:MonthAccessed>04</b:MonthAccessed>
    <b:DayAccessed>09</b:DayAccessed>
    <b:URL>https://www.spp.org/documents/69330/2022%20annual%20state%20of%20the%20market%20report.pdf</b:URL>
    <b:RefOrder>5</b:RefOrder>
  </b:Source>
  <b:Source>
    <b:Tag>2023asom</b:Tag>
    <b:SourceType>DocumentFromInternetSite</b:SourceType>
    <b:Guid>{21FC7A1B-6821-4566-940E-406C20DF7631}</b:Guid>
    <b:Author>
      <b:Author>
        <b:Corporate>SPP Market Monitoring Unit</b:Corporate>
      </b:Author>
    </b:Author>
    <b:Title>2023 State of the Market Report</b:Title>
    <b:Year>2024</b:Year>
    <b:YearAccessed>2025</b:YearAccessed>
    <b:MonthAccessed>04</b:MonthAccessed>
    <b:DayAccessed>09</b:DayAccessed>
    <b:URL>https://www.spp.org/documents/71645/2023%20annual%20state%20of%20the%20market%20report%20v2.pdf</b:URL>
    <b:RefOrder>6</b:RefOrder>
  </b:Source>
  <b:Source>
    <b:Tag>2021asom</b:Tag>
    <b:SourceType>DocumentFromInternetSite</b:SourceType>
    <b:Guid>{066C4523-08C4-40C5-97C3-E19EBAD14B42}</b:Guid>
    <b:Author>
      <b:Author>
        <b:Corporate>SPP Market Monitoring Unit</b:Corporate>
      </b:Author>
    </b:Author>
    <b:Title>2021 Annual State of the Market Report</b:Title>
    <b:Year>2022</b:Year>
    <b:YearAccessed>2025</b:YearAccessed>
    <b:MonthAccessed>04</b:MonthAccessed>
    <b:DayAccessed>09</b:DayAccessed>
    <b:URL>https://www.spp.org/documents/67104/2021%20annual%20state%20of%20the%20market%20report.pdf</b:URL>
    <b:RefOrder>4</b:RefOrder>
  </b:Source>
  <b:Source>
    <b:Tag>balancing1</b:Tag>
    <b:SourceType>DocumentFromInternetSite</b:SourceType>
    <b:Guid>{FB4E1DF1-AA8A-4971-AC22-7FC99E5802A1}</b:Guid>
    <b:Title>How it Works: The Role of a Balancing Authority</b:Title>
    <b:Year>2023</b:Year>
    <b:Month>08</b:Month>
    <b:YearAccessed>2025</b:YearAccessed>
    <b:MonthAccessed>03</b:MonthAccessed>
    <b:DayAccessed>19</b:DayAccessed>
    <b:URL>https://www.energy.gov/sites/default/files/2023-08/Balancing%20Authority%20Backgrounder_2022-Formatted_041723_508.pdf</b:URL>
    <b:Author>
      <b:Author>
        <b:Corporate>U.S. Department of Energy</b:Corporate>
      </b:Author>
    </b:Author>
    <b:RefOrder>8</b:RefOrder>
  </b:Source>
  <b:Source>
    <b:Tag>balancing2</b:Tag>
    <b:SourceType>DocumentFromInternetSite</b:SourceType>
    <b:Guid>{087F9069-CD0D-4174-B1B0-028399028D4D}</b:Guid>
    <b:Author>
      <b:Author>
        <b:Corporate>National Renewable Energy Laboratory (NREL)</b:Corporate>
      </b:Author>
    </b:Author>
    <b:Title>Explained: Causes of Three Recent Major Blackouts and What is Being Done in Response</b:Title>
    <b:YearAccessed>2025</b:YearAccessed>
    <b:MonthAccessed>04</b:MonthAccessed>
    <b:DayAccessed>01</b:DayAccessed>
    <b:URL>https://www.nrel.gov/docs/fy24osti/87308.pdf</b:URL>
    <b:RefOrder>9</b:RefOrder>
  </b:Source>
  <b:Source>
    <b:Tag>devasia</b:Tag>
    <b:SourceType>InternetSite</b:SourceType>
    <b:Guid>{5928CB8B-9070-4A3C-A97A-1DBA3E2CCE61}</b:Guid>
    <b:Author>
      <b:Author>
        <b:NameList>
          <b:Person>
            <b:Last>Devasia</b:Last>
            <b:First>Anish</b:First>
          </b:Person>
        </b:NameList>
      </b:Author>
    </b:Author>
    <b:Title>Everything You Need to Know about NERC CIP Compliance</b:Title>
    <b:ProductionCompany>Safe and Sound Security</b:ProductionCompany>
    <b:Year>2023</b:Year>
    <b:Month>9</b:Month>
    <b:Day>26</b:Day>
    <b:YearAccessed>2024</b:YearAccessed>
    <b:MonthAccessed>11</b:MonthAccessed>
    <b:DayAccessed>01</b:DayAccessed>
    <b:URL>https://getsafeandsound.com/blog/what-is-nerc-cip-certification/</b:URL>
    <b:RefOrder>7</b:RefOrder>
  </b:Source>
  <b:Source>
    <b:Tag>ferc2</b:Tag>
    <b:SourceType>InternetSite</b:SourceType>
    <b:Guid>{87E71AC1-A8EB-41A4-B327-C388528A27BD}</b:Guid>
    <b:Author>
      <b:Author>
        <b:Corporate>Federal Energy Regulatory Commission</b:Corporate>
      </b:Author>
    </b:Author>
    <b:Title>Electric Power Markets | Federal Energy Regulatory Commission</b:Title>
    <b:ProductionCompany>Federal Energy Regulatory Commission</b:ProductionCompany>
    <b:YearAccessed>2024</b:YearAccessed>
    <b:MonthAccessed>11</b:MonthAccessed>
    <b:DayAccessed>01</b:DayAccessed>
    <b:URL>https://www.ferc.gov/electric-power-markets</b:URL>
    <b:RefOrder>10</b:RefOrder>
  </b:Source>
  <b:Source>
    <b:Tag>stenvignils</b:Tag>
    <b:SourceType>InternetSite</b:SourceType>
    <b:Guid>{B2119046-DEC1-4BD0-A8BA-262F5414A3EA}</b:Guid>
    <b:Author>
      <b:Author>
        <b:NameList>
          <b:Person>
            <b:Last>Stenvig</b:Last>
            <b:First>Nils</b:First>
          </b:Person>
        </b:NameList>
      </b:Author>
    </b:Author>
    <b:Title>Exploring the world's largest machine</b:Title>
    <b:YearAccessed>2024</b:YearAccessed>
    <b:MonthAccessed>11</b:MonthAccessed>
    <b:DayAccessed>01</b:DayAccessed>
    <b:URL>https://www.ornl.gov/blog/nils-stenvig-exploring-worlds-largest-machine</b:URL>
    <b:ProductionCompany>Oak Ridge National Laboratory</b:ProductionCompany>
    <b:RefOrder>2</b:RefOrder>
  </b:Source>
  <b:Source>
    <b:Tag>nrel_grid_ev</b:Tag>
    <b:SourceType>InternetSite</b:SourceType>
    <b:Guid>{DBC10B0C-E4D0-46D7-B4C6-7F9B05A8EC17}</b:Guid>
    <b:Title>National transmission analysis maps next chapter of US grid evolution</b:Title>
    <b:Year>2024</b:Year>
    <b:YearAccessed>2025</b:YearAccessed>
    <b:MonthAccessed>04</b:MonthAccessed>
    <b:DayAccessed>09</b:DayAccessed>
    <b:URL>https://www.nrel.gov/news/features/2024/national-transmission-planning-study.html</b:URL>
    <b:Author>
      <b:Author>
        <b:Corporate>National Renewable Energy Labs (NREL)</b:Corporate>
      </b:Author>
    </b:Author>
    <b:ProductionCompany>National Renewable Energy Laboratory</b:ProductionCompany>
    <b:RefOrder>11</b:RefOrder>
  </b:Source>
  <b:Source>
    <b:Tag>imm_usea</b:Tag>
    <b:SourceType>DocumentFromInternetSite</b:SourceType>
    <b:Guid>{077535A5-D8AB-4BCA-971A-226E0B3F38C1}</b:Guid>
    <b:Title>The Role of the Independent Market Monitor around the World</b:Title>
    <b:YearAccessed>2024</b:YearAccessed>
    <b:MonthAccessed>11</b:MonthAccessed>
    <b:DayAccessed>01</b:DayAccessed>
    <b:URL>https://www.superservicios.gov.co/sites/default/files/inline-files/johanna\_presentation\_independent\_market\_monitor\_presentations2.pdf</b:URL>
    <b:Author>
      <b:Author>
        <b:NameList>
          <b:Person>
            <b:Last>Koolemans-Beynen</b:Last>
            <b:First>Johanna</b:First>
          </b:Person>
        </b:NameList>
      </b:Author>
    </b:Author>
    <b:RefOrder>12</b:RefOrder>
  </b:Source>
</b:Sources>
</file>

<file path=customXml/itemProps1.xml><?xml version="1.0" encoding="utf-8"?>
<ds:datastoreItem xmlns:ds="http://schemas.openxmlformats.org/officeDocument/2006/customXml" ds:itemID="{9B8B99FE-9DDD-4919-A8FC-27BFA4015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Application>LibreOffice/24.2.7.2$Linux_X86_64 LibreOffice_project/420$Build-2</Application>
  <AppVersion>15.0000</AppVersion>
  <Pages>64</Pages>
  <Words>10388</Words>
  <Characters>59996</Characters>
  <CharactersWithSpaces>70082</CharactersWithSpaces>
  <Paragraphs>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2025-12-23T16:53:00Z</dcterms:created>
  <dc:creator>Karen Kuralt</dc:creator>
  <dc:description/>
  <dc:language>en-US</dc:language>
  <cp:lastModifiedBy/>
  <dcterms:modified xsi:type="dcterms:W3CDTF">2025-12-30T15:43:44Z</dcterms:modified>
  <cp:revision>146</cp:revision>
  <dc:subject/>
  <dc:title/>
</cp:coreProperties>
</file>

<file path=docProps/custom.xml><?xml version="1.0" encoding="utf-8"?>
<Properties xmlns="http://schemas.openxmlformats.org/officeDocument/2006/custom-properties" xmlns:vt="http://schemas.openxmlformats.org/officeDocument/2006/docPropsVTypes"/>
</file>