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7777777"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SEASUG Paper ###-2026</w:t>
      </w:r>
    </w:p>
    <w:p w14:paraId="7C326506" w14:textId="0530B432"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w:t>
      </w:r>
      <w:r w:rsidR="001009F8">
        <w:rPr>
          <w:b/>
          <w:bCs/>
          <w:color w:val="000000"/>
          <w:sz w:val="26"/>
          <w:szCs w:val="26"/>
        </w:rPr>
        <w:t>: from Domain Logic to SAS Code</w:t>
      </w:r>
    </w:p>
    <w:p w14:paraId="345A8387" w14:textId="3079E379" w:rsidR="004E2786" w:rsidRDefault="00000000">
      <w:pPr>
        <w:pBdr>
          <w:top w:val="nil"/>
          <w:left w:val="nil"/>
          <w:bottom w:val="nil"/>
          <w:right w:val="nil"/>
          <w:between w:val="nil"/>
        </w:pBdr>
        <w:spacing w:before="20"/>
        <w:jc w:val="center"/>
      </w:pPr>
      <w:r>
        <w:rPr>
          <w:color w:val="000000"/>
          <w:sz w:val="22"/>
          <w:szCs w:val="22"/>
        </w:rPr>
        <w:t xml:space="preserve">Eric C. Grasby, </w:t>
      </w:r>
      <w:r w:rsidR="000F214D">
        <w:rPr>
          <w:color w:val="000000"/>
          <w:sz w:val="22"/>
          <w:szCs w:val="22"/>
        </w:rPr>
        <w:t>SPP</w:t>
      </w:r>
      <w:r>
        <w:rPr>
          <w:color w:val="000000"/>
          <w:sz w:val="22"/>
          <w:szCs w:val="22"/>
        </w:rPr>
        <w:t>; Daniel Berleant, UA Little Rock</w:t>
      </w:r>
      <w:r w:rsidR="00200024">
        <w:rPr>
          <w:color w:val="000000"/>
          <w:sz w:val="22"/>
          <w:szCs w:val="22"/>
        </w:rPr>
        <w:t>, Maria CB Gingras, SPP</w:t>
      </w:r>
    </w:p>
    <w:p w14:paraId="0F749EB3" w14:textId="233D5DF2" w:rsidR="004E2786" w:rsidRPr="00272427" w:rsidRDefault="00CA78FE" w:rsidP="00272427">
      <w:pPr>
        <w:pStyle w:val="Heading1"/>
      </w:pPr>
      <w:r>
        <w:t>ABSTRACT</w:t>
      </w:r>
    </w:p>
    <w:p w14:paraId="728A8E8F" w14:textId="248B91CC" w:rsidR="004E2786" w:rsidRPr="00A37411" w:rsidRDefault="00000000" w:rsidP="00D21BEF">
      <w:r w:rsidRPr="00A37411">
        <w:t>This paper presents a proof-of-concept design and implementation of a domain-specific language (DSL) for use in energy market monitoring. Energy markets are complex systems that enable market participants to economically trade energy at wholesale rates. Market monitors analyze these markets and screen for manipulative behavior, often using SAS</w:t>
      </w:r>
      <w:r w:rsidR="00401F54">
        <w:t>®</w:t>
      </w:r>
      <w:r w:rsidRPr="00A37411">
        <w:t xml:space="preserve"> for data extraction, transformation, and analysis.</w:t>
      </w:r>
    </w:p>
    <w:p w14:paraId="488C0354" w14:textId="7AE719E7" w:rsidR="004E2786" w:rsidRPr="00A37411" w:rsidRDefault="00000000" w:rsidP="00D21BEF">
      <w:r w:rsidRPr="00A37411">
        <w:t xml:space="preserve">While SAS is a well-established </w:t>
      </w:r>
      <w:r w:rsidR="0030657A">
        <w:t>programming language</w:t>
      </w:r>
      <w:r w:rsidRPr="00A37411">
        <w:t xml:space="preserve"> for </w:t>
      </w:r>
      <w:r w:rsidR="0030657A">
        <w:t>data processing</w:t>
      </w:r>
      <w:r w:rsidRPr="00A37411">
        <w:t xml:space="preserve">, many market monitors are not expert computer programmers. DSLs </w:t>
      </w:r>
      <w:r w:rsidR="00AB10CB">
        <w:t xml:space="preserve">can </w:t>
      </w:r>
      <w:r w:rsidRPr="00A37411">
        <w:t xml:space="preserve">enable non-programmers to solve problems without requiring a background in software development. This paper presents a DSL that aims to </w:t>
      </w:r>
      <w:r w:rsidR="00AB10CB">
        <w:t xml:space="preserve">help </w:t>
      </w:r>
      <w:r w:rsidRPr="00A37411">
        <w:t xml:space="preserve">a monitoring analyst </w:t>
      </w:r>
      <w:r w:rsidR="0030657A">
        <w:t xml:space="preserve">declare </w:t>
      </w:r>
      <w:r w:rsidRPr="00A37411">
        <w:t>. It then transpiles their output into valid SAS code, leveraging SAS data sets for data management and SAS procedures, DATA step programming, and SAS macros to handle complex functionality.</w:t>
      </w:r>
    </w:p>
    <w:p w14:paraId="3E687F43" w14:textId="0BDFE52C" w:rsidR="004E2786" w:rsidRDefault="0030657A" w:rsidP="00D21BEF">
      <w:r>
        <w:t>Finally, this paper illustrates</w:t>
      </w:r>
      <w:r w:rsidRPr="00A37411">
        <w:t xml:space="preserve"> the flexibility of this proposed design by</w:t>
      </w:r>
      <w:r>
        <w:t xml:space="preserve"> demonstrating how a user can generate SAS code to fulfill common market monitoring tasks</w:t>
      </w:r>
      <w:r w:rsidRPr="00A37411">
        <w:t xml:space="preserve">. These </w:t>
      </w:r>
      <w:r>
        <w:t>tasks</w:t>
      </w:r>
      <w:r w:rsidRPr="00A37411">
        <w:t xml:space="preserve"> were identified by a panel of market monitors as part of a Delphi study.</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510C371E" w:rsidR="00316EE2" w:rsidRDefault="00316EE2" w:rsidP="00316EE2">
      <w:r>
        <w:t xml:space="preserve">Energy is a ubiquitous commodity; its generation, transmission, and use is present in </w:t>
      </w:r>
      <w:r w:rsidR="007F2B07">
        <w:t>almost</w:t>
      </w:r>
      <w:r>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energy markets, which use the BES to transmit electricity, are necessary constructs that allow power producers and traders to reliably and economically deliver energy to consumers.</w:t>
      </w:r>
    </w:p>
    <w:p w14:paraId="4334A4C3" w14:textId="1482B653" w:rsidR="007F2B07" w:rsidRDefault="007F2B07" w:rsidP="00316EE2">
      <w:r>
        <w:t>After the downfall of the former energy giant</w:t>
      </w:r>
      <w:r w:rsidR="00FC10B1">
        <w:t xml:space="preserve"> </w:t>
      </w:r>
      <w:r w:rsidR="00FC10B1">
        <w:rPr>
          <w:i/>
          <w:iCs/>
        </w:rPr>
        <w:t>Enron Corporation</w:t>
      </w:r>
      <w:r>
        <w:t xml:space="preserve"> the Federal Energy Regulatory Commission (FERC) mandated that all organized energy markets in the United States be independently </w:t>
      </w:r>
      <w:r w:rsidR="00FC10B1">
        <w:t>monitored</w:t>
      </w:r>
      <w:r>
        <w:t xml:space="preserve"> by an energy market monitoring authority. Market monitors are the group of professionals that work to ensure that these markets remain fair, efficient, and open access.</w:t>
      </w:r>
    </w:p>
    <w:p w14:paraId="3E55B4A3" w14:textId="2B45DA5A" w:rsidR="0047763A" w:rsidRPr="00316EE2" w:rsidRDefault="0047763A" w:rsidP="00316EE2">
      <w:r w:rsidRPr="0047763A">
        <w:rPr>
          <w:highlight w:val="yellow"/>
        </w:rPr>
        <w:t>Finish introduction and framing to introduce the idea of a domain-specific language (and explain what a DSL is)</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082D1A71" w14:textId="62203549" w:rsidR="000A2FC6" w:rsidRDefault="000A2FC6" w:rsidP="000A2FC6">
      <w:r>
        <w:t xml:space="preserve">Systems such as SAS already provide an abstraction layer for data processing – why propose to build a DSL on top of SAS at all? The answer to this question lies in the energy data landscape itself. Although the BES is operationally complex, the surrounding data infrastructure is even more fragmented. Market monitors routinely interact with disparate systems, siloed databases, undocumented schemas, and numerous other information quality issues that impede their analysis. </w:t>
      </w:r>
    </w:p>
    <w:p w14:paraId="5D417F40" w14:textId="3FFA6DA3" w:rsidR="000A2FC6" w:rsidRDefault="000A2FC6" w:rsidP="000A2FC6">
      <w:r>
        <w:t xml:space="preserve">Many of these issues are </w:t>
      </w:r>
      <w:r w:rsidRPr="000A2FC6">
        <w:rPr>
          <w:i/>
          <w:iCs/>
        </w:rPr>
        <w:t>semantic problems</w:t>
      </w:r>
      <w:r>
        <w:t xml:space="preserve">, requiring an individual to encode their domain expertise into SAS or SQL scripts. A prevalent example in energy markets involves how timestamps are interpreted across time zones. Because energy market transactions 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6FA13D40" w14:textId="6E5B4E33" w:rsidR="00934EAE" w:rsidRDefault="00934EAE" w:rsidP="000A2FC6">
      <w:r>
        <w:t>Modern analytics platforms provide mechanisms for performing these conversions, but they tend to rely on the user understanding and correctly applying the domain-level semantics associated with the data (using the appropriate time zone, for example). By leveraging metadata and domain-aware rules, the DSL can transparently handle these operations without requiring the user to manually account for such details.</w:t>
      </w:r>
    </w:p>
    <w:p w14:paraId="3D5BA253" w14:textId="1EC02897" w:rsidR="00934EAE" w:rsidRPr="000A2FC6" w:rsidRDefault="00934EAE" w:rsidP="000A2FC6">
      <w:r>
        <w:t xml:space="preserve">The proposed DSL is not intended to replace existing analytics platforms, like SAS, but instead </w:t>
      </w:r>
      <w:r w:rsidR="00446F61">
        <w:t>provides</w:t>
      </w:r>
      <w:r>
        <w:t xml:space="preserve"> a semantic layer that mitigates these information quality risks.</w:t>
      </w:r>
    </w:p>
    <w:p w14:paraId="0571E4A0" w14:textId="255A8CF9" w:rsidR="0011120F" w:rsidRDefault="0011120F" w:rsidP="00272427">
      <w:pPr>
        <w:pStyle w:val="Heading3"/>
      </w:pPr>
      <w:r>
        <w:lastRenderedPageBreak/>
        <w:t>Why SAS</w:t>
      </w:r>
      <w:r w:rsidR="001A2E15">
        <w:t>®</w:t>
      </w:r>
      <w:r>
        <w:t>?</w:t>
      </w:r>
    </w:p>
    <w:p w14:paraId="09C14A2D" w14:textId="003AD0E1" w:rsidR="00EC1F75" w:rsidRDefault="00EC1F75" w:rsidP="00EC1F75">
      <w:r>
        <w:t xml:space="preserve">Using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7124D1D6" w:rsidR="00194B59" w:rsidRDefault="00194B59" w:rsidP="00EC1F75">
      <w:r>
        <w:t xml:space="preserve">The SAS ecosystem satisfies each of these system requirements. BASE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BASE SAS also ships with a data typing system, so the upstream DSL does not have to enforce strict typing as part of the syntax (which translates to less cognitive burden on the user). </w:t>
      </w:r>
    </w:p>
    <w:p w14:paraId="5AAF1EBA" w14:textId="0FFD7C2F" w:rsidR="00194B59" w:rsidRDefault="00194B59" w:rsidP="00EC1F75">
      <w:r>
        <w:t>Additionally, the Output Delivery System (ODS) that ships with SAS provides first-class citizens for generating and formatting both data visualization graphs and spatial maps. The ODS principally provides this functionality through the SGMAP and SGPLOT procedures, respectively.</w:t>
      </w:r>
    </w:p>
    <w:p w14:paraId="14D82BC3" w14:textId="33AF29F9" w:rsidR="009011E8" w:rsidRPr="00EC1F75" w:rsidRDefault="009011E8" w:rsidP="00EC1F75">
      <w:r>
        <w:t xml:space="preserve">With each of these infrastructural components available within one platform, </w:t>
      </w:r>
      <w:r w:rsidR="005713A6">
        <w:t>the DSL</w:t>
      </w:r>
      <w:r>
        <w:t xml:space="preserve"> can remain focused on allowing the user to write intuitive data logic. </w:t>
      </w:r>
      <w:r w:rsidR="00D3625F">
        <w:t>It</w:t>
      </w:r>
      <w:r w:rsidR="00C93C4C">
        <w:t xml:space="preserve"> then offloads</w:t>
      </w:r>
      <w:r>
        <w:t xml:space="preserve"> any </w:t>
      </w:r>
      <w:r w:rsidR="00B52BBD">
        <w:t>infrastructural</w:t>
      </w:r>
      <w:r>
        <w:t xml:space="preserve"> complexity to SAS and return results and error messages back to the user.</w:t>
      </w:r>
    </w:p>
    <w:p w14:paraId="0B52D380" w14:textId="18E8C79E" w:rsidR="004E2786" w:rsidRDefault="00CA78FE">
      <w:pPr>
        <w:pStyle w:val="Heading1"/>
      </w:pPr>
      <w:r>
        <w:t>REQUIREMENTS SOLICITATION</w:t>
      </w:r>
    </w:p>
    <w:p w14:paraId="1B18A159" w14:textId="49CE421C"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1"/>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2"/>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3"/>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8B50D4">
      <w:pPr>
        <w:pStyle w:val="Heading4"/>
      </w:pPr>
      <w:r>
        <w:t>Panel Composition</w:t>
      </w:r>
    </w:p>
    <w:p w14:paraId="533C7877" w14:textId="2B1E3C73" w:rsidR="008B50D4"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7E7698">
        <w:t xml:space="preserve">Table </w:t>
      </w:r>
      <w:r w:rsidR="007E7698">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16FAB02A" w:rsidR="007E7698" w:rsidRDefault="007E7698" w:rsidP="007E7698">
      <w:pPr>
        <w:pStyle w:val="Caption"/>
        <w:jc w:val="center"/>
        <w:rPr>
          <w:i w:val="0"/>
          <w:iCs w:val="0"/>
          <w:color w:val="auto"/>
        </w:rPr>
      </w:pPr>
      <w:bookmarkStart w:id="4" w:name="_Ref230939531"/>
      <w:r w:rsidRPr="00CD69CB">
        <w:rPr>
          <w:i w:val="0"/>
          <w:iCs w:val="0"/>
          <w:color w:val="auto"/>
        </w:rPr>
        <w:lastRenderedPageBreak/>
        <w:t xml:space="preserve">Table </w:t>
      </w:r>
      <w:r w:rsidR="006059CA">
        <w:rPr>
          <w:i w:val="0"/>
          <w:iCs w:val="0"/>
          <w:color w:val="auto"/>
        </w:rPr>
        <w:fldChar w:fldCharType="begin"/>
      </w:r>
      <w:r w:rsidR="006059CA">
        <w:rPr>
          <w:i w:val="0"/>
          <w:iCs w:val="0"/>
          <w:color w:val="auto"/>
        </w:rPr>
        <w:instrText xml:space="preserve"> SEQ Table \* ARABIC </w:instrText>
      </w:r>
      <w:r w:rsidR="006059CA">
        <w:rPr>
          <w:i w:val="0"/>
          <w:iCs w:val="0"/>
          <w:color w:val="auto"/>
        </w:rPr>
        <w:fldChar w:fldCharType="separate"/>
      </w:r>
      <w:r w:rsidR="006059CA">
        <w:rPr>
          <w:i w:val="0"/>
          <w:iCs w:val="0"/>
          <w:noProof/>
          <w:color w:val="auto"/>
        </w:rPr>
        <w:t>1</w:t>
      </w:r>
      <w:r w:rsidR="006059CA">
        <w:rPr>
          <w:i w:val="0"/>
          <w:iCs w:val="0"/>
          <w:color w:val="auto"/>
        </w:rPr>
        <w:fldChar w:fldCharType="end"/>
      </w:r>
      <w:bookmarkEnd w:id="4"/>
      <w:r w:rsidRPr="00CD69CB">
        <w:rPr>
          <w:i w:val="0"/>
          <w:iCs w:val="0"/>
          <w:color w:val="auto"/>
        </w:rPr>
        <w:t>. Professional Role Mix of Delphi Panel</w:t>
      </w:r>
      <w:r w:rsidR="001713AA" w:rsidRPr="00CD69CB">
        <w:rPr>
          <w:i w:val="0"/>
          <w:iCs w:val="0"/>
          <w:color w:val="auto"/>
          <w:vertAlign w:val="superscript"/>
        </w:rPr>
        <w:footnoteReference w:id="4"/>
      </w:r>
    </w:p>
    <w:p w14:paraId="436D100C" w14:textId="6EAA3A9D" w:rsidR="00C26B71" w:rsidRDefault="00340E59" w:rsidP="006059CA">
      <w:r w:rsidRPr="00340E59">
        <w:rPr>
          <w:highlight w:val="yellow"/>
        </w:rPr>
        <w:t>Discuss the tenure range of the panelists to give credit to why the participants were positioned as experts to provide their opinions.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B14489">
        <w:trPr>
          <w:trHeight w:val="260"/>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B14489">
        <w:trPr>
          <w:trHeight w:val="260"/>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B14489">
        <w:trPr>
          <w:trHeight w:val="260"/>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B14489">
        <w:trPr>
          <w:trHeight w:val="260"/>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B14489">
        <w:trPr>
          <w:trHeight w:val="260"/>
        </w:trPr>
        <w:tc>
          <w:tcPr>
            <w:tcW w:w="2340" w:type="dxa"/>
          </w:tcPr>
          <w:p w14:paraId="5C12A093" w14:textId="6971B711" w:rsidR="002D08FC" w:rsidRDefault="002D08FC" w:rsidP="006834BA">
            <w:r>
              <w:t>Greater than 20 years</w:t>
            </w:r>
          </w:p>
        </w:tc>
        <w:tc>
          <w:tcPr>
            <w:tcW w:w="2340" w:type="dxa"/>
          </w:tcPr>
          <w:p w14:paraId="51A707E9" w14:textId="4A89086D" w:rsidR="002D08FC" w:rsidRDefault="002D08FC" w:rsidP="006834BA">
            <w:pPr>
              <w:jc w:val="center"/>
            </w:pPr>
            <w:r>
              <w:t>2</w:t>
            </w:r>
          </w:p>
        </w:tc>
        <w:tc>
          <w:tcPr>
            <w:tcW w:w="2320" w:type="dxa"/>
          </w:tcPr>
          <w:p w14:paraId="0FE74DB0" w14:textId="27BD8B56" w:rsidR="002D08FC" w:rsidRDefault="002D08FC" w:rsidP="006834BA">
            <w:pPr>
              <w:keepNext/>
              <w:jc w:val="center"/>
            </w:pPr>
            <w:r>
              <w:t>11%</w:t>
            </w:r>
          </w:p>
        </w:tc>
      </w:tr>
    </w:tbl>
    <w:p w14:paraId="208606FD" w14:textId="290AAA38" w:rsidR="006059CA" w:rsidRPr="006059CA" w:rsidRDefault="006059CA" w:rsidP="006059CA">
      <w:pPr>
        <w:pStyle w:val="Caption"/>
        <w:jc w:val="center"/>
        <w:rPr>
          <w:i w:val="0"/>
          <w:iCs w:val="0"/>
          <w:color w:val="auto"/>
        </w:rPr>
      </w:pPr>
      <w:bookmarkStart w:id="5" w:name="_heading=h.xw4c9cml9ir2" w:colFirst="0" w:colLast="0"/>
      <w:bookmarkEnd w:id="5"/>
      <w:r w:rsidRPr="006059CA">
        <w:rPr>
          <w:i w:val="0"/>
          <w:iCs w:val="0"/>
          <w:color w:val="auto"/>
        </w:rPr>
        <w:t xml:space="preserve">Table </w:t>
      </w:r>
      <w:r w:rsidRPr="006059CA">
        <w:rPr>
          <w:i w:val="0"/>
          <w:iCs w:val="0"/>
          <w:color w:val="auto"/>
        </w:rPr>
        <w:fldChar w:fldCharType="begin"/>
      </w:r>
      <w:r w:rsidRPr="006059CA">
        <w:rPr>
          <w:i w:val="0"/>
          <w:iCs w:val="0"/>
          <w:color w:val="auto"/>
        </w:rPr>
        <w:instrText xml:space="preserve"> SEQ Table \* ARABIC </w:instrText>
      </w:r>
      <w:r w:rsidRPr="006059CA">
        <w:rPr>
          <w:i w:val="0"/>
          <w:iCs w:val="0"/>
          <w:color w:val="auto"/>
        </w:rPr>
        <w:fldChar w:fldCharType="separate"/>
      </w:r>
      <w:r w:rsidRPr="006059CA">
        <w:rPr>
          <w:i w:val="0"/>
          <w:iCs w:val="0"/>
          <w:color w:val="auto"/>
        </w:rPr>
        <w:t>2</w:t>
      </w:r>
      <w:r w:rsidRPr="006059CA">
        <w:rPr>
          <w:i w:val="0"/>
          <w:iCs w:val="0"/>
          <w:color w:val="auto"/>
        </w:rPr>
        <w:fldChar w:fldCharType="end"/>
      </w:r>
      <w:r w:rsidRPr="006059CA">
        <w:rPr>
          <w:i w:val="0"/>
          <w:iCs w:val="0"/>
          <w:color w:val="auto"/>
        </w:rPr>
        <w:t>. Tenure range of Delphi Panel</w:t>
      </w:r>
    </w:p>
    <w:p w14:paraId="735B63E3" w14:textId="63D82D04" w:rsidR="00E51D22" w:rsidRDefault="006A073E" w:rsidP="00BC0D6A">
      <w:pPr>
        <w:pStyle w:val="Heading3"/>
      </w:pPr>
      <w:r w:rsidRPr="006A073E">
        <w:t>Derived requirements and use cases</w:t>
      </w:r>
    </w:p>
    <w:p w14:paraId="77980CF9" w14:textId="220E5BC3" w:rsidR="00340E59" w:rsidRPr="00340E59" w:rsidRDefault="00340E59" w:rsidP="00340E59">
      <w:pPr>
        <w:pStyle w:val="ListParagraph"/>
        <w:numPr>
          <w:ilvl w:val="0"/>
          <w:numId w:val="15"/>
        </w:numPr>
        <w:rPr>
          <w:highlight w:val="yellow"/>
        </w:rPr>
      </w:pPr>
      <w:r w:rsidRPr="00340E59">
        <w:rPr>
          <w:highlight w:val="yellow"/>
        </w:rPr>
        <w:t>Data visualization and calculation of metrics</w:t>
      </w:r>
    </w:p>
    <w:p w14:paraId="72762E8E" w14:textId="19C8A552" w:rsidR="00340E59" w:rsidRPr="00340E59" w:rsidRDefault="00340E59" w:rsidP="00340E59">
      <w:pPr>
        <w:pStyle w:val="ListParagraph"/>
        <w:numPr>
          <w:ilvl w:val="0"/>
          <w:numId w:val="15"/>
        </w:numPr>
        <w:rPr>
          <w:highlight w:val="yellow"/>
        </w:rPr>
      </w:pPr>
      <w:r w:rsidRPr="00340E59">
        <w:rPr>
          <w:highlight w:val="yellow"/>
        </w:rPr>
        <w:t>Basic cartography</w:t>
      </w:r>
    </w:p>
    <w:p w14:paraId="26947B8A" w14:textId="7C0D21D7" w:rsidR="00340E59" w:rsidRDefault="00340E59" w:rsidP="00340E59">
      <w:pPr>
        <w:pStyle w:val="ListParagraph"/>
        <w:numPr>
          <w:ilvl w:val="0"/>
          <w:numId w:val="15"/>
        </w:numPr>
        <w:rPr>
          <w:highlight w:val="yellow"/>
        </w:rPr>
      </w:pPr>
      <w:r w:rsidRPr="00340E59">
        <w:rPr>
          <w:highlight w:val="yellow"/>
        </w:rPr>
        <w:t>Guided analysis of data (summary stats, data dict, etc.)</w:t>
      </w:r>
    </w:p>
    <w:p w14:paraId="31009238" w14:textId="425754FB" w:rsidR="00782DC7" w:rsidRPr="00782DC7" w:rsidRDefault="00782DC7" w:rsidP="00782DC7">
      <w:pPr>
        <w:pStyle w:val="Heading3"/>
      </w:pPr>
      <w:r w:rsidRPr="00782DC7">
        <w:t>Test Data</w:t>
      </w:r>
    </w:p>
    <w:p w14:paraId="39A83E47" w14:textId="77777777" w:rsidR="00F01DD6" w:rsidRDefault="00F01DD6">
      <w:pPr>
        <w:rPr>
          <w:b/>
          <w:bCs/>
          <w:smallCaps/>
          <w:color w:val="548DD4"/>
          <w:sz w:val="24"/>
          <w:szCs w:val="24"/>
        </w:rPr>
      </w:pPr>
      <w:bookmarkStart w:id="6" w:name="_heading=h.3n1hn86yzluu" w:colFirst="0" w:colLast="0"/>
      <w:bookmarkEnd w:id="6"/>
      <w:r>
        <w:br w:type="page"/>
      </w:r>
    </w:p>
    <w:p w14:paraId="2C93677F" w14:textId="4A4AFBBC" w:rsidR="00E51D22" w:rsidRDefault="00CA78FE">
      <w:pPr>
        <w:pStyle w:val="Heading1"/>
      </w:pPr>
      <w:r>
        <w:lastRenderedPageBreak/>
        <w:t>DOMAIN-SPECIFIC LANGUAGE DESIGN</w:t>
      </w:r>
    </w:p>
    <w:p w14:paraId="47DB29B6" w14:textId="65991332" w:rsidR="00272427" w:rsidRDefault="00272427" w:rsidP="00272427">
      <w:pPr>
        <w:pStyle w:val="Heading3"/>
      </w:pPr>
      <w:r>
        <w:t>Design goals and constraints</w:t>
      </w:r>
    </w:p>
    <w:p w14:paraId="66F7A280" w14:textId="74D7A9FB" w:rsidR="00302CEF" w:rsidRPr="00302CEF" w:rsidRDefault="00302CEF" w:rsidP="00302CEF"/>
    <w:p w14:paraId="70B7017C" w14:textId="719A02BD" w:rsidR="00272427" w:rsidRDefault="00272427" w:rsidP="00272427">
      <w:pPr>
        <w:pStyle w:val="Heading3"/>
      </w:pPr>
      <w:r>
        <w:t>Grammar specification</w:t>
      </w:r>
    </w:p>
    <w:p w14:paraId="64D8A82B" w14:textId="67B8AB11" w:rsidR="00340E59" w:rsidRDefault="00340E59" w:rsidP="00340E59">
      <w:r w:rsidRPr="006A18D6">
        <w:rPr>
          <w:highlight w:val="yellow"/>
        </w:rPr>
        <w:t>Discuss Lark grammar and provide an example of what you have so far…</w:t>
      </w:r>
    </w:p>
    <w:p w14:paraId="176ADF98" w14:textId="77777777" w:rsidR="00340E59" w:rsidRDefault="00340E59" w:rsidP="006A18D6">
      <w:pPr>
        <w:keepNext/>
        <w:jc w:val="center"/>
      </w:pPr>
      <w:r w:rsidRPr="00340E59">
        <w:rPr>
          <w:noProof/>
        </w:rPr>
        <w:drawing>
          <wp:inline distT="0" distB="0" distL="0" distR="0" wp14:anchorId="4B092E3C" wp14:editId="1B693447">
            <wp:extent cx="5753100" cy="4911646"/>
            <wp:effectExtent l="19050" t="19050" r="19050" b="22860"/>
            <wp:docPr id="39182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4945" name=""/>
                    <pic:cNvPicPr/>
                  </pic:nvPicPr>
                  <pic:blipFill>
                    <a:blip r:embed="rId9"/>
                    <a:stretch>
                      <a:fillRect/>
                    </a:stretch>
                  </pic:blipFill>
                  <pic:spPr>
                    <a:xfrm>
                      <a:off x="0" y="0"/>
                      <a:ext cx="5765022" cy="4921824"/>
                    </a:xfrm>
                    <a:prstGeom prst="rect">
                      <a:avLst/>
                    </a:prstGeom>
                    <a:ln w="12700">
                      <a:solidFill>
                        <a:schemeClr val="tx1"/>
                      </a:solidFill>
                    </a:ln>
                  </pic:spPr>
                </pic:pic>
              </a:graphicData>
            </a:graphic>
          </wp:inline>
        </w:drawing>
      </w:r>
    </w:p>
    <w:p w14:paraId="1839CBC3" w14:textId="219C9222" w:rsidR="00340E59" w:rsidRPr="00340E59" w:rsidRDefault="00340E59" w:rsidP="00340E59">
      <w:pPr>
        <w:pStyle w:val="Caption"/>
        <w:jc w:val="center"/>
        <w:rPr>
          <w:i w:val="0"/>
          <w:iCs w:val="0"/>
          <w:color w:val="auto"/>
        </w:rPr>
      </w:pPr>
      <w:r w:rsidRPr="00340E59">
        <w:rPr>
          <w:i w:val="0"/>
          <w:iCs w:val="0"/>
          <w:color w:val="auto"/>
        </w:rPr>
        <w:t xml:space="preserve">Figure </w:t>
      </w:r>
      <w:r w:rsidRPr="00340E59">
        <w:rPr>
          <w:i w:val="0"/>
          <w:iCs w:val="0"/>
          <w:color w:val="auto"/>
        </w:rPr>
        <w:fldChar w:fldCharType="begin"/>
      </w:r>
      <w:r w:rsidRPr="00340E59">
        <w:rPr>
          <w:i w:val="0"/>
          <w:iCs w:val="0"/>
          <w:color w:val="auto"/>
        </w:rPr>
        <w:instrText xml:space="preserve"> SEQ Figure \* ARABIC </w:instrText>
      </w:r>
      <w:r w:rsidRPr="00340E59">
        <w:rPr>
          <w:i w:val="0"/>
          <w:iCs w:val="0"/>
          <w:color w:val="auto"/>
        </w:rPr>
        <w:fldChar w:fldCharType="separate"/>
      </w:r>
      <w:r w:rsidR="00F93176">
        <w:rPr>
          <w:i w:val="0"/>
          <w:iCs w:val="0"/>
          <w:noProof/>
          <w:color w:val="auto"/>
        </w:rPr>
        <w:t>1</w:t>
      </w:r>
      <w:r w:rsidRPr="00340E59">
        <w:rPr>
          <w:i w:val="0"/>
          <w:iCs w:val="0"/>
          <w:color w:val="auto"/>
        </w:rPr>
        <w:fldChar w:fldCharType="end"/>
      </w:r>
      <w:r w:rsidRPr="00340E59">
        <w:rPr>
          <w:i w:val="0"/>
          <w:iCs w:val="0"/>
          <w:color w:val="auto"/>
        </w:rPr>
        <w:t>. Grammar for a "summarize dataset" feature</w:t>
      </w:r>
    </w:p>
    <w:p w14:paraId="7D97597A" w14:textId="6677BF22" w:rsidR="00272427" w:rsidRPr="00272427" w:rsidRDefault="00272427" w:rsidP="00272427">
      <w:pPr>
        <w:pStyle w:val="Heading3"/>
      </w:pPr>
      <w:r>
        <w:t>Example DSL statements</w:t>
      </w:r>
    </w:p>
    <w:p w14:paraId="4DA5C183" w14:textId="6EB86FEC" w:rsidR="00E51D22" w:rsidRDefault="00CA78FE" w:rsidP="00E51D22">
      <w:pPr>
        <w:pStyle w:val="Heading1"/>
      </w:pPr>
      <w:r>
        <w:t>TRANSPILER IMPLEMENTATION</w:t>
      </w:r>
    </w:p>
    <w:p w14:paraId="237C244E" w14:textId="488FDE8D" w:rsidR="00197D67" w:rsidRPr="00197D67" w:rsidRDefault="00197D67" w:rsidP="00197D67">
      <w:r>
        <w:t>To implement this domain-specific language, the researchers used two (2) main technologies: Python (including the Lark parser framework</w:t>
      </w:r>
      <w:r w:rsidR="002D524E">
        <w:rPr>
          <w:rStyle w:val="FootnoteReference"/>
        </w:rPr>
        <w:footnoteReference w:id="5"/>
      </w:r>
      <w:r>
        <w:t xml:space="preserve">) and the SAS® OnDemand for Academics (SODA) environment. </w:t>
      </w:r>
      <w:r w:rsidR="00213202">
        <w:t xml:space="preserve">The authors created a </w:t>
      </w:r>
      <w:r w:rsidR="00213202">
        <w:lastRenderedPageBreak/>
        <w:t>Python library that defines the grammar of the DSL, builds the lexer, parser, and transpiler, and then outputs valid SAS code. The code is then uploaded to SODA to check for execution errors and to retrieve any results.</w:t>
      </w:r>
    </w:p>
    <w:p w14:paraId="77C3A803" w14:textId="3596B5AB" w:rsidR="00272427" w:rsidRDefault="00272427" w:rsidP="00272427">
      <w:pPr>
        <w:pStyle w:val="Heading3"/>
      </w:pPr>
      <w:r>
        <w:t>Parser and transpiler architecture</w:t>
      </w:r>
    </w:p>
    <w:p w14:paraId="2AFEDE45" w14:textId="116E850C" w:rsidR="008A5E3D" w:rsidRDefault="008A5E3D" w:rsidP="008A5E3D">
      <w:r w:rsidRPr="006A18D6">
        <w:rPr>
          <w:highlight w:val="yellow"/>
        </w:rPr>
        <w:t>Transpiler process flow shown below:</w:t>
      </w:r>
      <w:r>
        <w:t xml:space="preserve"> </w:t>
      </w:r>
    </w:p>
    <w:p w14:paraId="67BCE4DD" w14:textId="77777777" w:rsidR="000303B0" w:rsidRDefault="007D3D32" w:rsidP="000303B0">
      <w:pPr>
        <w:keepNext/>
      </w:pPr>
      <w:r>
        <w:rPr>
          <w:noProof/>
        </w:rPr>
        <w:drawing>
          <wp:inline distT="0" distB="0" distL="0" distR="0" wp14:anchorId="5B372CEB" wp14:editId="6578EE15">
            <wp:extent cx="5934075" cy="2028825"/>
            <wp:effectExtent l="19050" t="19050" r="28575" b="28575"/>
            <wp:docPr id="159405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w="12700">
                      <a:solidFill>
                        <a:schemeClr val="tx1"/>
                      </a:solidFill>
                    </a:ln>
                  </pic:spPr>
                </pic:pic>
              </a:graphicData>
            </a:graphic>
          </wp:inline>
        </w:drawing>
      </w:r>
    </w:p>
    <w:p w14:paraId="18457ECC" w14:textId="0761D1BE" w:rsidR="008A5E3D" w:rsidRPr="000303B0" w:rsidRDefault="000303B0" w:rsidP="000303B0">
      <w:pPr>
        <w:pStyle w:val="Caption"/>
        <w:jc w:val="center"/>
        <w:rPr>
          <w:i w:val="0"/>
          <w:iCs w:val="0"/>
          <w:color w:val="auto"/>
        </w:rPr>
      </w:pPr>
      <w:r w:rsidRPr="000303B0">
        <w:rPr>
          <w:i w:val="0"/>
          <w:iCs w:val="0"/>
          <w:color w:val="auto"/>
        </w:rPr>
        <w:t xml:space="preserve">Figure </w:t>
      </w:r>
      <w:r w:rsidRPr="000303B0">
        <w:rPr>
          <w:i w:val="0"/>
          <w:iCs w:val="0"/>
          <w:color w:val="auto"/>
        </w:rPr>
        <w:fldChar w:fldCharType="begin"/>
      </w:r>
      <w:r w:rsidRPr="000303B0">
        <w:rPr>
          <w:i w:val="0"/>
          <w:iCs w:val="0"/>
          <w:color w:val="auto"/>
        </w:rPr>
        <w:instrText xml:space="preserve"> SEQ Figure \* ARABIC </w:instrText>
      </w:r>
      <w:r w:rsidRPr="000303B0">
        <w:rPr>
          <w:i w:val="0"/>
          <w:iCs w:val="0"/>
          <w:color w:val="auto"/>
        </w:rPr>
        <w:fldChar w:fldCharType="separate"/>
      </w:r>
      <w:r w:rsidR="00F93176">
        <w:rPr>
          <w:i w:val="0"/>
          <w:iCs w:val="0"/>
          <w:noProof/>
          <w:color w:val="auto"/>
        </w:rPr>
        <w:t>2</w:t>
      </w:r>
      <w:r w:rsidRPr="000303B0">
        <w:rPr>
          <w:i w:val="0"/>
          <w:iCs w:val="0"/>
          <w:color w:val="auto"/>
        </w:rPr>
        <w:fldChar w:fldCharType="end"/>
      </w:r>
      <w:r w:rsidRPr="000303B0">
        <w:rPr>
          <w:i w:val="0"/>
          <w:iCs w:val="0"/>
          <w:color w:val="auto"/>
        </w:rPr>
        <w:t>. Source DSL to SAS code transpiler process</w:t>
      </w:r>
    </w:p>
    <w:p w14:paraId="0CDAE64A" w14:textId="5A1B7656" w:rsidR="00272427" w:rsidRDefault="00217A8E" w:rsidP="00272427">
      <w:pPr>
        <w:pStyle w:val="Heading3"/>
      </w:pPr>
      <w:r>
        <w:t>Transpiler</w:t>
      </w:r>
      <w:r w:rsidR="00272427">
        <w:t xml:space="preserve"> strategy</w:t>
      </w:r>
    </w:p>
    <w:p w14:paraId="079A3841" w14:textId="77777777" w:rsidR="00F93176" w:rsidRDefault="00F93176" w:rsidP="00B926E3">
      <w:pPr>
        <w:keepNext/>
        <w:jc w:val="center"/>
      </w:pPr>
      <w:r w:rsidRPr="00F93176">
        <w:rPr>
          <w:noProof/>
          <w:lang w:val="en-US"/>
        </w:rPr>
        <w:drawing>
          <wp:inline distT="0" distB="0" distL="0" distR="0" wp14:anchorId="46953CDC" wp14:editId="67E12577">
            <wp:extent cx="6103447" cy="3709670"/>
            <wp:effectExtent l="19050" t="19050" r="12065" b="24130"/>
            <wp:docPr id="1776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3125" cy="3715552"/>
                    </a:xfrm>
                    <a:prstGeom prst="rect">
                      <a:avLst/>
                    </a:prstGeom>
                    <a:noFill/>
                    <a:ln w="12700">
                      <a:solidFill>
                        <a:schemeClr val="tx1"/>
                      </a:solidFill>
                    </a:ln>
                  </pic:spPr>
                </pic:pic>
              </a:graphicData>
            </a:graphic>
          </wp:inline>
        </w:drawing>
      </w:r>
    </w:p>
    <w:p w14:paraId="664CB07E" w14:textId="71837E5C" w:rsidR="00F93176" w:rsidRPr="00F93176" w:rsidRDefault="00F93176" w:rsidP="00F93176">
      <w:pPr>
        <w:pStyle w:val="Caption"/>
        <w:jc w:val="center"/>
        <w:rPr>
          <w:i w:val="0"/>
          <w:iCs w:val="0"/>
          <w:color w:val="auto"/>
        </w:rPr>
      </w:pPr>
      <w:r w:rsidRPr="00F93176">
        <w:rPr>
          <w:i w:val="0"/>
          <w:iCs w:val="0"/>
          <w:color w:val="auto"/>
        </w:rPr>
        <w:t xml:space="preserve">Figure </w:t>
      </w:r>
      <w:r w:rsidRPr="00F93176">
        <w:rPr>
          <w:i w:val="0"/>
          <w:iCs w:val="0"/>
          <w:color w:val="auto"/>
        </w:rPr>
        <w:fldChar w:fldCharType="begin"/>
      </w:r>
      <w:r w:rsidRPr="00F93176">
        <w:rPr>
          <w:i w:val="0"/>
          <w:iCs w:val="0"/>
          <w:color w:val="auto"/>
        </w:rPr>
        <w:instrText xml:space="preserve"> SEQ Figure \* ARABIC </w:instrText>
      </w:r>
      <w:r w:rsidRPr="00F93176">
        <w:rPr>
          <w:i w:val="0"/>
          <w:iCs w:val="0"/>
          <w:color w:val="auto"/>
        </w:rPr>
        <w:fldChar w:fldCharType="separate"/>
      </w:r>
      <w:r w:rsidRPr="00F93176">
        <w:rPr>
          <w:i w:val="0"/>
          <w:iCs w:val="0"/>
          <w:color w:val="auto"/>
        </w:rPr>
        <w:t>3</w:t>
      </w:r>
      <w:r w:rsidRPr="00F93176">
        <w:rPr>
          <w:i w:val="0"/>
          <w:iCs w:val="0"/>
          <w:color w:val="auto"/>
        </w:rPr>
        <w:fldChar w:fldCharType="end"/>
      </w:r>
      <w:r w:rsidRPr="00F93176">
        <w:rPr>
          <w:i w:val="0"/>
          <w:iCs w:val="0"/>
          <w:color w:val="auto"/>
        </w:rPr>
        <w:t xml:space="preserve"> - Sample execution of transpiler process</w:t>
      </w:r>
    </w:p>
    <w:p w14:paraId="0F9AEA84" w14:textId="77777777" w:rsidR="00F93176" w:rsidRPr="00F93176" w:rsidRDefault="00F93176" w:rsidP="00F93176"/>
    <w:p w14:paraId="52C65CF6" w14:textId="3E066BC2" w:rsidR="00272427" w:rsidRPr="00272427" w:rsidRDefault="00272427" w:rsidP="00272427">
      <w:pPr>
        <w:pStyle w:val="Heading3"/>
      </w:pPr>
      <w:r>
        <w:lastRenderedPageBreak/>
        <w:t>Handling complex functionality</w:t>
      </w:r>
    </w:p>
    <w:p w14:paraId="19E2410D" w14:textId="15E03048" w:rsidR="00E51D22" w:rsidRDefault="00CA78FE" w:rsidP="00272427">
      <w:pPr>
        <w:pStyle w:val="Heading1"/>
      </w:pPr>
      <w:r>
        <w:t>EVALUATION OF RESULTS</w:t>
      </w:r>
    </w:p>
    <w:p w14:paraId="77E60E46" w14:textId="4BC77855" w:rsidR="00272427" w:rsidRDefault="00272427" w:rsidP="00272427">
      <w:pPr>
        <w:pStyle w:val="Heading3"/>
      </w:pPr>
      <w:r>
        <w:t>Use case demonstrations</w:t>
      </w:r>
    </w:p>
    <w:p w14:paraId="0D34A044" w14:textId="56123122" w:rsidR="00272427" w:rsidRDefault="00272427" w:rsidP="00272427">
      <w:pPr>
        <w:pStyle w:val="Heading3"/>
      </w:pPr>
      <w:r>
        <w:t>Verification of correctness</w:t>
      </w:r>
    </w:p>
    <w:p w14:paraId="4E6752D1" w14:textId="5EACB04F" w:rsidR="004E2786" w:rsidRDefault="005451A2">
      <w:pPr>
        <w:pStyle w:val="Heading1"/>
      </w:pPr>
      <w:r>
        <w:t>CONCLUSION</w:t>
      </w:r>
    </w:p>
    <w:p w14:paraId="63149368" w14:textId="330D1AC1" w:rsidR="006F1708" w:rsidRPr="006F1708" w:rsidRDefault="006F1708" w:rsidP="006F1708">
      <w:r w:rsidRPr="006F1708">
        <w:rPr>
          <w:highlight w:val="yellow"/>
        </w:rPr>
        <w:t>Conclusions…</w:t>
      </w:r>
    </w:p>
    <w:p w14:paraId="46E102CA" w14:textId="464F27C9" w:rsidR="0011120F" w:rsidRDefault="0011120F" w:rsidP="00272427">
      <w:pPr>
        <w:pStyle w:val="Heading3"/>
      </w:pPr>
      <w:r>
        <w:t>Limitations</w:t>
      </w:r>
    </w:p>
    <w:p w14:paraId="50A88358" w14:textId="53997447" w:rsidR="00FE5494" w:rsidRDefault="00FE5494" w:rsidP="00FE5494">
      <w:r>
        <w:t xml:space="preserve">Given that this paper provides </w:t>
      </w:r>
      <w:r w:rsidR="00572267">
        <w:t>proof</w:t>
      </w:r>
      <w:r>
        <w:t xml:space="preserve">-of-concept for this DSL, there are several limitations with the </w:t>
      </w:r>
      <w:r w:rsidR="00180B30">
        <w:t xml:space="preserve">current </w:t>
      </w:r>
      <w:r>
        <w:t xml:space="preserve">implementation of this solution, namely: </w:t>
      </w:r>
    </w:p>
    <w:p w14:paraId="56520D66" w14:textId="78D28804" w:rsidR="00FE5494" w:rsidRDefault="00FE5494" w:rsidP="00FE5494">
      <w:pPr>
        <w:pStyle w:val="ListParagraph"/>
        <w:numPr>
          <w:ilvl w:val="0"/>
          <w:numId w:val="12"/>
        </w:numPr>
      </w:pPr>
      <w:r>
        <w:t>The execution model of this DSL exists solely as preprocessor directives</w:t>
      </w:r>
    </w:p>
    <w:p w14:paraId="377E7BFC" w14:textId="16BB559F" w:rsidR="00FE5494" w:rsidRDefault="00FE5494" w:rsidP="00FE5494">
      <w:pPr>
        <w:pStyle w:val="ListParagraph"/>
        <w:numPr>
          <w:ilvl w:val="0"/>
          <w:numId w:val="12"/>
        </w:numPr>
      </w:pPr>
      <w:r>
        <w:t>Use of the resultant SAS code requires manual intervention</w:t>
      </w:r>
    </w:p>
    <w:p w14:paraId="0F2ACA9D" w14:textId="08B373B7" w:rsidR="007279A6" w:rsidRDefault="00AB3006" w:rsidP="007279A6">
      <w:pPr>
        <w:pStyle w:val="Heading3"/>
      </w:pPr>
      <w:r>
        <w:t>Future Work</w:t>
      </w:r>
    </w:p>
    <w:p w14:paraId="02A061B6" w14:textId="1BEE6A37" w:rsidR="00655DBB" w:rsidRDefault="00655DBB" w:rsidP="00655DBB">
      <w:r>
        <w:t>This paper presents a practical foundation for translating a custom domain-specific language into valid SAS code. Given the identified limitations of this current approach, the authors believe that the following areas are possible opportunities for future work on this system</w:t>
      </w:r>
      <w:r w:rsidR="006F3785">
        <w:t>. These future work topics include: integrating language server protocol support, enhancing the current error handling feedback from the transpiler layer, and integrating the generated SAS output with a SAS runtime environment.</w:t>
      </w:r>
    </w:p>
    <w:p w14:paraId="43C840B1" w14:textId="4179B6B4" w:rsidR="00655DBB" w:rsidRDefault="00655DBB" w:rsidP="006F3785">
      <w:pPr>
        <w:pStyle w:val="Heading4"/>
      </w:pPr>
      <w:r>
        <w:t>Language Server Protocol (LSP) support</w:t>
      </w:r>
    </w:p>
    <w:p w14:paraId="1C8FF64D" w14:textId="77777777" w:rsidR="006F3785" w:rsidRDefault="006F3785" w:rsidP="00655DBB"/>
    <w:p w14:paraId="6D5D722B" w14:textId="1FB5675D" w:rsidR="00655DBB" w:rsidRDefault="00655DBB" w:rsidP="006F3785">
      <w:pPr>
        <w:pStyle w:val="Heading4"/>
      </w:pPr>
      <w:r>
        <w:t xml:space="preserve">Enhanced error handling </w:t>
      </w:r>
    </w:p>
    <w:p w14:paraId="5068E55B" w14:textId="77777777" w:rsidR="006F3785" w:rsidRDefault="006F3785" w:rsidP="00655DBB"/>
    <w:p w14:paraId="186298FB" w14:textId="46CB5F9F" w:rsidR="00655DBB" w:rsidRDefault="006F3785" w:rsidP="006F3785">
      <w:pPr>
        <w:pStyle w:val="Heading4"/>
      </w:pPr>
      <w:r>
        <w:t>Integration with a SAS runtime environment</w:t>
      </w:r>
    </w:p>
    <w:p w14:paraId="51F09339" w14:textId="77777777" w:rsidR="006F3785" w:rsidRDefault="006F3785" w:rsidP="00655DBB"/>
    <w:p w14:paraId="4B73A539" w14:textId="24763FFE" w:rsidR="004E2786" w:rsidRDefault="00A41BBE">
      <w:pPr>
        <w:pStyle w:val="Heading1"/>
      </w:pPr>
      <w:bookmarkStart w:id="7" w:name="_heading=h.cb9bfkp3n0ty" w:colFirst="0" w:colLast="0"/>
      <w:bookmarkEnd w:id="7"/>
      <w:r>
        <w:t>REFERENCES</w:t>
      </w:r>
    </w:p>
    <w:p w14:paraId="3A889A22" w14:textId="76009168" w:rsidR="008F6C00" w:rsidRDefault="008F6C00" w:rsidP="008F6C00">
      <w:r w:rsidRPr="008F6C00">
        <w:rPr>
          <w:highlight w:val="yellow"/>
        </w:rPr>
        <w:t>References are in-progress</w:t>
      </w:r>
    </w:p>
    <w:p w14:paraId="4FD31E73" w14:textId="2453C462" w:rsidR="00316EE2" w:rsidRPr="00316EE2" w:rsidRDefault="00316EE2" w:rsidP="00316EE2">
      <w:pPr>
        <w:rPr>
          <w:lang w:val="en-US"/>
        </w:rPr>
      </w:pPr>
      <w:r w:rsidRPr="00316EE2">
        <w:rPr>
          <w:highlight w:val="yellow"/>
        </w:rPr>
        <w:t xml:space="preserve">[1] </w:t>
      </w:r>
      <w:r w:rsidRPr="00316EE2">
        <w:rPr>
          <w:highlight w:val="yellow"/>
          <w:lang w:val="en-US"/>
        </w:rPr>
        <w:t>Oak Ridge National Laboratory, “Nils Stenvig: Exploring the world’s largest machine |ORNL.” https://www.ornl.gov/blog/nils-stenvig-exploring-worlds-largest-machine.</w:t>
      </w:r>
    </w:p>
    <w:p w14:paraId="3F79CF92" w14:textId="23AB1008" w:rsidR="00A27590" w:rsidRDefault="008065C5" w:rsidP="008F6C00">
      <w:r w:rsidRPr="005F76E9">
        <w:rPr>
          <w:highlight w:val="yellow"/>
        </w:rPr>
        <w:t>[</w:t>
      </w:r>
      <w:r w:rsidR="007F2B07">
        <w:rPr>
          <w:highlight w:val="yellow"/>
        </w:rPr>
        <w:t>2</w:t>
      </w:r>
      <w:r w:rsidRPr="005F76E9">
        <w:rPr>
          <w:highlight w:val="yellow"/>
        </w:rPr>
        <w:t>] Ruslan Mitkov, </w:t>
      </w:r>
      <w:r w:rsidRPr="005F76E9">
        <w:rPr>
          <w:i/>
          <w:iCs/>
          <w:highlight w:val="yellow"/>
        </w:rPr>
        <w:t>The Oxford handbook of computational linguistics</w:t>
      </w:r>
      <w:r w:rsidRPr="005F76E9">
        <w:rPr>
          <w:highlight w:val="yellow"/>
        </w:rPr>
        <w:t>. Oxford: Oxford University Press, 2004.</w:t>
      </w:r>
    </w:p>
    <w:p w14:paraId="7D18269C" w14:textId="3DC18460" w:rsidR="00780F09" w:rsidRDefault="007E164B" w:rsidP="00780F09">
      <w:r w:rsidRPr="00E02CA1">
        <w:rPr>
          <w:highlight w:val="yellow"/>
        </w:rPr>
        <w:t>[</w:t>
      </w:r>
      <w:r w:rsidR="007F2B07">
        <w:rPr>
          <w:highlight w:val="yellow"/>
        </w:rPr>
        <w:t>3</w:t>
      </w:r>
      <w:r w:rsidRPr="00E02CA1">
        <w:rPr>
          <w:highlight w:val="yellow"/>
        </w:rPr>
        <w:t xml:space="preserve">] </w:t>
      </w:r>
      <w:r w:rsidR="00780F09" w:rsidRPr="00E02CA1">
        <w:rPr>
          <w:highlight w:val="yellow"/>
        </w:rPr>
        <w:t>S. Chuenjitwongsa, “How to: Conduct a Delphi Study,” </w:t>
      </w:r>
      <w:r w:rsidR="00780F09" w:rsidRPr="00E02CA1">
        <w:rPr>
          <w:i/>
          <w:iCs/>
          <w:highlight w:val="yellow"/>
        </w:rPr>
        <w:t>Cardiff University</w:t>
      </w:r>
      <w:r w:rsidR="00780F09" w:rsidRPr="00E02CA1">
        <w:rPr>
          <w:highlight w:val="yellow"/>
        </w:rPr>
        <w:t xml:space="preserve">, 2017. </w:t>
      </w:r>
      <w:hyperlink r:id="rId12" w:history="1">
        <w:r w:rsidR="00780F09" w:rsidRPr="00E02CA1">
          <w:rPr>
            <w:rStyle w:val="Hyperlink"/>
            <w:highlight w:val="yellow"/>
          </w:rPr>
          <w:t>https://www.cardiff.ac.uk/__data/assets/pdf_file/0010/1164961/how_to_conduct_a_delphistudy.pdf</w:t>
        </w:r>
      </w:hyperlink>
    </w:p>
    <w:p w14:paraId="2C60C7E6" w14:textId="59B1EFD2" w:rsidR="004E2786" w:rsidRDefault="00A41BBE">
      <w:pPr>
        <w:pStyle w:val="Heading1"/>
      </w:pPr>
      <w:bookmarkStart w:id="8" w:name="_heading=h.hb5jtu4yn1aq" w:colFirst="0" w:colLast="0"/>
      <w:bookmarkEnd w:id="8"/>
      <w:r>
        <w:t>ACKNOWLEDGMENTS</w:t>
      </w:r>
    </w:p>
    <w:p w14:paraId="445C4A52" w14:textId="3AA884BB"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272427" w:rsidRPr="00A37411">
        <w:t xml:space="preserve">, the Energy Information Authority (EIA), and DegreeDays.net </w:t>
      </w:r>
      <w:r w:rsidRPr="00A37411">
        <w:t xml:space="preserve">for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272427" w:rsidRPr="00A37411">
        <w:t>website</w:t>
      </w:r>
      <w:r w:rsidR="007C42E3">
        <w:t>, for each respective organization,</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8EB3525" w14:textId="210ABB84"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SPP (née Southwest Power Pool) -- </w:t>
      </w:r>
      <w:hyperlink r:id="rId13" w:history="1">
        <w:r w:rsidRPr="00772040">
          <w:rPr>
            <w:rStyle w:val="Hyperlink"/>
          </w:rPr>
          <w:t>https://portal.spp.org/groups/integrated-marketplace</w:t>
        </w:r>
      </w:hyperlink>
    </w:p>
    <w:p w14:paraId="48136B6C" w14:textId="48D696D0"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EIA -- </w:t>
      </w:r>
      <w:hyperlink r:id="rId14" w:history="1">
        <w:r w:rsidRPr="00772040">
          <w:rPr>
            <w:rStyle w:val="Hyperlink"/>
          </w:rPr>
          <w:t>https://www.eia.gov/electricity/</w:t>
        </w:r>
      </w:hyperlink>
    </w:p>
    <w:p w14:paraId="14EEADD1" w14:textId="22C03023" w:rsidR="00272427" w:rsidRPr="00CE3BBA" w:rsidRDefault="00F37EF2" w:rsidP="00D51B49">
      <w:pPr>
        <w:pStyle w:val="ListParagraph"/>
        <w:widowControl/>
        <w:numPr>
          <w:ilvl w:val="0"/>
          <w:numId w:val="10"/>
        </w:numPr>
        <w:pBdr>
          <w:top w:val="nil"/>
          <w:left w:val="nil"/>
          <w:bottom w:val="nil"/>
          <w:right w:val="nil"/>
          <w:between w:val="nil"/>
        </w:pBdr>
        <w:spacing w:line="276" w:lineRule="auto"/>
        <w:rPr>
          <w:rStyle w:val="Hyperlink"/>
          <w:color w:val="auto"/>
          <w:u w:val="none"/>
        </w:rPr>
      </w:pPr>
      <w:r>
        <w:t>“</w:t>
      </w:r>
      <w:r w:rsidR="00272427" w:rsidRPr="00A37411">
        <w:t>BizEE</w:t>
      </w:r>
      <w:r>
        <w:t>”</w:t>
      </w:r>
      <w:r w:rsidR="00272427" w:rsidRPr="00A37411">
        <w:t xml:space="preserve"> Degree Days -- </w:t>
      </w:r>
      <w:hyperlink r:id="rId15" w:history="1">
        <w:r w:rsidR="00272427" w:rsidRPr="00772040">
          <w:rPr>
            <w:rStyle w:val="Hyperlink"/>
          </w:rPr>
          <w:t>https://www.degreedays.net/</w:t>
        </w:r>
      </w:hyperlink>
    </w:p>
    <w:p w14:paraId="03DFDCE3" w14:textId="4DF52009" w:rsidR="00CE3BBA" w:rsidRPr="00A37411" w:rsidRDefault="00CE3BBA" w:rsidP="00CE3BBA">
      <w:pPr>
        <w:widowControl/>
        <w:pBdr>
          <w:top w:val="nil"/>
          <w:left w:val="nil"/>
          <w:bottom w:val="nil"/>
          <w:right w:val="nil"/>
          <w:between w:val="nil"/>
        </w:pBdr>
        <w:spacing w:line="276" w:lineRule="auto"/>
      </w:pPr>
      <w:r>
        <w:t>Additionally, Eric would like to acknowledge both Mark Rouse and Bartosz</w:t>
      </w:r>
      <w:r w:rsidR="00E206A8">
        <w:t xml:space="preserve"> “Bart”</w:t>
      </w:r>
      <w:r>
        <w:t xml:space="preserve"> </w:t>
      </w:r>
      <w:r w:rsidR="00CA2D8D" w:rsidRPr="00CA2D8D">
        <w:t>Jabłoński</w:t>
      </w:r>
      <w:r w:rsidR="00CA2D8D">
        <w:t xml:space="preserve"> </w:t>
      </w:r>
      <w:r>
        <w:t xml:space="preserve">for inspiring excitement within him </w:t>
      </w:r>
      <w:r w:rsidR="00EC64B7">
        <w:t>for</w:t>
      </w:r>
      <w:r>
        <w:t xml:space="preserve"> </w:t>
      </w:r>
      <w:r w:rsidR="00EC64B7">
        <w:t xml:space="preserve">learning </w:t>
      </w:r>
      <w:r>
        <w:t>SAS.</w:t>
      </w:r>
    </w:p>
    <w:p w14:paraId="239C0F98" w14:textId="0F29C94F" w:rsidR="004E2786" w:rsidRDefault="00A41BBE">
      <w:pPr>
        <w:pStyle w:val="Heading1"/>
      </w:pPr>
      <w:bookmarkStart w:id="9" w:name="_heading=h.hs7c92y1og9i" w:colFirst="0" w:colLast="0"/>
      <w:bookmarkEnd w:id="9"/>
      <w:r>
        <w:lastRenderedPageBreak/>
        <w:t>RECOMMENDED READING</w:t>
      </w:r>
    </w:p>
    <w:p w14:paraId="7566DB9A" w14:textId="77777777" w:rsidR="00C96758" w:rsidRPr="005D3138" w:rsidRDefault="008F6C00" w:rsidP="008F6C00">
      <w:r w:rsidRPr="005D3138">
        <w:rPr>
          <w:highlight w:val="yellow"/>
        </w:rPr>
        <w:t>Recommended reading in progress…</w:t>
      </w:r>
      <w:r w:rsidRPr="005D3138">
        <w:t xml:space="preserve"> </w:t>
      </w:r>
    </w:p>
    <w:p w14:paraId="70D8CA65" w14:textId="086B20F2" w:rsidR="008F6C00" w:rsidRPr="005D3138" w:rsidRDefault="008F6C00" w:rsidP="00C96758">
      <w:pPr>
        <w:pStyle w:val="ListParagraph"/>
        <w:numPr>
          <w:ilvl w:val="0"/>
          <w:numId w:val="10"/>
        </w:numPr>
        <w:rPr>
          <w:i/>
          <w:iCs/>
        </w:rPr>
      </w:pPr>
      <w:r w:rsidRPr="005D3138">
        <w:t xml:space="preserve">Steven Stoft’s </w:t>
      </w:r>
      <w:r w:rsidRPr="005D3138">
        <w:rPr>
          <w:i/>
          <w:iCs/>
        </w:rPr>
        <w:t>Power System Economics</w:t>
      </w:r>
      <w:r w:rsidR="005D3138" w:rsidRPr="005D3138">
        <w:rPr>
          <w:i/>
          <w:iCs/>
        </w:rPr>
        <w:t>: Designing Markets for Electricity</w:t>
      </w:r>
    </w:p>
    <w:p w14:paraId="6E5831E6" w14:textId="4E069938" w:rsidR="00C96758" w:rsidRPr="005D3138" w:rsidRDefault="00C96758" w:rsidP="008F6C00">
      <w:pPr>
        <w:pStyle w:val="ListParagraph"/>
        <w:numPr>
          <w:ilvl w:val="0"/>
          <w:numId w:val="10"/>
        </w:numPr>
      </w:pPr>
      <w:r w:rsidRPr="005D3138">
        <w:t>I. Khorlo, “Lint: A SAS Program Checker,” in </w:t>
      </w:r>
      <w:r w:rsidRPr="005D3138">
        <w:rPr>
          <w:i/>
          <w:iCs/>
        </w:rPr>
        <w:t>Pharmaceutical Users Software Exchange 2017</w:t>
      </w:r>
      <w:r w:rsidRPr="005D3138">
        <w:t>, Lex Jansen, Oct. 2017. Available: https://www.lexjansen.com/phuse/2017/ad/AD08.pdf</w:t>
      </w:r>
    </w:p>
    <w:p w14:paraId="3A7E299D" w14:textId="738857A7" w:rsidR="004E2786" w:rsidRDefault="00A41BBE">
      <w:pPr>
        <w:pStyle w:val="Heading1"/>
      </w:pPr>
      <w:bookmarkStart w:id="10" w:name="_heading=h.w80t7yem59fv" w:colFirst="0" w:colLast="0"/>
      <w:bookmarkEnd w:id="10"/>
      <w:r>
        <w:t>CONTACT INFORMATION</w:t>
      </w:r>
    </w:p>
    <w:p w14:paraId="3F01C1E9" w14:textId="34A10101" w:rsidR="00B31888" w:rsidRPr="00A37411" w:rsidRDefault="00000000" w:rsidP="00A37411">
      <w:pPr>
        <w:widowControl/>
        <w:pBdr>
          <w:top w:val="nil"/>
          <w:left w:val="nil"/>
          <w:bottom w:val="nil"/>
          <w:right w:val="nil"/>
          <w:between w:val="nil"/>
        </w:pBdr>
        <w:spacing w:line="276" w:lineRule="auto"/>
      </w:pPr>
      <w:r w:rsidRPr="00A37411">
        <w:t>Your comments and questions are valued and encouraged. Contact the author(s) at:</w:t>
      </w:r>
    </w:p>
    <w:p w14:paraId="39A69478" w14:textId="2C342512" w:rsidR="004E2786" w:rsidRPr="00A37411" w:rsidRDefault="00000000" w:rsidP="00274E7C">
      <w:pPr>
        <w:widowControl/>
        <w:pBdr>
          <w:top w:val="nil"/>
          <w:left w:val="nil"/>
          <w:bottom w:val="nil"/>
          <w:right w:val="nil"/>
          <w:between w:val="nil"/>
        </w:pBdr>
        <w:spacing w:line="276" w:lineRule="auto"/>
        <w:ind w:left="720"/>
      </w:pPr>
      <w:r w:rsidRPr="00A37411">
        <w:rPr>
          <w:b/>
          <w:bCs/>
        </w:rPr>
        <w:t>Eric C. Grasby</w:t>
      </w:r>
      <w:r w:rsidRPr="00A37411">
        <w:t xml:space="preserve"> </w:t>
      </w:r>
      <w:r w:rsidR="00A37411">
        <w:br/>
      </w:r>
      <w:r w:rsidRPr="00A37411">
        <w:t xml:space="preserve">Senior Market Monitor, </w:t>
      </w:r>
      <w:r w:rsidR="00200024">
        <w:t>SPP</w:t>
      </w:r>
      <w:r w:rsidRPr="00A37411">
        <w:t xml:space="preserve">, Inc. </w:t>
      </w:r>
      <w:r w:rsidR="00A37411">
        <w:br/>
      </w:r>
      <w:r w:rsidRPr="00A37411">
        <w:t>Doctoral Candidate, UA Little Rock, Department of Information Science</w:t>
      </w:r>
      <w:r w:rsidR="00A37411">
        <w:br/>
      </w:r>
      <w:hyperlink r:id="rId16" w:history="1">
        <w:r w:rsidR="00A37411" w:rsidRPr="004744C7">
          <w:rPr>
            <w:rStyle w:val="Hyperlink"/>
          </w:rPr>
          <w:t>ecgrasby@ualr.edu</w:t>
        </w:r>
      </w:hyperlink>
      <w:r w:rsidR="00A37411">
        <w:br/>
      </w:r>
      <w:hyperlink r:id="rId17" w:history="1">
        <w:r w:rsidR="00A37411" w:rsidRPr="004744C7">
          <w:rPr>
            <w:rStyle w:val="Hyperlink"/>
          </w:rPr>
          <w:t>https://linkedin.com/in/echarlesgrasby</w:t>
        </w:r>
      </w:hyperlink>
    </w:p>
    <w:p w14:paraId="720C0EEA" w14:textId="6049DC93" w:rsidR="001369F6" w:rsidRDefault="00000000" w:rsidP="00274E7C">
      <w:pPr>
        <w:widowControl/>
        <w:pBdr>
          <w:top w:val="nil"/>
          <w:left w:val="nil"/>
          <w:bottom w:val="nil"/>
          <w:right w:val="nil"/>
          <w:between w:val="nil"/>
        </w:pBdr>
        <w:spacing w:line="276" w:lineRule="auto"/>
        <w:ind w:left="720"/>
      </w:pPr>
      <w:r w:rsidRPr="00A37411">
        <w:rPr>
          <w:b/>
          <w:bCs/>
        </w:rPr>
        <w:t>Dr. J. Daniel Berleant</w:t>
      </w:r>
      <w:r w:rsidR="00A37411">
        <w:br/>
      </w:r>
      <w:r w:rsidRPr="00A37411">
        <w:t>Professor, UA Little Rock, Department of Information Science</w:t>
      </w:r>
      <w:r w:rsidR="00A37411">
        <w:br/>
      </w:r>
      <w:hyperlink r:id="rId18" w:history="1">
        <w:r w:rsidR="00A37411" w:rsidRPr="004744C7">
          <w:rPr>
            <w:rStyle w:val="Hyperlink"/>
          </w:rPr>
          <w:t>jdberleant@ualr.edu</w:t>
        </w:r>
      </w:hyperlink>
      <w:r w:rsidR="00A37411">
        <w:br/>
      </w:r>
      <w:hyperlink r:id="rId19" w:history="1">
        <w:r w:rsidR="00A37411" w:rsidRPr="004744C7">
          <w:rPr>
            <w:rStyle w:val="Hyperlink"/>
          </w:rPr>
          <w:t>https://www.linkedin.com/in/daniel-berleant-4938451/</w:t>
        </w:r>
      </w:hyperlink>
    </w:p>
    <w:p w14:paraId="7985CA43" w14:textId="2857F167" w:rsidR="00200024" w:rsidRDefault="00200024" w:rsidP="00200024">
      <w:pPr>
        <w:widowControl/>
        <w:pBdr>
          <w:top w:val="nil"/>
          <w:left w:val="nil"/>
          <w:bottom w:val="nil"/>
          <w:right w:val="nil"/>
          <w:between w:val="nil"/>
        </w:pBdr>
        <w:spacing w:line="276" w:lineRule="auto"/>
        <w:ind w:left="720"/>
      </w:pPr>
      <w:r>
        <w:rPr>
          <w:b/>
          <w:bCs/>
        </w:rPr>
        <w:t>Dr. Maria CB Gingras</w:t>
      </w:r>
      <w:r>
        <w:br/>
      </w:r>
      <w:hyperlink r:id="rId20" w:history="1">
        <w:r w:rsidRPr="00A23572">
          <w:rPr>
            <w:rStyle w:val="Hyperlink"/>
          </w:rPr>
          <w:t>https://www.linkedin.com/in/mariacbrun/</w:t>
        </w:r>
      </w:hyperlink>
    </w:p>
    <w:p w14:paraId="019BF745" w14:textId="77777777" w:rsidR="001369F6" w:rsidRPr="00A37411" w:rsidRDefault="001369F6" w:rsidP="00A37411">
      <w:pPr>
        <w:widowControl/>
        <w:pBdr>
          <w:top w:val="nil"/>
          <w:left w:val="nil"/>
          <w:bottom w:val="nil"/>
          <w:right w:val="nil"/>
          <w:between w:val="nil"/>
        </w:pBdr>
        <w:spacing w:line="276" w:lineRule="auto"/>
      </w:pPr>
    </w:p>
    <w:p w14:paraId="6E7D7F8C" w14:textId="46761FA7" w:rsidR="001369F6" w:rsidRPr="00A37411" w:rsidRDefault="001369F6" w:rsidP="00A37411">
      <w:pPr>
        <w:widowControl/>
        <w:pBdr>
          <w:top w:val="nil"/>
          <w:left w:val="nil"/>
          <w:bottom w:val="nil"/>
          <w:right w:val="nil"/>
          <w:between w:val="nil"/>
        </w:pBdr>
        <w:spacing w:line="276" w:lineRule="auto"/>
      </w:pPr>
      <w:r w:rsidRPr="00A37411">
        <w:t xml:space="preserve">SAS and all other SAS Institute Inc. product or service names are registered trademarks of SAS Institute Inc. in the USA and other countries. ® indicates USA registration. </w:t>
      </w:r>
    </w:p>
    <w:p w14:paraId="2AB2D506" w14:textId="5FA321AC" w:rsidR="001369F6" w:rsidRPr="00A37411" w:rsidRDefault="001369F6" w:rsidP="00A37411">
      <w:pPr>
        <w:widowControl/>
        <w:pBdr>
          <w:top w:val="nil"/>
          <w:left w:val="nil"/>
          <w:bottom w:val="nil"/>
          <w:right w:val="nil"/>
          <w:between w:val="nil"/>
        </w:pBdr>
        <w:spacing w:line="276" w:lineRule="auto"/>
      </w:pPr>
      <w:r w:rsidRPr="00A37411">
        <w:t>Other brand and product names are trademarks of their respective companies.</w:t>
      </w:r>
    </w:p>
    <w:p w14:paraId="3372E361" w14:textId="77777777" w:rsidR="004E2786" w:rsidRDefault="004E2786">
      <w:pPr>
        <w:widowControl/>
        <w:pBdr>
          <w:top w:val="nil"/>
          <w:left w:val="nil"/>
          <w:bottom w:val="nil"/>
          <w:right w:val="nil"/>
          <w:between w:val="nil"/>
        </w:pBdr>
        <w:spacing w:after="0"/>
        <w:ind w:left="432"/>
        <w:rPr>
          <w:color w:val="000000"/>
          <w:sz w:val="20"/>
          <w:szCs w:val="20"/>
        </w:rPr>
      </w:pPr>
    </w:p>
    <w:p w14:paraId="08D99433" w14:textId="336A337D" w:rsidR="004E2786" w:rsidRDefault="00B354CE" w:rsidP="00B354CE">
      <w:pPr>
        <w:pStyle w:val="Heading1"/>
      </w:pPr>
      <w:bookmarkStart w:id="11" w:name="bookmark=id.a6vnkmwz2k3y" w:colFirst="0" w:colLast="0"/>
      <w:bookmarkStart w:id="12" w:name="_heading=h.ianfiendd7gt" w:colFirst="0" w:colLast="0"/>
      <w:bookmarkEnd w:id="11"/>
      <w:bookmarkEnd w:id="12"/>
      <w:r>
        <w:t>Appendix</w:t>
      </w:r>
    </w:p>
    <w:p w14:paraId="568C725B" w14:textId="3ED15F60" w:rsidR="00B354CE" w:rsidRPr="00B354CE" w:rsidRDefault="00B354CE" w:rsidP="00B354CE">
      <w:r>
        <w:t xml:space="preserve">See </w:t>
      </w:r>
      <w:hyperlink r:id="rId21" w:history="1">
        <w:r w:rsidRPr="00C81DC4">
          <w:rPr>
            <w:rStyle w:val="Hyperlink"/>
          </w:rPr>
          <w:t>https://github.com/echarlesgrasby/dissertation-grammar</w:t>
        </w:r>
      </w:hyperlink>
      <w:r>
        <w:t xml:space="preserve"> for version-controlled copies of any of code depicted below.</w:t>
      </w:r>
    </w:p>
    <w:p w14:paraId="126CC051" w14:textId="445CAFC8" w:rsidR="00B354CE" w:rsidRDefault="00B354CE" w:rsidP="00B354CE">
      <w:pPr>
        <w:rPr>
          <w:b/>
          <w:bCs/>
        </w:rPr>
      </w:pPr>
      <w:r w:rsidRPr="00B354CE">
        <w:rPr>
          <w:b/>
          <w:bCs/>
        </w:rPr>
        <w:t>Monitor Language (“Mlang”) Grammar – Version 1</w:t>
      </w:r>
    </w:p>
    <w:p w14:paraId="4755EBD0" w14:textId="77777777" w:rsidR="00B354CE" w:rsidRDefault="00B354CE" w:rsidP="00B354CE"/>
    <w:p w14:paraId="2518E236" w14:textId="0144CC15" w:rsidR="00B354CE" w:rsidRPr="00B354CE" w:rsidRDefault="00B354CE" w:rsidP="00B354CE">
      <w:pPr>
        <w:rPr>
          <w:b/>
          <w:bCs/>
        </w:rPr>
      </w:pPr>
      <w:r w:rsidRPr="00B354CE">
        <w:rPr>
          <w:b/>
          <w:bCs/>
        </w:rPr>
        <w:t>Template for mlang project configuration file</w:t>
      </w:r>
    </w:p>
    <w:p w14:paraId="4A50AF18" w14:textId="77777777" w:rsidR="00B354CE" w:rsidRDefault="00B354CE" w:rsidP="00B354CE"/>
    <w:p w14:paraId="37792047" w14:textId="1BCAF36B" w:rsidR="00B354CE" w:rsidRPr="00B354CE" w:rsidRDefault="00B354CE" w:rsidP="00B354CE">
      <w:pPr>
        <w:rPr>
          <w:b/>
          <w:bCs/>
        </w:rPr>
      </w:pPr>
      <w:r w:rsidRPr="00B354CE">
        <w:rPr>
          <w:b/>
          <w:bCs/>
        </w:rPr>
        <w:t>Template for mlang metadata file</w:t>
      </w:r>
    </w:p>
    <w:p w14:paraId="5E2C3E41" w14:textId="77777777" w:rsidR="00B354CE" w:rsidRDefault="00B354CE" w:rsidP="00B354CE"/>
    <w:p w14:paraId="2FB62209" w14:textId="09B2DC94" w:rsidR="00B354CE" w:rsidRPr="00B354CE" w:rsidRDefault="00B354CE" w:rsidP="00B354CE">
      <w:pPr>
        <w:rPr>
          <w:b/>
          <w:bCs/>
        </w:rPr>
      </w:pPr>
      <w:r w:rsidRPr="00B354CE">
        <w:rPr>
          <w:b/>
          <w:bCs/>
        </w:rPr>
        <w:t>Template for mlang link file</w:t>
      </w:r>
    </w:p>
    <w:p w14:paraId="2D788C30" w14:textId="77777777" w:rsidR="00B354CE" w:rsidRPr="00B354CE" w:rsidRDefault="00B354CE" w:rsidP="00B354CE"/>
    <w:sectPr w:rsidR="00B354CE" w:rsidRPr="00B354CE">
      <w:footerReference w:type="even" r:id="rId22"/>
      <w:footerReference w:type="default" r:id="rId23"/>
      <w:footerReference w:type="first" r:id="rId2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3DE69" w14:textId="77777777" w:rsidR="00321E9E" w:rsidRDefault="00321E9E">
      <w:pPr>
        <w:spacing w:after="0"/>
      </w:pPr>
      <w:r>
        <w:separator/>
      </w:r>
    </w:p>
  </w:endnote>
  <w:endnote w:type="continuationSeparator" w:id="0">
    <w:p w14:paraId="6E3711AB" w14:textId="77777777" w:rsidR="00321E9E" w:rsidRDefault="00321E9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B8736442-A8FA-4B4C-BA1B-5F36158F446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21C70988-6EAC-4E51-B2C8-857E5A33512E}"/>
  </w:font>
  <w:font w:name="Calibri">
    <w:panose1 w:val="020F0502020204030204"/>
    <w:charset w:val="00"/>
    <w:family w:val="swiss"/>
    <w:pitch w:val="variable"/>
    <w:sig w:usb0="E4002EFF" w:usb1="C200247B" w:usb2="00000009" w:usb3="00000000" w:csb0="000001FF" w:csb1="00000000"/>
    <w:embedRegular r:id="rId3" w:fontKey="{57F6AE91-C43E-4366-B3EE-71934BB0E238}"/>
  </w:font>
  <w:font w:name="Cambria">
    <w:panose1 w:val="02040503050406030204"/>
    <w:charset w:val="00"/>
    <w:family w:val="roman"/>
    <w:pitch w:val="variable"/>
    <w:sig w:usb0="E00006FF" w:usb1="420024FF" w:usb2="02000000" w:usb3="00000000" w:csb0="0000019F" w:csb1="00000000"/>
    <w:embedRegular r:id="rId4" w:fontKey="{2FE0EE0D-070C-4839-886A-A108486684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E1E2E" w14:textId="77777777" w:rsidR="00321E9E" w:rsidRDefault="00321E9E">
      <w:pPr>
        <w:spacing w:after="0"/>
      </w:pPr>
      <w:r>
        <w:separator/>
      </w:r>
    </w:p>
  </w:footnote>
  <w:footnote w:type="continuationSeparator" w:id="0">
    <w:p w14:paraId="13070450" w14:textId="77777777" w:rsidR="00321E9E" w:rsidRDefault="00321E9E">
      <w:pPr>
        <w:spacing w:after="0"/>
      </w:pPr>
      <w:r>
        <w:continuationSeparator/>
      </w:r>
    </w:p>
  </w:footnote>
  <w:footnote w:id="1">
    <w:p w14:paraId="16195E7F" w14:textId="1B812076"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EB213E">
        <w:rPr>
          <w:sz w:val="18"/>
          <w:szCs w:val="18"/>
        </w:rPr>
        <w:t>2</w:t>
      </w:r>
      <w:r w:rsidRPr="008B2F0B">
        <w:rPr>
          <w:sz w:val="18"/>
          <w:szCs w:val="18"/>
        </w:rPr>
        <w:t>]</w:t>
      </w:r>
    </w:p>
  </w:footnote>
  <w:footnote w:id="2">
    <w:p w14:paraId="01165BAB" w14:textId="1D1BD8DF"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Any given professional is a member of the EISG by virtue of working for an MMU that is an organizational member of the EISG.</w:t>
      </w:r>
    </w:p>
  </w:footnote>
  <w:footnote w:id="3">
    <w:p w14:paraId="45FD7435" w14:textId="467B6BC6"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5D0AEC">
          <w:rPr>
            <w:rStyle w:val="Hyperlink"/>
            <w:sz w:val="18"/>
            <w:szCs w:val="18"/>
          </w:rPr>
          <w:t>https://github.com/echarlesgrasby/dissertation/tree/master/ext</w:t>
        </w:r>
      </w:hyperlink>
      <w:r w:rsidRPr="005D0AEC">
        <w:rPr>
          <w:rStyle w:val="Hyperlink"/>
          <w:sz w:val="18"/>
          <w:szCs w:val="18"/>
        </w:rPr>
        <w:t>.</w:t>
      </w:r>
    </w:p>
  </w:footnote>
  <w:footnote w:id="4">
    <w:p w14:paraId="6148754B" w14:textId="7CA72CFE" w:rsidR="001713AA" w:rsidRPr="001713AA" w:rsidRDefault="001713AA">
      <w:pPr>
        <w:pStyle w:val="FootnoteText"/>
        <w:rPr>
          <w:lang w:val="en-US"/>
        </w:rPr>
      </w:pPr>
      <w:r w:rsidRPr="00732E47">
        <w:rPr>
          <w:sz w:val="18"/>
          <w:szCs w:val="18"/>
          <w:vertAlign w:val="superscript"/>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 so those that chose (Management) are also represented by other roles that they once performed.</w:t>
      </w:r>
    </w:p>
  </w:footnote>
  <w:footnote w:id="5">
    <w:p w14:paraId="525992E6" w14:textId="5B81EDE2" w:rsidR="002D524E" w:rsidRPr="002D524E" w:rsidRDefault="002D524E">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(tokenization) and </w:t>
      </w:r>
      <w:r w:rsidRPr="00BE567E">
        <w:rPr>
          <w:i/>
          <w:iCs/>
          <w:sz w:val="18"/>
          <w:szCs w:val="18"/>
          <w:lang w:val="en-US"/>
        </w:rPr>
        <w:t xml:space="preserve">parsing </w:t>
      </w:r>
      <w:r w:rsidRPr="00BE567E">
        <w:rPr>
          <w:sz w:val="18"/>
          <w:szCs w:val="18"/>
          <w:lang w:val="en-US"/>
        </w:rPr>
        <w:t>refer to distinct operations in computer science for working with text. A lexer takes an input string and breaks it up</w:t>
      </w:r>
      <w:r w:rsidR="00C64205">
        <w:rPr>
          <w:sz w:val="18"/>
          <w:szCs w:val="18"/>
          <w:lang w:val="en-US"/>
        </w:rPr>
        <w:t xml:space="preserve"> based up</w:t>
      </w:r>
      <w:r w:rsidRPr="00BE567E">
        <w:rPr>
          <w:sz w:val="18"/>
          <w:szCs w:val="18"/>
          <w:lang w:val="en-US"/>
        </w:rPr>
        <w:t xml:space="preserve">on a delimiter (usually a whitespace character) into atomic </w:t>
      </w:r>
      <w:r w:rsidRPr="00BE567E">
        <w:rPr>
          <w:i/>
          <w:iCs/>
          <w:sz w:val="18"/>
          <w:szCs w:val="18"/>
          <w:lang w:val="en-US"/>
        </w:rPr>
        <w:t xml:space="preserve">lexemes </w:t>
      </w:r>
      <w:r w:rsidRPr="00BE567E">
        <w:rPr>
          <w:sz w:val="18"/>
          <w:szCs w:val="18"/>
          <w:lang w:val="en-US"/>
        </w:rPr>
        <w:t xml:space="preserve">(e.g. </w:t>
      </w:r>
      <w:r w:rsidRPr="00BE567E">
        <w:rPr>
          <w:rFonts w:ascii="Courier New" w:hAnsi="Courier New" w:cs="Courier New"/>
          <w:sz w:val="18"/>
          <w:szCs w:val="18"/>
          <w:lang w:val="en-US"/>
        </w:rPr>
        <w:t>“Brenda was the best programmer amongst us”</w:t>
      </w:r>
      <w:r w:rsidRPr="00BE567E">
        <w:rPr>
          <w:sz w:val="18"/>
          <w:szCs w:val="18"/>
          <w:lang w:val="en-US"/>
        </w:rPr>
        <w:t xml:space="preserve"> would be “lexed” as : </w:t>
      </w:r>
      <w:r w:rsidRPr="00BE567E">
        <w:rPr>
          <w:rFonts w:ascii="Courier New" w:hAnsi="Courier New" w:cs="Courier New"/>
          <w:sz w:val="18"/>
          <w:szCs w:val="18"/>
          <w:lang w:val="en-US"/>
        </w:rPr>
        <w:t>[“Brenda”, “was”, “the”, “best”, “programmer”, “amongst”, “us”]</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this tokenized text and applies syntactic rules to </w:t>
      </w:r>
      <w:r w:rsidR="007D3117">
        <w:rPr>
          <w:sz w:val="18"/>
          <w:szCs w:val="18"/>
          <w:lang w:val="en-US"/>
        </w:rPr>
        <w:t xml:space="preserve">it to develop a </w:t>
      </w:r>
      <w:r w:rsidR="007D3117">
        <w:rPr>
          <w:i/>
          <w:iCs/>
          <w:sz w:val="18"/>
          <w:szCs w:val="18"/>
          <w:lang w:val="en-US"/>
        </w:rPr>
        <w:t xml:space="preserve">parse tree </w:t>
      </w:r>
      <w:r w:rsidRPr="00BE567E">
        <w:rPr>
          <w:sz w:val="18"/>
          <w:szCs w:val="18"/>
          <w:lang w:val="en-US"/>
        </w:rPr>
        <w:t>(i.e. identifying “Brenda” as the subject of the sentence and “was” as the verb).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2"/>
  </w:num>
  <w:num w:numId="2" w16cid:durableId="1403943416">
    <w:abstractNumId w:val="11"/>
  </w:num>
  <w:num w:numId="3" w16cid:durableId="1773236115">
    <w:abstractNumId w:val="13"/>
  </w:num>
  <w:num w:numId="4" w16cid:durableId="1238704721">
    <w:abstractNumId w:val="0"/>
  </w:num>
  <w:num w:numId="5" w16cid:durableId="1941133572">
    <w:abstractNumId w:val="7"/>
  </w:num>
  <w:num w:numId="6" w16cid:durableId="455293798">
    <w:abstractNumId w:val="6"/>
  </w:num>
  <w:num w:numId="7" w16cid:durableId="351998595">
    <w:abstractNumId w:val="1"/>
  </w:num>
  <w:num w:numId="8" w16cid:durableId="28146458">
    <w:abstractNumId w:val="9"/>
  </w:num>
  <w:num w:numId="9" w16cid:durableId="1734307518">
    <w:abstractNumId w:val="8"/>
  </w:num>
  <w:num w:numId="10" w16cid:durableId="1317219074">
    <w:abstractNumId w:val="15"/>
  </w:num>
  <w:num w:numId="11" w16cid:durableId="388695762">
    <w:abstractNumId w:val="10"/>
  </w:num>
  <w:num w:numId="12" w16cid:durableId="385569504">
    <w:abstractNumId w:val="2"/>
  </w:num>
  <w:num w:numId="13" w16cid:durableId="511409727">
    <w:abstractNumId w:val="4"/>
  </w:num>
  <w:num w:numId="14" w16cid:durableId="682245822">
    <w:abstractNumId w:val="3"/>
  </w:num>
  <w:num w:numId="15" w16cid:durableId="1163468922">
    <w:abstractNumId w:val="14"/>
  </w:num>
  <w:num w:numId="16" w16cid:durableId="629365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303B0"/>
    <w:rsid w:val="00032006"/>
    <w:rsid w:val="0004045C"/>
    <w:rsid w:val="00054E66"/>
    <w:rsid w:val="000A2FC6"/>
    <w:rsid w:val="000B5064"/>
    <w:rsid w:val="000F214D"/>
    <w:rsid w:val="001009F8"/>
    <w:rsid w:val="0011120F"/>
    <w:rsid w:val="001369F6"/>
    <w:rsid w:val="001410C5"/>
    <w:rsid w:val="00141ABB"/>
    <w:rsid w:val="001713AA"/>
    <w:rsid w:val="00180B30"/>
    <w:rsid w:val="00194B59"/>
    <w:rsid w:val="00197D67"/>
    <w:rsid w:val="001A2E15"/>
    <w:rsid w:val="00200024"/>
    <w:rsid w:val="00213202"/>
    <w:rsid w:val="00217A8E"/>
    <w:rsid w:val="00231EB7"/>
    <w:rsid w:val="002642C4"/>
    <w:rsid w:val="00272427"/>
    <w:rsid w:val="00274E7C"/>
    <w:rsid w:val="00283CA6"/>
    <w:rsid w:val="002A49BD"/>
    <w:rsid w:val="002B142E"/>
    <w:rsid w:val="002C60A1"/>
    <w:rsid w:val="002D08FC"/>
    <w:rsid w:val="002D4B97"/>
    <w:rsid w:val="002D524E"/>
    <w:rsid w:val="00302CEF"/>
    <w:rsid w:val="0030657A"/>
    <w:rsid w:val="00316EE2"/>
    <w:rsid w:val="00321E9E"/>
    <w:rsid w:val="00340E59"/>
    <w:rsid w:val="003413DD"/>
    <w:rsid w:val="0039139A"/>
    <w:rsid w:val="003B218D"/>
    <w:rsid w:val="003D05D7"/>
    <w:rsid w:val="003D27F8"/>
    <w:rsid w:val="00401F54"/>
    <w:rsid w:val="00421041"/>
    <w:rsid w:val="00423252"/>
    <w:rsid w:val="00425580"/>
    <w:rsid w:val="00434815"/>
    <w:rsid w:val="00446F61"/>
    <w:rsid w:val="00450730"/>
    <w:rsid w:val="0047763A"/>
    <w:rsid w:val="004917B8"/>
    <w:rsid w:val="00494AE7"/>
    <w:rsid w:val="004E2786"/>
    <w:rsid w:val="00506905"/>
    <w:rsid w:val="005451A2"/>
    <w:rsid w:val="00556CF0"/>
    <w:rsid w:val="00570772"/>
    <w:rsid w:val="005713A6"/>
    <w:rsid w:val="00572267"/>
    <w:rsid w:val="005D0AEC"/>
    <w:rsid w:val="005D3138"/>
    <w:rsid w:val="005F76E9"/>
    <w:rsid w:val="006059CA"/>
    <w:rsid w:val="006324E6"/>
    <w:rsid w:val="00653B00"/>
    <w:rsid w:val="00655DBB"/>
    <w:rsid w:val="00657A61"/>
    <w:rsid w:val="00663B9B"/>
    <w:rsid w:val="006834BA"/>
    <w:rsid w:val="006975FD"/>
    <w:rsid w:val="006A073E"/>
    <w:rsid w:val="006A18D6"/>
    <w:rsid w:val="006C7854"/>
    <w:rsid w:val="006F1708"/>
    <w:rsid w:val="006F3785"/>
    <w:rsid w:val="00704659"/>
    <w:rsid w:val="007279A6"/>
    <w:rsid w:val="0073256C"/>
    <w:rsid w:val="00732E47"/>
    <w:rsid w:val="00772040"/>
    <w:rsid w:val="00780F09"/>
    <w:rsid w:val="00782DC7"/>
    <w:rsid w:val="00787294"/>
    <w:rsid w:val="00791A5C"/>
    <w:rsid w:val="007C0885"/>
    <w:rsid w:val="007C42E3"/>
    <w:rsid w:val="007D3117"/>
    <w:rsid w:val="007D3D32"/>
    <w:rsid w:val="007D5FCF"/>
    <w:rsid w:val="007E164B"/>
    <w:rsid w:val="007E7698"/>
    <w:rsid w:val="007F2B07"/>
    <w:rsid w:val="007F3390"/>
    <w:rsid w:val="00804933"/>
    <w:rsid w:val="008065C5"/>
    <w:rsid w:val="008608D0"/>
    <w:rsid w:val="0086437C"/>
    <w:rsid w:val="00884FF6"/>
    <w:rsid w:val="008A506B"/>
    <w:rsid w:val="008A5E3D"/>
    <w:rsid w:val="008B1EBE"/>
    <w:rsid w:val="008B2F0B"/>
    <w:rsid w:val="008B50D4"/>
    <w:rsid w:val="008F6C00"/>
    <w:rsid w:val="009011E8"/>
    <w:rsid w:val="0091181E"/>
    <w:rsid w:val="00934EAE"/>
    <w:rsid w:val="00946025"/>
    <w:rsid w:val="009A79F9"/>
    <w:rsid w:val="009E4999"/>
    <w:rsid w:val="00A2176B"/>
    <w:rsid w:val="00A22327"/>
    <w:rsid w:val="00A24DC3"/>
    <w:rsid w:val="00A27590"/>
    <w:rsid w:val="00A37411"/>
    <w:rsid w:val="00A41BBE"/>
    <w:rsid w:val="00A81360"/>
    <w:rsid w:val="00AB10CB"/>
    <w:rsid w:val="00AB3006"/>
    <w:rsid w:val="00AB6D6D"/>
    <w:rsid w:val="00AB7BDB"/>
    <w:rsid w:val="00B14489"/>
    <w:rsid w:val="00B31888"/>
    <w:rsid w:val="00B354CE"/>
    <w:rsid w:val="00B40364"/>
    <w:rsid w:val="00B41458"/>
    <w:rsid w:val="00B52BBD"/>
    <w:rsid w:val="00B91DF1"/>
    <w:rsid w:val="00B926E3"/>
    <w:rsid w:val="00BC0D6A"/>
    <w:rsid w:val="00BD2735"/>
    <w:rsid w:val="00BE567E"/>
    <w:rsid w:val="00C129D4"/>
    <w:rsid w:val="00C20441"/>
    <w:rsid w:val="00C26B71"/>
    <w:rsid w:val="00C52410"/>
    <w:rsid w:val="00C5619F"/>
    <w:rsid w:val="00C64205"/>
    <w:rsid w:val="00C90ED4"/>
    <w:rsid w:val="00C93C4C"/>
    <w:rsid w:val="00C96758"/>
    <w:rsid w:val="00CA2D8D"/>
    <w:rsid w:val="00CA2FDD"/>
    <w:rsid w:val="00CA78FE"/>
    <w:rsid w:val="00CB20A7"/>
    <w:rsid w:val="00CD1E5D"/>
    <w:rsid w:val="00CD69CB"/>
    <w:rsid w:val="00CE3BBA"/>
    <w:rsid w:val="00CF6E3F"/>
    <w:rsid w:val="00D108E8"/>
    <w:rsid w:val="00D21BEF"/>
    <w:rsid w:val="00D3625F"/>
    <w:rsid w:val="00D51B49"/>
    <w:rsid w:val="00D8028F"/>
    <w:rsid w:val="00DB5B90"/>
    <w:rsid w:val="00DF0451"/>
    <w:rsid w:val="00E01A1F"/>
    <w:rsid w:val="00E02CA1"/>
    <w:rsid w:val="00E206A8"/>
    <w:rsid w:val="00E33B4E"/>
    <w:rsid w:val="00E36D8F"/>
    <w:rsid w:val="00E51D22"/>
    <w:rsid w:val="00E94881"/>
    <w:rsid w:val="00EB213E"/>
    <w:rsid w:val="00EC1F75"/>
    <w:rsid w:val="00EC59DB"/>
    <w:rsid w:val="00EC64B7"/>
    <w:rsid w:val="00EF1280"/>
    <w:rsid w:val="00F01DD6"/>
    <w:rsid w:val="00F12928"/>
    <w:rsid w:val="00F37EF2"/>
    <w:rsid w:val="00F466B3"/>
    <w:rsid w:val="00F47C60"/>
    <w:rsid w:val="00F53AE9"/>
    <w:rsid w:val="00F93176"/>
    <w:rsid w:val="00FB0AF3"/>
    <w:rsid w:val="00FC10B1"/>
    <w:rsid w:val="00FC26B9"/>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portal.spp.org/groups/integrated-marketplace" TargetMode="External"/><Relationship Id="rId18" Type="http://schemas.openxmlformats.org/officeDocument/2006/relationships/hyperlink" Target="mailto:jdberleant@ualr.edu"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echarlesgrasby/dissertation-grammar" TargetMode="External"/><Relationship Id="rId7" Type="http://schemas.openxmlformats.org/officeDocument/2006/relationships/footnotes" Target="footnotes.xml"/><Relationship Id="rId12" Type="http://schemas.openxmlformats.org/officeDocument/2006/relationships/hyperlink" Target="https://www.cardiff.ac.uk/__data/assets/pdf_file/0010/1164961/how_to_conduct_a_delphistudy.pdf" TargetMode="External"/><Relationship Id="rId17" Type="http://schemas.openxmlformats.org/officeDocument/2006/relationships/hyperlink" Target="https://linkedin.com/in/echarlesgrasby"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ecgrasby@ualr.edu" TargetMode="External"/><Relationship Id="rId20" Type="http://schemas.openxmlformats.org/officeDocument/2006/relationships/hyperlink" Target="https://www.linkedin.com/in/mariacbru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www.degreedays.net/"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linkedin.com/in/daniel-berleant-493845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eia.gov/electricity/"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760</TotalTime>
  <Pages>7</Pages>
  <Words>1927</Words>
  <Characters>11486</Characters>
  <Application>Microsoft Office Word</Application>
  <DocSecurity>0</DocSecurity>
  <Lines>239</Lines>
  <Paragraphs>159</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13254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Grasby</cp:lastModifiedBy>
  <cp:revision>218</cp:revision>
  <cp:lastPrinted>2026-05-29T21:47:00Z</cp:lastPrinted>
  <dcterms:created xsi:type="dcterms:W3CDTF">2026-05-26T17:29:00Z</dcterms:created>
  <dcterms:modified xsi:type="dcterms:W3CDTF">2026-06-18T19:43:00Z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