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7D34F" w14:textId="7937406D" w:rsidR="004E2786" w:rsidRDefault="00000000">
      <w:pPr>
        <w:keepNext/>
        <w:pBdr>
          <w:top w:val="nil"/>
          <w:left w:val="nil"/>
          <w:bottom w:val="nil"/>
          <w:right w:val="nil"/>
          <w:between w:val="nil"/>
        </w:pBdr>
        <w:spacing w:after="60"/>
        <w:jc w:val="center"/>
        <w:rPr>
          <w:b/>
          <w:bCs/>
          <w:color w:val="000000"/>
          <w:sz w:val="20"/>
          <w:szCs w:val="20"/>
        </w:rPr>
      </w:pPr>
      <w:r>
        <w:rPr>
          <w:b/>
          <w:bCs/>
          <w:color w:val="000000"/>
          <w:sz w:val="20"/>
          <w:szCs w:val="20"/>
        </w:rPr>
        <w:t xml:space="preserve">SEASUG Paper </w:t>
      </w:r>
      <w:r w:rsidR="008144F4">
        <w:rPr>
          <w:b/>
          <w:bCs/>
          <w:color w:val="000000"/>
          <w:sz w:val="20"/>
          <w:szCs w:val="20"/>
        </w:rPr>
        <w:t>42</w:t>
      </w:r>
      <w:r>
        <w:rPr>
          <w:b/>
          <w:bCs/>
          <w:color w:val="000000"/>
          <w:sz w:val="20"/>
          <w:szCs w:val="20"/>
        </w:rPr>
        <w:t>-2026</w:t>
      </w:r>
    </w:p>
    <w:p w14:paraId="7C326506" w14:textId="3867F064" w:rsidR="004E2786" w:rsidRDefault="00CF6E3F">
      <w:pPr>
        <w:keepNext/>
        <w:pBdr>
          <w:top w:val="nil"/>
          <w:left w:val="nil"/>
          <w:bottom w:val="nil"/>
          <w:right w:val="nil"/>
          <w:between w:val="nil"/>
        </w:pBdr>
        <w:spacing w:before="100" w:after="60"/>
        <w:jc w:val="center"/>
        <w:rPr>
          <w:b/>
          <w:bCs/>
          <w:color w:val="000000"/>
          <w:sz w:val="26"/>
          <w:szCs w:val="26"/>
        </w:rPr>
      </w:pPr>
      <w:r>
        <w:rPr>
          <w:b/>
          <w:bCs/>
          <w:color w:val="000000"/>
          <w:sz w:val="26"/>
          <w:szCs w:val="26"/>
        </w:rPr>
        <w:t>A Domain-Specific Computer Language for Market Monitoring</w:t>
      </w:r>
      <w:r w:rsidR="001009F8">
        <w:rPr>
          <w:b/>
          <w:bCs/>
          <w:color w:val="000000"/>
          <w:sz w:val="26"/>
          <w:szCs w:val="26"/>
        </w:rPr>
        <w:t xml:space="preserve">: </w:t>
      </w:r>
      <w:r w:rsidR="000F6EFC">
        <w:rPr>
          <w:b/>
          <w:bCs/>
          <w:color w:val="000000"/>
          <w:sz w:val="26"/>
          <w:szCs w:val="26"/>
        </w:rPr>
        <w:t>From</w:t>
      </w:r>
      <w:r w:rsidR="001009F8">
        <w:rPr>
          <w:b/>
          <w:bCs/>
          <w:color w:val="000000"/>
          <w:sz w:val="26"/>
          <w:szCs w:val="26"/>
        </w:rPr>
        <w:t xml:space="preserve"> Domain Logic to SAS Code</w:t>
      </w:r>
    </w:p>
    <w:p w14:paraId="345A8387" w14:textId="070C38A7" w:rsidR="004E2786" w:rsidRDefault="00000000">
      <w:pPr>
        <w:pBdr>
          <w:top w:val="nil"/>
          <w:left w:val="nil"/>
          <w:bottom w:val="nil"/>
          <w:right w:val="nil"/>
          <w:between w:val="nil"/>
        </w:pBdr>
        <w:spacing w:before="20"/>
        <w:jc w:val="center"/>
        <w:rPr>
          <w:color w:val="000000"/>
          <w:sz w:val="22"/>
          <w:szCs w:val="22"/>
        </w:rPr>
      </w:pPr>
      <w:r>
        <w:rPr>
          <w:color w:val="000000"/>
          <w:sz w:val="22"/>
          <w:szCs w:val="22"/>
        </w:rPr>
        <w:t>Eric Grasby</w:t>
      </w:r>
      <w:r w:rsidR="00E04285" w:rsidRPr="00E04285">
        <w:rPr>
          <w:color w:val="000000"/>
          <w:sz w:val="22"/>
          <w:szCs w:val="22"/>
          <w:vertAlign w:val="superscript"/>
        </w:rPr>
        <w:t>1,2</w:t>
      </w:r>
      <w:r>
        <w:rPr>
          <w:color w:val="000000"/>
          <w:sz w:val="22"/>
          <w:szCs w:val="22"/>
        </w:rPr>
        <w:t>; Daniel Berleant</w:t>
      </w:r>
      <w:r w:rsidR="00E04285" w:rsidRPr="00E04285">
        <w:rPr>
          <w:color w:val="000000"/>
          <w:sz w:val="22"/>
          <w:szCs w:val="22"/>
          <w:vertAlign w:val="superscript"/>
        </w:rPr>
        <w:t>1</w:t>
      </w:r>
      <w:r w:rsidR="003D1B82">
        <w:rPr>
          <w:color w:val="000000"/>
          <w:sz w:val="22"/>
          <w:szCs w:val="22"/>
        </w:rPr>
        <w:t>;</w:t>
      </w:r>
      <w:r w:rsidR="00200024">
        <w:rPr>
          <w:color w:val="000000"/>
          <w:sz w:val="22"/>
          <w:szCs w:val="22"/>
        </w:rPr>
        <w:t xml:space="preserve"> Maria CB Gingras</w:t>
      </w:r>
      <w:r w:rsidR="002B6FF9" w:rsidRPr="002B6FF9">
        <w:rPr>
          <w:color w:val="000000"/>
          <w:sz w:val="22"/>
          <w:szCs w:val="22"/>
          <w:vertAlign w:val="superscript"/>
        </w:rPr>
        <w:t>3</w:t>
      </w:r>
    </w:p>
    <w:p w14:paraId="6AF5E404" w14:textId="797E8DA0" w:rsidR="00E04285" w:rsidRPr="00E04285" w:rsidRDefault="00E04285">
      <w:pPr>
        <w:pBdr>
          <w:top w:val="nil"/>
          <w:left w:val="nil"/>
          <w:bottom w:val="nil"/>
          <w:right w:val="nil"/>
          <w:between w:val="nil"/>
        </w:pBdr>
        <w:spacing w:before="20"/>
        <w:jc w:val="center"/>
        <w:rPr>
          <w:color w:val="000000"/>
          <w:sz w:val="22"/>
          <w:szCs w:val="22"/>
        </w:rPr>
      </w:pPr>
      <w:r w:rsidRPr="00E04285">
        <w:rPr>
          <w:color w:val="000000"/>
          <w:sz w:val="22"/>
          <w:szCs w:val="22"/>
          <w:vertAlign w:val="superscript"/>
        </w:rPr>
        <w:t>1</w:t>
      </w:r>
      <w:r>
        <w:rPr>
          <w:color w:val="000000"/>
          <w:sz w:val="22"/>
          <w:szCs w:val="22"/>
        </w:rPr>
        <w:t xml:space="preserve">UA Little Rock; </w:t>
      </w:r>
      <w:r w:rsidRPr="00E04285">
        <w:rPr>
          <w:color w:val="000000"/>
          <w:sz w:val="22"/>
          <w:szCs w:val="22"/>
          <w:vertAlign w:val="superscript"/>
        </w:rPr>
        <w:t>2</w:t>
      </w:r>
      <w:r>
        <w:rPr>
          <w:color w:val="000000"/>
          <w:sz w:val="22"/>
          <w:szCs w:val="22"/>
        </w:rPr>
        <w:t>Southwest Power Pool (SPP)</w:t>
      </w:r>
      <w:r w:rsidR="002B6FF9">
        <w:rPr>
          <w:color w:val="000000"/>
          <w:sz w:val="22"/>
          <w:szCs w:val="22"/>
        </w:rPr>
        <w:t xml:space="preserve">; </w:t>
      </w:r>
      <w:r w:rsidR="002B6FF9" w:rsidRPr="002B6FF9">
        <w:rPr>
          <w:color w:val="000000"/>
          <w:sz w:val="22"/>
          <w:szCs w:val="22"/>
          <w:vertAlign w:val="superscript"/>
        </w:rPr>
        <w:t>3</w:t>
      </w:r>
      <w:r w:rsidR="002B6FF9">
        <w:rPr>
          <w:color w:val="000000"/>
          <w:sz w:val="22"/>
          <w:szCs w:val="22"/>
        </w:rPr>
        <w:t>Consultant</w:t>
      </w:r>
    </w:p>
    <w:p w14:paraId="0F749EB3" w14:textId="233D5DF2" w:rsidR="004E2786" w:rsidRPr="00272427" w:rsidRDefault="00CA78FE" w:rsidP="00272427">
      <w:pPr>
        <w:pStyle w:val="Heading1"/>
      </w:pPr>
      <w:r>
        <w:t>ABSTRACT</w:t>
      </w:r>
    </w:p>
    <w:p w14:paraId="19203CF0" w14:textId="3A2446B6" w:rsidR="00F23743" w:rsidRPr="00F23743" w:rsidRDefault="00F23743" w:rsidP="00F23743">
      <w:pPr>
        <w:rPr>
          <w:lang w:val="en-US"/>
        </w:rPr>
      </w:pPr>
      <w:r w:rsidRPr="00F23743">
        <w:t xml:space="preserve">This paper presents a proof-of-concept design of a domain-specific language (DSL) for use in wholesale electric market monitoring and applies the DSL to an industry use case. Wholesale electric markets competitively dispatch power plants, while respecting the constraints of the electric grid, to minimize the cost of electricity </w:t>
      </w:r>
      <w:r w:rsidR="00426B43">
        <w:t>produced</w:t>
      </w:r>
      <w:r w:rsidRPr="00F23743">
        <w:t>. Market monitors are charged with analyzing data from these markets to screen for prohibited behavior among market participants to protect consumers from unduly high prices and to maintain the reliability of the electric grid. </w:t>
      </w:r>
    </w:p>
    <w:p w14:paraId="04CE93AA" w14:textId="50B6BD73" w:rsidR="00F23743" w:rsidRPr="00F23743" w:rsidRDefault="00F23743" w:rsidP="00F23743">
      <w:pPr>
        <w:rPr>
          <w:lang w:val="en-US"/>
        </w:rPr>
      </w:pPr>
      <w:r w:rsidRPr="00F23743">
        <w:t xml:space="preserve">To fulfill their duties, market monitors must extract, transform, and analyze data from multiple sources, </w:t>
      </w:r>
      <w:r w:rsidR="00426B43">
        <w:t>usually</w:t>
      </w:r>
      <w:r w:rsidRPr="00F23743">
        <w:t xml:space="preserve"> without sophisticated programming skills. Additionally, electric market data is complex and often fragmented, leading to issues that transcend simple programming problems. Together, these issues create a barrier for market monitors to efficiently and accurately complete their duties. This paper presents one viable solution to both problems: a DSL that allows a market monitor to declare the metrics that they wish to analyze and a transpiler that translates their input into valid code. This DSL leverages SAS</w:t>
      </w:r>
      <w:r w:rsidR="00E01A15">
        <w:t>®</w:t>
      </w:r>
      <w:r w:rsidRPr="00F23743">
        <w:t xml:space="preserve"> data sets for data management and SAS procedures, DATA step programming, and SAS macros to perform transformations. </w:t>
      </w:r>
    </w:p>
    <w:p w14:paraId="04039762" w14:textId="3AC6AB04" w:rsidR="00F23743" w:rsidRPr="00F23743" w:rsidRDefault="00F23743" w:rsidP="00F23743">
      <w:pPr>
        <w:rPr>
          <w:lang w:val="en-US"/>
        </w:rPr>
      </w:pPr>
      <w:r w:rsidRPr="00F23743">
        <w:t xml:space="preserve">Finally, this paper illustrates this proposed design by demonstrating how a user can </w:t>
      </w:r>
      <w:r w:rsidR="00EA1CC1">
        <w:t xml:space="preserve">use the DSL and </w:t>
      </w:r>
      <w:r w:rsidRPr="00F23743">
        <w:t>generate SAS code to fulfill common and critical market monitoring tasks.</w:t>
      </w:r>
    </w:p>
    <w:p w14:paraId="01450761" w14:textId="0B0A68DD" w:rsidR="008A506B" w:rsidRPr="000B5064" w:rsidRDefault="008A506B" w:rsidP="00D21BEF">
      <w:pPr>
        <w:rPr>
          <w:i/>
          <w:iCs/>
        </w:rPr>
      </w:pPr>
      <w:r w:rsidRPr="000B5064">
        <w:rPr>
          <w:b/>
          <w:bCs/>
          <w:i/>
          <w:iCs/>
        </w:rPr>
        <w:t>Keywords</w:t>
      </w:r>
      <w:r w:rsidRPr="000B5064">
        <w:rPr>
          <w:i/>
          <w:iCs/>
        </w:rPr>
        <w:t>: domain-specific language, analyst abstraction, energy market, market monitoring, transpiler</w:t>
      </w:r>
    </w:p>
    <w:p w14:paraId="49E70DB3" w14:textId="5F0B5581" w:rsidR="004E2786" w:rsidRDefault="00CA78FE" w:rsidP="00272427">
      <w:pPr>
        <w:pStyle w:val="Heading1"/>
      </w:pPr>
      <w:bookmarkStart w:id="0" w:name="_heading=h.m8l0puddzh9t" w:colFirst="0" w:colLast="0"/>
      <w:bookmarkEnd w:id="0"/>
      <w:r>
        <w:t>INTRODUCTION</w:t>
      </w:r>
    </w:p>
    <w:p w14:paraId="6519935E" w14:textId="0D9C091C" w:rsidR="00316EE2" w:rsidRDefault="00150FDD" w:rsidP="00316EE2">
      <w:r>
        <w:t>Electricity</w:t>
      </w:r>
      <w:r w:rsidR="00316EE2">
        <w:t xml:space="preserve"> is a ubiquitous commodity; its generation, transmission, and use is present in </w:t>
      </w:r>
      <w:r w:rsidR="007F2B07">
        <w:t>almost</w:t>
      </w:r>
      <w:r w:rsidR="00316EE2">
        <w:t xml:space="preserve"> every aspect of modern society. Commonly recognized as the “world’s largest machine”</w:t>
      </w:r>
      <w:r w:rsidR="007F2B07">
        <w:t xml:space="preserve"> [1], the North American Bulk Electric System (BES) is one of the most important systems to the lives of virtually every resident of the United States, Canada, and a portion of Mexico. Organized </w:t>
      </w:r>
      <w:r w:rsidR="009E040A">
        <w:t>electric</w:t>
      </w:r>
      <w:r w:rsidR="007F2B07">
        <w:t xml:space="preserve"> markets, which use the BES to transmit electricity, are constructs that allow </w:t>
      </w:r>
      <w:r w:rsidR="00E4112C">
        <w:t>a region</w:t>
      </w:r>
      <w:r w:rsidR="007F2B07">
        <w:t xml:space="preserve"> to </w:t>
      </w:r>
      <w:r w:rsidR="00E4112C">
        <w:t xml:space="preserve">pool electric generating resources across many market participants and centrally commit and dispatch these resources to </w:t>
      </w:r>
      <w:r w:rsidR="007F2B07">
        <w:t>reliably and economically deliver energy to consumers.</w:t>
      </w:r>
    </w:p>
    <w:p w14:paraId="4334A4C3" w14:textId="4CE625CD" w:rsidR="007F2B07" w:rsidRDefault="00D30B43" w:rsidP="00316EE2">
      <w:r>
        <w:t xml:space="preserve">Like any market, electric markets are subject to bad actors. However, when market participants engage in manipulative or fraudulent behavior in the electric market, such behaviors can not only impact prices but threaten the physical security of the electric grid and disrupt electric supply to end consumers. One such example is the fraud perpetrated by the </w:t>
      </w:r>
      <w:r w:rsidRPr="001E3178">
        <w:rPr>
          <w:i/>
          <w:iCs/>
        </w:rPr>
        <w:t>Enron Corporation</w:t>
      </w:r>
      <w:r>
        <w:t xml:space="preserve"> in the early 2000s. </w:t>
      </w:r>
      <w:r w:rsidR="00CA746F">
        <w:t>In the aftermath of the Enron scandal</w:t>
      </w:r>
      <w:r w:rsidR="00103304">
        <w:t xml:space="preserve"> [2]</w:t>
      </w:r>
      <w:r w:rsidR="00CA746F">
        <w:t>,</w:t>
      </w:r>
      <w:r w:rsidR="007F2B07">
        <w:t xml:space="preserve"> the Federal Energy Regulatory Commission (FERC) mandated that all organized </w:t>
      </w:r>
      <w:r w:rsidR="00397A0E">
        <w:t>wholesale electric markets</w:t>
      </w:r>
      <w:r w:rsidR="007F2B07">
        <w:t xml:space="preserve"> in the United States be independently </w:t>
      </w:r>
      <w:r w:rsidR="00FC10B1">
        <w:t>monitored</w:t>
      </w:r>
      <w:r w:rsidR="007F2B07">
        <w:t xml:space="preserve"> by an energy market monitoring authority</w:t>
      </w:r>
      <w:r w:rsidR="00397A0E">
        <w:rPr>
          <w:rStyle w:val="FootnoteReference"/>
        </w:rPr>
        <w:footnoteReference w:id="1"/>
      </w:r>
      <w:r w:rsidR="007F2B07">
        <w:t>.</w:t>
      </w:r>
      <w:r w:rsidR="00397A0E">
        <w:t xml:space="preserve"> This currently includes the California Independent System Operator (CAISO), Southwest Power Pool (SPP), Midcontinent Independent System Operator (MISO), Pennsylvania, New Jersey, Maryland (PJM), New York Independent System Operator (NYISO), and the Independent System Operator of New England.</w:t>
      </w:r>
    </w:p>
    <w:p w14:paraId="20CEE500" w14:textId="6AE30E3B" w:rsidR="0023736E" w:rsidRDefault="0023736E" w:rsidP="00316EE2">
      <w:r>
        <w:t>Market monitors</w:t>
      </w:r>
      <w:r w:rsidR="00D30B43">
        <w:t xml:space="preserve"> are </w:t>
      </w:r>
      <w:r>
        <w:t xml:space="preserve">the individuals tasked with </w:t>
      </w:r>
      <w:r w:rsidR="00D30B43">
        <w:t>fulfilling the</w:t>
      </w:r>
      <w:r>
        <w:t xml:space="preserve"> market monitoring</w:t>
      </w:r>
      <w:r w:rsidR="00D30B43">
        <w:t xml:space="preserve"> mandate </w:t>
      </w:r>
      <w:r>
        <w:t xml:space="preserve">outlined </w:t>
      </w:r>
      <w:r w:rsidR="00D30B43">
        <w:t xml:space="preserve">in </w:t>
      </w:r>
      <w:r w:rsidR="00D30B43" w:rsidRPr="001E3178">
        <w:rPr>
          <w:i/>
          <w:iCs/>
        </w:rPr>
        <w:t>CFR 18 35.41</w:t>
      </w:r>
      <w:r w:rsidR="00D30B43" w:rsidRPr="00DB7F6C">
        <w:rPr>
          <w:rStyle w:val="FootnoteReference"/>
        </w:rPr>
        <w:footnoteReference w:id="2"/>
      </w:r>
      <w:r w:rsidR="00D30B43" w:rsidRPr="00DB7F6C">
        <w:t>.</w:t>
      </w:r>
      <w:r>
        <w:t xml:space="preserve"> This includes reporting on the state of the wholesale electric market, investigating instances of fraud and manipulation, and reviewing and advising on existing and proposed market rules to ensure these markets </w:t>
      </w:r>
      <w:r w:rsidR="00D30B43">
        <w:t xml:space="preserve">remain fair, efficient, and open access. </w:t>
      </w:r>
      <w:r>
        <w:t>Fulfilling this mandate requires not only expertise in electric and market policy concepts, but also demands the ability to extract, transform, and analyze data</w:t>
      </w:r>
      <w:r w:rsidR="00AE6606">
        <w:t xml:space="preserve">. </w:t>
      </w:r>
      <w:r>
        <w:t xml:space="preserve">This requires technical skills in </w:t>
      </w:r>
      <w:r w:rsidR="00AE6606">
        <w:t xml:space="preserve">programming and data analysis. </w:t>
      </w:r>
    </w:p>
    <w:p w14:paraId="320F7D1C" w14:textId="01BC0DB0" w:rsidR="0023736E" w:rsidRDefault="0023736E" w:rsidP="00316EE2">
      <w:r>
        <w:t>The combination of knowledge and skills combined with the complex nature of wholesale electric markets leads to several information quality problems</w:t>
      </w:r>
      <w:r w:rsidR="004C7DF7">
        <w:t xml:space="preserve">, </w:t>
      </w:r>
      <w:r w:rsidR="00CB0429">
        <w:t>including</w:t>
      </w:r>
      <w:r w:rsidR="004C7DF7">
        <w:t xml:space="preserve"> </w:t>
      </w:r>
      <w:r w:rsidR="00E12CE8">
        <w:t>analysts attempting to manage “information overload” [</w:t>
      </w:r>
      <w:r w:rsidR="003427D2">
        <w:t>3</w:t>
      </w:r>
      <w:r w:rsidR="00E12CE8">
        <w:t>]</w:t>
      </w:r>
      <w:r w:rsidR="00CB0429">
        <w:t xml:space="preserve"> (which impacts the accuracy of reported figures)</w:t>
      </w:r>
      <w:r w:rsidR="00E12CE8">
        <w:t xml:space="preserve">, </w:t>
      </w:r>
      <w:r w:rsidR="00CB0429">
        <w:t xml:space="preserve">siloed data stores, and undocumented schemas. Such quality problems </w:t>
      </w:r>
      <w:r w:rsidR="00CB0429">
        <w:lastRenderedPageBreak/>
        <w:t>erode trust in official reports and can place undue burden on analysts.</w:t>
      </w:r>
    </w:p>
    <w:p w14:paraId="3E55B4A3" w14:textId="0D15C6AE" w:rsidR="0047763A" w:rsidRPr="00316EE2" w:rsidRDefault="00AE6606" w:rsidP="00316EE2">
      <w:r>
        <w:t xml:space="preserve">The design outlined in this paper intends to </w:t>
      </w:r>
      <w:r w:rsidR="0023736E">
        <w:t>lower the programming burden of market monitoring and empower market monitors to spend more time on domain-specific analysis and less time on developing and debugging code</w:t>
      </w:r>
      <w:r>
        <w:t xml:space="preserve">. </w:t>
      </w:r>
      <w:r w:rsidR="005474A6">
        <w:t>To these ends</w:t>
      </w:r>
      <w:r>
        <w:t xml:space="preserve">, we present a foundation for a domain-specific language (DSL) that allows market monitors to express their analytics in notations better suited to energy data. </w:t>
      </w:r>
      <w:r w:rsidR="00633453">
        <w:t>These notations are then automatically translated</w:t>
      </w:r>
      <w:r>
        <w:t xml:space="preserve"> into valid SAS code which can process the energy market data on behalf of the analyst.</w:t>
      </w:r>
    </w:p>
    <w:p w14:paraId="503128FE" w14:textId="568D9888" w:rsidR="004E2786" w:rsidRDefault="00CA78FE">
      <w:pPr>
        <w:pStyle w:val="Heading1"/>
      </w:pPr>
      <w:bookmarkStart w:id="1" w:name="_heading=h.y2zz5yuofigo" w:colFirst="0" w:colLast="0"/>
      <w:bookmarkEnd w:id="1"/>
      <w:r>
        <w:t>BACKGROUND</w:t>
      </w:r>
    </w:p>
    <w:p w14:paraId="5C8F5606" w14:textId="70C497DF" w:rsidR="0011120F" w:rsidRDefault="0011120F" w:rsidP="00272427">
      <w:pPr>
        <w:pStyle w:val="Heading3"/>
      </w:pPr>
      <w:bookmarkStart w:id="2" w:name="_heading=h.wc0ucybh4nlh" w:colFirst="0" w:colLast="0"/>
      <w:bookmarkEnd w:id="2"/>
      <w:r>
        <w:t xml:space="preserve">The business problem: why a </w:t>
      </w:r>
      <w:r w:rsidR="00B31888">
        <w:t>d</w:t>
      </w:r>
      <w:r>
        <w:t>omain-</w:t>
      </w:r>
      <w:r w:rsidR="00B31888">
        <w:t>s</w:t>
      </w:r>
      <w:r>
        <w:t xml:space="preserve">pecific </w:t>
      </w:r>
      <w:r w:rsidR="00B31888">
        <w:t>l</w:t>
      </w:r>
      <w:r>
        <w:t>anguage?</w:t>
      </w:r>
    </w:p>
    <w:p w14:paraId="2FC02D70" w14:textId="58BB175A" w:rsidR="00131984" w:rsidRDefault="00131984" w:rsidP="000A2FC6">
      <w:r>
        <w:t>The BES itself is one of the</w:t>
      </w:r>
      <w:r w:rsidR="00FA2468">
        <w:t xml:space="preserve"> world’s</w:t>
      </w:r>
      <w:r>
        <w:t xml:space="preserve"> largest, most operationally complex machines. In the organized electricity markets, a Regional Transmission Organization (RTO) or Independent System Operator (ISO) not only manages the physical grid, ensuring the reliable utilization of the thousands of resources, transformers, transmission lines, and other grid components, but also performs long term transmission planning, studies the addition and retirement of generating resources, commits and dispatches generating resources to minimize the cost of electricity, and settles all wholesale market transactions. </w:t>
      </w:r>
      <w:r w:rsidR="00281476">
        <w:t xml:space="preserve">A natural result of the diverse roles the RTOs and ISOs play across different time horizons </w:t>
      </w:r>
      <w:r w:rsidR="004D2E60">
        <w:t xml:space="preserve">is a </w:t>
      </w:r>
      <w:r w:rsidR="00281476">
        <w:t xml:space="preserve">complex data infrastructure that is often fragmented. To effectively and holistically analyze the wholesale electric market, market monitors must routinely interact </w:t>
      </w:r>
      <w:r w:rsidR="004D2E60">
        <w:t>and combine data from these data sets, often across different databases and without clear primary keys and documented schemas</w:t>
      </w:r>
      <w:r w:rsidR="00281476">
        <w:t>.</w:t>
      </w:r>
    </w:p>
    <w:p w14:paraId="4A853C26" w14:textId="4C8B3893" w:rsidR="00281476" w:rsidRDefault="00281476" w:rsidP="000A2FC6">
      <w:r>
        <w:t>Market monitoring authorities can and do leverage many analytical software packages to help them with wrangling and analyzing market data. Many of these analytical ecosystems (such as SAS) provide an abstraction layer specifically designed to allow a user to utilize simplified programming syntax with which to process, transform, and analyze data. This substantially lowers the programming skills required to perform market monitoring duties. However, the nature of electric markets and the data which market monitors must utilize create their own layer of complexity that transcend</w:t>
      </w:r>
      <w:r w:rsidR="004D09CA">
        <w:t>s</w:t>
      </w:r>
      <w:r>
        <w:t xml:space="preserve"> simple programming problems.</w:t>
      </w:r>
    </w:p>
    <w:p w14:paraId="5D417F40" w14:textId="3280C48D" w:rsidR="000A2FC6" w:rsidRDefault="000A2FC6" w:rsidP="000A2FC6">
      <w:r>
        <w:t xml:space="preserve">Many of these issues are </w:t>
      </w:r>
      <w:r w:rsidRPr="000A2FC6">
        <w:rPr>
          <w:i/>
          <w:iCs/>
        </w:rPr>
        <w:t>semantic problems</w:t>
      </w:r>
      <w:r>
        <w:t xml:space="preserve">, requiring an individual to encode their domain expertise into </w:t>
      </w:r>
      <w:r w:rsidR="005B0EEC">
        <w:t>scripts (i.e. SQL or SAS)</w:t>
      </w:r>
      <w:r>
        <w:t xml:space="preserve">. </w:t>
      </w:r>
      <w:r w:rsidR="000C4D95">
        <w:t>Specialized analytical methods for electricity market analysis continue to be an active area of research [</w:t>
      </w:r>
      <w:r w:rsidR="00F44CEF">
        <w:t>5</w:t>
      </w:r>
      <w:r w:rsidR="000C4D95">
        <w:t xml:space="preserve">]. </w:t>
      </w:r>
      <w:r>
        <w:t xml:space="preserve">A </w:t>
      </w:r>
      <w:r w:rsidR="00674E6B">
        <w:t xml:space="preserve">simple, yet </w:t>
      </w:r>
      <w:r>
        <w:t>prevalent</w:t>
      </w:r>
      <w:r w:rsidR="00674E6B">
        <w:t xml:space="preserve">, </w:t>
      </w:r>
      <w:r>
        <w:t xml:space="preserve">example in energy markets involves how timestamps are interpreted across time zones. Because energy market transactions </w:t>
      </w:r>
      <w:r w:rsidR="00BD5420">
        <w:t xml:space="preserve">can </w:t>
      </w:r>
      <w:r>
        <w:t xml:space="preserve">span across time zones, timestamps on these transactions may be recorded in local time, adjacent market time, or Coordinated Universal Time (UTC/GMT). If the time zone metadata is not readily apparent, analytical queries may produce </w:t>
      </w:r>
      <w:r w:rsidRPr="000A2FC6">
        <w:rPr>
          <w:i/>
          <w:iCs/>
        </w:rPr>
        <w:t>fundamentally incorrect results</w:t>
      </w:r>
      <w:r>
        <w:t xml:space="preserve">, despite being written as </w:t>
      </w:r>
      <w:r w:rsidRPr="000A2FC6">
        <w:rPr>
          <w:i/>
          <w:iCs/>
        </w:rPr>
        <w:t>syntactically valid</w:t>
      </w:r>
      <w:r>
        <w:t>.</w:t>
      </w:r>
    </w:p>
    <w:p w14:paraId="2BB4F9A7" w14:textId="3FBE1A5E" w:rsidR="00DA25BB" w:rsidRDefault="00934EAE" w:rsidP="000A2FC6">
      <w:r>
        <w:t>Modern analytics platforms provide mechanisms for performing these conversions, but they tend to rely on the user understanding and correctly applying the domain-level semantics associated with the data (using the appropriate time zone, for example).</w:t>
      </w:r>
      <w:r w:rsidR="00DA25BB">
        <w:t xml:space="preserve"> This is particularly problematic when knowledge of such nuances </w:t>
      </w:r>
      <w:r w:rsidR="00526694">
        <w:t>in</w:t>
      </w:r>
      <w:r w:rsidR="00DA25BB">
        <w:t xml:space="preserve"> the data are not formally documented (as often they are not) and </w:t>
      </w:r>
      <w:r w:rsidR="005A5B7E">
        <w:t>tend</w:t>
      </w:r>
      <w:r w:rsidR="00DA25BB">
        <w:t xml:space="preserve"> to leave the institution when the knowledge holder leaves. This also represents risk to a market monitoring authority’s ability to serve its </w:t>
      </w:r>
      <w:r w:rsidR="004E401F">
        <w:t>mandate</w:t>
      </w:r>
      <w:r w:rsidR="00DA25BB">
        <w:t>.</w:t>
      </w:r>
    </w:p>
    <w:p w14:paraId="3D5BA253" w14:textId="605677CE" w:rsidR="00934EAE" w:rsidRPr="000A2FC6" w:rsidRDefault="005B0EEC" w:rsidP="000A2FC6">
      <w:r>
        <w:t>A DSL can leverage</w:t>
      </w:r>
      <w:r w:rsidR="00934EAE">
        <w:t xml:space="preserve"> metadata and domain-aware rules, </w:t>
      </w:r>
      <w:r>
        <w:t xml:space="preserve">transparently handling these operations without requiring the user to manually account for such details. The </w:t>
      </w:r>
      <w:r w:rsidR="00934EAE">
        <w:t xml:space="preserve">proposed DSL is not intended to replace existing analytics platforms, like SAS, but instead </w:t>
      </w:r>
      <w:r w:rsidR="00446F61">
        <w:t>provides</w:t>
      </w:r>
      <w:r w:rsidR="00934EAE">
        <w:t xml:space="preserve"> a semantic layer that</w:t>
      </w:r>
      <w:r w:rsidR="00DA25BB">
        <w:t xml:space="preserve"> </w:t>
      </w:r>
      <w:r w:rsidR="007F6A13">
        <w:t>reduces</w:t>
      </w:r>
      <w:r>
        <w:t xml:space="preserve"> knowledge fragmentation and </w:t>
      </w:r>
      <w:r w:rsidR="00934EAE">
        <w:t>mitigates</w:t>
      </w:r>
      <w:r>
        <w:t xml:space="preserve"> </w:t>
      </w:r>
      <w:r w:rsidR="00934EAE">
        <w:t>information quality risks.</w:t>
      </w:r>
    </w:p>
    <w:p w14:paraId="0571E4A0" w14:textId="255A8CF9" w:rsidR="0011120F" w:rsidRDefault="0011120F" w:rsidP="00272427">
      <w:pPr>
        <w:pStyle w:val="Heading3"/>
      </w:pPr>
      <w:r>
        <w:t>Why SAS</w:t>
      </w:r>
      <w:r w:rsidR="001A2E15">
        <w:t>®</w:t>
      </w:r>
      <w:r>
        <w:t>?</w:t>
      </w:r>
    </w:p>
    <w:p w14:paraId="09C14A2D" w14:textId="176C5E65" w:rsidR="00EC1F75" w:rsidRDefault="00BC72E7" w:rsidP="00EC1F75">
      <w:r>
        <w:t>The primary justification for developing a DSL that works with SAS as its target coding language is its current prevalence of use among market monitors. However, u</w:t>
      </w:r>
      <w:r w:rsidR="00EC1F75">
        <w:t xml:space="preserve">sing SAS as the target language for this DSL comes with </w:t>
      </w:r>
      <w:r w:rsidR="00D12677">
        <w:t>further</w:t>
      </w:r>
      <w:r w:rsidR="00EC1F75">
        <w:t xml:space="preserve"> advantages. </w:t>
      </w:r>
      <w:r w:rsidR="002D4B97">
        <w:t xml:space="preserve">While the design and implementation of this language </w:t>
      </w:r>
      <w:r w:rsidR="00D21BEF">
        <w:t>provide</w:t>
      </w:r>
      <w:r w:rsidR="002D4B97">
        <w:t xml:space="preserve"> a parser and language transpiler </w:t>
      </w:r>
      <w:r w:rsidR="00D21BEF">
        <w:t>to effectuate</w:t>
      </w:r>
      <w:r w:rsidR="00450730">
        <w:t xml:space="preserve"> the</w:t>
      </w:r>
      <w:r w:rsidR="00D21BEF">
        <w:t xml:space="preserve"> execution of the language, there are other components that are required to provide users with a functional analysis system. These main components include a data processing engine, a reliable data typing scheme, and ca</w:t>
      </w:r>
      <w:r w:rsidR="00E36D8F">
        <w:t>p</w:t>
      </w:r>
      <w:r w:rsidR="00D21BEF">
        <w:t>abilities for data visualization and basic cartography.</w:t>
      </w:r>
    </w:p>
    <w:p w14:paraId="0E7D9744" w14:textId="1F1013F6" w:rsidR="00194B59" w:rsidRDefault="00194B59" w:rsidP="00EC1F75">
      <w:r>
        <w:t>The SAS ecosystem satisfies each of these system requirements. B</w:t>
      </w:r>
      <w:r w:rsidR="005D0DB1">
        <w:t>ase</w:t>
      </w:r>
      <w:r>
        <w:t xml:space="preserve"> SAS and SAS/ACCESS provide mechanisms for </w:t>
      </w:r>
      <w:r w:rsidR="00663B9B">
        <w:t>processing data, as well as importing and</w:t>
      </w:r>
      <w:r>
        <w:t xml:space="preserve"> exporting </w:t>
      </w:r>
      <w:r w:rsidR="00663B9B">
        <w:t xml:space="preserve">that </w:t>
      </w:r>
      <w:r>
        <w:t xml:space="preserve">data from a variety of </w:t>
      </w:r>
      <w:r w:rsidR="00663B9B">
        <w:t xml:space="preserve">external </w:t>
      </w:r>
      <w:r>
        <w:t>systems (including relational databases). When data is loaded from a source system</w:t>
      </w:r>
      <w:r w:rsidR="00663B9B">
        <w:t>,</w:t>
      </w:r>
      <w:r>
        <w:t xml:space="preserve"> SAS </w:t>
      </w:r>
      <w:r w:rsidR="00663B9B">
        <w:t>houses</w:t>
      </w:r>
      <w:r>
        <w:t xml:space="preserve"> that data in SAS datasets</w:t>
      </w:r>
      <w:r w:rsidR="00663B9B">
        <w:t>. These datasets, in turn,</w:t>
      </w:r>
      <w:r>
        <w:t xml:space="preserve"> </w:t>
      </w:r>
      <w:r w:rsidR="00663B9B">
        <w:t>provide a r</w:t>
      </w:r>
      <w:r>
        <w:t xml:space="preserve">eliable </w:t>
      </w:r>
      <w:r w:rsidR="00663B9B">
        <w:t xml:space="preserve">and universal </w:t>
      </w:r>
      <w:r>
        <w:t xml:space="preserve">API for data processing across all </w:t>
      </w:r>
      <w:r w:rsidR="00663B9B">
        <w:t xml:space="preserve">other </w:t>
      </w:r>
      <w:r>
        <w:t xml:space="preserve">SAS components. </w:t>
      </w:r>
      <w:r w:rsidR="00F862FC">
        <w:t>Base</w:t>
      </w:r>
      <w:r>
        <w:t xml:space="preserve"> SAS also ships with a data typing system, so the upstream DSL does not have to enforce strict typing as part of the syntax (which translates to less cognitive burden on the user). </w:t>
      </w:r>
    </w:p>
    <w:p w14:paraId="5AAF1EBA" w14:textId="0C38A6DD" w:rsidR="00194B59" w:rsidRDefault="00194B59" w:rsidP="00EC1F75">
      <w:r>
        <w:t xml:space="preserve">Additionally, the Output Delivery System (ODS) that ships with SAS provides </w:t>
      </w:r>
      <w:r w:rsidR="000D2CBD">
        <w:t>tools</w:t>
      </w:r>
      <w:r>
        <w:t xml:space="preserve"> for generating and formatting both </w:t>
      </w:r>
      <w:r>
        <w:lastRenderedPageBreak/>
        <w:t xml:space="preserve">data visualization graphs and spatial maps. The ODS principally provides this functionality through the </w:t>
      </w:r>
      <w:r w:rsidR="005257AC">
        <w:t>SGPLOT</w:t>
      </w:r>
      <w:r>
        <w:t xml:space="preserve"> and SG</w:t>
      </w:r>
      <w:r w:rsidR="005257AC">
        <w:t>MAP</w:t>
      </w:r>
      <w:r>
        <w:t xml:space="preserve"> procedures, respectively.</w:t>
      </w:r>
    </w:p>
    <w:p w14:paraId="14D82BC3" w14:textId="1BC6087C" w:rsidR="009011E8" w:rsidRPr="00EC1F75" w:rsidRDefault="009011E8" w:rsidP="00EC1F75">
      <w:r>
        <w:t xml:space="preserve">With each of these infrastructural components available within one platform, </w:t>
      </w:r>
      <w:r w:rsidR="00053B8E">
        <w:t>a</w:t>
      </w:r>
      <w:r w:rsidR="005713A6">
        <w:t xml:space="preserve"> DSL</w:t>
      </w:r>
      <w:r>
        <w:t xml:space="preserve"> can remain focused on allowing the user to write intuitive data logic. </w:t>
      </w:r>
      <w:r w:rsidR="00D3625F">
        <w:t>It</w:t>
      </w:r>
      <w:r w:rsidR="00C93C4C">
        <w:t xml:space="preserve"> then offloads</w:t>
      </w:r>
      <w:r>
        <w:t xml:space="preserve"> any </w:t>
      </w:r>
      <w:r w:rsidR="00053B8E">
        <w:t>technical</w:t>
      </w:r>
      <w:r>
        <w:t xml:space="preserve"> complexity to SAS and </w:t>
      </w:r>
      <w:r w:rsidR="0099643B">
        <w:t>returns</w:t>
      </w:r>
      <w:r>
        <w:t xml:space="preserve"> results and error messages back to the user.</w:t>
      </w:r>
    </w:p>
    <w:p w14:paraId="0B52D380" w14:textId="62B1CF01" w:rsidR="004E2786" w:rsidRDefault="00F12F7C">
      <w:pPr>
        <w:pStyle w:val="Heading1"/>
      </w:pPr>
      <w:r>
        <w:t>DELPHI STUDY</w:t>
      </w:r>
    </w:p>
    <w:p w14:paraId="774CE026" w14:textId="33BD95B6" w:rsidR="00D51B49" w:rsidRPr="00A37411" w:rsidRDefault="00D51B49" w:rsidP="00A37411">
      <w:bookmarkStart w:id="3" w:name="_heading=h.v04ytp5vmndc" w:colFirst="0" w:colLast="0"/>
      <w:bookmarkEnd w:id="3"/>
      <w:r w:rsidRPr="00A37411">
        <w:t>To identify relevant use cases during the implementation of this DSL, the researchers chose to proctor a Delphi study</w:t>
      </w:r>
      <w:r w:rsidR="00FC26B9">
        <w:rPr>
          <w:rStyle w:val="FootnoteReference"/>
        </w:rPr>
        <w:footnoteReference w:id="3"/>
      </w:r>
      <w:r w:rsidRPr="00A37411">
        <w:t xml:space="preserve">. </w:t>
      </w:r>
      <w:r w:rsidR="00B71B9A">
        <w:t xml:space="preserve">Participation in the Delphi study was voluntary but limited to </w:t>
      </w:r>
      <w:r w:rsidRPr="00A37411">
        <w:t>member</w:t>
      </w:r>
      <w:r w:rsidR="00B71B9A">
        <w:t>s</w:t>
      </w:r>
      <w:r w:rsidR="00855FF3">
        <w:rPr>
          <w:rStyle w:val="FootnoteReference"/>
        </w:rPr>
        <w:footnoteReference w:id="4"/>
      </w:r>
      <w:r w:rsidRPr="00A37411">
        <w:t xml:space="preserve"> of the Energy Intermarket Surveillance Group (EISG)</w:t>
      </w:r>
      <w:r w:rsidRPr="00A37411">
        <w:rPr>
          <w:vertAlign w:val="superscript"/>
        </w:rPr>
        <w:footnoteReference w:id="5"/>
      </w:r>
      <w:r w:rsidR="00B71B9A">
        <w:t xml:space="preserve">. This requirement allowed us to </w:t>
      </w:r>
      <w:r w:rsidRPr="00A37411">
        <w:t xml:space="preserve">establish a definition of “expert opinion” provided by each participant. Plainly, this ensured that the survey questions posed in this study were answered by the same individuals that </w:t>
      </w:r>
      <w:r w:rsidR="00804933" w:rsidRPr="00A37411">
        <w:t>may</w:t>
      </w:r>
      <w:r w:rsidRPr="00A37411">
        <w:t xml:space="preserve"> use a purpose-made DSL for energy market analytics. The study was conducted in two (2) rounds, where a round corresponds to a group of survey questions that were provided to the participants. These included a list of free-form text responses, multiple choice questions, and questions provided in a Likert format.</w:t>
      </w:r>
    </w:p>
    <w:p w14:paraId="0D34A1F3" w14:textId="3DCDF253" w:rsidR="008B50D4" w:rsidRDefault="008B50D4" w:rsidP="005F02B4">
      <w:pPr>
        <w:pStyle w:val="Heading3"/>
      </w:pPr>
      <w:r>
        <w:t>Panel Composition</w:t>
      </w:r>
    </w:p>
    <w:p w14:paraId="07EB6BCC" w14:textId="1727E3CB" w:rsidR="008B50D4" w:rsidRDefault="008B50D4" w:rsidP="00A37411">
      <w:r w:rsidRPr="00A37411">
        <w:t xml:space="preserve">At the time of administering this study, the EISG held a roster of 131 active members. </w:t>
      </w:r>
      <w:r w:rsidR="0039139A" w:rsidRPr="00A37411">
        <w:t xml:space="preserve">Round #1 yielded a roughly 15% response rate (19 confirmed individuals participated in the first round). Only 11 of the original 19 participants elected to respond to round #2 (roughly a 58% retention rate of the original participants). Of the panelists, 16 of the EISG members were US-based market monitors. The remaining 3 worked for an internationally based market monitoring unit. </w:t>
      </w:r>
      <w:r w:rsidR="007E7698">
        <w:fldChar w:fldCharType="begin"/>
      </w:r>
      <w:r w:rsidR="007E7698">
        <w:instrText xml:space="preserve"> REF _Ref230939531 \h </w:instrText>
      </w:r>
      <w:r w:rsidR="007E7698">
        <w:fldChar w:fldCharType="separate"/>
      </w:r>
      <w:r w:rsidR="00D63F07" w:rsidRPr="00CD69CB">
        <w:t xml:space="preserve">Table </w:t>
      </w:r>
      <w:r w:rsidR="00D63F07">
        <w:rPr>
          <w:noProof/>
        </w:rPr>
        <w:t>1</w:t>
      </w:r>
      <w:r w:rsidR="007E7698">
        <w:fldChar w:fldCharType="end"/>
      </w:r>
      <w:r w:rsidR="007E7698">
        <w:t xml:space="preserve"> displays the </w:t>
      </w:r>
      <w:r w:rsidR="00054E66" w:rsidRPr="00A37411">
        <w:t>professional role mix of the panelists, indicating that market monitoring analysts make up the largest portion of the panelists, with a mix of other roles including management, economists, data scientists, and a developer.</w:t>
      </w:r>
    </w:p>
    <w:tbl>
      <w:tblPr>
        <w:tblStyle w:val="TableGrid"/>
        <w:tblW w:w="0" w:type="auto"/>
        <w:jc w:val="center"/>
        <w:tblLook w:val="04A0" w:firstRow="1" w:lastRow="0" w:firstColumn="1" w:lastColumn="0" w:noHBand="0" w:noVBand="1"/>
      </w:tblPr>
      <w:tblGrid>
        <w:gridCol w:w="2337"/>
        <w:gridCol w:w="2337"/>
        <w:gridCol w:w="2337"/>
      </w:tblGrid>
      <w:tr w:rsidR="001713AA" w14:paraId="4A4FAC17" w14:textId="66E4E7DF" w:rsidTr="003B48CF">
        <w:trPr>
          <w:jc w:val="center"/>
        </w:trPr>
        <w:tc>
          <w:tcPr>
            <w:tcW w:w="2337" w:type="dxa"/>
          </w:tcPr>
          <w:p w14:paraId="043C1D4F" w14:textId="352ADA63" w:rsidR="001713AA" w:rsidRPr="007E7698" w:rsidRDefault="001713AA" w:rsidP="00C90ED4">
            <w:pPr>
              <w:jc w:val="center"/>
              <w:rPr>
                <w:b/>
                <w:bCs/>
              </w:rPr>
            </w:pPr>
            <w:r w:rsidRPr="007E7698">
              <w:rPr>
                <w:b/>
                <w:bCs/>
              </w:rPr>
              <w:t>Role</w:t>
            </w:r>
          </w:p>
        </w:tc>
        <w:tc>
          <w:tcPr>
            <w:tcW w:w="2337" w:type="dxa"/>
          </w:tcPr>
          <w:p w14:paraId="113D0491" w14:textId="1F77417C" w:rsidR="001713AA" w:rsidRPr="007E7698" w:rsidRDefault="001713AA" w:rsidP="00C90ED4">
            <w:pPr>
              <w:jc w:val="center"/>
              <w:rPr>
                <w:b/>
                <w:bCs/>
              </w:rPr>
            </w:pPr>
            <w:r w:rsidRPr="007E7698">
              <w:rPr>
                <w:b/>
                <w:bCs/>
              </w:rPr>
              <w:t>Count of Role in Panel</w:t>
            </w:r>
          </w:p>
        </w:tc>
        <w:tc>
          <w:tcPr>
            <w:tcW w:w="2337" w:type="dxa"/>
          </w:tcPr>
          <w:p w14:paraId="76A037A4" w14:textId="710AD4E2" w:rsidR="001713AA" w:rsidRPr="007E7698" w:rsidRDefault="001713AA" w:rsidP="00C90ED4">
            <w:pPr>
              <w:jc w:val="center"/>
              <w:rPr>
                <w:b/>
                <w:bCs/>
              </w:rPr>
            </w:pPr>
            <w:r>
              <w:rPr>
                <w:b/>
                <w:bCs/>
              </w:rPr>
              <w:t>Percentage (%)</w:t>
            </w:r>
          </w:p>
        </w:tc>
      </w:tr>
      <w:tr w:rsidR="001713AA" w14:paraId="62F30E3B" w14:textId="7B83826A" w:rsidTr="003B48CF">
        <w:trPr>
          <w:jc w:val="center"/>
        </w:trPr>
        <w:tc>
          <w:tcPr>
            <w:tcW w:w="2337" w:type="dxa"/>
          </w:tcPr>
          <w:p w14:paraId="4FCAE659" w14:textId="38D73DB2" w:rsidR="001713AA" w:rsidRDefault="001713AA" w:rsidP="00C90ED4">
            <w:pPr>
              <w:jc w:val="center"/>
            </w:pPr>
            <w:r>
              <w:t>Market Monitor (Analyst)</w:t>
            </w:r>
          </w:p>
        </w:tc>
        <w:tc>
          <w:tcPr>
            <w:tcW w:w="2337" w:type="dxa"/>
          </w:tcPr>
          <w:p w14:paraId="35F3BEFF" w14:textId="5FC1580E" w:rsidR="001713AA" w:rsidRDefault="001713AA" w:rsidP="00C90ED4">
            <w:pPr>
              <w:jc w:val="center"/>
            </w:pPr>
            <w:r>
              <w:t>13</w:t>
            </w:r>
          </w:p>
        </w:tc>
        <w:tc>
          <w:tcPr>
            <w:tcW w:w="2337" w:type="dxa"/>
          </w:tcPr>
          <w:p w14:paraId="7F2F15D0" w14:textId="32C37053" w:rsidR="001713AA" w:rsidRDefault="001713AA" w:rsidP="00C90ED4">
            <w:pPr>
              <w:jc w:val="center"/>
            </w:pPr>
            <w:r>
              <w:t>68%</w:t>
            </w:r>
          </w:p>
        </w:tc>
      </w:tr>
      <w:tr w:rsidR="001713AA" w14:paraId="3B56D764" w14:textId="4C64CFC3" w:rsidTr="003B48CF">
        <w:trPr>
          <w:jc w:val="center"/>
        </w:trPr>
        <w:tc>
          <w:tcPr>
            <w:tcW w:w="2337" w:type="dxa"/>
          </w:tcPr>
          <w:p w14:paraId="651FF2EE" w14:textId="4C84E6E2" w:rsidR="001713AA" w:rsidRDefault="001713AA" w:rsidP="00C90ED4">
            <w:pPr>
              <w:jc w:val="center"/>
            </w:pPr>
            <w:r>
              <w:t>Management</w:t>
            </w:r>
          </w:p>
        </w:tc>
        <w:tc>
          <w:tcPr>
            <w:tcW w:w="2337" w:type="dxa"/>
          </w:tcPr>
          <w:p w14:paraId="15B77D83" w14:textId="219A5C0C" w:rsidR="001713AA" w:rsidRDefault="001713AA" w:rsidP="00C90ED4">
            <w:pPr>
              <w:jc w:val="center"/>
            </w:pPr>
            <w:r>
              <w:t>4</w:t>
            </w:r>
          </w:p>
        </w:tc>
        <w:tc>
          <w:tcPr>
            <w:tcW w:w="2337" w:type="dxa"/>
          </w:tcPr>
          <w:p w14:paraId="528347C7" w14:textId="3786282B" w:rsidR="001713AA" w:rsidRDefault="001713AA" w:rsidP="00C90ED4">
            <w:pPr>
              <w:jc w:val="center"/>
            </w:pPr>
            <w:r>
              <w:t>21%</w:t>
            </w:r>
          </w:p>
        </w:tc>
      </w:tr>
      <w:tr w:rsidR="001713AA" w14:paraId="635181F9" w14:textId="11657244" w:rsidTr="003B48CF">
        <w:trPr>
          <w:jc w:val="center"/>
        </w:trPr>
        <w:tc>
          <w:tcPr>
            <w:tcW w:w="2337" w:type="dxa"/>
          </w:tcPr>
          <w:p w14:paraId="2B7D9665" w14:textId="6F4BFCC3" w:rsidR="001713AA" w:rsidRDefault="001713AA" w:rsidP="00C90ED4">
            <w:pPr>
              <w:jc w:val="center"/>
            </w:pPr>
            <w:r>
              <w:t>Economist</w:t>
            </w:r>
          </w:p>
        </w:tc>
        <w:tc>
          <w:tcPr>
            <w:tcW w:w="2337" w:type="dxa"/>
          </w:tcPr>
          <w:p w14:paraId="0BFF7C55" w14:textId="512CC09F" w:rsidR="001713AA" w:rsidRDefault="001713AA" w:rsidP="00C90ED4">
            <w:pPr>
              <w:jc w:val="center"/>
            </w:pPr>
            <w:r>
              <w:t>3</w:t>
            </w:r>
          </w:p>
        </w:tc>
        <w:tc>
          <w:tcPr>
            <w:tcW w:w="2337" w:type="dxa"/>
          </w:tcPr>
          <w:p w14:paraId="7BDD4D6D" w14:textId="1560EDDB" w:rsidR="001713AA" w:rsidRDefault="001713AA" w:rsidP="00C90ED4">
            <w:pPr>
              <w:jc w:val="center"/>
            </w:pPr>
            <w:r>
              <w:t>16%</w:t>
            </w:r>
          </w:p>
        </w:tc>
      </w:tr>
      <w:tr w:rsidR="001713AA" w14:paraId="6D6DE894" w14:textId="73F04DAC" w:rsidTr="003B48CF">
        <w:trPr>
          <w:jc w:val="center"/>
        </w:trPr>
        <w:tc>
          <w:tcPr>
            <w:tcW w:w="2337" w:type="dxa"/>
          </w:tcPr>
          <w:p w14:paraId="0F7830DB" w14:textId="38007639" w:rsidR="001713AA" w:rsidRDefault="001713AA" w:rsidP="00C90ED4">
            <w:pPr>
              <w:jc w:val="center"/>
            </w:pPr>
            <w:r>
              <w:t>Data Scientist</w:t>
            </w:r>
          </w:p>
        </w:tc>
        <w:tc>
          <w:tcPr>
            <w:tcW w:w="2337" w:type="dxa"/>
          </w:tcPr>
          <w:p w14:paraId="10F6F6FC" w14:textId="04C448C5" w:rsidR="001713AA" w:rsidRDefault="001713AA" w:rsidP="00C90ED4">
            <w:pPr>
              <w:jc w:val="center"/>
            </w:pPr>
            <w:r>
              <w:t>2</w:t>
            </w:r>
          </w:p>
        </w:tc>
        <w:tc>
          <w:tcPr>
            <w:tcW w:w="2337" w:type="dxa"/>
          </w:tcPr>
          <w:p w14:paraId="64E0C215" w14:textId="4ECF528A" w:rsidR="001713AA" w:rsidRDefault="001713AA" w:rsidP="00C90ED4">
            <w:pPr>
              <w:jc w:val="center"/>
            </w:pPr>
            <w:r>
              <w:t>11%</w:t>
            </w:r>
          </w:p>
        </w:tc>
      </w:tr>
      <w:tr w:rsidR="001713AA" w14:paraId="283C11DA" w14:textId="1D82908C" w:rsidTr="003B48CF">
        <w:trPr>
          <w:jc w:val="center"/>
        </w:trPr>
        <w:tc>
          <w:tcPr>
            <w:tcW w:w="2337" w:type="dxa"/>
          </w:tcPr>
          <w:p w14:paraId="3D21E92A" w14:textId="4D570627" w:rsidR="001713AA" w:rsidRDefault="001713AA" w:rsidP="00C90ED4">
            <w:pPr>
              <w:jc w:val="center"/>
            </w:pPr>
            <w:r>
              <w:t>Developer/IT</w:t>
            </w:r>
          </w:p>
        </w:tc>
        <w:tc>
          <w:tcPr>
            <w:tcW w:w="2337" w:type="dxa"/>
          </w:tcPr>
          <w:p w14:paraId="58FACA9F" w14:textId="1E93F7D6" w:rsidR="001713AA" w:rsidRDefault="001713AA" w:rsidP="00C90ED4">
            <w:pPr>
              <w:keepNext/>
              <w:jc w:val="center"/>
            </w:pPr>
            <w:r>
              <w:t>1</w:t>
            </w:r>
          </w:p>
        </w:tc>
        <w:tc>
          <w:tcPr>
            <w:tcW w:w="2337" w:type="dxa"/>
          </w:tcPr>
          <w:p w14:paraId="34F01A6F" w14:textId="0FAA2466" w:rsidR="001713AA" w:rsidRDefault="001713AA" w:rsidP="00C90ED4">
            <w:pPr>
              <w:keepNext/>
              <w:jc w:val="center"/>
            </w:pPr>
            <w:r>
              <w:t>5%</w:t>
            </w:r>
          </w:p>
        </w:tc>
      </w:tr>
    </w:tbl>
    <w:p w14:paraId="0EA15319" w14:textId="28823DC5" w:rsidR="007E7698" w:rsidRDefault="007E7698" w:rsidP="007E7698">
      <w:pPr>
        <w:pStyle w:val="Caption"/>
        <w:jc w:val="center"/>
        <w:rPr>
          <w:i w:val="0"/>
          <w:iCs w:val="0"/>
          <w:color w:val="auto"/>
        </w:rPr>
      </w:pPr>
      <w:bookmarkStart w:id="4" w:name="_Ref230939531"/>
      <w:r w:rsidRPr="00CD69CB">
        <w:rPr>
          <w:i w:val="0"/>
          <w:iCs w:val="0"/>
          <w:color w:val="auto"/>
        </w:rPr>
        <w:t xml:space="preserve">Table </w:t>
      </w:r>
      <w:r w:rsidR="007E3238">
        <w:rPr>
          <w:i w:val="0"/>
          <w:iCs w:val="0"/>
          <w:color w:val="auto"/>
        </w:rPr>
        <w:fldChar w:fldCharType="begin"/>
      </w:r>
      <w:r w:rsidR="007E3238">
        <w:rPr>
          <w:i w:val="0"/>
          <w:iCs w:val="0"/>
          <w:color w:val="auto"/>
        </w:rPr>
        <w:instrText xml:space="preserve"> SEQ Table \* ARABIC </w:instrText>
      </w:r>
      <w:r w:rsidR="007E3238">
        <w:rPr>
          <w:i w:val="0"/>
          <w:iCs w:val="0"/>
          <w:color w:val="auto"/>
        </w:rPr>
        <w:fldChar w:fldCharType="separate"/>
      </w:r>
      <w:r w:rsidR="007E3238">
        <w:rPr>
          <w:i w:val="0"/>
          <w:iCs w:val="0"/>
          <w:noProof/>
          <w:color w:val="auto"/>
        </w:rPr>
        <w:t>1</w:t>
      </w:r>
      <w:r w:rsidR="007E3238">
        <w:rPr>
          <w:i w:val="0"/>
          <w:iCs w:val="0"/>
          <w:color w:val="auto"/>
        </w:rPr>
        <w:fldChar w:fldCharType="end"/>
      </w:r>
      <w:bookmarkEnd w:id="4"/>
      <w:r w:rsidRPr="00CD69CB">
        <w:rPr>
          <w:i w:val="0"/>
          <w:iCs w:val="0"/>
          <w:color w:val="auto"/>
        </w:rPr>
        <w:t xml:space="preserve">. Professional Role Mix of Delphi </w:t>
      </w:r>
      <w:r w:rsidR="00B93EC2">
        <w:rPr>
          <w:i w:val="0"/>
          <w:iCs w:val="0"/>
          <w:color w:val="auto"/>
        </w:rPr>
        <w:t>p</w:t>
      </w:r>
      <w:r w:rsidRPr="00CD69CB">
        <w:rPr>
          <w:i w:val="0"/>
          <w:iCs w:val="0"/>
          <w:color w:val="auto"/>
        </w:rPr>
        <w:t>anel</w:t>
      </w:r>
      <w:r w:rsidR="001713AA" w:rsidRPr="00CD69CB">
        <w:rPr>
          <w:i w:val="0"/>
          <w:iCs w:val="0"/>
          <w:color w:val="auto"/>
          <w:vertAlign w:val="superscript"/>
        </w:rPr>
        <w:footnoteReference w:id="6"/>
      </w:r>
    </w:p>
    <w:p w14:paraId="4939D870" w14:textId="090AB966" w:rsidR="007B4CD0" w:rsidRDefault="00C226E8" w:rsidP="006059CA">
      <w:r>
        <w:t xml:space="preserve">In addition to a representational mix of professional market monitors, the Delphi participants also varied in their “length of tenure” at a market monitoring position. </w:t>
      </w:r>
      <w:r>
        <w:fldChar w:fldCharType="begin"/>
      </w:r>
      <w:r>
        <w:instrText xml:space="preserve"> REF _Ref232862163 \h </w:instrText>
      </w:r>
      <w:r>
        <w:fldChar w:fldCharType="separate"/>
      </w:r>
      <w:r w:rsidR="00D63F07" w:rsidRPr="006059CA">
        <w:t xml:space="preserve">Table </w:t>
      </w:r>
      <w:r w:rsidR="00D63F07">
        <w:rPr>
          <w:noProof/>
        </w:rPr>
        <w:t>2</w:t>
      </w:r>
      <w:r>
        <w:fldChar w:fldCharType="end"/>
      </w:r>
      <w:r>
        <w:t xml:space="preserve"> identifies the tenure ranges of the participants. Panelists ranged in experience from fresh analysts (0-2 years, 16% of the initial panel) to a full career in energy market monitoring (greater than 20 years of experience, 11% of the initial panel). This panelist cross-section helps to ensure that the requirements developed for the DSL are applicable to a </w:t>
      </w:r>
      <w:r w:rsidR="00415981">
        <w:t>wide</w:t>
      </w:r>
      <w:r>
        <w:t xml:space="preserve"> range of users.</w:t>
      </w:r>
    </w:p>
    <w:tbl>
      <w:tblPr>
        <w:tblStyle w:val="TableGrid"/>
        <w:tblW w:w="0" w:type="auto"/>
        <w:tblInd w:w="1165" w:type="dxa"/>
        <w:tblLook w:val="04A0" w:firstRow="1" w:lastRow="0" w:firstColumn="1" w:lastColumn="0" w:noHBand="0" w:noVBand="1"/>
      </w:tblPr>
      <w:tblGrid>
        <w:gridCol w:w="2340"/>
        <w:gridCol w:w="2340"/>
        <w:gridCol w:w="2320"/>
      </w:tblGrid>
      <w:tr w:rsidR="001713AA" w14:paraId="6BFD1273" w14:textId="77777777" w:rsidTr="00B14489">
        <w:trPr>
          <w:trHeight w:val="241"/>
        </w:trPr>
        <w:tc>
          <w:tcPr>
            <w:tcW w:w="2340" w:type="dxa"/>
          </w:tcPr>
          <w:p w14:paraId="19806DC0" w14:textId="54A98CB9" w:rsidR="001713AA" w:rsidRPr="00B14489" w:rsidRDefault="001713AA" w:rsidP="006834BA">
            <w:pPr>
              <w:jc w:val="center"/>
              <w:rPr>
                <w:b/>
                <w:bCs/>
              </w:rPr>
            </w:pPr>
            <w:r w:rsidRPr="00B14489">
              <w:rPr>
                <w:b/>
                <w:bCs/>
              </w:rPr>
              <w:t>Tenure Range</w:t>
            </w:r>
          </w:p>
        </w:tc>
        <w:tc>
          <w:tcPr>
            <w:tcW w:w="2340" w:type="dxa"/>
          </w:tcPr>
          <w:p w14:paraId="6EFF1D2A" w14:textId="19441DF3" w:rsidR="001713AA" w:rsidRPr="00B14489" w:rsidRDefault="001713AA" w:rsidP="006834BA">
            <w:pPr>
              <w:jc w:val="center"/>
              <w:rPr>
                <w:b/>
                <w:bCs/>
              </w:rPr>
            </w:pPr>
            <w:r w:rsidRPr="00B14489">
              <w:rPr>
                <w:b/>
                <w:bCs/>
              </w:rPr>
              <w:t>Participant Count</w:t>
            </w:r>
          </w:p>
        </w:tc>
        <w:tc>
          <w:tcPr>
            <w:tcW w:w="2320" w:type="dxa"/>
          </w:tcPr>
          <w:p w14:paraId="4C0EB9DC" w14:textId="51CE8BCA" w:rsidR="001713AA" w:rsidRPr="00B14489" w:rsidRDefault="001713AA" w:rsidP="006834BA">
            <w:pPr>
              <w:jc w:val="center"/>
              <w:rPr>
                <w:b/>
                <w:bCs/>
              </w:rPr>
            </w:pPr>
            <w:r w:rsidRPr="00B14489">
              <w:rPr>
                <w:b/>
                <w:bCs/>
              </w:rPr>
              <w:t>Percentage (%)</w:t>
            </w:r>
          </w:p>
        </w:tc>
      </w:tr>
      <w:tr w:rsidR="00B14489" w14:paraId="798B09E6" w14:textId="77777777" w:rsidTr="007B4CD0">
        <w:trPr>
          <w:trHeight w:val="197"/>
        </w:trPr>
        <w:tc>
          <w:tcPr>
            <w:tcW w:w="2340" w:type="dxa"/>
          </w:tcPr>
          <w:p w14:paraId="1D5921C7" w14:textId="567B58FC" w:rsidR="00B14489" w:rsidRDefault="002D08FC" w:rsidP="006834BA">
            <w:pPr>
              <w:jc w:val="center"/>
            </w:pPr>
            <w:r>
              <w:t>0-2 years</w:t>
            </w:r>
          </w:p>
        </w:tc>
        <w:tc>
          <w:tcPr>
            <w:tcW w:w="2340" w:type="dxa"/>
          </w:tcPr>
          <w:p w14:paraId="7F719665" w14:textId="55118D4B" w:rsidR="00B14489" w:rsidRDefault="002D08FC" w:rsidP="006834BA">
            <w:pPr>
              <w:jc w:val="center"/>
            </w:pPr>
            <w:r>
              <w:t>3</w:t>
            </w:r>
          </w:p>
        </w:tc>
        <w:tc>
          <w:tcPr>
            <w:tcW w:w="2320" w:type="dxa"/>
          </w:tcPr>
          <w:p w14:paraId="43A3AF5B" w14:textId="3D34A41C" w:rsidR="00B14489" w:rsidRDefault="002D08FC" w:rsidP="006834BA">
            <w:pPr>
              <w:jc w:val="center"/>
            </w:pPr>
            <w:r>
              <w:t>16%</w:t>
            </w:r>
          </w:p>
        </w:tc>
      </w:tr>
      <w:tr w:rsidR="002D08FC" w14:paraId="4914277A" w14:textId="77777777" w:rsidTr="007B4CD0">
        <w:trPr>
          <w:trHeight w:val="161"/>
        </w:trPr>
        <w:tc>
          <w:tcPr>
            <w:tcW w:w="2340" w:type="dxa"/>
          </w:tcPr>
          <w:p w14:paraId="2764D8F4" w14:textId="72394C8B" w:rsidR="002D08FC" w:rsidRDefault="002D08FC" w:rsidP="006834BA">
            <w:pPr>
              <w:jc w:val="center"/>
            </w:pPr>
            <w:r>
              <w:t>5-10 years</w:t>
            </w:r>
          </w:p>
        </w:tc>
        <w:tc>
          <w:tcPr>
            <w:tcW w:w="2340" w:type="dxa"/>
          </w:tcPr>
          <w:p w14:paraId="62E3DF08" w14:textId="1B3A744C" w:rsidR="002D08FC" w:rsidRDefault="002D08FC" w:rsidP="006834BA">
            <w:pPr>
              <w:jc w:val="center"/>
            </w:pPr>
            <w:r>
              <w:t>6</w:t>
            </w:r>
          </w:p>
        </w:tc>
        <w:tc>
          <w:tcPr>
            <w:tcW w:w="2320" w:type="dxa"/>
          </w:tcPr>
          <w:p w14:paraId="5AF0204E" w14:textId="5A7BBAB8" w:rsidR="002D08FC" w:rsidRDefault="002D08FC" w:rsidP="006834BA">
            <w:pPr>
              <w:jc w:val="center"/>
            </w:pPr>
            <w:r>
              <w:t>32%</w:t>
            </w:r>
          </w:p>
        </w:tc>
      </w:tr>
      <w:tr w:rsidR="002D08FC" w14:paraId="5D59EA06" w14:textId="77777777" w:rsidTr="007B4CD0">
        <w:trPr>
          <w:trHeight w:val="125"/>
        </w:trPr>
        <w:tc>
          <w:tcPr>
            <w:tcW w:w="2340" w:type="dxa"/>
          </w:tcPr>
          <w:p w14:paraId="3107D58E" w14:textId="351F0F00" w:rsidR="002D08FC" w:rsidRDefault="002D08FC" w:rsidP="006834BA">
            <w:pPr>
              <w:jc w:val="center"/>
            </w:pPr>
            <w:r>
              <w:t>10-15 years</w:t>
            </w:r>
          </w:p>
        </w:tc>
        <w:tc>
          <w:tcPr>
            <w:tcW w:w="2340" w:type="dxa"/>
          </w:tcPr>
          <w:p w14:paraId="14987038" w14:textId="038F4F51" w:rsidR="002D08FC" w:rsidRDefault="002D08FC" w:rsidP="006834BA">
            <w:pPr>
              <w:jc w:val="center"/>
            </w:pPr>
            <w:r>
              <w:t>7</w:t>
            </w:r>
          </w:p>
        </w:tc>
        <w:tc>
          <w:tcPr>
            <w:tcW w:w="2320" w:type="dxa"/>
          </w:tcPr>
          <w:p w14:paraId="3715E0B2" w14:textId="320D0A7E" w:rsidR="002D08FC" w:rsidRDefault="002D08FC" w:rsidP="006834BA">
            <w:pPr>
              <w:jc w:val="center"/>
            </w:pPr>
            <w:r>
              <w:t>37%</w:t>
            </w:r>
          </w:p>
        </w:tc>
      </w:tr>
      <w:tr w:rsidR="002D08FC" w14:paraId="36A05D4C" w14:textId="77777777" w:rsidTr="007B4CD0">
        <w:trPr>
          <w:trHeight w:val="89"/>
        </w:trPr>
        <w:tc>
          <w:tcPr>
            <w:tcW w:w="2340" w:type="dxa"/>
          </w:tcPr>
          <w:p w14:paraId="64ED1E81" w14:textId="396EA0D4" w:rsidR="002D08FC" w:rsidRDefault="002D08FC" w:rsidP="006834BA">
            <w:pPr>
              <w:jc w:val="center"/>
            </w:pPr>
            <w:r>
              <w:t>15-20 years</w:t>
            </w:r>
          </w:p>
        </w:tc>
        <w:tc>
          <w:tcPr>
            <w:tcW w:w="2340" w:type="dxa"/>
          </w:tcPr>
          <w:p w14:paraId="77B81EF7" w14:textId="641CC140" w:rsidR="002D08FC" w:rsidRDefault="002D08FC" w:rsidP="006834BA">
            <w:pPr>
              <w:jc w:val="center"/>
            </w:pPr>
            <w:r>
              <w:t>1</w:t>
            </w:r>
          </w:p>
        </w:tc>
        <w:tc>
          <w:tcPr>
            <w:tcW w:w="2320" w:type="dxa"/>
          </w:tcPr>
          <w:p w14:paraId="6D88DD58" w14:textId="1E805254" w:rsidR="002D08FC" w:rsidRDefault="002D08FC" w:rsidP="006834BA">
            <w:pPr>
              <w:jc w:val="center"/>
            </w:pPr>
            <w:r>
              <w:t>5%</w:t>
            </w:r>
          </w:p>
        </w:tc>
      </w:tr>
      <w:tr w:rsidR="002D08FC" w14:paraId="379C1CD3" w14:textId="77777777" w:rsidTr="007B4CD0">
        <w:trPr>
          <w:trHeight w:val="224"/>
        </w:trPr>
        <w:tc>
          <w:tcPr>
            <w:tcW w:w="2340" w:type="dxa"/>
          </w:tcPr>
          <w:p w14:paraId="5C12A093" w14:textId="6971B711" w:rsidR="002D08FC" w:rsidRDefault="002D08FC" w:rsidP="007B4CD0">
            <w:pPr>
              <w:jc w:val="center"/>
            </w:pPr>
            <w:r>
              <w:t>Greater than 20 years</w:t>
            </w:r>
          </w:p>
        </w:tc>
        <w:tc>
          <w:tcPr>
            <w:tcW w:w="2340" w:type="dxa"/>
          </w:tcPr>
          <w:p w14:paraId="51A707E9" w14:textId="4A89086D" w:rsidR="002D08FC" w:rsidRDefault="002D08FC" w:rsidP="007B4CD0">
            <w:pPr>
              <w:jc w:val="center"/>
            </w:pPr>
            <w:r>
              <w:t>2</w:t>
            </w:r>
          </w:p>
        </w:tc>
        <w:tc>
          <w:tcPr>
            <w:tcW w:w="2320" w:type="dxa"/>
          </w:tcPr>
          <w:p w14:paraId="0FE74DB0" w14:textId="27BD8B56" w:rsidR="002D08FC" w:rsidRDefault="002D08FC" w:rsidP="007B4CD0">
            <w:pPr>
              <w:keepNext/>
              <w:jc w:val="center"/>
            </w:pPr>
            <w:r>
              <w:t>11%</w:t>
            </w:r>
          </w:p>
        </w:tc>
      </w:tr>
    </w:tbl>
    <w:p w14:paraId="208606FD" w14:textId="71F10836" w:rsidR="006059CA" w:rsidRDefault="006059CA" w:rsidP="006059CA">
      <w:pPr>
        <w:pStyle w:val="Caption"/>
        <w:jc w:val="center"/>
        <w:rPr>
          <w:i w:val="0"/>
          <w:iCs w:val="0"/>
          <w:color w:val="auto"/>
        </w:rPr>
      </w:pPr>
      <w:bookmarkStart w:id="5" w:name="_heading=h.xw4c9cml9ir2" w:colFirst="0" w:colLast="0"/>
      <w:bookmarkStart w:id="6" w:name="_Ref232862163"/>
      <w:bookmarkEnd w:id="5"/>
      <w:r w:rsidRPr="006059CA">
        <w:rPr>
          <w:i w:val="0"/>
          <w:iCs w:val="0"/>
          <w:color w:val="auto"/>
        </w:rPr>
        <w:t xml:space="preserve">Table </w:t>
      </w:r>
      <w:r w:rsidR="007E3238">
        <w:rPr>
          <w:i w:val="0"/>
          <w:iCs w:val="0"/>
          <w:color w:val="auto"/>
        </w:rPr>
        <w:fldChar w:fldCharType="begin"/>
      </w:r>
      <w:r w:rsidR="007E3238">
        <w:rPr>
          <w:i w:val="0"/>
          <w:iCs w:val="0"/>
          <w:color w:val="auto"/>
        </w:rPr>
        <w:instrText xml:space="preserve"> SEQ Table \* ARABIC </w:instrText>
      </w:r>
      <w:r w:rsidR="007E3238">
        <w:rPr>
          <w:i w:val="0"/>
          <w:iCs w:val="0"/>
          <w:color w:val="auto"/>
        </w:rPr>
        <w:fldChar w:fldCharType="separate"/>
      </w:r>
      <w:r w:rsidR="007E3238">
        <w:rPr>
          <w:i w:val="0"/>
          <w:iCs w:val="0"/>
          <w:noProof/>
          <w:color w:val="auto"/>
        </w:rPr>
        <w:t>2</w:t>
      </w:r>
      <w:r w:rsidR="007E3238">
        <w:rPr>
          <w:i w:val="0"/>
          <w:iCs w:val="0"/>
          <w:color w:val="auto"/>
        </w:rPr>
        <w:fldChar w:fldCharType="end"/>
      </w:r>
      <w:bookmarkEnd w:id="6"/>
      <w:r w:rsidRPr="006059CA">
        <w:rPr>
          <w:i w:val="0"/>
          <w:iCs w:val="0"/>
          <w:color w:val="auto"/>
        </w:rPr>
        <w:t>. Tenure range of Delphi Panel</w:t>
      </w:r>
    </w:p>
    <w:p w14:paraId="32909F67" w14:textId="646081AC" w:rsidR="00AD193D" w:rsidRDefault="00AD193D" w:rsidP="00AD193D">
      <w:pPr>
        <w:pStyle w:val="Heading3"/>
      </w:pPr>
      <w:r>
        <w:lastRenderedPageBreak/>
        <w:t>Thematic Coding</w:t>
      </w:r>
    </w:p>
    <w:p w14:paraId="40FDB354" w14:textId="607FEB6E" w:rsidR="00AD193D" w:rsidRDefault="00AD193D" w:rsidP="00AD193D">
      <w:r>
        <w:t xml:space="preserve">Of the questions posed during the Delphi study, the following are most applicable to determining the features of the language: </w:t>
      </w:r>
    </w:p>
    <w:p w14:paraId="5A3D442F" w14:textId="375E017D" w:rsidR="00AD193D" w:rsidRDefault="00FA5E8B" w:rsidP="00AD193D">
      <w:pPr>
        <w:pStyle w:val="ListParagraph"/>
        <w:numPr>
          <w:ilvl w:val="0"/>
          <w:numId w:val="17"/>
        </w:numPr>
      </w:pPr>
      <w:r w:rsidRPr="00FA5E8B">
        <w:rPr>
          <w:u w:val="single"/>
        </w:rPr>
        <w:t>Q5:</w:t>
      </w:r>
      <w:r>
        <w:t xml:space="preserve"> </w:t>
      </w:r>
      <w:r w:rsidR="00670EED">
        <w:t>“</w:t>
      </w:r>
      <w:r w:rsidR="00927928">
        <w:t>What are the primary data challenges that you face in market monitoring?</w:t>
      </w:r>
      <w:r w:rsidR="00670EED">
        <w:t>”</w:t>
      </w:r>
    </w:p>
    <w:p w14:paraId="2AA78078" w14:textId="187CCCC0" w:rsidR="00ED55FF" w:rsidRDefault="00FA5E8B" w:rsidP="00AD193D">
      <w:pPr>
        <w:pStyle w:val="ListParagraph"/>
        <w:numPr>
          <w:ilvl w:val="0"/>
          <w:numId w:val="17"/>
        </w:numPr>
      </w:pPr>
      <w:r w:rsidRPr="00FA5E8B">
        <w:rPr>
          <w:u w:val="single"/>
        </w:rPr>
        <w:t>Q7:</w:t>
      </w:r>
      <w:r>
        <w:t xml:space="preserve"> </w:t>
      </w:r>
      <w:r w:rsidR="00670EED">
        <w:t>“</w:t>
      </w:r>
      <w:r w:rsidR="00ED55FF">
        <w:t>Explain the data sources that you read from and write to in the course of your normal work</w:t>
      </w:r>
      <w:r w:rsidR="00670EED">
        <w:t>.”</w:t>
      </w:r>
    </w:p>
    <w:p w14:paraId="02891E04" w14:textId="31C510D7" w:rsidR="000E0BDC" w:rsidRDefault="00FA5E8B" w:rsidP="00AD193D">
      <w:pPr>
        <w:pStyle w:val="ListParagraph"/>
        <w:numPr>
          <w:ilvl w:val="0"/>
          <w:numId w:val="17"/>
        </w:numPr>
      </w:pPr>
      <w:r w:rsidRPr="00FA5E8B">
        <w:rPr>
          <w:u w:val="single"/>
        </w:rPr>
        <w:t>Q41:</w:t>
      </w:r>
      <w:r>
        <w:t xml:space="preserve"> </w:t>
      </w:r>
      <w:r w:rsidR="00670EED">
        <w:t>“</w:t>
      </w:r>
      <w:r w:rsidR="000E0BDC">
        <w:t>If you had a set of commands at your disposal that could perform often tedious tasks that you have to do in your role, what commands would you want?</w:t>
      </w:r>
      <w:r w:rsidR="00670EED">
        <w:t>”</w:t>
      </w:r>
    </w:p>
    <w:p w14:paraId="7B00C4FE" w14:textId="77158B75" w:rsidR="00670EED" w:rsidRDefault="00670EED" w:rsidP="00670EED">
      <w:r>
        <w:t xml:space="preserve">The participant responses were processed using </w:t>
      </w:r>
      <w:r>
        <w:rPr>
          <w:i/>
          <w:iCs/>
        </w:rPr>
        <w:t xml:space="preserve">thematic coding </w:t>
      </w:r>
      <w:r>
        <w:t>to identify the common data needs across the market monitoring discipline. The researchers analyzed individual responses for each question (49 total responses for the three questions discussed in this paper) and assigned initial codes</w:t>
      </w:r>
      <w:r>
        <w:rPr>
          <w:rStyle w:val="FootnoteReference"/>
        </w:rPr>
        <w:footnoteReference w:id="7"/>
      </w:r>
      <w:r>
        <w:t xml:space="preserve"> to each response. The initial codes were then grouped into overarching themes, from which the language requirements are derived.</w:t>
      </w:r>
      <w:r w:rsidR="005F3580">
        <w:t xml:space="preserve"> </w:t>
      </w:r>
      <w:r w:rsidR="00E25AE7">
        <w:fldChar w:fldCharType="begin"/>
      </w:r>
      <w:r w:rsidR="00E25AE7">
        <w:instrText xml:space="preserve"> REF _Ref233894644 \h  \* MERGEFORMAT </w:instrText>
      </w:r>
      <w:r w:rsidR="00E25AE7">
        <w:fldChar w:fldCharType="separate"/>
      </w:r>
      <w:r w:rsidR="00D63F07" w:rsidRPr="00A028CF">
        <w:t xml:space="preserve">Table </w:t>
      </w:r>
      <w:r w:rsidR="00D63F07">
        <w:t>3</w:t>
      </w:r>
      <w:r w:rsidR="00E25AE7">
        <w:fldChar w:fldCharType="end"/>
      </w:r>
      <w:r w:rsidR="00E25AE7">
        <w:t xml:space="preserve">, </w:t>
      </w:r>
      <w:r w:rsidR="00E25AE7">
        <w:fldChar w:fldCharType="begin"/>
      </w:r>
      <w:r w:rsidR="00E25AE7">
        <w:instrText xml:space="preserve"> REF _Ref233894664 \h  \* MERGEFORMAT </w:instrText>
      </w:r>
      <w:r w:rsidR="00E25AE7">
        <w:fldChar w:fldCharType="separate"/>
      </w:r>
      <w:r w:rsidR="00D63F07" w:rsidRPr="00FA7121">
        <w:t xml:space="preserve">Table </w:t>
      </w:r>
      <w:r w:rsidR="00D63F07">
        <w:t>4</w:t>
      </w:r>
      <w:r w:rsidR="00E25AE7">
        <w:fldChar w:fldCharType="end"/>
      </w:r>
      <w:r w:rsidR="00E25AE7">
        <w:t xml:space="preserve">, and </w:t>
      </w:r>
      <w:r w:rsidR="00E25AE7">
        <w:fldChar w:fldCharType="begin"/>
      </w:r>
      <w:r w:rsidR="00E25AE7">
        <w:instrText xml:space="preserve"> REF _Ref233894691 \h  \* MERGEFORMAT </w:instrText>
      </w:r>
      <w:r w:rsidR="00E25AE7">
        <w:fldChar w:fldCharType="separate"/>
      </w:r>
      <w:r w:rsidR="00D63F07" w:rsidRPr="00FA7121">
        <w:t xml:space="preserve">Table </w:t>
      </w:r>
      <w:r w:rsidR="00D63F07">
        <w:t>5</w:t>
      </w:r>
      <w:r w:rsidR="00E25AE7">
        <w:fldChar w:fldCharType="end"/>
      </w:r>
      <w:r w:rsidR="00E25AE7">
        <w:t xml:space="preserve"> </w:t>
      </w:r>
      <w:r w:rsidR="005F3580">
        <w:t xml:space="preserve">show the final themes identified </w:t>
      </w:r>
      <w:r w:rsidR="00E84D8A">
        <w:t>from</w:t>
      </w:r>
      <w:r w:rsidR="005F3580">
        <w:t xml:space="preserve"> each question, including the mention frequency from the participants</w:t>
      </w:r>
      <w:r w:rsidR="00556BEE">
        <w:t>, for Delphi study questions 5, 7, and 41, respectively</w:t>
      </w:r>
      <w:r w:rsidR="005F3580">
        <w:t xml:space="preserve">. </w:t>
      </w:r>
    </w:p>
    <w:tbl>
      <w:tblPr>
        <w:tblStyle w:val="TableGrid"/>
        <w:tblW w:w="0" w:type="auto"/>
        <w:jc w:val="center"/>
        <w:tblLook w:val="04A0" w:firstRow="1" w:lastRow="0" w:firstColumn="1" w:lastColumn="0" w:noHBand="0" w:noVBand="1"/>
      </w:tblPr>
      <w:tblGrid>
        <w:gridCol w:w="4495"/>
        <w:gridCol w:w="2165"/>
      </w:tblGrid>
      <w:tr w:rsidR="00B320A9" w14:paraId="1C792CB9" w14:textId="77777777" w:rsidTr="00B320A9">
        <w:trPr>
          <w:jc w:val="center"/>
        </w:trPr>
        <w:tc>
          <w:tcPr>
            <w:tcW w:w="4495" w:type="dxa"/>
          </w:tcPr>
          <w:p w14:paraId="59610190" w14:textId="4719ABF6" w:rsidR="00B320A9" w:rsidRPr="00B320A9" w:rsidRDefault="00B320A9" w:rsidP="00B320A9">
            <w:pPr>
              <w:jc w:val="center"/>
              <w:rPr>
                <w:b/>
                <w:bCs/>
              </w:rPr>
            </w:pPr>
            <w:r w:rsidRPr="00B320A9">
              <w:rPr>
                <w:b/>
                <w:bCs/>
              </w:rPr>
              <w:t>Theme</w:t>
            </w:r>
          </w:p>
        </w:tc>
        <w:tc>
          <w:tcPr>
            <w:tcW w:w="2165" w:type="dxa"/>
          </w:tcPr>
          <w:p w14:paraId="7985C8E7" w14:textId="36B261A8" w:rsidR="00B320A9" w:rsidRPr="00B320A9" w:rsidRDefault="00B320A9" w:rsidP="00B320A9">
            <w:pPr>
              <w:jc w:val="center"/>
              <w:rPr>
                <w:b/>
                <w:bCs/>
              </w:rPr>
            </w:pPr>
            <w:r>
              <w:rPr>
                <w:b/>
                <w:bCs/>
              </w:rPr>
              <w:t>Number of Mentions</w:t>
            </w:r>
          </w:p>
        </w:tc>
      </w:tr>
      <w:tr w:rsidR="00B320A9" w14:paraId="0C19D52B" w14:textId="77777777" w:rsidTr="00B320A9">
        <w:trPr>
          <w:jc w:val="center"/>
        </w:trPr>
        <w:tc>
          <w:tcPr>
            <w:tcW w:w="4495" w:type="dxa"/>
          </w:tcPr>
          <w:p w14:paraId="5DD8C67A" w14:textId="03F98DD1" w:rsidR="00B320A9" w:rsidRDefault="00B320A9" w:rsidP="00B320A9">
            <w:pPr>
              <w:jc w:val="center"/>
            </w:pPr>
            <w:r>
              <w:t>Data Quality and Literacy</w:t>
            </w:r>
          </w:p>
        </w:tc>
        <w:tc>
          <w:tcPr>
            <w:tcW w:w="2165" w:type="dxa"/>
          </w:tcPr>
          <w:p w14:paraId="60432CC8" w14:textId="254B39F4" w:rsidR="00B320A9" w:rsidRDefault="00B320A9" w:rsidP="00B320A9">
            <w:pPr>
              <w:jc w:val="center"/>
            </w:pPr>
            <w:r>
              <w:t>6</w:t>
            </w:r>
          </w:p>
        </w:tc>
      </w:tr>
      <w:tr w:rsidR="00B320A9" w14:paraId="04D29D9F" w14:textId="77777777" w:rsidTr="00B320A9">
        <w:trPr>
          <w:jc w:val="center"/>
        </w:trPr>
        <w:tc>
          <w:tcPr>
            <w:tcW w:w="4495" w:type="dxa"/>
          </w:tcPr>
          <w:p w14:paraId="6FB570C6" w14:textId="792CD5B6" w:rsidR="00B320A9" w:rsidRDefault="00B320A9" w:rsidP="00B320A9">
            <w:pPr>
              <w:jc w:val="center"/>
            </w:pPr>
            <w:r>
              <w:t>Data Integration</w:t>
            </w:r>
          </w:p>
        </w:tc>
        <w:tc>
          <w:tcPr>
            <w:tcW w:w="2165" w:type="dxa"/>
          </w:tcPr>
          <w:p w14:paraId="1EB44548" w14:textId="002CEC3C" w:rsidR="00B320A9" w:rsidRDefault="00B320A9" w:rsidP="00B320A9">
            <w:pPr>
              <w:jc w:val="center"/>
            </w:pPr>
            <w:r>
              <w:t>4</w:t>
            </w:r>
          </w:p>
        </w:tc>
      </w:tr>
      <w:tr w:rsidR="00B320A9" w14:paraId="28DD3D52" w14:textId="77777777" w:rsidTr="00B320A9">
        <w:trPr>
          <w:jc w:val="center"/>
        </w:trPr>
        <w:tc>
          <w:tcPr>
            <w:tcW w:w="4495" w:type="dxa"/>
          </w:tcPr>
          <w:p w14:paraId="1EF594A9" w14:textId="6ACF44A6" w:rsidR="00B320A9" w:rsidRDefault="00B320A9" w:rsidP="00B320A9">
            <w:pPr>
              <w:jc w:val="center"/>
            </w:pPr>
            <w:r>
              <w:t>Data Volume and Scalability</w:t>
            </w:r>
          </w:p>
        </w:tc>
        <w:tc>
          <w:tcPr>
            <w:tcW w:w="2165" w:type="dxa"/>
          </w:tcPr>
          <w:p w14:paraId="4E54DE34" w14:textId="51FAF9B7" w:rsidR="00B320A9" w:rsidRDefault="00B320A9" w:rsidP="00B320A9">
            <w:pPr>
              <w:jc w:val="center"/>
            </w:pPr>
            <w:r>
              <w:t>4</w:t>
            </w:r>
          </w:p>
        </w:tc>
      </w:tr>
      <w:tr w:rsidR="00B320A9" w14:paraId="24B87713" w14:textId="77777777" w:rsidTr="00B320A9">
        <w:trPr>
          <w:jc w:val="center"/>
        </w:trPr>
        <w:tc>
          <w:tcPr>
            <w:tcW w:w="4495" w:type="dxa"/>
          </w:tcPr>
          <w:p w14:paraId="5987BD65" w14:textId="4461B4E4" w:rsidR="00B320A9" w:rsidRDefault="00B320A9" w:rsidP="00B320A9">
            <w:pPr>
              <w:jc w:val="center"/>
            </w:pPr>
            <w:r>
              <w:t>Metadata, Discovery, and Documentation</w:t>
            </w:r>
          </w:p>
        </w:tc>
        <w:tc>
          <w:tcPr>
            <w:tcW w:w="2165" w:type="dxa"/>
          </w:tcPr>
          <w:p w14:paraId="4779BF9B" w14:textId="244AC48A" w:rsidR="00B320A9" w:rsidRDefault="00B320A9" w:rsidP="00B320A9">
            <w:pPr>
              <w:jc w:val="center"/>
            </w:pPr>
            <w:r>
              <w:t>4</w:t>
            </w:r>
          </w:p>
        </w:tc>
      </w:tr>
      <w:tr w:rsidR="00B320A9" w14:paraId="2E7E27D2" w14:textId="77777777" w:rsidTr="00B320A9">
        <w:trPr>
          <w:jc w:val="center"/>
        </w:trPr>
        <w:tc>
          <w:tcPr>
            <w:tcW w:w="4495" w:type="dxa"/>
          </w:tcPr>
          <w:p w14:paraId="23F8C679" w14:textId="32FAF02E" w:rsidR="00B320A9" w:rsidRDefault="00B320A9" w:rsidP="00B320A9">
            <w:pPr>
              <w:jc w:val="center"/>
            </w:pPr>
            <w:r>
              <w:t>Infrastructure and Computing Resources</w:t>
            </w:r>
          </w:p>
        </w:tc>
        <w:tc>
          <w:tcPr>
            <w:tcW w:w="2165" w:type="dxa"/>
          </w:tcPr>
          <w:p w14:paraId="19E2D7D1" w14:textId="63629A8D" w:rsidR="00B320A9" w:rsidRDefault="00B320A9" w:rsidP="00B320A9">
            <w:pPr>
              <w:jc w:val="center"/>
            </w:pPr>
            <w:r>
              <w:t>2</w:t>
            </w:r>
          </w:p>
        </w:tc>
      </w:tr>
      <w:tr w:rsidR="00B320A9" w14:paraId="0F711703" w14:textId="77777777" w:rsidTr="00B320A9">
        <w:trPr>
          <w:jc w:val="center"/>
        </w:trPr>
        <w:tc>
          <w:tcPr>
            <w:tcW w:w="4495" w:type="dxa"/>
          </w:tcPr>
          <w:p w14:paraId="14F238BA" w14:textId="25A496A2" w:rsidR="00B320A9" w:rsidRDefault="00B320A9" w:rsidP="00B320A9">
            <w:pPr>
              <w:jc w:val="center"/>
            </w:pPr>
            <w:r>
              <w:t>Analytics Lifecycle Management</w:t>
            </w:r>
          </w:p>
        </w:tc>
        <w:tc>
          <w:tcPr>
            <w:tcW w:w="2165" w:type="dxa"/>
          </w:tcPr>
          <w:p w14:paraId="2B770114" w14:textId="403B7D24" w:rsidR="00B320A9" w:rsidRDefault="00B320A9" w:rsidP="00B320A9">
            <w:pPr>
              <w:jc w:val="center"/>
            </w:pPr>
            <w:r>
              <w:t>1</w:t>
            </w:r>
          </w:p>
        </w:tc>
      </w:tr>
      <w:tr w:rsidR="00B320A9" w14:paraId="44D7FF19" w14:textId="77777777" w:rsidTr="00B320A9">
        <w:trPr>
          <w:jc w:val="center"/>
        </w:trPr>
        <w:tc>
          <w:tcPr>
            <w:tcW w:w="4495" w:type="dxa"/>
          </w:tcPr>
          <w:p w14:paraId="1D28781D" w14:textId="15DA3226" w:rsidR="00B320A9" w:rsidRDefault="00B320A9" w:rsidP="00B320A9">
            <w:pPr>
              <w:jc w:val="center"/>
            </w:pPr>
            <w:r>
              <w:t>Visualization Creation and Reporting</w:t>
            </w:r>
          </w:p>
        </w:tc>
        <w:tc>
          <w:tcPr>
            <w:tcW w:w="2165" w:type="dxa"/>
          </w:tcPr>
          <w:p w14:paraId="3494A057" w14:textId="44F9BD69" w:rsidR="00B320A9" w:rsidRDefault="00B320A9" w:rsidP="00B320A9">
            <w:pPr>
              <w:jc w:val="center"/>
            </w:pPr>
            <w:r>
              <w:t>1</w:t>
            </w:r>
          </w:p>
        </w:tc>
      </w:tr>
      <w:tr w:rsidR="00B320A9" w14:paraId="10DAF4D4" w14:textId="77777777" w:rsidTr="00B320A9">
        <w:trPr>
          <w:jc w:val="center"/>
        </w:trPr>
        <w:tc>
          <w:tcPr>
            <w:tcW w:w="4495" w:type="dxa"/>
          </w:tcPr>
          <w:p w14:paraId="71C275CA" w14:textId="494D5478" w:rsidR="00B320A9" w:rsidRDefault="00B320A9" w:rsidP="00B320A9">
            <w:pPr>
              <w:jc w:val="center"/>
            </w:pPr>
            <w:r>
              <w:t>Data Governance</w:t>
            </w:r>
          </w:p>
        </w:tc>
        <w:tc>
          <w:tcPr>
            <w:tcW w:w="2165" w:type="dxa"/>
          </w:tcPr>
          <w:p w14:paraId="4C2DB739" w14:textId="3F67EEAD" w:rsidR="00B320A9" w:rsidRDefault="00B320A9" w:rsidP="00A028CF">
            <w:pPr>
              <w:keepNext/>
              <w:jc w:val="center"/>
            </w:pPr>
            <w:r>
              <w:t>1</w:t>
            </w:r>
          </w:p>
        </w:tc>
      </w:tr>
    </w:tbl>
    <w:p w14:paraId="6D9F8959" w14:textId="71FE76B8" w:rsidR="00556BEE" w:rsidRPr="00A028CF" w:rsidRDefault="00A028CF" w:rsidP="00A028CF">
      <w:pPr>
        <w:pStyle w:val="Caption"/>
        <w:jc w:val="center"/>
        <w:rPr>
          <w:i w:val="0"/>
          <w:iCs w:val="0"/>
          <w:color w:val="auto"/>
        </w:rPr>
      </w:pPr>
      <w:bookmarkStart w:id="7" w:name="_Ref233894644"/>
      <w:r w:rsidRPr="00A028CF">
        <w:rPr>
          <w:i w:val="0"/>
          <w:iCs w:val="0"/>
          <w:color w:val="auto"/>
        </w:rPr>
        <w:t xml:space="preserve">Table </w:t>
      </w:r>
      <w:r w:rsidR="007E3238">
        <w:rPr>
          <w:i w:val="0"/>
          <w:iCs w:val="0"/>
          <w:color w:val="auto"/>
        </w:rPr>
        <w:fldChar w:fldCharType="begin"/>
      </w:r>
      <w:r w:rsidR="007E3238">
        <w:rPr>
          <w:i w:val="0"/>
          <w:iCs w:val="0"/>
          <w:color w:val="auto"/>
        </w:rPr>
        <w:instrText xml:space="preserve"> SEQ Table \* ARABIC </w:instrText>
      </w:r>
      <w:r w:rsidR="007E3238">
        <w:rPr>
          <w:i w:val="0"/>
          <w:iCs w:val="0"/>
          <w:color w:val="auto"/>
        </w:rPr>
        <w:fldChar w:fldCharType="separate"/>
      </w:r>
      <w:r w:rsidR="007E3238">
        <w:rPr>
          <w:i w:val="0"/>
          <w:iCs w:val="0"/>
          <w:noProof/>
          <w:color w:val="auto"/>
        </w:rPr>
        <w:t>3</w:t>
      </w:r>
      <w:r w:rsidR="007E3238">
        <w:rPr>
          <w:i w:val="0"/>
          <w:iCs w:val="0"/>
          <w:color w:val="auto"/>
        </w:rPr>
        <w:fldChar w:fldCharType="end"/>
      </w:r>
      <w:bookmarkEnd w:id="7"/>
      <w:r>
        <w:rPr>
          <w:i w:val="0"/>
          <w:iCs w:val="0"/>
          <w:color w:val="auto"/>
        </w:rPr>
        <w:t xml:space="preserve">. </w:t>
      </w:r>
      <w:r w:rsidRPr="00A028CF">
        <w:rPr>
          <w:i w:val="0"/>
          <w:iCs w:val="0"/>
          <w:color w:val="auto"/>
        </w:rPr>
        <w:t>Coded Themes from Question 5</w:t>
      </w:r>
    </w:p>
    <w:tbl>
      <w:tblPr>
        <w:tblStyle w:val="TableGrid"/>
        <w:tblW w:w="0" w:type="auto"/>
        <w:jc w:val="center"/>
        <w:tblLook w:val="04A0" w:firstRow="1" w:lastRow="0" w:firstColumn="1" w:lastColumn="0" w:noHBand="0" w:noVBand="1"/>
      </w:tblPr>
      <w:tblGrid>
        <w:gridCol w:w="4495"/>
        <w:gridCol w:w="2165"/>
      </w:tblGrid>
      <w:tr w:rsidR="005B1A13" w14:paraId="52C792CB" w14:textId="77777777" w:rsidTr="005D43D7">
        <w:trPr>
          <w:jc w:val="center"/>
        </w:trPr>
        <w:tc>
          <w:tcPr>
            <w:tcW w:w="4495" w:type="dxa"/>
          </w:tcPr>
          <w:p w14:paraId="735BA6D9" w14:textId="77777777" w:rsidR="005B1A13" w:rsidRPr="00B320A9" w:rsidRDefault="005B1A13" w:rsidP="005D43D7">
            <w:pPr>
              <w:jc w:val="center"/>
              <w:rPr>
                <w:b/>
                <w:bCs/>
              </w:rPr>
            </w:pPr>
            <w:r w:rsidRPr="00B320A9">
              <w:rPr>
                <w:b/>
                <w:bCs/>
              </w:rPr>
              <w:t>Theme</w:t>
            </w:r>
          </w:p>
        </w:tc>
        <w:tc>
          <w:tcPr>
            <w:tcW w:w="2165" w:type="dxa"/>
          </w:tcPr>
          <w:p w14:paraId="1E1CD296" w14:textId="77777777" w:rsidR="005B1A13" w:rsidRPr="00B320A9" w:rsidRDefault="005B1A13" w:rsidP="005D43D7">
            <w:pPr>
              <w:jc w:val="center"/>
              <w:rPr>
                <w:b/>
                <w:bCs/>
              </w:rPr>
            </w:pPr>
            <w:r>
              <w:rPr>
                <w:b/>
                <w:bCs/>
              </w:rPr>
              <w:t>Number of Mentions</w:t>
            </w:r>
          </w:p>
        </w:tc>
      </w:tr>
      <w:tr w:rsidR="005B1A13" w14:paraId="0674B28D" w14:textId="77777777" w:rsidTr="005D43D7">
        <w:trPr>
          <w:jc w:val="center"/>
        </w:trPr>
        <w:tc>
          <w:tcPr>
            <w:tcW w:w="4495" w:type="dxa"/>
          </w:tcPr>
          <w:p w14:paraId="14397853" w14:textId="1178899E" w:rsidR="005B1A13" w:rsidRDefault="00CD7526" w:rsidP="005D43D7">
            <w:pPr>
              <w:jc w:val="center"/>
            </w:pPr>
            <w:r>
              <w:t>Database</w:t>
            </w:r>
          </w:p>
        </w:tc>
        <w:tc>
          <w:tcPr>
            <w:tcW w:w="2165" w:type="dxa"/>
          </w:tcPr>
          <w:p w14:paraId="7BC9C417" w14:textId="49093893" w:rsidR="005B1A13" w:rsidRDefault="00CD7526" w:rsidP="005D43D7">
            <w:pPr>
              <w:jc w:val="center"/>
            </w:pPr>
            <w:r>
              <w:t>15</w:t>
            </w:r>
          </w:p>
        </w:tc>
      </w:tr>
      <w:tr w:rsidR="00CD7526" w14:paraId="063CEE04" w14:textId="77777777" w:rsidTr="005D43D7">
        <w:trPr>
          <w:jc w:val="center"/>
        </w:trPr>
        <w:tc>
          <w:tcPr>
            <w:tcW w:w="4495" w:type="dxa"/>
          </w:tcPr>
          <w:p w14:paraId="5F36E8A9" w14:textId="325724B2" w:rsidR="00CD7526" w:rsidRDefault="00CD7526" w:rsidP="005D43D7">
            <w:pPr>
              <w:jc w:val="center"/>
            </w:pPr>
            <w:r>
              <w:t>CSV</w:t>
            </w:r>
          </w:p>
        </w:tc>
        <w:tc>
          <w:tcPr>
            <w:tcW w:w="2165" w:type="dxa"/>
          </w:tcPr>
          <w:p w14:paraId="588876A8" w14:textId="542784C6" w:rsidR="00CD7526" w:rsidRDefault="00CD7526" w:rsidP="005D43D7">
            <w:pPr>
              <w:jc w:val="center"/>
            </w:pPr>
            <w:r>
              <w:t>9</w:t>
            </w:r>
          </w:p>
        </w:tc>
      </w:tr>
      <w:tr w:rsidR="00CD7526" w14:paraId="1C52EF91" w14:textId="77777777" w:rsidTr="005D43D7">
        <w:trPr>
          <w:jc w:val="center"/>
        </w:trPr>
        <w:tc>
          <w:tcPr>
            <w:tcW w:w="4495" w:type="dxa"/>
          </w:tcPr>
          <w:p w14:paraId="13882D52" w14:textId="03F748F9" w:rsidR="00CD7526" w:rsidRDefault="00CD7526" w:rsidP="005D43D7">
            <w:pPr>
              <w:jc w:val="center"/>
            </w:pPr>
            <w:r>
              <w:t>Excel</w:t>
            </w:r>
          </w:p>
        </w:tc>
        <w:tc>
          <w:tcPr>
            <w:tcW w:w="2165" w:type="dxa"/>
          </w:tcPr>
          <w:p w14:paraId="6A3F6001" w14:textId="40B723FE" w:rsidR="00CD7526" w:rsidRDefault="00CD7526" w:rsidP="005D43D7">
            <w:pPr>
              <w:jc w:val="center"/>
            </w:pPr>
            <w:r>
              <w:t>4</w:t>
            </w:r>
          </w:p>
        </w:tc>
      </w:tr>
      <w:tr w:rsidR="00CD7526" w14:paraId="5C4D712F" w14:textId="77777777" w:rsidTr="005D43D7">
        <w:trPr>
          <w:jc w:val="center"/>
        </w:trPr>
        <w:tc>
          <w:tcPr>
            <w:tcW w:w="4495" w:type="dxa"/>
          </w:tcPr>
          <w:p w14:paraId="407799C6" w14:textId="1E200537" w:rsidR="00CD7526" w:rsidRDefault="00CD7526" w:rsidP="005D43D7">
            <w:pPr>
              <w:jc w:val="center"/>
            </w:pPr>
            <w:r>
              <w:t>Vendor Data</w:t>
            </w:r>
          </w:p>
        </w:tc>
        <w:tc>
          <w:tcPr>
            <w:tcW w:w="2165" w:type="dxa"/>
          </w:tcPr>
          <w:p w14:paraId="475328B5" w14:textId="4D74E17A" w:rsidR="00CD7526" w:rsidRDefault="00CD7526" w:rsidP="005D43D7">
            <w:pPr>
              <w:jc w:val="center"/>
            </w:pPr>
            <w:r>
              <w:t>4</w:t>
            </w:r>
          </w:p>
        </w:tc>
      </w:tr>
      <w:tr w:rsidR="00CD7526" w14:paraId="47281A96" w14:textId="77777777" w:rsidTr="005D43D7">
        <w:trPr>
          <w:jc w:val="center"/>
        </w:trPr>
        <w:tc>
          <w:tcPr>
            <w:tcW w:w="4495" w:type="dxa"/>
          </w:tcPr>
          <w:p w14:paraId="293923D5" w14:textId="7BEBEEB0" w:rsidR="00CD7526" w:rsidRDefault="00CD7526" w:rsidP="005D43D7">
            <w:pPr>
              <w:jc w:val="center"/>
            </w:pPr>
            <w:r>
              <w:t>Public Data</w:t>
            </w:r>
          </w:p>
        </w:tc>
        <w:tc>
          <w:tcPr>
            <w:tcW w:w="2165" w:type="dxa"/>
          </w:tcPr>
          <w:p w14:paraId="10206DFC" w14:textId="2530CF40" w:rsidR="00CD7526" w:rsidRDefault="00CD7526" w:rsidP="005D43D7">
            <w:pPr>
              <w:jc w:val="center"/>
            </w:pPr>
            <w:r>
              <w:t>4</w:t>
            </w:r>
          </w:p>
        </w:tc>
      </w:tr>
      <w:tr w:rsidR="00CD7526" w14:paraId="5B30502E" w14:textId="77777777" w:rsidTr="005D43D7">
        <w:trPr>
          <w:jc w:val="center"/>
        </w:trPr>
        <w:tc>
          <w:tcPr>
            <w:tcW w:w="4495" w:type="dxa"/>
          </w:tcPr>
          <w:p w14:paraId="25F3218B" w14:textId="62CBDBAA" w:rsidR="00CD7526" w:rsidRDefault="00CD7526" w:rsidP="005D43D7">
            <w:pPr>
              <w:jc w:val="center"/>
            </w:pPr>
            <w:r>
              <w:t>API</w:t>
            </w:r>
          </w:p>
        </w:tc>
        <w:tc>
          <w:tcPr>
            <w:tcW w:w="2165" w:type="dxa"/>
          </w:tcPr>
          <w:p w14:paraId="7B5A886A" w14:textId="41B6FF4B" w:rsidR="00CD7526" w:rsidRDefault="00CD7526" w:rsidP="005D43D7">
            <w:pPr>
              <w:jc w:val="center"/>
            </w:pPr>
            <w:r>
              <w:t>4</w:t>
            </w:r>
          </w:p>
        </w:tc>
      </w:tr>
      <w:tr w:rsidR="00CD7526" w14:paraId="301311B0" w14:textId="77777777" w:rsidTr="005D43D7">
        <w:trPr>
          <w:jc w:val="center"/>
        </w:trPr>
        <w:tc>
          <w:tcPr>
            <w:tcW w:w="4495" w:type="dxa"/>
          </w:tcPr>
          <w:p w14:paraId="5F0E2E3F" w14:textId="590E0295" w:rsidR="00CD7526" w:rsidRDefault="00CD7526" w:rsidP="005D43D7">
            <w:pPr>
              <w:jc w:val="center"/>
            </w:pPr>
            <w:r>
              <w:t>SAS</w:t>
            </w:r>
          </w:p>
        </w:tc>
        <w:tc>
          <w:tcPr>
            <w:tcW w:w="2165" w:type="dxa"/>
          </w:tcPr>
          <w:p w14:paraId="3E111302" w14:textId="0985FE60" w:rsidR="00CD7526" w:rsidRDefault="00CD7526" w:rsidP="005D43D7">
            <w:pPr>
              <w:jc w:val="center"/>
            </w:pPr>
            <w:r>
              <w:t>2</w:t>
            </w:r>
          </w:p>
        </w:tc>
      </w:tr>
      <w:tr w:rsidR="00CD7526" w14:paraId="36ADFAA0" w14:textId="77777777" w:rsidTr="005D43D7">
        <w:trPr>
          <w:jc w:val="center"/>
        </w:trPr>
        <w:tc>
          <w:tcPr>
            <w:tcW w:w="4495" w:type="dxa"/>
          </w:tcPr>
          <w:p w14:paraId="4E8E3012" w14:textId="08B34CF3" w:rsidR="00CD7526" w:rsidRDefault="00CD7526" w:rsidP="005D43D7">
            <w:pPr>
              <w:jc w:val="center"/>
            </w:pPr>
            <w:r>
              <w:t>XML</w:t>
            </w:r>
          </w:p>
        </w:tc>
        <w:tc>
          <w:tcPr>
            <w:tcW w:w="2165" w:type="dxa"/>
          </w:tcPr>
          <w:p w14:paraId="3FD7037F" w14:textId="619BAAEA" w:rsidR="00CD7526" w:rsidRDefault="00CD7526" w:rsidP="00FA7121">
            <w:pPr>
              <w:keepNext/>
              <w:jc w:val="center"/>
            </w:pPr>
            <w:r>
              <w:t>1</w:t>
            </w:r>
          </w:p>
        </w:tc>
      </w:tr>
    </w:tbl>
    <w:p w14:paraId="58E8BB05" w14:textId="33E3E442" w:rsidR="005B1A13" w:rsidRPr="00FA7121" w:rsidRDefault="00FA7121" w:rsidP="00FA7121">
      <w:pPr>
        <w:pStyle w:val="Caption"/>
        <w:jc w:val="center"/>
        <w:rPr>
          <w:i w:val="0"/>
          <w:iCs w:val="0"/>
          <w:color w:val="auto"/>
        </w:rPr>
      </w:pPr>
      <w:bookmarkStart w:id="8" w:name="_Ref233894664"/>
      <w:r w:rsidRPr="00FA7121">
        <w:rPr>
          <w:i w:val="0"/>
          <w:iCs w:val="0"/>
          <w:color w:val="auto"/>
        </w:rPr>
        <w:t xml:space="preserve">Table </w:t>
      </w:r>
      <w:r w:rsidR="007E3238">
        <w:rPr>
          <w:i w:val="0"/>
          <w:iCs w:val="0"/>
          <w:color w:val="auto"/>
        </w:rPr>
        <w:fldChar w:fldCharType="begin"/>
      </w:r>
      <w:r w:rsidR="007E3238">
        <w:rPr>
          <w:i w:val="0"/>
          <w:iCs w:val="0"/>
          <w:color w:val="auto"/>
        </w:rPr>
        <w:instrText xml:space="preserve"> SEQ Table \* ARABIC </w:instrText>
      </w:r>
      <w:r w:rsidR="007E3238">
        <w:rPr>
          <w:i w:val="0"/>
          <w:iCs w:val="0"/>
          <w:color w:val="auto"/>
        </w:rPr>
        <w:fldChar w:fldCharType="separate"/>
      </w:r>
      <w:r w:rsidR="007E3238">
        <w:rPr>
          <w:i w:val="0"/>
          <w:iCs w:val="0"/>
          <w:noProof/>
          <w:color w:val="auto"/>
        </w:rPr>
        <w:t>4</w:t>
      </w:r>
      <w:r w:rsidR="007E3238">
        <w:rPr>
          <w:i w:val="0"/>
          <w:iCs w:val="0"/>
          <w:color w:val="auto"/>
        </w:rPr>
        <w:fldChar w:fldCharType="end"/>
      </w:r>
      <w:bookmarkEnd w:id="8"/>
      <w:r w:rsidRPr="00FA7121">
        <w:rPr>
          <w:i w:val="0"/>
          <w:iCs w:val="0"/>
          <w:color w:val="auto"/>
        </w:rPr>
        <w:t>. Coded Themes from Question 7</w:t>
      </w:r>
    </w:p>
    <w:tbl>
      <w:tblPr>
        <w:tblStyle w:val="TableGrid"/>
        <w:tblW w:w="0" w:type="auto"/>
        <w:jc w:val="center"/>
        <w:tblLook w:val="04A0" w:firstRow="1" w:lastRow="0" w:firstColumn="1" w:lastColumn="0" w:noHBand="0" w:noVBand="1"/>
      </w:tblPr>
      <w:tblGrid>
        <w:gridCol w:w="4495"/>
        <w:gridCol w:w="2160"/>
      </w:tblGrid>
      <w:tr w:rsidR="002B13CE" w14:paraId="5A070034" w14:textId="77777777" w:rsidTr="002B13CE">
        <w:trPr>
          <w:trHeight w:val="287"/>
          <w:jc w:val="center"/>
        </w:trPr>
        <w:tc>
          <w:tcPr>
            <w:tcW w:w="4495" w:type="dxa"/>
          </w:tcPr>
          <w:p w14:paraId="00639C3A" w14:textId="77777777" w:rsidR="002B13CE" w:rsidRPr="00B320A9" w:rsidRDefault="002B13CE" w:rsidP="005D43D7">
            <w:pPr>
              <w:jc w:val="center"/>
              <w:rPr>
                <w:b/>
                <w:bCs/>
              </w:rPr>
            </w:pPr>
            <w:r w:rsidRPr="00B320A9">
              <w:rPr>
                <w:b/>
                <w:bCs/>
              </w:rPr>
              <w:t>Theme</w:t>
            </w:r>
          </w:p>
        </w:tc>
        <w:tc>
          <w:tcPr>
            <w:tcW w:w="2160" w:type="dxa"/>
          </w:tcPr>
          <w:p w14:paraId="086D0936" w14:textId="1F4574D8" w:rsidR="002B13CE" w:rsidRPr="00B320A9" w:rsidRDefault="002B13CE" w:rsidP="005D43D7">
            <w:pPr>
              <w:jc w:val="center"/>
              <w:rPr>
                <w:b/>
                <w:bCs/>
              </w:rPr>
            </w:pPr>
            <w:r>
              <w:rPr>
                <w:b/>
                <w:bCs/>
              </w:rPr>
              <w:t>Number of Mentions</w:t>
            </w:r>
          </w:p>
        </w:tc>
      </w:tr>
      <w:tr w:rsidR="002B13CE" w14:paraId="4CBF37FA" w14:textId="77777777" w:rsidTr="002B13CE">
        <w:trPr>
          <w:jc w:val="center"/>
        </w:trPr>
        <w:tc>
          <w:tcPr>
            <w:tcW w:w="4495" w:type="dxa"/>
          </w:tcPr>
          <w:p w14:paraId="599F9F31" w14:textId="027966F1" w:rsidR="002B13CE" w:rsidRDefault="002B13CE" w:rsidP="005D43D7">
            <w:pPr>
              <w:jc w:val="center"/>
            </w:pPr>
            <w:r>
              <w:t>Market Surveillance and Monitoring</w:t>
            </w:r>
          </w:p>
        </w:tc>
        <w:tc>
          <w:tcPr>
            <w:tcW w:w="2160" w:type="dxa"/>
          </w:tcPr>
          <w:p w14:paraId="5BAB1130" w14:textId="50554AD9" w:rsidR="002B13CE" w:rsidRDefault="002B13CE" w:rsidP="005D43D7">
            <w:pPr>
              <w:jc w:val="center"/>
            </w:pPr>
            <w:r>
              <w:t>7</w:t>
            </w:r>
          </w:p>
        </w:tc>
      </w:tr>
      <w:tr w:rsidR="002B13CE" w14:paraId="63348C2D" w14:textId="77777777" w:rsidTr="002B13CE">
        <w:trPr>
          <w:jc w:val="center"/>
        </w:trPr>
        <w:tc>
          <w:tcPr>
            <w:tcW w:w="4495" w:type="dxa"/>
          </w:tcPr>
          <w:p w14:paraId="5ED34DFB" w14:textId="2ABB72D1" w:rsidR="002B13CE" w:rsidRDefault="002B13CE" w:rsidP="005D43D7">
            <w:pPr>
              <w:jc w:val="center"/>
            </w:pPr>
            <w:r>
              <w:t>Data Exploration and Querying</w:t>
            </w:r>
          </w:p>
        </w:tc>
        <w:tc>
          <w:tcPr>
            <w:tcW w:w="2160" w:type="dxa"/>
          </w:tcPr>
          <w:p w14:paraId="6B63800E" w14:textId="73253B46" w:rsidR="002B13CE" w:rsidRDefault="002B13CE" w:rsidP="005D43D7">
            <w:pPr>
              <w:jc w:val="center"/>
            </w:pPr>
            <w:r>
              <w:t>4</w:t>
            </w:r>
          </w:p>
        </w:tc>
      </w:tr>
      <w:tr w:rsidR="002B13CE" w14:paraId="6CC936B5" w14:textId="77777777" w:rsidTr="002B13CE">
        <w:trPr>
          <w:jc w:val="center"/>
        </w:trPr>
        <w:tc>
          <w:tcPr>
            <w:tcW w:w="4495" w:type="dxa"/>
          </w:tcPr>
          <w:p w14:paraId="71F2742F" w14:textId="6D6563A4" w:rsidR="002B13CE" w:rsidRDefault="002B13CE" w:rsidP="005D43D7">
            <w:pPr>
              <w:jc w:val="center"/>
            </w:pPr>
            <w:r>
              <w:t>Validation and Quality Assurance</w:t>
            </w:r>
          </w:p>
        </w:tc>
        <w:tc>
          <w:tcPr>
            <w:tcW w:w="2160" w:type="dxa"/>
          </w:tcPr>
          <w:p w14:paraId="7D60271B" w14:textId="765FE177" w:rsidR="002B13CE" w:rsidRDefault="002B13CE" w:rsidP="005D43D7">
            <w:pPr>
              <w:jc w:val="center"/>
            </w:pPr>
            <w:r>
              <w:t>2</w:t>
            </w:r>
          </w:p>
        </w:tc>
      </w:tr>
      <w:tr w:rsidR="002B13CE" w14:paraId="05A6AFB0" w14:textId="77777777" w:rsidTr="002B13CE">
        <w:trPr>
          <w:jc w:val="center"/>
        </w:trPr>
        <w:tc>
          <w:tcPr>
            <w:tcW w:w="4495" w:type="dxa"/>
          </w:tcPr>
          <w:p w14:paraId="7E44C05A" w14:textId="51BA8ADC" w:rsidR="002B13CE" w:rsidRDefault="002B13CE" w:rsidP="005D43D7">
            <w:pPr>
              <w:jc w:val="center"/>
            </w:pPr>
            <w:r>
              <w:t>Portfolio and Resource Analysis</w:t>
            </w:r>
          </w:p>
        </w:tc>
        <w:tc>
          <w:tcPr>
            <w:tcW w:w="2160" w:type="dxa"/>
          </w:tcPr>
          <w:p w14:paraId="2E942D9D" w14:textId="575987F1" w:rsidR="002B13CE" w:rsidRDefault="002B13CE" w:rsidP="005D43D7">
            <w:pPr>
              <w:jc w:val="center"/>
            </w:pPr>
            <w:r>
              <w:t>2</w:t>
            </w:r>
          </w:p>
        </w:tc>
      </w:tr>
      <w:tr w:rsidR="002B13CE" w14:paraId="26BB4167" w14:textId="77777777" w:rsidTr="002B13CE">
        <w:trPr>
          <w:jc w:val="center"/>
        </w:trPr>
        <w:tc>
          <w:tcPr>
            <w:tcW w:w="4495" w:type="dxa"/>
          </w:tcPr>
          <w:p w14:paraId="66AEA9A2" w14:textId="0ECF21CB" w:rsidR="002B13CE" w:rsidRDefault="002B13CE" w:rsidP="005D43D7">
            <w:pPr>
              <w:jc w:val="center"/>
            </w:pPr>
            <w:r>
              <w:t>Metadata and Domain Knowledge</w:t>
            </w:r>
          </w:p>
        </w:tc>
        <w:tc>
          <w:tcPr>
            <w:tcW w:w="2160" w:type="dxa"/>
          </w:tcPr>
          <w:p w14:paraId="55AE9C9E" w14:textId="20C1102E" w:rsidR="002B13CE" w:rsidRDefault="002B13CE" w:rsidP="005D43D7">
            <w:pPr>
              <w:jc w:val="center"/>
            </w:pPr>
            <w:r>
              <w:t>1</w:t>
            </w:r>
          </w:p>
        </w:tc>
      </w:tr>
      <w:tr w:rsidR="002B13CE" w14:paraId="5E7B1A43" w14:textId="77777777" w:rsidTr="002B13CE">
        <w:trPr>
          <w:jc w:val="center"/>
        </w:trPr>
        <w:tc>
          <w:tcPr>
            <w:tcW w:w="4495" w:type="dxa"/>
          </w:tcPr>
          <w:p w14:paraId="78C8C463" w14:textId="55178803" w:rsidR="002B13CE" w:rsidRDefault="002B13CE" w:rsidP="005D43D7">
            <w:pPr>
              <w:jc w:val="center"/>
            </w:pPr>
            <w:r>
              <w:t>Reporting and Automation</w:t>
            </w:r>
          </w:p>
        </w:tc>
        <w:tc>
          <w:tcPr>
            <w:tcW w:w="2160" w:type="dxa"/>
          </w:tcPr>
          <w:p w14:paraId="4922FE1A" w14:textId="29967035" w:rsidR="002B13CE" w:rsidRDefault="002B13CE" w:rsidP="00FA7121">
            <w:pPr>
              <w:keepNext/>
              <w:jc w:val="center"/>
            </w:pPr>
            <w:r>
              <w:t>1</w:t>
            </w:r>
          </w:p>
        </w:tc>
      </w:tr>
    </w:tbl>
    <w:p w14:paraId="02C5FC10" w14:textId="32ABEBCD" w:rsidR="00CD7526" w:rsidRPr="00FA7121" w:rsidRDefault="00FA7121" w:rsidP="00FA7121">
      <w:pPr>
        <w:pStyle w:val="Caption"/>
        <w:jc w:val="center"/>
        <w:rPr>
          <w:i w:val="0"/>
          <w:iCs w:val="0"/>
          <w:color w:val="auto"/>
        </w:rPr>
      </w:pPr>
      <w:bookmarkStart w:id="9" w:name="_Ref233894691"/>
      <w:r w:rsidRPr="00FA7121">
        <w:rPr>
          <w:i w:val="0"/>
          <w:iCs w:val="0"/>
          <w:color w:val="auto"/>
        </w:rPr>
        <w:t xml:space="preserve">Table </w:t>
      </w:r>
      <w:r w:rsidR="007E3238">
        <w:rPr>
          <w:i w:val="0"/>
          <w:iCs w:val="0"/>
          <w:color w:val="auto"/>
        </w:rPr>
        <w:fldChar w:fldCharType="begin"/>
      </w:r>
      <w:r w:rsidR="007E3238">
        <w:rPr>
          <w:i w:val="0"/>
          <w:iCs w:val="0"/>
          <w:color w:val="auto"/>
        </w:rPr>
        <w:instrText xml:space="preserve"> SEQ Table \* ARABIC </w:instrText>
      </w:r>
      <w:r w:rsidR="007E3238">
        <w:rPr>
          <w:i w:val="0"/>
          <w:iCs w:val="0"/>
          <w:color w:val="auto"/>
        </w:rPr>
        <w:fldChar w:fldCharType="separate"/>
      </w:r>
      <w:r w:rsidR="007E3238">
        <w:rPr>
          <w:i w:val="0"/>
          <w:iCs w:val="0"/>
          <w:noProof/>
          <w:color w:val="auto"/>
        </w:rPr>
        <w:t>5</w:t>
      </w:r>
      <w:r w:rsidR="007E3238">
        <w:rPr>
          <w:i w:val="0"/>
          <w:iCs w:val="0"/>
          <w:color w:val="auto"/>
        </w:rPr>
        <w:fldChar w:fldCharType="end"/>
      </w:r>
      <w:bookmarkEnd w:id="9"/>
      <w:r w:rsidRPr="00FA7121">
        <w:rPr>
          <w:i w:val="0"/>
          <w:iCs w:val="0"/>
          <w:color w:val="auto"/>
        </w:rPr>
        <w:t>. Coded Themes from Question 41</w:t>
      </w:r>
    </w:p>
    <w:p w14:paraId="735B63E3" w14:textId="63D82D04" w:rsidR="00E51D22" w:rsidRDefault="006A073E" w:rsidP="00BC0D6A">
      <w:pPr>
        <w:pStyle w:val="Heading3"/>
      </w:pPr>
      <w:r w:rsidRPr="006A073E">
        <w:t>Derived requirements and use cases</w:t>
      </w:r>
    </w:p>
    <w:p w14:paraId="5A604241" w14:textId="155B94D8" w:rsidR="009E2CBC" w:rsidRDefault="00C27602" w:rsidP="00C27602">
      <w:r>
        <w:t>Once thematic coding was completed, the researchers used the resultant themes to derive basic requirements and possible use cases for the language proof-of-concept and implementation. These requirements are intentionally broad, as much of the functionality of this system is also determined by what a specific user base (</w:t>
      </w:r>
      <w:r w:rsidR="00746A35">
        <w:t>group</w:t>
      </w:r>
      <w:r>
        <w:t xml:space="preserve"> of market monitors) would request. </w:t>
      </w:r>
      <w:r w:rsidR="00AD74CA">
        <w:fldChar w:fldCharType="begin"/>
      </w:r>
      <w:r w:rsidR="00AD74CA">
        <w:instrText xml:space="preserve"> REF _Ref236815979 \h </w:instrText>
      </w:r>
      <w:r w:rsidR="00B00C9A">
        <w:instrText xml:space="preserve"> \* MERGEFORMAT </w:instrText>
      </w:r>
      <w:r w:rsidR="00AD74CA">
        <w:fldChar w:fldCharType="separate"/>
      </w:r>
      <w:r w:rsidR="00AD74CA" w:rsidRPr="00494A08">
        <w:t>Table 6</w:t>
      </w:r>
      <w:r w:rsidR="00AD74CA">
        <w:fldChar w:fldCharType="end"/>
      </w:r>
      <w:r w:rsidR="00AD74CA">
        <w:t xml:space="preserve"> </w:t>
      </w:r>
      <w:r w:rsidR="00D86591">
        <w:t>presents</w:t>
      </w:r>
      <w:r>
        <w:t xml:space="preserve"> the derived requirements</w:t>
      </w:r>
      <w:r w:rsidR="00D86591">
        <w:t xml:space="preserve">, along with the passing criteria, that is, the criteria that the system should meet to ultimately satisfy the requirements. </w:t>
      </w:r>
    </w:p>
    <w:p w14:paraId="7569CC5A" w14:textId="77777777" w:rsidR="009E2CBC" w:rsidRDefault="009E2CBC">
      <w:r>
        <w:br w:type="page"/>
      </w:r>
    </w:p>
    <w:p w14:paraId="43AB1543" w14:textId="77777777" w:rsidR="00C27602" w:rsidRDefault="00C27602" w:rsidP="00C27602"/>
    <w:tbl>
      <w:tblPr>
        <w:tblStyle w:val="TableGrid"/>
        <w:tblW w:w="0" w:type="auto"/>
        <w:tblLook w:val="04A0" w:firstRow="1" w:lastRow="0" w:firstColumn="1" w:lastColumn="0" w:noHBand="0" w:noVBand="1"/>
      </w:tblPr>
      <w:tblGrid>
        <w:gridCol w:w="535"/>
        <w:gridCol w:w="5698"/>
        <w:gridCol w:w="3117"/>
      </w:tblGrid>
      <w:tr w:rsidR="00161086" w14:paraId="5DBA0235" w14:textId="77777777" w:rsidTr="00494A08">
        <w:tc>
          <w:tcPr>
            <w:tcW w:w="535" w:type="dxa"/>
          </w:tcPr>
          <w:p w14:paraId="15B43DBD" w14:textId="76FA70E8" w:rsidR="00161086" w:rsidRPr="00161086" w:rsidRDefault="00494A08" w:rsidP="00C27602">
            <w:pPr>
              <w:rPr>
                <w:b/>
                <w:bCs/>
              </w:rPr>
            </w:pPr>
            <w:r>
              <w:rPr>
                <w:b/>
                <w:bCs/>
              </w:rPr>
              <w:t>ID</w:t>
            </w:r>
          </w:p>
        </w:tc>
        <w:tc>
          <w:tcPr>
            <w:tcW w:w="5698" w:type="dxa"/>
          </w:tcPr>
          <w:p w14:paraId="3EB1452A" w14:textId="6FCC745F" w:rsidR="00161086" w:rsidRPr="00161086" w:rsidRDefault="00161086" w:rsidP="00C27602">
            <w:pPr>
              <w:rPr>
                <w:b/>
                <w:bCs/>
              </w:rPr>
            </w:pPr>
            <w:r w:rsidRPr="00161086">
              <w:rPr>
                <w:b/>
                <w:bCs/>
              </w:rPr>
              <w:t>Requirement</w:t>
            </w:r>
          </w:p>
        </w:tc>
        <w:tc>
          <w:tcPr>
            <w:tcW w:w="3117" w:type="dxa"/>
          </w:tcPr>
          <w:p w14:paraId="31B73D5E" w14:textId="13C9DE8C" w:rsidR="00161086" w:rsidRPr="00161086" w:rsidRDefault="00161086" w:rsidP="00C27602">
            <w:pPr>
              <w:rPr>
                <w:b/>
                <w:bCs/>
              </w:rPr>
            </w:pPr>
            <w:r>
              <w:rPr>
                <w:b/>
                <w:bCs/>
              </w:rPr>
              <w:t>Passing Criteria</w:t>
            </w:r>
          </w:p>
        </w:tc>
      </w:tr>
      <w:tr w:rsidR="00161086" w14:paraId="6AE03E8A" w14:textId="77777777" w:rsidTr="00494A08">
        <w:tc>
          <w:tcPr>
            <w:tcW w:w="535" w:type="dxa"/>
          </w:tcPr>
          <w:p w14:paraId="30359FB6" w14:textId="2B6A2AB3" w:rsidR="00161086" w:rsidRDefault="00161086" w:rsidP="00C27602">
            <w:r>
              <w:t>1</w:t>
            </w:r>
          </w:p>
        </w:tc>
        <w:tc>
          <w:tcPr>
            <w:tcW w:w="5698" w:type="dxa"/>
          </w:tcPr>
          <w:p w14:paraId="143CD3AD" w14:textId="08351472" w:rsidR="00161086" w:rsidRDefault="00161086" w:rsidP="00C27602">
            <w:r>
              <w:t>The language shall be declarative. A user can define what they want the analysis and/or output to be, and the transpiler generates code in the target language to accomplish the task</w:t>
            </w:r>
            <w:r w:rsidR="006E666C">
              <w:t>.</w:t>
            </w:r>
          </w:p>
        </w:tc>
        <w:tc>
          <w:tcPr>
            <w:tcW w:w="3117" w:type="dxa"/>
          </w:tcPr>
          <w:p w14:paraId="7C913D0E" w14:textId="692F5540" w:rsidR="00161086" w:rsidRDefault="00161086" w:rsidP="00C27602">
            <w:r>
              <w:t xml:space="preserve">The user can write a script in the language’s declarative grammar and </w:t>
            </w:r>
            <w:r w:rsidR="00494A08">
              <w:t>receives transpiled code in the target language.</w:t>
            </w:r>
          </w:p>
        </w:tc>
      </w:tr>
      <w:tr w:rsidR="00494A08" w14:paraId="020237BA" w14:textId="77777777" w:rsidTr="00494A08">
        <w:tc>
          <w:tcPr>
            <w:tcW w:w="535" w:type="dxa"/>
          </w:tcPr>
          <w:p w14:paraId="29EFCBB6" w14:textId="2A2097B7" w:rsidR="00494A08" w:rsidRDefault="00494A08" w:rsidP="00C27602">
            <w:r>
              <w:t>2</w:t>
            </w:r>
          </w:p>
        </w:tc>
        <w:tc>
          <w:tcPr>
            <w:tcW w:w="5698" w:type="dxa"/>
          </w:tcPr>
          <w:p w14:paraId="6F66CACC" w14:textId="2001E437" w:rsidR="00494A08" w:rsidRDefault="006E666C" w:rsidP="00C27602">
            <w:r>
              <w:t>The language, where possible, should infer metadata needed for data selection, transformations, and filter criteria from a metadata repository.</w:t>
            </w:r>
          </w:p>
        </w:tc>
        <w:tc>
          <w:tcPr>
            <w:tcW w:w="3117" w:type="dxa"/>
          </w:tcPr>
          <w:p w14:paraId="557EF177" w14:textId="5B93CDAD" w:rsidR="00494A08" w:rsidRDefault="006E666C" w:rsidP="00494A08">
            <w:pPr>
              <w:keepNext/>
            </w:pPr>
            <w:r>
              <w:t>The user can</w:t>
            </w:r>
            <w:r w:rsidR="00AD74CA">
              <w:t xml:space="preserve"> use </w:t>
            </w:r>
            <w:r>
              <w:t xml:space="preserve">the language to </w:t>
            </w:r>
            <w:r w:rsidR="00AD74CA">
              <w:t>define</w:t>
            </w:r>
            <w:r>
              <w:t xml:space="preserve"> metadata (e.g. </w:t>
            </w:r>
            <w:r w:rsidR="00AD74CA">
              <w:t>tags</w:t>
            </w:r>
            <w:r>
              <w:t xml:space="preserve">) </w:t>
            </w:r>
            <w:r w:rsidR="00AD74CA">
              <w:t>and associate it with a data set.</w:t>
            </w:r>
          </w:p>
        </w:tc>
      </w:tr>
      <w:tr w:rsidR="006E666C" w14:paraId="695836F5" w14:textId="77777777" w:rsidTr="00494A08">
        <w:tc>
          <w:tcPr>
            <w:tcW w:w="535" w:type="dxa"/>
          </w:tcPr>
          <w:p w14:paraId="516EDC0C" w14:textId="78414A1D" w:rsidR="006E666C" w:rsidRDefault="006E666C" w:rsidP="00C27602">
            <w:r>
              <w:t>3</w:t>
            </w:r>
          </w:p>
        </w:tc>
        <w:tc>
          <w:tcPr>
            <w:tcW w:w="5698" w:type="dxa"/>
          </w:tcPr>
          <w:p w14:paraId="24FC8AA2" w14:textId="300D9DF4" w:rsidR="006E666C" w:rsidRDefault="006E666C" w:rsidP="00C27602">
            <w:r>
              <w:t>The language shall, at a minimum, support database queries and CSV files as both read and write targets</w:t>
            </w:r>
            <w:r w:rsidR="00037156">
              <w:t xml:space="preserve"> </w:t>
            </w:r>
            <w:r w:rsidR="0003354B" w:rsidRPr="0003354B">
              <w:rPr>
                <w:i/>
                <w:iCs/>
              </w:rPr>
              <w:t>(</w:t>
            </w:r>
            <w:r w:rsidR="00037156" w:rsidRPr="0003354B">
              <w:rPr>
                <w:i/>
                <w:iCs/>
              </w:rPr>
              <w:t>t</w:t>
            </w:r>
            <w:r w:rsidRPr="0003354B">
              <w:rPr>
                <w:i/>
                <w:iCs/>
              </w:rPr>
              <w:t>he leading 2 data sources mentioned by Delphi participants</w:t>
            </w:r>
            <w:r w:rsidR="00037156" w:rsidRPr="0003354B">
              <w:rPr>
                <w:i/>
                <w:iCs/>
              </w:rPr>
              <w:t>)</w:t>
            </w:r>
            <w:r w:rsidR="00EC5B32" w:rsidRPr="0003354B">
              <w:rPr>
                <w:i/>
                <w:iCs/>
              </w:rPr>
              <w:t>.</w:t>
            </w:r>
          </w:p>
        </w:tc>
        <w:tc>
          <w:tcPr>
            <w:tcW w:w="3117" w:type="dxa"/>
          </w:tcPr>
          <w:p w14:paraId="075F2D44" w14:textId="69898A6D" w:rsidR="006E666C" w:rsidRDefault="006E666C" w:rsidP="00494A08">
            <w:pPr>
              <w:keepNext/>
            </w:pPr>
            <w:r>
              <w:t>A user can specify a database connection, CSV file paths, or both, and use these as sources and destinations for sourcing and sinking data.</w:t>
            </w:r>
          </w:p>
        </w:tc>
      </w:tr>
      <w:tr w:rsidR="006E666C" w14:paraId="568D049B" w14:textId="77777777" w:rsidTr="00494A08">
        <w:tc>
          <w:tcPr>
            <w:tcW w:w="535" w:type="dxa"/>
          </w:tcPr>
          <w:p w14:paraId="26AB6B79" w14:textId="7AF69961" w:rsidR="006E666C" w:rsidRDefault="006E666C" w:rsidP="00C27602">
            <w:r>
              <w:t>4</w:t>
            </w:r>
          </w:p>
        </w:tc>
        <w:tc>
          <w:tcPr>
            <w:tcW w:w="5698" w:type="dxa"/>
          </w:tcPr>
          <w:p w14:paraId="1946BA34" w14:textId="5FCEA3F7" w:rsidR="006E666C" w:rsidRDefault="006E666C" w:rsidP="00C27602">
            <w:r>
              <w:t>The language shall allow the user to generate textual reports of pre-defined metrics</w:t>
            </w:r>
            <w:r w:rsidR="0003354B">
              <w:t xml:space="preserve"> (a</w:t>
            </w:r>
            <w:r w:rsidR="00ED4E3C" w:rsidRPr="0003354B">
              <w:rPr>
                <w:i/>
                <w:iCs/>
              </w:rPr>
              <w:t>s an example, a</w:t>
            </w:r>
            <w:r w:rsidR="009966A9" w:rsidRPr="0003354B">
              <w:rPr>
                <w:i/>
                <w:iCs/>
              </w:rPr>
              <w:t xml:space="preserve">nalyzing resources by </w:t>
            </w:r>
            <w:r w:rsidR="00ED4E3C" w:rsidRPr="0003354B">
              <w:rPr>
                <w:i/>
                <w:iCs/>
              </w:rPr>
              <w:t xml:space="preserve">different </w:t>
            </w:r>
            <w:r w:rsidR="009966A9" w:rsidRPr="0003354B">
              <w:rPr>
                <w:i/>
                <w:iCs/>
              </w:rPr>
              <w:t>dimensions</w:t>
            </w:r>
            <w:r w:rsidR="00ED4E3C" w:rsidRPr="0003354B">
              <w:rPr>
                <w:i/>
                <w:iCs/>
              </w:rPr>
              <w:t>, f</w:t>
            </w:r>
            <w:r w:rsidR="009966A9" w:rsidRPr="0003354B">
              <w:rPr>
                <w:i/>
                <w:iCs/>
              </w:rPr>
              <w:t>uel-type, time</w:t>
            </w:r>
            <w:r w:rsidR="00ED4E3C" w:rsidRPr="0003354B">
              <w:rPr>
                <w:i/>
                <w:iCs/>
              </w:rPr>
              <w:t xml:space="preserve"> </w:t>
            </w:r>
            <w:r w:rsidR="009966A9" w:rsidRPr="0003354B">
              <w:rPr>
                <w:i/>
                <w:iCs/>
              </w:rPr>
              <w:t>period, capacity, e</w:t>
            </w:r>
            <w:r w:rsidR="0003354B">
              <w:rPr>
                <w:i/>
                <w:iCs/>
              </w:rPr>
              <w:t>tc.).</w:t>
            </w:r>
          </w:p>
        </w:tc>
        <w:tc>
          <w:tcPr>
            <w:tcW w:w="3117" w:type="dxa"/>
          </w:tcPr>
          <w:p w14:paraId="49622E0A" w14:textId="5E6E000E" w:rsidR="006E666C" w:rsidRDefault="001B09FA" w:rsidP="00494A08">
            <w:pPr>
              <w:keepNext/>
            </w:pPr>
            <w:r>
              <w:t xml:space="preserve">The user can calculate </w:t>
            </w:r>
            <w:r w:rsidR="009966A9">
              <w:t xml:space="preserve">a pre-defined metric for an operating period and view the report. </w:t>
            </w:r>
          </w:p>
        </w:tc>
      </w:tr>
      <w:tr w:rsidR="001B09FA" w14:paraId="2C25FA3E" w14:textId="77777777" w:rsidTr="00494A08">
        <w:tc>
          <w:tcPr>
            <w:tcW w:w="535" w:type="dxa"/>
          </w:tcPr>
          <w:p w14:paraId="79189D6A" w14:textId="47FDDDF0" w:rsidR="001B09FA" w:rsidRDefault="001B09FA" w:rsidP="00C27602">
            <w:r>
              <w:t>5</w:t>
            </w:r>
          </w:p>
        </w:tc>
        <w:tc>
          <w:tcPr>
            <w:tcW w:w="5698" w:type="dxa"/>
          </w:tcPr>
          <w:p w14:paraId="405BDB73" w14:textId="59F32A73" w:rsidR="001B09FA" w:rsidRDefault="00400DBB" w:rsidP="00C27602">
            <w:r>
              <w:t>The language shall allow the user to generate simple visualizations of pre-defined metrics to support market reporting</w:t>
            </w:r>
            <w:r w:rsidR="00D43932">
              <w:t xml:space="preserve"> </w:t>
            </w:r>
            <w:r w:rsidR="001C4342" w:rsidRPr="001C4342">
              <w:rPr>
                <w:i/>
                <w:iCs/>
              </w:rPr>
              <w:t xml:space="preserve">(possible </w:t>
            </w:r>
            <w:r w:rsidR="00D43932" w:rsidRPr="001C4342">
              <w:rPr>
                <w:i/>
                <w:iCs/>
              </w:rPr>
              <w:t>examples</w:t>
            </w:r>
            <w:r w:rsidRPr="001C4342">
              <w:rPr>
                <w:i/>
                <w:iCs/>
              </w:rPr>
              <w:t xml:space="preserve"> </w:t>
            </w:r>
            <w:r w:rsidR="001C4342" w:rsidRPr="001C4342">
              <w:rPr>
                <w:i/>
                <w:iCs/>
              </w:rPr>
              <w:t>include</w:t>
            </w:r>
            <w:r w:rsidRPr="001C4342">
              <w:rPr>
                <w:i/>
                <w:iCs/>
              </w:rPr>
              <w:t xml:space="preserve"> generating fleet fuel-mix or capacity of generation on </w:t>
            </w:r>
            <w:r w:rsidR="002B3236" w:rsidRPr="001C4342">
              <w:rPr>
                <w:i/>
                <w:iCs/>
              </w:rPr>
              <w:t>outage or</w:t>
            </w:r>
            <w:r w:rsidRPr="001C4342">
              <w:rPr>
                <w:i/>
                <w:iCs/>
              </w:rPr>
              <w:t xml:space="preserve"> locating generating facilities or constraints on a cartographic map</w:t>
            </w:r>
            <w:r w:rsidR="001C4342" w:rsidRPr="001C4342">
              <w:rPr>
                <w:i/>
                <w:iCs/>
              </w:rPr>
              <w:t>).</w:t>
            </w:r>
          </w:p>
        </w:tc>
        <w:tc>
          <w:tcPr>
            <w:tcW w:w="3117" w:type="dxa"/>
          </w:tcPr>
          <w:p w14:paraId="1EFEB301" w14:textId="655ED302" w:rsidR="001B09FA" w:rsidRDefault="00400DBB" w:rsidP="00494A08">
            <w:pPr>
              <w:keepNext/>
            </w:pPr>
            <w:r>
              <w:t xml:space="preserve">The user can create </w:t>
            </w:r>
            <w:r w:rsidR="0073375B">
              <w:t>certain</w:t>
            </w:r>
            <w:r>
              <w:t xml:space="preserve"> pre-defined visualizations that provide metrics for market reporting.</w:t>
            </w:r>
          </w:p>
        </w:tc>
      </w:tr>
    </w:tbl>
    <w:p w14:paraId="6565B54C" w14:textId="386E8240" w:rsidR="00C27602" w:rsidRPr="00494A08" w:rsidRDefault="00494A08" w:rsidP="00494A08">
      <w:pPr>
        <w:pStyle w:val="Caption"/>
        <w:jc w:val="center"/>
        <w:rPr>
          <w:i w:val="0"/>
          <w:iCs w:val="0"/>
          <w:color w:val="auto"/>
        </w:rPr>
      </w:pPr>
      <w:bookmarkStart w:id="10" w:name="_Ref236815979"/>
      <w:r w:rsidRPr="00494A08">
        <w:rPr>
          <w:i w:val="0"/>
          <w:iCs w:val="0"/>
          <w:color w:val="auto"/>
        </w:rPr>
        <w:t xml:space="preserve">Table </w:t>
      </w:r>
      <w:r w:rsidR="007E3238">
        <w:rPr>
          <w:i w:val="0"/>
          <w:iCs w:val="0"/>
          <w:color w:val="auto"/>
        </w:rPr>
        <w:fldChar w:fldCharType="begin"/>
      </w:r>
      <w:r w:rsidR="007E3238">
        <w:rPr>
          <w:i w:val="0"/>
          <w:iCs w:val="0"/>
          <w:color w:val="auto"/>
        </w:rPr>
        <w:instrText xml:space="preserve"> SEQ Table \* ARABIC </w:instrText>
      </w:r>
      <w:r w:rsidR="007E3238">
        <w:rPr>
          <w:i w:val="0"/>
          <w:iCs w:val="0"/>
          <w:color w:val="auto"/>
        </w:rPr>
        <w:fldChar w:fldCharType="separate"/>
      </w:r>
      <w:r w:rsidR="007E3238">
        <w:rPr>
          <w:i w:val="0"/>
          <w:iCs w:val="0"/>
          <w:noProof/>
          <w:color w:val="auto"/>
        </w:rPr>
        <w:t>6</w:t>
      </w:r>
      <w:r w:rsidR="007E3238">
        <w:rPr>
          <w:i w:val="0"/>
          <w:iCs w:val="0"/>
          <w:color w:val="auto"/>
        </w:rPr>
        <w:fldChar w:fldCharType="end"/>
      </w:r>
      <w:bookmarkEnd w:id="10"/>
      <w:r w:rsidRPr="00494A08">
        <w:rPr>
          <w:i w:val="0"/>
          <w:iCs w:val="0"/>
          <w:color w:val="auto"/>
        </w:rPr>
        <w:t>. Derived DSL Requirements</w:t>
      </w:r>
    </w:p>
    <w:p w14:paraId="4DF16B5C" w14:textId="733B48FE" w:rsidR="00C27602" w:rsidRPr="00C27602" w:rsidRDefault="00C27602" w:rsidP="00C27602">
      <w:r>
        <w:t>From these requirements, the following use cases were selected</w:t>
      </w:r>
      <w:r w:rsidR="00D7354E">
        <w:t xml:space="preserve"> for this paper</w:t>
      </w:r>
      <w:r>
        <w:t>. These</w:t>
      </w:r>
      <w:r w:rsidR="00161086">
        <w:t xml:space="preserve"> are intended to </w:t>
      </w:r>
      <w:r w:rsidR="00731F14">
        <w:t>show</w:t>
      </w:r>
      <w:r w:rsidR="00161086">
        <w:t xml:space="preserve"> that the </w:t>
      </w:r>
      <w:r w:rsidR="00D86591">
        <w:t>proof</w:t>
      </w:r>
      <w:r w:rsidR="00731F14">
        <w:t xml:space="preserve"> </w:t>
      </w:r>
      <w:r w:rsidR="00D86591">
        <w:t>of</w:t>
      </w:r>
      <w:r w:rsidR="00731F14">
        <w:t xml:space="preserve"> </w:t>
      </w:r>
      <w:r w:rsidR="00D86591">
        <w:t>concept can support the listed requirements.</w:t>
      </w:r>
    </w:p>
    <w:p w14:paraId="51D7F70B" w14:textId="6DB85766" w:rsidR="000E6AAF" w:rsidRDefault="000E6AAF" w:rsidP="00340E59">
      <w:pPr>
        <w:pStyle w:val="ListParagraph"/>
        <w:numPr>
          <w:ilvl w:val="0"/>
          <w:numId w:val="15"/>
        </w:numPr>
      </w:pPr>
      <w:r>
        <w:t xml:space="preserve">Data </w:t>
      </w:r>
      <w:r w:rsidR="00D86591">
        <w:t>loading</w:t>
      </w:r>
    </w:p>
    <w:p w14:paraId="3093B212" w14:textId="7F759335" w:rsidR="000E6AAF" w:rsidRDefault="000E6AAF" w:rsidP="00340E59">
      <w:pPr>
        <w:pStyle w:val="ListParagraph"/>
        <w:numPr>
          <w:ilvl w:val="0"/>
          <w:numId w:val="15"/>
        </w:numPr>
      </w:pPr>
      <w:r>
        <w:t xml:space="preserve">Beginner-friendly data </w:t>
      </w:r>
      <w:r w:rsidRPr="00161086">
        <w:t>traceability</w:t>
      </w:r>
    </w:p>
    <w:p w14:paraId="77CFA4E5" w14:textId="2D015C44" w:rsidR="00F94E28" w:rsidRDefault="00F94E28" w:rsidP="00340E59">
      <w:pPr>
        <w:pStyle w:val="ListParagraph"/>
        <w:numPr>
          <w:ilvl w:val="0"/>
          <w:numId w:val="15"/>
        </w:numPr>
      </w:pPr>
      <w:r>
        <w:t>Basic data visualization generation</w:t>
      </w:r>
    </w:p>
    <w:p w14:paraId="2C93677F" w14:textId="6C287EB2" w:rsidR="00E51D22" w:rsidRDefault="00CA78FE" w:rsidP="002D5DD6">
      <w:pPr>
        <w:pStyle w:val="Heading1"/>
      </w:pPr>
      <w:bookmarkStart w:id="11" w:name="_heading=h.3n1hn86yzluu" w:colFirst="0" w:colLast="0"/>
      <w:bookmarkEnd w:id="11"/>
      <w:r>
        <w:t xml:space="preserve">DOMAIN-SPECIFIC LANGUAGE </w:t>
      </w:r>
      <w:r w:rsidR="00B241FF">
        <w:t>DESIGN</w:t>
      </w:r>
    </w:p>
    <w:p w14:paraId="5D0E18A5" w14:textId="49C0CE6E" w:rsidR="00435FE1" w:rsidRDefault="00DF6F0D" w:rsidP="00435FE1">
      <w:r>
        <w:t xml:space="preserve">The sample language that we propose, </w:t>
      </w:r>
      <w:r w:rsidR="00492747">
        <w:rPr>
          <w:i/>
          <w:iCs/>
        </w:rPr>
        <w:t>MLang</w:t>
      </w:r>
      <w:r>
        <w:t xml:space="preserve"> (“Monitor Language”), uses a simple, declarative syntax that users of SQL </w:t>
      </w:r>
      <w:r w:rsidR="00F14F27">
        <w:t>may</w:t>
      </w:r>
      <w:r>
        <w:t xml:space="preserve"> find familiar.</w:t>
      </w:r>
      <w:r w:rsidR="003432BF">
        <w:t xml:space="preserve"> </w:t>
      </w:r>
      <w:r w:rsidR="00684498">
        <w:t>See</w:t>
      </w:r>
      <w:r w:rsidR="00435FE1">
        <w:t xml:space="preserve"> Appendix A for an example of the Lark grammar used to build out the initial functionality of </w:t>
      </w:r>
      <w:r w:rsidR="00004337">
        <w:t>MLang</w:t>
      </w:r>
      <w:r w:rsidR="00C121D7">
        <w:t xml:space="preserve">, and Appendix B for a sample </w:t>
      </w:r>
      <w:r w:rsidR="00004337">
        <w:t xml:space="preserve">MLang </w:t>
      </w:r>
      <w:r w:rsidR="00C121D7">
        <w:t>program.</w:t>
      </w:r>
      <w:r w:rsidR="00435FE1">
        <w:t xml:space="preserve"> </w:t>
      </w:r>
      <w:r w:rsidR="001D1080">
        <w:t xml:space="preserve">The language tooling uses basic logic to determine if SAS code should be written “on the fly” (for simple statements) or import pre-written macro templates for complex or multi-step operations. </w:t>
      </w:r>
    </w:p>
    <w:p w14:paraId="499E18AA" w14:textId="77777777" w:rsidR="0064155A" w:rsidRDefault="0064155A" w:rsidP="0064155A">
      <w:pPr>
        <w:keepNext/>
        <w:jc w:val="center"/>
      </w:pPr>
      <w:r w:rsidRPr="0064155A">
        <w:rPr>
          <w:noProof/>
        </w:rPr>
        <w:drawing>
          <wp:inline distT="0" distB="0" distL="0" distR="0" wp14:anchorId="6A6BC1AD" wp14:editId="612630E5">
            <wp:extent cx="6073111" cy="1948738"/>
            <wp:effectExtent l="19050" t="19050" r="23495" b="13970"/>
            <wp:docPr id="107354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2142" name=""/>
                    <pic:cNvPicPr/>
                  </pic:nvPicPr>
                  <pic:blipFill>
                    <a:blip r:embed="rId9"/>
                    <a:stretch>
                      <a:fillRect/>
                    </a:stretch>
                  </pic:blipFill>
                  <pic:spPr>
                    <a:xfrm>
                      <a:off x="0" y="0"/>
                      <a:ext cx="6112392" cy="1961343"/>
                    </a:xfrm>
                    <a:prstGeom prst="rect">
                      <a:avLst/>
                    </a:prstGeom>
                    <a:ln>
                      <a:solidFill>
                        <a:schemeClr val="tx1"/>
                      </a:solidFill>
                    </a:ln>
                  </pic:spPr>
                </pic:pic>
              </a:graphicData>
            </a:graphic>
          </wp:inline>
        </w:drawing>
      </w:r>
    </w:p>
    <w:p w14:paraId="572E7A36" w14:textId="0AF45052" w:rsidR="00BD2E6D" w:rsidRPr="0064155A" w:rsidRDefault="0064155A" w:rsidP="0064155A">
      <w:pPr>
        <w:pStyle w:val="Caption"/>
        <w:jc w:val="center"/>
        <w:rPr>
          <w:i w:val="0"/>
          <w:iCs w:val="0"/>
          <w:color w:val="auto"/>
        </w:rPr>
      </w:pPr>
      <w:bookmarkStart w:id="12" w:name="_Ref239853152"/>
      <w:r w:rsidRPr="0064155A">
        <w:rPr>
          <w:i w:val="0"/>
          <w:iCs w:val="0"/>
          <w:color w:val="auto"/>
        </w:rPr>
        <w:t xml:space="preserve">Figure </w:t>
      </w:r>
      <w:r w:rsidRPr="0064155A">
        <w:rPr>
          <w:i w:val="0"/>
          <w:iCs w:val="0"/>
          <w:color w:val="auto"/>
        </w:rPr>
        <w:fldChar w:fldCharType="begin"/>
      </w:r>
      <w:r w:rsidRPr="0064155A">
        <w:rPr>
          <w:i w:val="0"/>
          <w:iCs w:val="0"/>
          <w:color w:val="auto"/>
        </w:rPr>
        <w:instrText xml:space="preserve"> SEQ Figure \* ARABIC </w:instrText>
      </w:r>
      <w:r w:rsidRPr="0064155A">
        <w:rPr>
          <w:i w:val="0"/>
          <w:iCs w:val="0"/>
          <w:color w:val="auto"/>
        </w:rPr>
        <w:fldChar w:fldCharType="separate"/>
      </w:r>
      <w:r w:rsidR="0022171E">
        <w:rPr>
          <w:i w:val="0"/>
          <w:iCs w:val="0"/>
          <w:noProof/>
          <w:color w:val="auto"/>
        </w:rPr>
        <w:t>1</w:t>
      </w:r>
      <w:r w:rsidRPr="0064155A">
        <w:rPr>
          <w:i w:val="0"/>
          <w:iCs w:val="0"/>
          <w:color w:val="auto"/>
        </w:rPr>
        <w:fldChar w:fldCharType="end"/>
      </w:r>
      <w:bookmarkEnd w:id="12"/>
      <w:r w:rsidRPr="0064155A">
        <w:rPr>
          <w:i w:val="0"/>
          <w:iCs w:val="0"/>
          <w:color w:val="auto"/>
        </w:rPr>
        <w:t>. Templated SAS Code ("Tag Search")</w:t>
      </w:r>
      <w:r>
        <w:rPr>
          <w:rStyle w:val="FootnoteReference"/>
          <w:i w:val="0"/>
          <w:iCs w:val="0"/>
          <w:color w:val="auto"/>
        </w:rPr>
        <w:footnoteReference w:id="8"/>
      </w:r>
    </w:p>
    <w:p w14:paraId="6AF3A887" w14:textId="40439815" w:rsidR="00435FE1" w:rsidRPr="00BD2E6D" w:rsidRDefault="00435FE1" w:rsidP="00BD2E6D">
      <w:pPr>
        <w:pStyle w:val="Caption"/>
        <w:jc w:val="center"/>
        <w:rPr>
          <w:i w:val="0"/>
          <w:iCs w:val="0"/>
          <w:color w:val="auto"/>
        </w:rPr>
      </w:pPr>
    </w:p>
    <w:p w14:paraId="61426DF8" w14:textId="77777777" w:rsidR="00435FE1" w:rsidRDefault="00435FE1" w:rsidP="00435FE1">
      <w:pPr>
        <w:keepNext/>
        <w:jc w:val="center"/>
      </w:pPr>
      <w:r w:rsidRPr="00435FE1">
        <w:rPr>
          <w:noProof/>
        </w:rPr>
        <w:lastRenderedPageBreak/>
        <w:drawing>
          <wp:inline distT="0" distB="0" distL="0" distR="0" wp14:anchorId="1965313A" wp14:editId="6A84948E">
            <wp:extent cx="4810125" cy="3362976"/>
            <wp:effectExtent l="19050" t="19050" r="9525" b="27940"/>
            <wp:docPr id="170285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56087" name=""/>
                    <pic:cNvPicPr/>
                  </pic:nvPicPr>
                  <pic:blipFill>
                    <a:blip r:embed="rId10"/>
                    <a:stretch>
                      <a:fillRect/>
                    </a:stretch>
                  </pic:blipFill>
                  <pic:spPr>
                    <a:xfrm>
                      <a:off x="0" y="0"/>
                      <a:ext cx="4823682" cy="3372454"/>
                    </a:xfrm>
                    <a:prstGeom prst="rect">
                      <a:avLst/>
                    </a:prstGeom>
                    <a:ln>
                      <a:solidFill>
                        <a:schemeClr val="tx1"/>
                      </a:solidFill>
                    </a:ln>
                  </pic:spPr>
                </pic:pic>
              </a:graphicData>
            </a:graphic>
          </wp:inline>
        </w:drawing>
      </w:r>
    </w:p>
    <w:p w14:paraId="692DD14B" w14:textId="3799C39A" w:rsidR="00435FE1" w:rsidRPr="00435FE1" w:rsidRDefault="00435FE1" w:rsidP="00435FE1">
      <w:pPr>
        <w:pStyle w:val="Caption"/>
        <w:jc w:val="center"/>
        <w:rPr>
          <w:i w:val="0"/>
          <w:iCs w:val="0"/>
          <w:color w:val="auto"/>
        </w:rPr>
      </w:pPr>
      <w:bookmarkStart w:id="13" w:name="_Ref239778673"/>
      <w:r w:rsidRPr="00435FE1">
        <w:rPr>
          <w:i w:val="0"/>
          <w:iCs w:val="0"/>
          <w:color w:val="auto"/>
        </w:rPr>
        <w:t xml:space="preserve">Figure </w:t>
      </w:r>
      <w:r w:rsidRPr="00435FE1">
        <w:rPr>
          <w:i w:val="0"/>
          <w:iCs w:val="0"/>
          <w:color w:val="auto"/>
        </w:rPr>
        <w:fldChar w:fldCharType="begin"/>
      </w:r>
      <w:r w:rsidRPr="00435FE1">
        <w:rPr>
          <w:i w:val="0"/>
          <w:iCs w:val="0"/>
          <w:color w:val="auto"/>
        </w:rPr>
        <w:instrText xml:space="preserve"> SEQ Figure \* ARABIC </w:instrText>
      </w:r>
      <w:r w:rsidRPr="00435FE1">
        <w:rPr>
          <w:i w:val="0"/>
          <w:iCs w:val="0"/>
          <w:color w:val="auto"/>
        </w:rPr>
        <w:fldChar w:fldCharType="separate"/>
      </w:r>
      <w:r w:rsidR="0022171E">
        <w:rPr>
          <w:i w:val="0"/>
          <w:iCs w:val="0"/>
          <w:noProof/>
          <w:color w:val="auto"/>
        </w:rPr>
        <w:t>2</w:t>
      </w:r>
      <w:r w:rsidRPr="00435FE1">
        <w:rPr>
          <w:i w:val="0"/>
          <w:iCs w:val="0"/>
          <w:color w:val="auto"/>
        </w:rPr>
        <w:fldChar w:fldCharType="end"/>
      </w:r>
      <w:bookmarkEnd w:id="13"/>
      <w:r w:rsidR="00E54301">
        <w:rPr>
          <w:i w:val="0"/>
          <w:iCs w:val="0"/>
          <w:color w:val="auto"/>
        </w:rPr>
        <w:t xml:space="preserve">. </w:t>
      </w:r>
      <w:r w:rsidR="00F5496E">
        <w:rPr>
          <w:rFonts w:ascii="Courier New" w:hAnsi="Courier New" w:cs="Courier New"/>
          <w:i w:val="0"/>
          <w:iCs w:val="0"/>
          <w:color w:val="auto"/>
        </w:rPr>
        <w:t>i</w:t>
      </w:r>
      <w:r w:rsidRPr="00A84334">
        <w:rPr>
          <w:rFonts w:ascii="Courier New" w:hAnsi="Courier New" w:cs="Courier New"/>
          <w:i w:val="0"/>
          <w:iCs w:val="0"/>
          <w:color w:val="auto"/>
        </w:rPr>
        <w:t>mport_dataset_basic.sas</w:t>
      </w:r>
      <w:r w:rsidRPr="00435FE1">
        <w:rPr>
          <w:i w:val="0"/>
          <w:iCs w:val="0"/>
          <w:color w:val="auto"/>
        </w:rPr>
        <w:t xml:space="preserve"> </w:t>
      </w:r>
      <w:r w:rsidR="00C121D7">
        <w:rPr>
          <w:i w:val="0"/>
          <w:iCs w:val="0"/>
          <w:color w:val="auto"/>
        </w:rPr>
        <w:t>(predefined macro)</w:t>
      </w:r>
    </w:p>
    <w:p w14:paraId="29EA619B" w14:textId="5172F4F8" w:rsidR="00435FE1" w:rsidRDefault="00D63F07" w:rsidP="00C735DA">
      <w:r>
        <w:fldChar w:fldCharType="begin"/>
      </w:r>
      <w:r>
        <w:instrText xml:space="preserve"> REF _Ref239853152 \h  \* MERGEFORMAT </w:instrText>
      </w:r>
      <w:r>
        <w:fldChar w:fldCharType="separate"/>
      </w:r>
      <w:r w:rsidRPr="0064155A">
        <w:t xml:space="preserve">Figure </w:t>
      </w:r>
      <w:r w:rsidRPr="00D63F07">
        <w:t>1</w:t>
      </w:r>
      <w:r>
        <w:fldChar w:fldCharType="end"/>
      </w:r>
      <w:r>
        <w:t xml:space="preserve"> </w:t>
      </w:r>
      <w:r w:rsidR="00435FE1">
        <w:t xml:space="preserve">shows an example of dynamically substituted code (injected directly into the SAS program) while </w:t>
      </w:r>
      <w:r w:rsidR="00435FE1">
        <w:fldChar w:fldCharType="begin"/>
      </w:r>
      <w:r w:rsidR="00435FE1">
        <w:instrText xml:space="preserve"> REF _Ref239778673 \h  \* MERGEFORMAT </w:instrText>
      </w:r>
      <w:r w:rsidR="00435FE1">
        <w:fldChar w:fldCharType="separate"/>
      </w:r>
      <w:r w:rsidRPr="00435FE1">
        <w:t xml:space="preserve">Figure </w:t>
      </w:r>
      <w:r w:rsidRPr="00D63F07">
        <w:t>2</w:t>
      </w:r>
      <w:r w:rsidR="00435FE1">
        <w:fldChar w:fldCharType="end"/>
      </w:r>
      <w:r w:rsidR="00435FE1">
        <w:t xml:space="preserve"> displays </w:t>
      </w:r>
      <w:r w:rsidR="00435FE1" w:rsidRPr="001D1080">
        <w:rPr>
          <w:rFonts w:ascii="Courier New" w:hAnsi="Courier New" w:cs="Courier New"/>
        </w:rPr>
        <w:t>import_dataset_basic.sas</w:t>
      </w:r>
      <w:r w:rsidR="00435FE1">
        <w:t xml:space="preserve">, a pre-written macro (utilizing PROC IMPORT) that </w:t>
      </w:r>
      <w:r w:rsidR="00004337">
        <w:t xml:space="preserve">MLang </w:t>
      </w:r>
      <w:r w:rsidR="00435FE1">
        <w:t>leverages to create new data sets from CSV files.</w:t>
      </w:r>
    </w:p>
    <w:p w14:paraId="4DA5C183" w14:textId="6FDAB46D" w:rsidR="00E51D22" w:rsidRDefault="00B241FF" w:rsidP="00B241FF">
      <w:pPr>
        <w:pStyle w:val="Heading3"/>
      </w:pPr>
      <w:r>
        <w:t>Transpiler Implementation</w:t>
      </w:r>
    </w:p>
    <w:p w14:paraId="5238BA17" w14:textId="5E1B1D9D" w:rsidR="00E95050" w:rsidRDefault="00197D67" w:rsidP="00626242">
      <w:r>
        <w:t>To implement this domain-specific language, the researchers used two (2) main technologies: Python (including the Lark parser framework</w:t>
      </w:r>
      <w:r w:rsidR="00B3571A">
        <w:t xml:space="preserve"> [</w:t>
      </w:r>
      <w:r w:rsidR="00F44CEF">
        <w:t>7</w:t>
      </w:r>
      <w:r w:rsidR="00B3571A">
        <w:t>]</w:t>
      </w:r>
      <w:r>
        <w:t xml:space="preserve">) and the SAS® OnDemand for Academics (SODA) </w:t>
      </w:r>
      <w:r w:rsidR="00B3571A">
        <w:t>[</w:t>
      </w:r>
      <w:r w:rsidR="00F44CEF">
        <w:t>8</w:t>
      </w:r>
      <w:r w:rsidR="00B3571A">
        <w:t xml:space="preserve">] </w:t>
      </w:r>
      <w:r>
        <w:t xml:space="preserve">environment. </w:t>
      </w:r>
      <w:r w:rsidR="00213202">
        <w:t xml:space="preserve">The authors created a Python </w:t>
      </w:r>
      <w:r w:rsidR="00A97192">
        <w:t>program</w:t>
      </w:r>
      <w:r w:rsidR="00213202">
        <w:t xml:space="preserve"> that defines the grammar of the DSL, builds the lexer</w:t>
      </w:r>
      <w:r w:rsidR="00DE7CC9">
        <w:rPr>
          <w:rStyle w:val="FootnoteReference"/>
        </w:rPr>
        <w:footnoteReference w:id="9"/>
      </w:r>
      <w:r w:rsidR="00213202">
        <w:t>, parser, and transpiler, and then outputs valid SAS code. The code is then uploaded to SODA to check for execution errors and to retrieve any results.</w:t>
      </w:r>
      <w:r w:rsidR="00CA2204">
        <w:t xml:space="preserve"> </w:t>
      </w:r>
      <w:r w:rsidR="00E617B7">
        <w:fldChar w:fldCharType="begin"/>
      </w:r>
      <w:r w:rsidR="00E617B7">
        <w:instrText xml:space="preserve"> REF _Ref239854979 \h  \* MERGEFORMAT </w:instrText>
      </w:r>
      <w:r w:rsidR="00E617B7">
        <w:fldChar w:fldCharType="separate"/>
      </w:r>
      <w:r w:rsidR="00E617B7" w:rsidRPr="00E617B7">
        <w:t>Figure 3</w:t>
      </w:r>
      <w:r w:rsidR="00E617B7">
        <w:fldChar w:fldCharType="end"/>
      </w:r>
      <w:r w:rsidR="00E617B7">
        <w:t xml:space="preserve"> illustrates the </w:t>
      </w:r>
      <w:r w:rsidR="00CA2204">
        <w:t xml:space="preserve">process of transpiling </w:t>
      </w:r>
      <w:r w:rsidR="000B1B58">
        <w:t>MLang</w:t>
      </w:r>
      <w:r w:rsidR="00CA2204">
        <w:t xml:space="preserve"> code into valid SAS code.</w:t>
      </w:r>
      <w:r w:rsidR="001D1080">
        <w:t xml:space="preserve"> In addition to producing a SAS output file, the transpiler program also produces error log and warning log files that help the user determine if there are issues with their </w:t>
      </w:r>
      <w:r w:rsidR="00004337">
        <w:t xml:space="preserve">MLang </w:t>
      </w:r>
      <w:r w:rsidR="001D1080">
        <w:t>logic.</w:t>
      </w:r>
    </w:p>
    <w:p w14:paraId="2FB6C5E5" w14:textId="74DCA358" w:rsidR="002011CB" w:rsidRDefault="002011CB" w:rsidP="002011CB">
      <w:r>
        <w:t xml:space="preserve">Other researchers have investigated programmatically analyzing SAS syntax before. Khorlo has </w:t>
      </w:r>
      <w:r w:rsidR="00CC644F">
        <w:t xml:space="preserve">rigorously </w:t>
      </w:r>
      <w:r>
        <w:t xml:space="preserve">demonstrated the viability of transpiling SAS code into Lua (executable via PROC LUA) using ANTLR (Another Tool for Language Recognition – a parser generator built upon the JVM) [9] [10]. Our implementation builds upon this idea </w:t>
      </w:r>
      <w:r w:rsidR="00CC644F">
        <w:t>from an alternate perspective</w:t>
      </w:r>
      <w:r>
        <w:t xml:space="preserve">: </w:t>
      </w:r>
      <w:r w:rsidR="00C27579">
        <w:t>transpiling</w:t>
      </w:r>
      <w:r>
        <w:t xml:space="preserve"> a custom grammar into SAS code.</w:t>
      </w:r>
    </w:p>
    <w:p w14:paraId="11D2A422" w14:textId="02748D48" w:rsidR="002011CB" w:rsidRDefault="002011CB" w:rsidP="002011CB">
      <w:r>
        <w:t>To support testing the use cases of the transpiler program, the authors utilized data from EIA Form 860 (provided by the Energy Information Authority – EIA</w:t>
      </w:r>
      <w:r w:rsidR="00CC6585">
        <w:t>).</w:t>
      </w:r>
      <w:r>
        <w:t xml:space="preserve"> EIA</w:t>
      </w:r>
      <w:r w:rsidR="00CC6585">
        <w:t xml:space="preserve"> </w:t>
      </w:r>
      <w:r>
        <w:t>provides a</w:t>
      </w:r>
      <w:r w:rsidR="00CC6585">
        <w:t xml:space="preserve"> detailed annual </w:t>
      </w:r>
      <w:r>
        <w:t>report “on the status of existing electric generating plants and associated equipment in the United States…” [11]. Additionally, data provided in the EIA forms contain data quality problems (varying formatting techniques, excessively long field names, inconsistent flags, etc.) that serve to showcase the data quality improvement tools that the DSL provides.</w:t>
      </w:r>
    </w:p>
    <w:p w14:paraId="65EB4B9A" w14:textId="48DE9D05" w:rsidR="001D1080" w:rsidRDefault="001D1080" w:rsidP="002011CB">
      <w:r>
        <w:t xml:space="preserve">Data provided by EIA Form 860 includes useful parameters such as: </w:t>
      </w:r>
    </w:p>
    <w:p w14:paraId="2850AF44" w14:textId="6C12FB73" w:rsidR="001D1080" w:rsidRDefault="001D1080" w:rsidP="001D1080">
      <w:pPr>
        <w:pStyle w:val="ListParagraph"/>
        <w:numPr>
          <w:ilvl w:val="0"/>
          <w:numId w:val="15"/>
        </w:numPr>
      </w:pPr>
      <w:r>
        <w:t>Utility ownership of generating plants and resources</w:t>
      </w:r>
    </w:p>
    <w:p w14:paraId="110CC036" w14:textId="26F2ECAA" w:rsidR="001D1080" w:rsidRDefault="00A14013" w:rsidP="001D1080">
      <w:pPr>
        <w:pStyle w:val="ListParagraph"/>
        <w:numPr>
          <w:ilvl w:val="0"/>
          <w:numId w:val="15"/>
        </w:numPr>
      </w:pPr>
      <w:r>
        <w:lastRenderedPageBreak/>
        <w:t>Generator</w:t>
      </w:r>
      <w:r w:rsidR="001D1080">
        <w:t xml:space="preserve"> physical parameters (nameplate capacity, seasonal capacity, etc.)</w:t>
      </w:r>
    </w:p>
    <w:p w14:paraId="214D5B5D" w14:textId="10E38748" w:rsidR="002011CB" w:rsidRDefault="001D1080" w:rsidP="00626242">
      <w:pPr>
        <w:pStyle w:val="ListParagraph"/>
        <w:numPr>
          <w:ilvl w:val="0"/>
          <w:numId w:val="15"/>
        </w:numPr>
      </w:pPr>
      <w:r>
        <w:t>Generat</w:t>
      </w:r>
      <w:r w:rsidR="00D7354E">
        <w:t>or</w:t>
      </w:r>
      <w:r>
        <w:t xml:space="preserve"> fuel types and technology</w:t>
      </w:r>
      <w:r w:rsidR="00D7354E">
        <w:t xml:space="preserve"> (e.g. </w:t>
      </w:r>
      <w:r w:rsidR="00A14013">
        <w:t>natural</w:t>
      </w:r>
      <w:r w:rsidR="00D7354E">
        <w:t xml:space="preserve"> gas steam turbine, </w:t>
      </w:r>
      <w:r w:rsidR="00A14013">
        <w:t>natural</w:t>
      </w:r>
      <w:r w:rsidR="00D7354E">
        <w:t xml:space="preserve"> gas combined cycle, etc.)</w:t>
      </w:r>
    </w:p>
    <w:p w14:paraId="0BD6818F" w14:textId="77777777" w:rsidR="00C16545" w:rsidRDefault="002011CB" w:rsidP="00C16545">
      <w:pPr>
        <w:keepNext/>
        <w:jc w:val="center"/>
      </w:pPr>
      <w:r>
        <w:rPr>
          <w:noProof/>
        </w:rPr>
        <w:drawing>
          <wp:inline distT="0" distB="0" distL="0" distR="0" wp14:anchorId="691DD34C" wp14:editId="586F7D43">
            <wp:extent cx="4304234" cy="3927830"/>
            <wp:effectExtent l="19050" t="19050" r="20320" b="15875"/>
            <wp:docPr id="61966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0919" cy="3961307"/>
                    </a:xfrm>
                    <a:prstGeom prst="rect">
                      <a:avLst/>
                    </a:prstGeom>
                    <a:noFill/>
                    <a:ln>
                      <a:solidFill>
                        <a:schemeClr val="tx1"/>
                      </a:solidFill>
                    </a:ln>
                  </pic:spPr>
                </pic:pic>
              </a:graphicData>
            </a:graphic>
          </wp:inline>
        </w:drawing>
      </w:r>
    </w:p>
    <w:p w14:paraId="28029007" w14:textId="34764CC3" w:rsidR="002011CB" w:rsidRPr="00C16545" w:rsidRDefault="00C16545" w:rsidP="00C16545">
      <w:pPr>
        <w:pStyle w:val="Caption"/>
        <w:jc w:val="center"/>
        <w:rPr>
          <w:i w:val="0"/>
          <w:iCs w:val="0"/>
          <w:color w:val="auto"/>
        </w:rPr>
      </w:pPr>
      <w:bookmarkStart w:id="14" w:name="_Ref239854979"/>
      <w:r w:rsidRPr="00C16545">
        <w:rPr>
          <w:i w:val="0"/>
          <w:iCs w:val="0"/>
          <w:color w:val="auto"/>
        </w:rPr>
        <w:t xml:space="preserve">Figure </w:t>
      </w:r>
      <w:r w:rsidRPr="00C16545">
        <w:rPr>
          <w:i w:val="0"/>
          <w:iCs w:val="0"/>
          <w:color w:val="auto"/>
        </w:rPr>
        <w:fldChar w:fldCharType="begin"/>
      </w:r>
      <w:r w:rsidRPr="00C16545">
        <w:rPr>
          <w:i w:val="0"/>
          <w:iCs w:val="0"/>
          <w:color w:val="auto"/>
        </w:rPr>
        <w:instrText xml:space="preserve"> SEQ Figure \* ARABIC </w:instrText>
      </w:r>
      <w:r w:rsidRPr="00C16545">
        <w:rPr>
          <w:i w:val="0"/>
          <w:iCs w:val="0"/>
          <w:color w:val="auto"/>
        </w:rPr>
        <w:fldChar w:fldCharType="separate"/>
      </w:r>
      <w:r w:rsidR="0022171E">
        <w:rPr>
          <w:i w:val="0"/>
          <w:iCs w:val="0"/>
          <w:noProof/>
          <w:color w:val="auto"/>
        </w:rPr>
        <w:t>3</w:t>
      </w:r>
      <w:r w:rsidRPr="00C16545">
        <w:rPr>
          <w:i w:val="0"/>
          <w:iCs w:val="0"/>
          <w:color w:val="auto"/>
        </w:rPr>
        <w:fldChar w:fldCharType="end"/>
      </w:r>
      <w:bookmarkEnd w:id="14"/>
      <w:r w:rsidRPr="00C16545">
        <w:rPr>
          <w:i w:val="0"/>
          <w:iCs w:val="0"/>
          <w:color w:val="auto"/>
        </w:rPr>
        <w:t xml:space="preserve">. </w:t>
      </w:r>
      <w:r w:rsidR="00004337" w:rsidRPr="00004337">
        <w:rPr>
          <w:i w:val="0"/>
          <w:iCs w:val="0"/>
          <w:color w:val="auto"/>
        </w:rPr>
        <w:t>MLang</w:t>
      </w:r>
      <w:r w:rsidR="00004337" w:rsidRPr="00C16545">
        <w:rPr>
          <w:i w:val="0"/>
          <w:iCs w:val="0"/>
          <w:color w:val="auto"/>
        </w:rPr>
        <w:t xml:space="preserve"> </w:t>
      </w:r>
      <w:r w:rsidRPr="00C16545">
        <w:rPr>
          <w:i w:val="0"/>
          <w:iCs w:val="0"/>
          <w:color w:val="auto"/>
        </w:rPr>
        <w:t>Transpiler Architecture</w:t>
      </w:r>
    </w:p>
    <w:p w14:paraId="0F9AEA84" w14:textId="7236477A" w:rsidR="00F93176" w:rsidRDefault="00A23C8C" w:rsidP="00BD5F41">
      <w:pPr>
        <w:pStyle w:val="Heading3"/>
      </w:pPr>
      <w:r>
        <w:t>Execution Examples</w:t>
      </w:r>
    </w:p>
    <w:p w14:paraId="72C63961" w14:textId="1A1E8B8E" w:rsidR="00D63F07" w:rsidRDefault="00F2042E" w:rsidP="00EC2EE7">
      <w:r>
        <w:t xml:space="preserve">Following a run of the transpiler program, an output SAS file is produced. This file can be copied and executed by a user in a SAS environment. </w:t>
      </w:r>
      <w:r w:rsidR="00D63F07">
        <w:t xml:space="preserve">The transpiler includes a “preamble” </w:t>
      </w:r>
      <w:r w:rsidR="00CF3085">
        <w:t xml:space="preserve">(see </w:t>
      </w:r>
      <w:r w:rsidR="00CF3085">
        <w:fldChar w:fldCharType="begin"/>
      </w:r>
      <w:r w:rsidR="00CF3085">
        <w:instrText xml:space="preserve"> REF _Ref239853232 \h  \* MERGEFORMAT </w:instrText>
      </w:r>
      <w:r w:rsidR="00CF3085">
        <w:fldChar w:fldCharType="separate"/>
      </w:r>
      <w:r w:rsidR="00CF3085" w:rsidRPr="00CF3085">
        <w:t>Figure 4</w:t>
      </w:r>
      <w:r w:rsidR="00CF3085">
        <w:fldChar w:fldCharType="end"/>
      </w:r>
      <w:r w:rsidR="00CF3085">
        <w:t xml:space="preserve">) </w:t>
      </w:r>
      <w:r w:rsidR="00D63F07">
        <w:t xml:space="preserve">with boilerplate code to setup control variables and macros used in the rest of the programs. This functions </w:t>
      </w:r>
      <w:r w:rsidR="000717F7">
        <w:t>like</w:t>
      </w:r>
      <w:r w:rsidR="00D63F07">
        <w:t xml:space="preserve"> the </w:t>
      </w:r>
      <w:r w:rsidR="00D63F07">
        <w:rPr>
          <w:i/>
          <w:iCs/>
        </w:rPr>
        <w:t xml:space="preserve">autocall </w:t>
      </w:r>
      <w:r w:rsidR="00D63F07">
        <w:t xml:space="preserve">feature in SAS, explicitly setting up support code for </w:t>
      </w:r>
      <w:r w:rsidR="00A11ABE" w:rsidRPr="00A11ABE">
        <w:t>MLang</w:t>
      </w:r>
      <w:r w:rsidR="00D63F07">
        <w:t xml:space="preserve">. </w:t>
      </w:r>
    </w:p>
    <w:p w14:paraId="6D989653" w14:textId="77777777" w:rsidR="00D63F07" w:rsidRDefault="00D63F07" w:rsidP="00D63F07">
      <w:pPr>
        <w:keepNext/>
        <w:jc w:val="center"/>
      </w:pPr>
      <w:r w:rsidRPr="00D63F07">
        <w:rPr>
          <w:noProof/>
        </w:rPr>
        <w:drawing>
          <wp:inline distT="0" distB="0" distL="0" distR="0" wp14:anchorId="184DDBD2" wp14:editId="4A58833B">
            <wp:extent cx="4705350" cy="2256657"/>
            <wp:effectExtent l="19050" t="19050" r="19050" b="10795"/>
            <wp:docPr id="182499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4846" name=""/>
                    <pic:cNvPicPr/>
                  </pic:nvPicPr>
                  <pic:blipFill>
                    <a:blip r:embed="rId12"/>
                    <a:stretch>
                      <a:fillRect/>
                    </a:stretch>
                  </pic:blipFill>
                  <pic:spPr>
                    <a:xfrm>
                      <a:off x="0" y="0"/>
                      <a:ext cx="4769836" cy="2287584"/>
                    </a:xfrm>
                    <a:prstGeom prst="rect">
                      <a:avLst/>
                    </a:prstGeom>
                    <a:ln>
                      <a:solidFill>
                        <a:schemeClr val="tx1"/>
                      </a:solidFill>
                    </a:ln>
                  </pic:spPr>
                </pic:pic>
              </a:graphicData>
            </a:graphic>
          </wp:inline>
        </w:drawing>
      </w:r>
    </w:p>
    <w:p w14:paraId="677D1C1C" w14:textId="64C9C2E1" w:rsidR="00D63F07" w:rsidRPr="00D63F07" w:rsidRDefault="00D63F07" w:rsidP="00D63F07">
      <w:pPr>
        <w:pStyle w:val="Caption"/>
        <w:jc w:val="center"/>
        <w:rPr>
          <w:i w:val="0"/>
          <w:iCs w:val="0"/>
          <w:color w:val="auto"/>
        </w:rPr>
      </w:pPr>
      <w:bookmarkStart w:id="15" w:name="_Ref239853232"/>
      <w:r w:rsidRPr="00D63F07">
        <w:rPr>
          <w:i w:val="0"/>
          <w:iCs w:val="0"/>
          <w:color w:val="auto"/>
        </w:rPr>
        <w:t xml:space="preserve">Figure </w:t>
      </w:r>
      <w:r w:rsidRPr="00D63F07">
        <w:rPr>
          <w:i w:val="0"/>
          <w:iCs w:val="0"/>
          <w:color w:val="auto"/>
        </w:rPr>
        <w:fldChar w:fldCharType="begin"/>
      </w:r>
      <w:r w:rsidRPr="00D63F07">
        <w:rPr>
          <w:i w:val="0"/>
          <w:iCs w:val="0"/>
          <w:color w:val="auto"/>
        </w:rPr>
        <w:instrText xml:space="preserve"> SEQ Figure \* ARABIC </w:instrText>
      </w:r>
      <w:r w:rsidRPr="00D63F07">
        <w:rPr>
          <w:i w:val="0"/>
          <w:iCs w:val="0"/>
          <w:color w:val="auto"/>
        </w:rPr>
        <w:fldChar w:fldCharType="separate"/>
      </w:r>
      <w:r w:rsidR="0022171E">
        <w:rPr>
          <w:i w:val="0"/>
          <w:iCs w:val="0"/>
          <w:noProof/>
          <w:color w:val="auto"/>
        </w:rPr>
        <w:t>4</w:t>
      </w:r>
      <w:r w:rsidRPr="00D63F07">
        <w:rPr>
          <w:i w:val="0"/>
          <w:iCs w:val="0"/>
          <w:color w:val="auto"/>
        </w:rPr>
        <w:fldChar w:fldCharType="end"/>
      </w:r>
      <w:bookmarkEnd w:id="15"/>
      <w:r w:rsidRPr="00D63F07">
        <w:rPr>
          <w:i w:val="0"/>
          <w:iCs w:val="0"/>
          <w:color w:val="auto"/>
        </w:rPr>
        <w:t>. Control Variable Setup in Preamble</w:t>
      </w:r>
    </w:p>
    <w:p w14:paraId="1D9842DE" w14:textId="5F4DE19E" w:rsidR="000240E4" w:rsidRDefault="00F2042E" w:rsidP="00EC2EE7">
      <w:r>
        <w:lastRenderedPageBreak/>
        <w:fldChar w:fldCharType="begin"/>
      </w:r>
      <w:r>
        <w:instrText xml:space="preserve"> REF _Ref239843249 \h  \* MERGEFORMAT </w:instrText>
      </w:r>
      <w:r>
        <w:fldChar w:fldCharType="separate"/>
      </w:r>
      <w:r w:rsidR="00D70921" w:rsidRPr="0052524C">
        <w:t xml:space="preserve">Figure </w:t>
      </w:r>
      <w:r w:rsidR="00D70921" w:rsidRPr="00D70921">
        <w:t>5</w:t>
      </w:r>
      <w:r>
        <w:fldChar w:fldCharType="end"/>
      </w:r>
      <w:r>
        <w:t xml:space="preserve"> and </w:t>
      </w:r>
      <w:r>
        <w:fldChar w:fldCharType="begin"/>
      </w:r>
      <w:r>
        <w:instrText xml:space="preserve"> REF _Ref239843253 \h  \* MERGEFORMAT </w:instrText>
      </w:r>
      <w:r>
        <w:fldChar w:fldCharType="separate"/>
      </w:r>
      <w:r w:rsidR="00D70921" w:rsidRPr="009A5B85">
        <w:t xml:space="preserve">Figure </w:t>
      </w:r>
      <w:r w:rsidR="00D70921" w:rsidRPr="00D70921">
        <w:t>6</w:t>
      </w:r>
      <w:r>
        <w:fldChar w:fldCharType="end"/>
      </w:r>
      <w:r>
        <w:t xml:space="preserve"> show the results of performing a “tag search</w:t>
      </w:r>
      <w:r w:rsidR="00A91604">
        <w:t>,</w:t>
      </w:r>
      <w:r>
        <w:t>”</w:t>
      </w:r>
      <w:r w:rsidR="00A91604">
        <w:t xml:space="preserve"> </w:t>
      </w:r>
      <w:r w:rsidR="001C739E">
        <w:t xml:space="preserve">querying </w:t>
      </w:r>
      <w:r>
        <w:t>the SASHELP.VXATTR data set to find objects in SAS that have been labeled with an extended attribute.</w:t>
      </w:r>
    </w:p>
    <w:p w14:paraId="44A0878A" w14:textId="77777777" w:rsidR="0052524C" w:rsidRDefault="004B5C3D" w:rsidP="00196069">
      <w:pPr>
        <w:keepNext/>
      </w:pPr>
      <w:r w:rsidRPr="004B5C3D">
        <w:rPr>
          <w:noProof/>
        </w:rPr>
        <w:drawing>
          <wp:inline distT="0" distB="0" distL="0" distR="0" wp14:anchorId="1E630C43" wp14:editId="00B308B9">
            <wp:extent cx="5943600" cy="2036521"/>
            <wp:effectExtent l="19050" t="19050" r="19050" b="20955"/>
            <wp:docPr id="103648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81042" name=""/>
                    <pic:cNvPicPr/>
                  </pic:nvPicPr>
                  <pic:blipFill>
                    <a:blip r:embed="rId13"/>
                    <a:stretch>
                      <a:fillRect/>
                    </a:stretch>
                  </pic:blipFill>
                  <pic:spPr>
                    <a:xfrm>
                      <a:off x="0" y="0"/>
                      <a:ext cx="5996214" cy="2054549"/>
                    </a:xfrm>
                    <a:prstGeom prst="rect">
                      <a:avLst/>
                    </a:prstGeom>
                    <a:ln>
                      <a:solidFill>
                        <a:schemeClr val="tx1"/>
                      </a:solidFill>
                    </a:ln>
                  </pic:spPr>
                </pic:pic>
              </a:graphicData>
            </a:graphic>
          </wp:inline>
        </w:drawing>
      </w:r>
    </w:p>
    <w:p w14:paraId="204268E0" w14:textId="081AF78A" w:rsidR="004B5C3D" w:rsidRDefault="0052524C" w:rsidP="0052524C">
      <w:pPr>
        <w:pStyle w:val="Caption"/>
        <w:jc w:val="center"/>
        <w:rPr>
          <w:i w:val="0"/>
          <w:iCs w:val="0"/>
          <w:color w:val="auto"/>
        </w:rPr>
      </w:pPr>
      <w:bookmarkStart w:id="16" w:name="_Ref239843249"/>
      <w:r w:rsidRPr="0052524C">
        <w:rPr>
          <w:i w:val="0"/>
          <w:iCs w:val="0"/>
          <w:color w:val="auto"/>
        </w:rPr>
        <w:t xml:space="preserve">Figure </w:t>
      </w:r>
      <w:r w:rsidRPr="0052524C">
        <w:rPr>
          <w:i w:val="0"/>
          <w:iCs w:val="0"/>
          <w:color w:val="auto"/>
        </w:rPr>
        <w:fldChar w:fldCharType="begin"/>
      </w:r>
      <w:r w:rsidRPr="0052524C">
        <w:rPr>
          <w:i w:val="0"/>
          <w:iCs w:val="0"/>
          <w:color w:val="auto"/>
        </w:rPr>
        <w:instrText xml:space="preserve"> SEQ Figure \* ARABIC </w:instrText>
      </w:r>
      <w:r w:rsidRPr="0052524C">
        <w:rPr>
          <w:i w:val="0"/>
          <w:iCs w:val="0"/>
          <w:color w:val="auto"/>
        </w:rPr>
        <w:fldChar w:fldCharType="separate"/>
      </w:r>
      <w:r w:rsidR="0022171E">
        <w:rPr>
          <w:i w:val="0"/>
          <w:iCs w:val="0"/>
          <w:noProof/>
          <w:color w:val="auto"/>
        </w:rPr>
        <w:t>5</w:t>
      </w:r>
      <w:r w:rsidRPr="0052524C">
        <w:rPr>
          <w:i w:val="0"/>
          <w:iCs w:val="0"/>
          <w:color w:val="auto"/>
        </w:rPr>
        <w:fldChar w:fldCharType="end"/>
      </w:r>
      <w:bookmarkEnd w:id="16"/>
      <w:r w:rsidRPr="0052524C">
        <w:rPr>
          <w:i w:val="0"/>
          <w:iCs w:val="0"/>
          <w:color w:val="auto"/>
        </w:rPr>
        <w:t xml:space="preserve">. Running the Tag Search Code From </w:t>
      </w:r>
      <w:r w:rsidR="00D63F07">
        <w:rPr>
          <w:i w:val="0"/>
          <w:iCs w:val="0"/>
          <w:color w:val="auto"/>
        </w:rPr>
        <w:t>SODA</w:t>
      </w:r>
    </w:p>
    <w:p w14:paraId="4E2C539C" w14:textId="77777777" w:rsidR="009A5B85" w:rsidRDefault="009A5B85" w:rsidP="009A5B85">
      <w:pPr>
        <w:keepNext/>
      </w:pPr>
      <w:r w:rsidRPr="009A5B85">
        <w:rPr>
          <w:noProof/>
        </w:rPr>
        <w:drawing>
          <wp:inline distT="0" distB="0" distL="0" distR="0" wp14:anchorId="5B29173B" wp14:editId="6D274371">
            <wp:extent cx="5943600" cy="1141095"/>
            <wp:effectExtent l="19050" t="19050" r="19050" b="20955"/>
            <wp:docPr id="12090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353" name=""/>
                    <pic:cNvPicPr/>
                  </pic:nvPicPr>
                  <pic:blipFill>
                    <a:blip r:embed="rId14"/>
                    <a:stretch>
                      <a:fillRect/>
                    </a:stretch>
                  </pic:blipFill>
                  <pic:spPr>
                    <a:xfrm>
                      <a:off x="0" y="0"/>
                      <a:ext cx="5943600" cy="1141095"/>
                    </a:xfrm>
                    <a:prstGeom prst="rect">
                      <a:avLst/>
                    </a:prstGeom>
                    <a:ln>
                      <a:solidFill>
                        <a:schemeClr val="tx1"/>
                      </a:solidFill>
                    </a:ln>
                  </pic:spPr>
                </pic:pic>
              </a:graphicData>
            </a:graphic>
          </wp:inline>
        </w:drawing>
      </w:r>
    </w:p>
    <w:p w14:paraId="4D6A64DC" w14:textId="1AB4EADB" w:rsidR="009A5B85" w:rsidRDefault="009A5B85" w:rsidP="009A5B85">
      <w:pPr>
        <w:pStyle w:val="Caption"/>
        <w:jc w:val="center"/>
        <w:rPr>
          <w:i w:val="0"/>
          <w:iCs w:val="0"/>
          <w:color w:val="auto"/>
        </w:rPr>
      </w:pPr>
      <w:bookmarkStart w:id="17" w:name="_Ref239843253"/>
      <w:r w:rsidRPr="009A5B85">
        <w:rPr>
          <w:i w:val="0"/>
          <w:iCs w:val="0"/>
          <w:color w:val="auto"/>
        </w:rPr>
        <w:t xml:space="preserve">Figure </w:t>
      </w:r>
      <w:r w:rsidRPr="009A5B85">
        <w:rPr>
          <w:i w:val="0"/>
          <w:iCs w:val="0"/>
          <w:color w:val="auto"/>
        </w:rPr>
        <w:fldChar w:fldCharType="begin"/>
      </w:r>
      <w:r w:rsidRPr="009A5B85">
        <w:rPr>
          <w:i w:val="0"/>
          <w:iCs w:val="0"/>
          <w:color w:val="auto"/>
        </w:rPr>
        <w:instrText xml:space="preserve"> SEQ Figure \* ARABIC </w:instrText>
      </w:r>
      <w:r w:rsidRPr="009A5B85">
        <w:rPr>
          <w:i w:val="0"/>
          <w:iCs w:val="0"/>
          <w:color w:val="auto"/>
        </w:rPr>
        <w:fldChar w:fldCharType="separate"/>
      </w:r>
      <w:r w:rsidR="0022171E">
        <w:rPr>
          <w:i w:val="0"/>
          <w:iCs w:val="0"/>
          <w:noProof/>
          <w:color w:val="auto"/>
        </w:rPr>
        <w:t>6</w:t>
      </w:r>
      <w:r w:rsidRPr="009A5B85">
        <w:rPr>
          <w:i w:val="0"/>
          <w:iCs w:val="0"/>
          <w:color w:val="auto"/>
        </w:rPr>
        <w:fldChar w:fldCharType="end"/>
      </w:r>
      <w:bookmarkEnd w:id="17"/>
      <w:r w:rsidRPr="009A5B85">
        <w:rPr>
          <w:i w:val="0"/>
          <w:iCs w:val="0"/>
          <w:color w:val="auto"/>
        </w:rPr>
        <w:t>. Tag Search Results</w:t>
      </w:r>
    </w:p>
    <w:p w14:paraId="04A7FD15" w14:textId="1B5AF062" w:rsidR="0053668A" w:rsidRDefault="0053668A" w:rsidP="0053668A">
      <w:r>
        <w:t xml:space="preserve">Another </w:t>
      </w:r>
      <w:r w:rsidR="00421F9C">
        <w:t>set of features</w:t>
      </w:r>
      <w:r>
        <w:t xml:space="preserve"> that </w:t>
      </w:r>
      <w:r w:rsidR="00421F9C">
        <w:t xml:space="preserve">are </w:t>
      </w:r>
      <w:r>
        <w:t xml:space="preserve">still actively being developed </w:t>
      </w:r>
      <w:r w:rsidR="00421F9C">
        <w:t>is the</w:t>
      </w:r>
      <w:r>
        <w:t xml:space="preserve"> </w:t>
      </w:r>
      <w:r w:rsidR="00421F9C">
        <w:t>generation</w:t>
      </w:r>
      <w:r>
        <w:t xml:space="preserve"> of visualizations and evaluation of market metrics. Appendix C displays two graphs produced that evaluate the Herfindahl-Hirschman Index (HHI) of SPP’s market as a function of generator nameplate capacity. In other words, they </w:t>
      </w:r>
      <w:r w:rsidR="00422E4D">
        <w:t>depict market concentration</w:t>
      </w:r>
      <w:r>
        <w:t xml:space="preserve"> </w:t>
      </w:r>
      <w:r w:rsidR="00422E4D">
        <w:t>by using</w:t>
      </w:r>
      <w:r>
        <w:t xml:space="preserve"> the production capability of generating resources in SPP</w:t>
      </w:r>
      <w:r w:rsidR="00422E4D">
        <w:t xml:space="preserve"> as a measure of market share.</w:t>
      </w:r>
    </w:p>
    <w:p w14:paraId="647CE7BC" w14:textId="78894028" w:rsidR="00422E4D" w:rsidRPr="0053668A" w:rsidRDefault="00422E4D" w:rsidP="0053668A">
      <w:r>
        <w:t>In both cases (</w:t>
      </w:r>
      <w:r w:rsidR="00F13BCC">
        <w:t xml:space="preserve">see </w:t>
      </w:r>
      <w:r w:rsidR="00CD04CC">
        <w:t xml:space="preserve">utility and plant level capacity visualizations in </w:t>
      </w:r>
      <w:r w:rsidR="00F13BCC">
        <w:t>Appendix C</w:t>
      </w:r>
      <w:r>
        <w:t>), the HHI (274.7 and 63.3, respectively) is well below 1,</w:t>
      </w:r>
      <w:r w:rsidR="00AD483D">
        <w:t>0</w:t>
      </w:r>
      <w:r>
        <w:t>00</w:t>
      </w:r>
      <w:r>
        <w:rPr>
          <w:rStyle w:val="FootnoteReference"/>
        </w:rPr>
        <w:footnoteReference w:id="10"/>
      </w:r>
      <w:r w:rsidR="00AD483D">
        <w:t>, indicating a reasonably unconcentrated market.</w:t>
      </w:r>
      <w:r w:rsidR="00BC68D8">
        <w:t xml:space="preserve"> This HHI analysis was produced using the same SODA environment and test data sets as the </w:t>
      </w:r>
      <w:r w:rsidR="00A11ABE">
        <w:t>MLang</w:t>
      </w:r>
      <w:r w:rsidR="00BC68D8">
        <w:t xml:space="preserve"> </w:t>
      </w:r>
      <w:r w:rsidR="002F5333">
        <w:t>proof of concept</w:t>
      </w:r>
      <w:r w:rsidR="00BC68D8">
        <w:t xml:space="preserve"> uses, but the code is still being integrated into the system. </w:t>
      </w:r>
    </w:p>
    <w:p w14:paraId="3189DF69" w14:textId="5385A291" w:rsidR="000240E4" w:rsidRDefault="000240E4" w:rsidP="000240E4">
      <w:pPr>
        <w:pStyle w:val="Heading3"/>
      </w:pPr>
      <w:r>
        <w:t>Data Quality Checks</w:t>
      </w:r>
    </w:p>
    <w:p w14:paraId="2CD7A758" w14:textId="646A9F34" w:rsidR="000240E4" w:rsidRDefault="000240E4" w:rsidP="000240E4">
      <w:r>
        <w:t xml:space="preserve">In addition to </w:t>
      </w:r>
      <w:r w:rsidR="009E7F20">
        <w:t>producing the SAS code</w:t>
      </w:r>
      <w:r>
        <w:t xml:space="preserve">, the transpiler also performs </w:t>
      </w:r>
      <w:r w:rsidR="003D4ABB">
        <w:t>multiple</w:t>
      </w:r>
      <w:r>
        <w:t xml:space="preserve"> data quality checks</w:t>
      </w:r>
      <w:r w:rsidR="003D4ABB">
        <w:t xml:space="preserve"> on the </w:t>
      </w:r>
      <w:r w:rsidR="009E7F20">
        <w:t>user</w:t>
      </w:r>
      <w:r w:rsidR="0079309F">
        <w:t>-</w:t>
      </w:r>
      <w:r w:rsidR="009E7F20">
        <w:t xml:space="preserve">provided input files. </w:t>
      </w:r>
      <w:r w:rsidR="009073D7">
        <w:fldChar w:fldCharType="begin"/>
      </w:r>
      <w:r w:rsidR="009073D7">
        <w:instrText xml:space="preserve"> REF _Ref239771872 \h  \* MERGEFORMAT </w:instrText>
      </w:r>
      <w:r w:rsidR="009073D7">
        <w:fldChar w:fldCharType="separate"/>
      </w:r>
      <w:r w:rsidR="009073D7" w:rsidRPr="005E17FB">
        <w:t xml:space="preserve">Figure </w:t>
      </w:r>
      <w:r w:rsidR="009073D7">
        <w:t>7</w:t>
      </w:r>
      <w:r w:rsidR="009073D7">
        <w:fldChar w:fldCharType="end"/>
      </w:r>
      <w:r w:rsidR="009073D7">
        <w:t xml:space="preserve"> and </w:t>
      </w:r>
      <w:r w:rsidR="009073D7">
        <w:fldChar w:fldCharType="begin"/>
      </w:r>
      <w:r w:rsidR="009073D7">
        <w:instrText xml:space="preserve"> REF _Ref239771881 \h  \* MERGEFORMAT </w:instrText>
      </w:r>
      <w:r w:rsidR="009073D7">
        <w:fldChar w:fldCharType="separate"/>
      </w:r>
      <w:r w:rsidR="009073D7" w:rsidRPr="005E17FB">
        <w:t xml:space="preserve">Figure </w:t>
      </w:r>
      <w:r w:rsidR="009073D7">
        <w:t>8</w:t>
      </w:r>
      <w:r w:rsidR="009073D7">
        <w:fldChar w:fldCharType="end"/>
      </w:r>
      <w:r w:rsidR="009073D7">
        <w:t xml:space="preserve"> display error log snippets from a sample transpiler run. </w:t>
      </w:r>
      <w:r w:rsidR="009E7F20">
        <w:t>These checks help the user prepare their input data prior to loading into SAS (as a debugging aid). The currently supported quality checks include</w:t>
      </w:r>
      <w:r w:rsidR="009073D7">
        <w:t xml:space="preserve"> the following: </w:t>
      </w:r>
    </w:p>
    <w:p w14:paraId="390CF191" w14:textId="508721B5" w:rsidR="009E7F20" w:rsidRPr="009E7F20" w:rsidRDefault="009E7F20" w:rsidP="009E7F20">
      <w:pPr>
        <w:pStyle w:val="ListParagraph"/>
        <w:numPr>
          <w:ilvl w:val="0"/>
          <w:numId w:val="19"/>
        </w:numPr>
        <w:rPr>
          <w:u w:val="single"/>
        </w:rPr>
      </w:pPr>
      <w:r w:rsidRPr="009E7F20">
        <w:rPr>
          <w:u w:val="single"/>
        </w:rPr>
        <w:t xml:space="preserve">Name </w:t>
      </w:r>
      <w:r w:rsidR="008C5D04">
        <w:rPr>
          <w:u w:val="single"/>
        </w:rPr>
        <w:t>c</w:t>
      </w:r>
      <w:r w:rsidRPr="009E7F20">
        <w:rPr>
          <w:u w:val="single"/>
        </w:rPr>
        <w:t>hecking</w:t>
      </w:r>
      <w:r>
        <w:rPr>
          <w:u w:val="single"/>
        </w:rPr>
        <w:t xml:space="preserve"> (for data set and field names)</w:t>
      </w:r>
    </w:p>
    <w:p w14:paraId="70CC49E9" w14:textId="09F1AFF6" w:rsidR="009E7F20" w:rsidRDefault="009E7F20" w:rsidP="009E7F20">
      <w:pPr>
        <w:pStyle w:val="ListParagraph"/>
        <w:numPr>
          <w:ilvl w:val="1"/>
          <w:numId w:val="19"/>
        </w:numPr>
      </w:pPr>
      <w:r w:rsidRPr="007C0905">
        <w:t>[source]</w:t>
      </w:r>
      <w:r w:rsidR="007C0905">
        <w:t xml:space="preserve"> – Do</w:t>
      </w:r>
      <w:r>
        <w:t xml:space="preserve"> </w:t>
      </w:r>
      <w:r w:rsidR="007C0905">
        <w:t>multiple</w:t>
      </w:r>
      <w:r>
        <w:t xml:space="preserve"> field names</w:t>
      </w:r>
      <w:r w:rsidR="007C0905">
        <w:t xml:space="preserve"> </w:t>
      </w:r>
      <w:r>
        <w:t>collide (or collide once truncated to 32 characters?</w:t>
      </w:r>
    </w:p>
    <w:p w14:paraId="1695FC3D" w14:textId="4F6F9F77" w:rsidR="009E7F20" w:rsidRDefault="009E7F20" w:rsidP="009E7F20">
      <w:pPr>
        <w:pStyle w:val="ListParagraph"/>
        <w:numPr>
          <w:ilvl w:val="1"/>
          <w:numId w:val="19"/>
        </w:numPr>
      </w:pPr>
      <w:r w:rsidRPr="007C0905">
        <w:t>[collision]</w:t>
      </w:r>
      <w:r w:rsidR="007C0905">
        <w:t xml:space="preserve"> – D</w:t>
      </w:r>
      <w:r>
        <w:t xml:space="preserve">o </w:t>
      </w:r>
      <w:r w:rsidR="007C0905">
        <w:t>multiple data set names</w:t>
      </w:r>
      <w:r>
        <w:t xml:space="preserve"> collide (or collide once truncated to 32 characters)?</w:t>
      </w:r>
    </w:p>
    <w:p w14:paraId="62B19134" w14:textId="041640BA" w:rsidR="009E7F20" w:rsidRPr="009E7F20" w:rsidRDefault="009E7F20" w:rsidP="009E7F20">
      <w:pPr>
        <w:pStyle w:val="ListParagraph"/>
        <w:numPr>
          <w:ilvl w:val="1"/>
          <w:numId w:val="19"/>
        </w:numPr>
      </w:pPr>
      <w:r w:rsidRPr="007C0905">
        <w:t>[length]</w:t>
      </w:r>
      <w:r w:rsidR="007C0905" w:rsidRPr="007C0905">
        <w:t xml:space="preserve"> –</w:t>
      </w:r>
      <w:r w:rsidR="007C0905">
        <w:rPr>
          <w:i/>
          <w:iCs/>
        </w:rPr>
        <w:t xml:space="preserve"> </w:t>
      </w:r>
      <w:r w:rsidR="007C0905" w:rsidRPr="007C0905">
        <w:t xml:space="preserve">Is the input name </w:t>
      </w:r>
      <w:r w:rsidR="007C0905">
        <w:t xml:space="preserve">restricted to </w:t>
      </w:r>
      <w:r w:rsidR="007C0905" w:rsidRPr="007C0905">
        <w:t>32 characters or fewer?</w:t>
      </w:r>
      <w:r w:rsidR="007C0905">
        <w:rPr>
          <w:i/>
          <w:iCs/>
        </w:rPr>
        <w:t xml:space="preserve"> </w:t>
      </w:r>
    </w:p>
    <w:p w14:paraId="1BF2C95D" w14:textId="6C70F8C2" w:rsidR="009E7F20" w:rsidRPr="009E7F20" w:rsidRDefault="009E7F20" w:rsidP="009E7F20">
      <w:pPr>
        <w:pStyle w:val="ListParagraph"/>
        <w:numPr>
          <w:ilvl w:val="1"/>
          <w:numId w:val="19"/>
        </w:numPr>
      </w:pPr>
      <w:r w:rsidRPr="007C0905">
        <w:t>[spaces]</w:t>
      </w:r>
      <w:r w:rsidR="007C0905" w:rsidRPr="007C0905">
        <w:t xml:space="preserve"> –</w:t>
      </w:r>
      <w:r w:rsidR="007C0905">
        <w:rPr>
          <w:i/>
          <w:iCs/>
        </w:rPr>
        <w:t xml:space="preserve"> </w:t>
      </w:r>
      <w:r w:rsidR="007C0905" w:rsidRPr="007C0905">
        <w:t>Does the input name contain spaces?</w:t>
      </w:r>
    </w:p>
    <w:p w14:paraId="0055265A" w14:textId="66BA4DEB" w:rsidR="009E7F20" w:rsidRPr="009E7F20" w:rsidRDefault="009E7F20" w:rsidP="009E7F20">
      <w:pPr>
        <w:pStyle w:val="ListParagraph"/>
        <w:numPr>
          <w:ilvl w:val="1"/>
          <w:numId w:val="19"/>
        </w:numPr>
      </w:pPr>
      <w:r w:rsidRPr="007C0905">
        <w:t>[charset]</w:t>
      </w:r>
      <w:r w:rsidR="007C0905" w:rsidRPr="007C0905">
        <w:t xml:space="preserve"> –</w:t>
      </w:r>
      <w:r w:rsidR="007C0905">
        <w:rPr>
          <w:i/>
          <w:iCs/>
        </w:rPr>
        <w:t xml:space="preserve"> </w:t>
      </w:r>
      <w:r w:rsidR="007C0905" w:rsidRPr="007C0905">
        <w:t>Does the input name contain characters that SAS rejects?</w:t>
      </w:r>
    </w:p>
    <w:p w14:paraId="40E92880" w14:textId="2BF52633" w:rsidR="009E7F20" w:rsidRDefault="009E7F20" w:rsidP="009E7F20">
      <w:pPr>
        <w:pStyle w:val="ListParagraph"/>
        <w:numPr>
          <w:ilvl w:val="1"/>
          <w:numId w:val="19"/>
        </w:numPr>
      </w:pPr>
      <w:r w:rsidRPr="007C0905">
        <w:t>[reserved-word]</w:t>
      </w:r>
      <w:r w:rsidR="007C0905">
        <w:t xml:space="preserve"> – Does the input name shadow a SAS reserved word?</w:t>
      </w:r>
    </w:p>
    <w:p w14:paraId="6C3C9CE4" w14:textId="22B24C05" w:rsidR="009E7F20" w:rsidRPr="009E7F20" w:rsidRDefault="009E7F20" w:rsidP="009E7F20">
      <w:pPr>
        <w:pStyle w:val="ListParagraph"/>
        <w:numPr>
          <w:ilvl w:val="0"/>
          <w:numId w:val="19"/>
        </w:numPr>
        <w:rPr>
          <w:u w:val="single"/>
        </w:rPr>
      </w:pPr>
      <w:r w:rsidRPr="009E7F20">
        <w:rPr>
          <w:u w:val="single"/>
        </w:rPr>
        <w:t xml:space="preserve">Source </w:t>
      </w:r>
      <w:r w:rsidR="008C5D04">
        <w:rPr>
          <w:u w:val="single"/>
        </w:rPr>
        <w:t>t</w:t>
      </w:r>
      <w:r w:rsidRPr="009E7F20">
        <w:rPr>
          <w:u w:val="single"/>
        </w:rPr>
        <w:t xml:space="preserve">ype </w:t>
      </w:r>
      <w:r w:rsidR="008C5D04">
        <w:rPr>
          <w:u w:val="single"/>
        </w:rPr>
        <w:t>v</w:t>
      </w:r>
      <w:r w:rsidRPr="009E7F20">
        <w:rPr>
          <w:u w:val="single"/>
        </w:rPr>
        <w:t>alidation</w:t>
      </w:r>
    </w:p>
    <w:p w14:paraId="7314A324" w14:textId="6D7D2D36" w:rsidR="009E7F20" w:rsidRPr="000240E4" w:rsidRDefault="009E7F20" w:rsidP="009E7F20">
      <w:pPr>
        <w:pStyle w:val="ListParagraph"/>
        <w:numPr>
          <w:ilvl w:val="1"/>
          <w:numId w:val="19"/>
        </w:numPr>
      </w:pPr>
      <w:r>
        <w:t xml:space="preserve">[source-type] – Does </w:t>
      </w:r>
      <w:r w:rsidR="00A11ABE">
        <w:t>MLang</w:t>
      </w:r>
      <w:r>
        <w:t xml:space="preserve"> support the input source type (e.g. CSV)?</w:t>
      </w:r>
    </w:p>
    <w:p w14:paraId="64D80D62" w14:textId="77777777" w:rsidR="005E17FB" w:rsidRDefault="000240E4" w:rsidP="005E17FB">
      <w:pPr>
        <w:keepNext/>
      </w:pPr>
      <w:r w:rsidRPr="000240E4">
        <w:rPr>
          <w:noProof/>
          <w:lang w:val="en-US"/>
        </w:rPr>
        <w:lastRenderedPageBreak/>
        <w:drawing>
          <wp:inline distT="0" distB="0" distL="0" distR="0" wp14:anchorId="3C26E711" wp14:editId="4BBB7CB4">
            <wp:extent cx="5943600" cy="1205865"/>
            <wp:effectExtent l="19050" t="19050" r="19050" b="13335"/>
            <wp:docPr id="243095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solidFill>
                        <a:schemeClr val="tx1"/>
                      </a:solidFill>
                    </a:ln>
                  </pic:spPr>
                </pic:pic>
              </a:graphicData>
            </a:graphic>
          </wp:inline>
        </w:drawing>
      </w:r>
    </w:p>
    <w:p w14:paraId="3B7B4028" w14:textId="6DEE6FB7" w:rsidR="000240E4" w:rsidRPr="005E17FB" w:rsidRDefault="005E17FB" w:rsidP="005E17FB">
      <w:pPr>
        <w:pStyle w:val="Caption"/>
        <w:jc w:val="center"/>
        <w:rPr>
          <w:i w:val="0"/>
          <w:iCs w:val="0"/>
          <w:color w:val="auto"/>
        </w:rPr>
      </w:pPr>
      <w:bookmarkStart w:id="18" w:name="_Ref239771872"/>
      <w:r w:rsidRPr="005E17FB">
        <w:rPr>
          <w:i w:val="0"/>
          <w:iCs w:val="0"/>
          <w:color w:val="auto"/>
        </w:rPr>
        <w:t xml:space="preserve">Figure </w:t>
      </w:r>
      <w:r w:rsidRPr="005E17FB">
        <w:rPr>
          <w:i w:val="0"/>
          <w:iCs w:val="0"/>
          <w:color w:val="auto"/>
        </w:rPr>
        <w:fldChar w:fldCharType="begin"/>
      </w:r>
      <w:r w:rsidRPr="005E17FB">
        <w:rPr>
          <w:i w:val="0"/>
          <w:iCs w:val="0"/>
          <w:color w:val="auto"/>
        </w:rPr>
        <w:instrText xml:space="preserve"> SEQ Figure \* ARABIC </w:instrText>
      </w:r>
      <w:r w:rsidRPr="005E17FB">
        <w:rPr>
          <w:i w:val="0"/>
          <w:iCs w:val="0"/>
          <w:color w:val="auto"/>
        </w:rPr>
        <w:fldChar w:fldCharType="separate"/>
      </w:r>
      <w:r w:rsidR="0022171E">
        <w:rPr>
          <w:i w:val="0"/>
          <w:iCs w:val="0"/>
          <w:noProof/>
          <w:color w:val="auto"/>
        </w:rPr>
        <w:t>7</w:t>
      </w:r>
      <w:r w:rsidRPr="005E17FB">
        <w:rPr>
          <w:i w:val="0"/>
          <w:iCs w:val="0"/>
          <w:color w:val="auto"/>
        </w:rPr>
        <w:fldChar w:fldCharType="end"/>
      </w:r>
      <w:bookmarkEnd w:id="18"/>
      <w:r w:rsidR="00787E64">
        <w:rPr>
          <w:i w:val="0"/>
          <w:iCs w:val="0"/>
          <w:color w:val="auto"/>
        </w:rPr>
        <w:t xml:space="preserve">. </w:t>
      </w:r>
      <w:r w:rsidRPr="005E17FB">
        <w:rPr>
          <w:i w:val="0"/>
          <w:iCs w:val="0"/>
          <w:color w:val="auto"/>
        </w:rPr>
        <w:t>Quality Check Messages in Error Log</w:t>
      </w:r>
    </w:p>
    <w:p w14:paraId="22DA3D0B" w14:textId="77777777" w:rsidR="005E17FB" w:rsidRDefault="000240E4" w:rsidP="005E17FB">
      <w:pPr>
        <w:keepNext/>
      </w:pPr>
      <w:r w:rsidRPr="000240E4">
        <w:rPr>
          <w:noProof/>
          <w:lang w:val="en-US"/>
        </w:rPr>
        <w:drawing>
          <wp:inline distT="0" distB="0" distL="0" distR="0" wp14:anchorId="134E4697" wp14:editId="57C69375">
            <wp:extent cx="5943600" cy="1196975"/>
            <wp:effectExtent l="19050" t="19050" r="19050" b="22225"/>
            <wp:docPr id="465214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solidFill>
                        <a:schemeClr val="tx1"/>
                      </a:solidFill>
                    </a:ln>
                  </pic:spPr>
                </pic:pic>
              </a:graphicData>
            </a:graphic>
          </wp:inline>
        </w:drawing>
      </w:r>
    </w:p>
    <w:p w14:paraId="3CF6C04F" w14:textId="638EB7A6" w:rsidR="000240E4" w:rsidRPr="005E17FB" w:rsidRDefault="005E17FB" w:rsidP="005E17FB">
      <w:pPr>
        <w:pStyle w:val="Caption"/>
        <w:jc w:val="center"/>
        <w:rPr>
          <w:i w:val="0"/>
          <w:iCs w:val="0"/>
          <w:color w:val="auto"/>
        </w:rPr>
      </w:pPr>
      <w:bookmarkStart w:id="19" w:name="_Ref239771881"/>
      <w:r w:rsidRPr="005E17FB">
        <w:rPr>
          <w:i w:val="0"/>
          <w:iCs w:val="0"/>
          <w:color w:val="auto"/>
        </w:rPr>
        <w:t xml:space="preserve">Figure </w:t>
      </w:r>
      <w:r w:rsidRPr="005E17FB">
        <w:rPr>
          <w:i w:val="0"/>
          <w:iCs w:val="0"/>
          <w:color w:val="auto"/>
        </w:rPr>
        <w:fldChar w:fldCharType="begin"/>
      </w:r>
      <w:r w:rsidRPr="005E17FB">
        <w:rPr>
          <w:i w:val="0"/>
          <w:iCs w:val="0"/>
          <w:color w:val="auto"/>
        </w:rPr>
        <w:instrText xml:space="preserve"> SEQ Figure \* ARABIC </w:instrText>
      </w:r>
      <w:r w:rsidRPr="005E17FB">
        <w:rPr>
          <w:i w:val="0"/>
          <w:iCs w:val="0"/>
          <w:color w:val="auto"/>
        </w:rPr>
        <w:fldChar w:fldCharType="separate"/>
      </w:r>
      <w:r w:rsidR="0022171E">
        <w:rPr>
          <w:i w:val="0"/>
          <w:iCs w:val="0"/>
          <w:noProof/>
          <w:color w:val="auto"/>
        </w:rPr>
        <w:t>8</w:t>
      </w:r>
      <w:r w:rsidRPr="005E17FB">
        <w:rPr>
          <w:i w:val="0"/>
          <w:iCs w:val="0"/>
          <w:color w:val="auto"/>
        </w:rPr>
        <w:fldChar w:fldCharType="end"/>
      </w:r>
      <w:bookmarkEnd w:id="19"/>
      <w:r w:rsidR="00787E64">
        <w:rPr>
          <w:i w:val="0"/>
          <w:iCs w:val="0"/>
          <w:color w:val="auto"/>
        </w:rPr>
        <w:t xml:space="preserve">. </w:t>
      </w:r>
      <w:r w:rsidRPr="005E17FB">
        <w:rPr>
          <w:i w:val="0"/>
          <w:iCs w:val="0"/>
          <w:color w:val="auto"/>
        </w:rPr>
        <w:t>Quality Check Messages in Error Log (cont.)</w:t>
      </w:r>
    </w:p>
    <w:p w14:paraId="2F808AF1" w14:textId="77777777" w:rsidR="000240E4" w:rsidRPr="000240E4" w:rsidRDefault="000240E4" w:rsidP="000240E4"/>
    <w:p w14:paraId="4E6752D1" w14:textId="5EACB04F" w:rsidR="004E2786" w:rsidRDefault="005451A2">
      <w:pPr>
        <w:pStyle w:val="Heading1"/>
      </w:pPr>
      <w:r>
        <w:t>CONCLUSION</w:t>
      </w:r>
    </w:p>
    <w:p w14:paraId="50A88358" w14:textId="24E3590C" w:rsidR="00FE5494" w:rsidRDefault="00766488" w:rsidP="00FE5494">
      <w:r>
        <w:t xml:space="preserve">This paper presents a </w:t>
      </w:r>
      <w:r w:rsidR="00D70921">
        <w:t>basic</w:t>
      </w:r>
      <w:r>
        <w:t xml:space="preserve"> foundation for translating a custom</w:t>
      </w:r>
      <w:r w:rsidR="00763366">
        <w:t xml:space="preserve">, market monitor-focused, </w:t>
      </w:r>
      <w:r>
        <w:t xml:space="preserve">domain-specific language into valid SAS code. SAS is a powerful transpiler target for the “Monitor Language”, due to its built-in data management and reporting ecosystem. Currently, </w:t>
      </w:r>
      <w:r w:rsidR="00570923">
        <w:t>MLang</w:t>
      </w:r>
      <w:r>
        <w:t xml:space="preserve"> supports a limited number of functions, mainly around data loading and error reporting. </w:t>
      </w:r>
      <w:r w:rsidR="00C47BA0">
        <w:t>Since the aim of this</w:t>
      </w:r>
      <w:r w:rsidR="00FE5494">
        <w:t xml:space="preserve"> paper </w:t>
      </w:r>
      <w:r w:rsidR="00F73E4A">
        <w:t>is</w:t>
      </w:r>
      <w:r w:rsidR="00C47BA0">
        <w:t xml:space="preserve"> to provide </w:t>
      </w:r>
      <w:r w:rsidR="00572267">
        <w:t>proof</w:t>
      </w:r>
      <w:r w:rsidR="00FE5494">
        <w:t xml:space="preserve">-of-concept for this DSL, there are several limitations with the </w:t>
      </w:r>
      <w:r w:rsidR="00180B30">
        <w:t xml:space="preserve">current </w:t>
      </w:r>
      <w:r w:rsidR="00FE5494">
        <w:t xml:space="preserve">implementation of this solution, namely: </w:t>
      </w:r>
    </w:p>
    <w:p w14:paraId="06964453" w14:textId="77777777" w:rsidR="00E743CF" w:rsidRDefault="00FE5494" w:rsidP="00E743CF">
      <w:pPr>
        <w:pStyle w:val="ListParagraph"/>
        <w:numPr>
          <w:ilvl w:val="0"/>
          <w:numId w:val="15"/>
        </w:numPr>
      </w:pPr>
      <w:r>
        <w:t>The execution model of this DSL exists solely as preprocessor directives</w:t>
      </w:r>
    </w:p>
    <w:p w14:paraId="12C18548" w14:textId="77777777" w:rsidR="00E743CF" w:rsidRDefault="00FE5494" w:rsidP="00E743CF">
      <w:pPr>
        <w:pStyle w:val="ListParagraph"/>
        <w:numPr>
          <w:ilvl w:val="0"/>
          <w:numId w:val="15"/>
        </w:numPr>
      </w:pPr>
      <w:r>
        <w:t>Use of the resultant SAS code requires manual intervention</w:t>
      </w:r>
    </w:p>
    <w:p w14:paraId="2C95D4E9" w14:textId="0D79BFD8" w:rsidR="00C80A4A" w:rsidRDefault="00C80A4A" w:rsidP="00E743CF">
      <w:pPr>
        <w:pStyle w:val="ListParagraph"/>
        <w:numPr>
          <w:ilvl w:val="0"/>
          <w:numId w:val="15"/>
        </w:numPr>
      </w:pPr>
      <w:r>
        <w:t>T</w:t>
      </w:r>
      <w:r w:rsidR="003432BF">
        <w:t>he transpiler must be invoked from a command line interface, and interpreting data involves reading log files</w:t>
      </w:r>
    </w:p>
    <w:p w14:paraId="58EC70CC" w14:textId="59CC5C3D" w:rsidR="00B54EA2" w:rsidRDefault="00655DBB" w:rsidP="00655DBB">
      <w:r>
        <w:t xml:space="preserve">Given the identified limitations of this current approach, the authors believe that the following areas are </w:t>
      </w:r>
      <w:r w:rsidR="00763366">
        <w:t>natural</w:t>
      </w:r>
      <w:r>
        <w:t xml:space="preserve"> opportunities for future work on this system</w:t>
      </w:r>
      <w:r w:rsidR="00B54EA2">
        <w:t>,</w:t>
      </w:r>
      <w:r w:rsidR="006F3785">
        <w:t xml:space="preserve"> includ</w:t>
      </w:r>
      <w:r w:rsidR="00B54EA2">
        <w:t>ing</w:t>
      </w:r>
      <w:r w:rsidR="001F3A36">
        <w:t xml:space="preserve"> (but not limited to): </w:t>
      </w:r>
    </w:p>
    <w:p w14:paraId="766F4987" w14:textId="77777777" w:rsidR="00B54EA2" w:rsidRDefault="00B54EA2" w:rsidP="00B54EA2">
      <w:pPr>
        <w:pStyle w:val="ListParagraph"/>
        <w:numPr>
          <w:ilvl w:val="0"/>
          <w:numId w:val="18"/>
        </w:numPr>
      </w:pPr>
      <w:r>
        <w:t>Supporting</w:t>
      </w:r>
      <w:r w:rsidR="00317193">
        <w:t xml:space="preserve"> more varied and more complex market monitoring use </w:t>
      </w:r>
      <w:r>
        <w:t>cases</w:t>
      </w:r>
    </w:p>
    <w:p w14:paraId="51F09339" w14:textId="03141916" w:rsidR="006F3785" w:rsidRDefault="00B54EA2" w:rsidP="00B54EA2">
      <w:pPr>
        <w:pStyle w:val="ListParagraph"/>
        <w:numPr>
          <w:ilvl w:val="0"/>
          <w:numId w:val="18"/>
        </w:numPr>
      </w:pPr>
      <w:r>
        <w:t>I</w:t>
      </w:r>
      <w:r w:rsidR="006F3785">
        <w:t>ntegrating the generated SAS output with a SAS runtime environment</w:t>
      </w:r>
      <w:bookmarkStart w:id="20" w:name="_heading=h.cb9bfkp3n0ty" w:colFirst="0" w:colLast="0"/>
      <w:bookmarkEnd w:id="20"/>
    </w:p>
    <w:p w14:paraId="1D5ABD22" w14:textId="63A8CFF0" w:rsidR="00CC5116" w:rsidRDefault="00B54EA2" w:rsidP="00CC5116">
      <w:pPr>
        <w:pStyle w:val="ListParagraph"/>
        <w:numPr>
          <w:ilvl w:val="0"/>
          <w:numId w:val="18"/>
        </w:numPr>
      </w:pPr>
      <w:r>
        <w:t>Adding language server support (LSP) and syntax highlighting to give the user a richer development experience</w:t>
      </w:r>
    </w:p>
    <w:p w14:paraId="4B73A539" w14:textId="761E7766" w:rsidR="004E2786" w:rsidRDefault="00A41BBE">
      <w:pPr>
        <w:pStyle w:val="Heading1"/>
      </w:pPr>
      <w:r>
        <w:t>REFERENCES</w:t>
      </w:r>
    </w:p>
    <w:p w14:paraId="4FD31E73" w14:textId="60BC6698" w:rsidR="00316EE2" w:rsidRDefault="00316EE2" w:rsidP="00316EE2">
      <w:pPr>
        <w:rPr>
          <w:lang w:val="en-US"/>
        </w:rPr>
      </w:pPr>
      <w:r w:rsidRPr="00251110">
        <w:t xml:space="preserve">[1] </w:t>
      </w:r>
      <w:r w:rsidRPr="00251110">
        <w:rPr>
          <w:lang w:val="en-US"/>
        </w:rPr>
        <w:t xml:space="preserve">Oak Ridge National Laboratory, “Nils Stenvig: Exploring the world’s largest machine |ORNL.” </w:t>
      </w:r>
      <w:hyperlink r:id="rId17" w:history="1">
        <w:r w:rsidR="00D30B43" w:rsidRPr="00251110">
          <w:rPr>
            <w:rStyle w:val="Hyperlink"/>
            <w:lang w:val="en-US"/>
          </w:rPr>
          <w:t>https://www.ornl.gov/blog/nils-stenvig-exploring-worlds-largest-machine</w:t>
        </w:r>
      </w:hyperlink>
      <w:r w:rsidRPr="00251110">
        <w:rPr>
          <w:lang w:val="en-US"/>
        </w:rPr>
        <w:t>.</w:t>
      </w:r>
    </w:p>
    <w:p w14:paraId="3712043A" w14:textId="66717382" w:rsidR="00103304" w:rsidRDefault="00103304" w:rsidP="00316EE2">
      <w:r>
        <w:rPr>
          <w:lang w:val="en-US"/>
        </w:rPr>
        <w:t xml:space="preserve">[2] </w:t>
      </w:r>
      <w:r w:rsidRPr="00103304">
        <w:t xml:space="preserve">P. Bondarenko, “Enron Scandal - Downfall and Bankruptcy,” Nov. 2024. Accessed: July 20, 2026. [Online]. Available: </w:t>
      </w:r>
      <w:hyperlink r:id="rId18" w:history="1">
        <w:r w:rsidRPr="003C4C17">
          <w:rPr>
            <w:rStyle w:val="Hyperlink"/>
          </w:rPr>
          <w:t>https://www.britannica.com/event/Enron-scandal/Downfall-and-bankruptcy</w:t>
        </w:r>
      </w:hyperlink>
    </w:p>
    <w:p w14:paraId="50E59C33" w14:textId="77777777" w:rsidR="003427D2" w:rsidRDefault="003427D2" w:rsidP="003427D2">
      <w:r>
        <w:rPr>
          <w:lang w:val="en-US"/>
        </w:rPr>
        <w:t xml:space="preserve">[3] J. Wang, Y. Liu, P. Li, Z. Lin, S. Sindakis, and S. Aggarwal, “Overview of Data Quality: Examining the Dimensions, Antecedents, and Impacts of Data Quality,” </w:t>
      </w:r>
      <w:r w:rsidRPr="00E12CE8">
        <w:rPr>
          <w:i/>
          <w:iCs/>
          <w:lang w:val="en-US"/>
        </w:rPr>
        <w:t>Journal of the Knowledge Economy</w:t>
      </w:r>
      <w:r>
        <w:rPr>
          <w:lang w:val="en-US"/>
        </w:rPr>
        <w:t xml:space="preserve">, vol. 15, Feb. 2023. Available: </w:t>
      </w:r>
      <w:hyperlink r:id="rId19" w:history="1">
        <w:r w:rsidRPr="00495E5F">
          <w:rPr>
            <w:rStyle w:val="Hyperlink"/>
          </w:rPr>
          <w:t>https://link.springer.com/article/10.1007/s13132-022-01096-6</w:t>
        </w:r>
      </w:hyperlink>
    </w:p>
    <w:p w14:paraId="1C75619D" w14:textId="31548978" w:rsidR="003427D2" w:rsidRDefault="00D30B43" w:rsidP="00316EE2">
      <w:r w:rsidRPr="00251110">
        <w:rPr>
          <w:lang w:val="en-US"/>
        </w:rPr>
        <w:t>[</w:t>
      </w:r>
      <w:r w:rsidR="00F44CEF">
        <w:rPr>
          <w:lang w:val="en-US"/>
        </w:rPr>
        <w:t>4</w:t>
      </w:r>
      <w:r w:rsidRPr="00251110">
        <w:rPr>
          <w:lang w:val="en-US"/>
        </w:rPr>
        <w:t xml:space="preserve">] </w:t>
      </w:r>
      <w:r w:rsidR="00E73638" w:rsidRPr="00251110">
        <w:rPr>
          <w:lang w:val="en-US"/>
        </w:rPr>
        <w:t xml:space="preserve">Market behavior rules, 18 CFR § 35.41 B (2007). [Online] Available: </w:t>
      </w:r>
      <w:hyperlink r:id="rId20" w:history="1">
        <w:r w:rsidR="00E73638" w:rsidRPr="00251110">
          <w:rPr>
            <w:rStyle w:val="Hyperlink"/>
            <w:lang w:val="en-US"/>
          </w:rPr>
          <w:t>https://www.ecfr.gov/current/title-18/chapter-I/subchapter-B/part-35/subpart-H/section-35.41</w:t>
        </w:r>
      </w:hyperlink>
    </w:p>
    <w:p w14:paraId="6B5B4DCF" w14:textId="6018182C" w:rsidR="000C4D95" w:rsidRPr="000C4D95" w:rsidRDefault="000C4D95" w:rsidP="00316EE2">
      <w:r>
        <w:t>[</w:t>
      </w:r>
      <w:r w:rsidR="00F44CEF">
        <w:t>5</w:t>
      </w:r>
      <w:r>
        <w:t>] M.-P. Cheong, D. Berleant, and G. Shebl</w:t>
      </w:r>
      <w:r w:rsidRPr="000C4D95">
        <w:t>é</w:t>
      </w:r>
      <w:r>
        <w:t>, “Information Gap Decision Theory as a tool for strategic bidding in competitive electricity markets,” Proceedings, 8</w:t>
      </w:r>
      <w:r w:rsidRPr="000C4D95">
        <w:rPr>
          <w:vertAlign w:val="superscript"/>
        </w:rPr>
        <w:t>th</w:t>
      </w:r>
      <w:r>
        <w:t xml:space="preserve"> Int. Conf. on Probabilistic Methods Applied to Power Systems, Sept. 12-16, 2004, Ames, Iowa. [Online] Available: </w:t>
      </w:r>
      <w:hyperlink r:id="rId21" w:history="1">
        <w:r w:rsidRPr="000C4D95">
          <w:rPr>
            <w:rStyle w:val="Hyperlink"/>
          </w:rPr>
          <w:t>https://dberleant.github.io/papers/Mei_PMAPS04a.pdf</w:t>
        </w:r>
      </w:hyperlink>
    </w:p>
    <w:p w14:paraId="7D18269C" w14:textId="7C7C6917" w:rsidR="00780F09" w:rsidRDefault="007E164B" w:rsidP="00780F09">
      <w:r w:rsidRPr="00251110">
        <w:lastRenderedPageBreak/>
        <w:t>[</w:t>
      </w:r>
      <w:r w:rsidR="00F44CEF">
        <w:t>6</w:t>
      </w:r>
      <w:r w:rsidRPr="00251110">
        <w:t xml:space="preserve">] </w:t>
      </w:r>
      <w:r w:rsidR="00780F09" w:rsidRPr="00251110">
        <w:t>S. Chuenjitwongsa, “How to: Conduct a Delphi Study,” </w:t>
      </w:r>
      <w:r w:rsidR="00780F09" w:rsidRPr="00251110">
        <w:rPr>
          <w:i/>
          <w:iCs/>
        </w:rPr>
        <w:t>Cardiff University</w:t>
      </w:r>
      <w:r w:rsidR="00780F09" w:rsidRPr="00251110">
        <w:t xml:space="preserve">, 2017. </w:t>
      </w:r>
      <w:hyperlink r:id="rId22" w:history="1">
        <w:r w:rsidR="00780F09" w:rsidRPr="00251110">
          <w:rPr>
            <w:rStyle w:val="Hyperlink"/>
          </w:rPr>
          <w:t>https://www.cardiff.ac.uk/__data/assets/pdf_file/0010/1164961/how_to_conduct_a_delphistudy.pdf</w:t>
        </w:r>
      </w:hyperlink>
    </w:p>
    <w:p w14:paraId="04EBE0FD" w14:textId="50AB0A24" w:rsidR="001B7B04" w:rsidRDefault="001B7B04" w:rsidP="00780F09">
      <w:r w:rsidRPr="001B7B04">
        <w:t>[</w:t>
      </w:r>
      <w:r w:rsidR="00F44CEF">
        <w:t>7</w:t>
      </w:r>
      <w:r w:rsidRPr="001B7B04">
        <w:t xml:space="preserve">] </w:t>
      </w:r>
      <w:r w:rsidR="00B3571A">
        <w:t>E. Shinan</w:t>
      </w:r>
      <w:r w:rsidRPr="001B7B04">
        <w:t xml:space="preserve"> and Contributors, “Lark: A parsing toolkit for Python,” GitHub. [Online]. Ava</w:t>
      </w:r>
      <w:r>
        <w:t xml:space="preserve">ilable: </w:t>
      </w:r>
      <w:hyperlink r:id="rId23" w:history="1">
        <w:r w:rsidR="00B3571A" w:rsidRPr="003C4C17">
          <w:rPr>
            <w:rStyle w:val="Hyperlink"/>
          </w:rPr>
          <w:t>https://github.com/lark-parser/lark</w:t>
        </w:r>
      </w:hyperlink>
    </w:p>
    <w:p w14:paraId="002DF418" w14:textId="3B1B6D3D" w:rsidR="00B3571A" w:rsidRDefault="00B3571A" w:rsidP="00780F09">
      <w:r>
        <w:t>[</w:t>
      </w:r>
      <w:r w:rsidR="00F44CEF">
        <w:t>8</w:t>
      </w:r>
      <w:r>
        <w:t xml:space="preserve">] SAS Institute Inc., </w:t>
      </w:r>
      <w:r>
        <w:rPr>
          <w:i/>
          <w:iCs/>
        </w:rPr>
        <w:t xml:space="preserve">SAS® Studio: OnDemand for Academics. </w:t>
      </w:r>
      <w:r>
        <w:t xml:space="preserve">Cary, NC: SAS Institute Inc. [Online]. Available: </w:t>
      </w:r>
      <w:hyperlink r:id="rId24" w:history="1">
        <w:r w:rsidRPr="003C4C17">
          <w:rPr>
            <w:rStyle w:val="Hyperlink"/>
          </w:rPr>
          <w:t>https://www.sas.com/en_us/software/on-demand-for-academics.html</w:t>
        </w:r>
      </w:hyperlink>
    </w:p>
    <w:p w14:paraId="4331A276" w14:textId="37604F94" w:rsidR="002370E7" w:rsidRDefault="002370E7" w:rsidP="00780F09">
      <w:r w:rsidRPr="002370E7">
        <w:t xml:space="preserve">[9] I. Khorlo, "Automating Migration from the SAS® Macro Language to the LUA Procedure Using Transpiling," in </w:t>
      </w:r>
      <w:r w:rsidRPr="002370E7">
        <w:rPr>
          <w:i/>
          <w:iCs/>
        </w:rPr>
        <w:t>Proc. SAS Global Forum 2019</w:t>
      </w:r>
      <w:r w:rsidRPr="002370E7">
        <w:t xml:space="preserve">, Dallas, TX, USA, 2019. [Online]. Available: </w:t>
      </w:r>
      <w:hyperlink r:id="rId25" w:history="1">
        <w:r w:rsidRPr="002370E7">
          <w:rPr>
            <w:rStyle w:val="Hyperlink"/>
          </w:rPr>
          <w:t>https://support.sas.com/resources/papers/proceedings19/3824-2019.pdf</w:t>
        </w:r>
      </w:hyperlink>
    </w:p>
    <w:p w14:paraId="55275A99" w14:textId="210954D3" w:rsidR="002370E7" w:rsidRDefault="002370E7" w:rsidP="00780F09">
      <w:r>
        <w:t xml:space="preserve">[10] </w:t>
      </w:r>
      <w:r w:rsidRPr="002370E7">
        <w:t xml:space="preserve">I. Khorlo, "SASLint: A SAS® Program Checker," in </w:t>
      </w:r>
      <w:r w:rsidRPr="002370E7">
        <w:rPr>
          <w:i/>
          <w:iCs/>
        </w:rPr>
        <w:t>Proc. SAS Global Forum 2018</w:t>
      </w:r>
      <w:r w:rsidRPr="002370E7">
        <w:t xml:space="preserve">, Denver, CO, USA, 2018. [Online]. Available: </w:t>
      </w:r>
      <w:hyperlink r:id="rId26" w:history="1">
        <w:r w:rsidRPr="002370E7">
          <w:rPr>
            <w:rStyle w:val="Hyperlink"/>
          </w:rPr>
          <w:t>https://support.sas.com/resources/papers/proceedings18/2543-2018.pdf</w:t>
        </w:r>
      </w:hyperlink>
    </w:p>
    <w:p w14:paraId="0EDC27EE" w14:textId="267D69FF" w:rsidR="00DE0C01" w:rsidRDefault="00125C1B" w:rsidP="00780F09">
      <w:r>
        <w:t>[</w:t>
      </w:r>
      <w:r w:rsidR="002370E7">
        <w:t>11</w:t>
      </w:r>
      <w:r>
        <w:t xml:space="preserve">] U.S. Energy Information Administration, “Form EIA-860 detailed data with previous form data (EIA-860A/860B)”, U.S. Dept. of Energy, Washington, DC. USA, 2024. [Online]. Available: </w:t>
      </w:r>
      <w:hyperlink r:id="rId27" w:history="1">
        <w:r w:rsidRPr="008C43A8">
          <w:rPr>
            <w:rStyle w:val="Hyperlink"/>
          </w:rPr>
          <w:t>https://www.eia.gov/electricity/data/eia860/</w:t>
        </w:r>
      </w:hyperlink>
      <w:r>
        <w:t>.</w:t>
      </w:r>
    </w:p>
    <w:p w14:paraId="059E0260" w14:textId="03A1214A" w:rsidR="00770B43" w:rsidRDefault="00770B43" w:rsidP="00780F09">
      <w:r>
        <w:t xml:space="preserve">[12] </w:t>
      </w:r>
      <w:r w:rsidRPr="00770B43">
        <w:t>The United States Department of Justice, “Herfindahl-Hirschman Index,” </w:t>
      </w:r>
      <w:r w:rsidRPr="00770B43">
        <w:rPr>
          <w:i/>
          <w:iCs/>
        </w:rPr>
        <w:t>Justice.gov</w:t>
      </w:r>
      <w:r w:rsidRPr="00770B43">
        <w:t xml:space="preserve">, Jan. 17, 2024. </w:t>
      </w:r>
      <w:hyperlink r:id="rId28" w:history="1">
        <w:r w:rsidRPr="00565D1B">
          <w:rPr>
            <w:rStyle w:val="Hyperlink"/>
          </w:rPr>
          <w:t>https://www.justice.gov/atr/herfindahl-hirschman-index</w:t>
        </w:r>
      </w:hyperlink>
      <w:r>
        <w:t xml:space="preserve"> </w:t>
      </w:r>
      <w:r w:rsidRPr="00770B43">
        <w:t>(accessed Sept. 09, 2026).</w:t>
      </w:r>
    </w:p>
    <w:p w14:paraId="2C60C7E6" w14:textId="7BBF7D02" w:rsidR="004E2786" w:rsidRDefault="00A41BBE" w:rsidP="004C7779">
      <w:pPr>
        <w:pStyle w:val="Heading1"/>
      </w:pPr>
      <w:bookmarkStart w:id="21" w:name="_heading=h.hb5jtu4yn1aq" w:colFirst="0" w:colLast="0"/>
      <w:bookmarkEnd w:id="21"/>
      <w:r>
        <w:t>ACKNOWLEDGMENTS</w:t>
      </w:r>
    </w:p>
    <w:p w14:paraId="445C4A52" w14:textId="1C436D55" w:rsidR="004E2786" w:rsidRPr="00A37411" w:rsidRDefault="00000000" w:rsidP="00A37411">
      <w:pPr>
        <w:widowControl/>
        <w:pBdr>
          <w:top w:val="nil"/>
          <w:left w:val="nil"/>
          <w:bottom w:val="nil"/>
          <w:right w:val="nil"/>
          <w:between w:val="nil"/>
        </w:pBdr>
        <w:spacing w:line="276" w:lineRule="auto"/>
      </w:pPr>
      <w:r w:rsidRPr="00A37411">
        <w:t>We would like to acknowledge SPP</w:t>
      </w:r>
      <w:r w:rsidR="00991100">
        <w:t xml:space="preserve"> and </w:t>
      </w:r>
      <w:r w:rsidR="00272427" w:rsidRPr="00A37411">
        <w:t>the Energy Information Authority (EIA</w:t>
      </w:r>
      <w:r w:rsidR="00E6227C">
        <w:t>)</w:t>
      </w:r>
      <w:r w:rsidRPr="00A37411">
        <w:t xml:space="preserve"> </w:t>
      </w:r>
      <w:r w:rsidR="00E6227C">
        <w:t xml:space="preserve">that </w:t>
      </w:r>
      <w:r w:rsidRPr="00A37411">
        <w:t>provid</w:t>
      </w:r>
      <w:r w:rsidR="00E6227C">
        <w:t>ed</w:t>
      </w:r>
      <w:r w:rsidRPr="00A37411">
        <w:t xml:space="preserve"> </w:t>
      </w:r>
      <w:r w:rsidR="00272427" w:rsidRPr="00A37411">
        <w:t>sources</w:t>
      </w:r>
      <w:r w:rsidRPr="00A37411">
        <w:t xml:space="preserve"> of publicly available </w:t>
      </w:r>
      <w:r w:rsidR="00272427" w:rsidRPr="00A37411">
        <w:t xml:space="preserve">data </w:t>
      </w:r>
      <w:r w:rsidRPr="00A37411">
        <w:t xml:space="preserve">which made </w:t>
      </w:r>
      <w:r w:rsidR="00272427" w:rsidRPr="00A37411">
        <w:t xml:space="preserve">the construction </w:t>
      </w:r>
      <w:r w:rsidR="00443220">
        <w:t>of this</w:t>
      </w:r>
      <w:r w:rsidRPr="00A37411">
        <w:t xml:space="preserve"> project possible.</w:t>
      </w:r>
      <w:r w:rsidR="00272427" w:rsidRPr="00A37411">
        <w:t xml:space="preserve"> Readers are encouraged to visit </w:t>
      </w:r>
      <w:r w:rsidR="00DF0451">
        <w:t>the</w:t>
      </w:r>
      <w:r w:rsidR="007C42E3">
        <w:t xml:space="preserve"> </w:t>
      </w:r>
      <w:r w:rsidR="009C3810">
        <w:t>following organizations’ websites</w:t>
      </w:r>
      <w:r w:rsidR="00272427" w:rsidRPr="00A37411">
        <w:t xml:space="preserve"> for more information</w:t>
      </w:r>
      <w:r w:rsidR="008F6C00" w:rsidRPr="00A37411">
        <w:t xml:space="preserve"> on </w:t>
      </w:r>
      <w:r w:rsidR="00EC1F75" w:rsidRPr="00A37411">
        <w:t xml:space="preserve">sources of </w:t>
      </w:r>
      <w:r w:rsidR="008F6C00" w:rsidRPr="00A37411">
        <w:t>energy data</w:t>
      </w:r>
      <w:r w:rsidR="00272427" w:rsidRPr="00A37411">
        <w:t>:</w:t>
      </w:r>
    </w:p>
    <w:p w14:paraId="69E0D1B8" w14:textId="224D9E37" w:rsidR="000001F4" w:rsidRDefault="00272427" w:rsidP="00EC6871">
      <w:pPr>
        <w:pStyle w:val="ListParagraph"/>
        <w:widowControl/>
        <w:numPr>
          <w:ilvl w:val="0"/>
          <w:numId w:val="10"/>
        </w:numPr>
        <w:pBdr>
          <w:top w:val="nil"/>
          <w:left w:val="nil"/>
          <w:bottom w:val="nil"/>
          <w:right w:val="nil"/>
          <w:between w:val="nil"/>
        </w:pBdr>
        <w:spacing w:line="276" w:lineRule="auto"/>
      </w:pPr>
      <w:r w:rsidRPr="00A37411">
        <w:t>S</w:t>
      </w:r>
      <w:r w:rsidR="00DD4EAE">
        <w:t xml:space="preserve">outhwest Power Pool (SPP): </w:t>
      </w:r>
      <w:hyperlink r:id="rId29" w:history="1">
        <w:r w:rsidR="00EC6871" w:rsidRPr="00D0308B">
          <w:rPr>
            <w:rStyle w:val="Hyperlink"/>
          </w:rPr>
          <w:t>https://portal.spp.org/groups/integrated-marketplace</w:t>
        </w:r>
      </w:hyperlink>
    </w:p>
    <w:p w14:paraId="76B32FCF" w14:textId="46D72959" w:rsidR="000001F4" w:rsidRDefault="00F87451" w:rsidP="00EC6871">
      <w:pPr>
        <w:pStyle w:val="ListParagraph"/>
        <w:widowControl/>
        <w:numPr>
          <w:ilvl w:val="0"/>
          <w:numId w:val="10"/>
        </w:numPr>
        <w:pBdr>
          <w:top w:val="nil"/>
          <w:left w:val="nil"/>
          <w:bottom w:val="nil"/>
          <w:right w:val="nil"/>
          <w:between w:val="nil"/>
        </w:pBdr>
        <w:spacing w:line="276" w:lineRule="auto"/>
      </w:pPr>
      <w:r>
        <w:t>The Energy Information Authority</w:t>
      </w:r>
      <w:r w:rsidR="00EC6871">
        <w:t xml:space="preserve"> (EIA)</w:t>
      </w:r>
      <w:r w:rsidR="00DD4EAE">
        <w:t>:</w:t>
      </w:r>
      <w:r w:rsidR="00EC6871">
        <w:t xml:space="preserve"> </w:t>
      </w:r>
      <w:hyperlink r:id="rId30" w:history="1">
        <w:r w:rsidR="00EC6871" w:rsidRPr="00D0308B">
          <w:rPr>
            <w:rStyle w:val="Hyperlink"/>
          </w:rPr>
          <w:t>https://www.eia.gov/electricity/</w:t>
        </w:r>
      </w:hyperlink>
    </w:p>
    <w:p w14:paraId="03DFDCE3" w14:textId="6EEFF8B4" w:rsidR="00CE3BBA" w:rsidRDefault="00746334" w:rsidP="00CE3BBA">
      <w:pPr>
        <w:widowControl/>
        <w:pBdr>
          <w:top w:val="nil"/>
          <w:left w:val="nil"/>
          <w:bottom w:val="nil"/>
          <w:right w:val="nil"/>
          <w:between w:val="nil"/>
        </w:pBdr>
        <w:spacing w:line="276" w:lineRule="auto"/>
      </w:pPr>
      <w:r>
        <w:rPr>
          <w:rStyle w:val="Hyperlink"/>
          <w:color w:val="auto"/>
          <w:u w:val="none"/>
        </w:rPr>
        <w:t xml:space="preserve">We would also like to acknowledge the members of the EISG that volunteered to participate in the Delphi study. Their responses were instrumental in influencing the design of this </w:t>
      </w:r>
      <w:r w:rsidR="00454CD5">
        <w:rPr>
          <w:rStyle w:val="Hyperlink"/>
          <w:color w:val="auto"/>
          <w:u w:val="none"/>
        </w:rPr>
        <w:t>proof of concept</w:t>
      </w:r>
      <w:r>
        <w:rPr>
          <w:rStyle w:val="Hyperlink"/>
          <w:color w:val="auto"/>
          <w:u w:val="none"/>
        </w:rPr>
        <w:t xml:space="preserve">. </w:t>
      </w:r>
      <w:r w:rsidR="00CE3BBA">
        <w:t xml:space="preserve">Additionally, </w:t>
      </w:r>
      <w:r w:rsidR="00763366">
        <w:t>author EG</w:t>
      </w:r>
      <w:r w:rsidR="00CE3BBA">
        <w:t xml:space="preserve"> would like to acknowledge both Mark Rouse and Bartosz</w:t>
      </w:r>
      <w:r w:rsidR="00E206A8">
        <w:t xml:space="preserve"> “Bart”</w:t>
      </w:r>
      <w:r w:rsidR="00CE3BBA">
        <w:t xml:space="preserve"> </w:t>
      </w:r>
      <w:r w:rsidR="00CA2D8D" w:rsidRPr="00CA2D8D">
        <w:t>Jabłoński</w:t>
      </w:r>
      <w:r w:rsidR="00CA2D8D">
        <w:t xml:space="preserve"> </w:t>
      </w:r>
      <w:r w:rsidR="00CE3BBA">
        <w:t xml:space="preserve">for inspiring </w:t>
      </w:r>
      <w:r w:rsidR="00763366">
        <w:t>discussions and motivating the use of SAS</w:t>
      </w:r>
      <w:r w:rsidR="00CE3BBA">
        <w:t>.</w:t>
      </w:r>
    </w:p>
    <w:p w14:paraId="675D6505" w14:textId="19D32CED" w:rsidR="009A4A4C" w:rsidRDefault="009A4A4C" w:rsidP="009A4A4C">
      <w:pPr>
        <w:pStyle w:val="Heading1"/>
      </w:pPr>
      <w:r>
        <w:t>CONTACT INFORMATION</w:t>
      </w:r>
    </w:p>
    <w:p w14:paraId="0FDC3BFB" w14:textId="77777777" w:rsidR="009A4A4C" w:rsidRDefault="009A4A4C" w:rsidP="00CE3BBA">
      <w:pPr>
        <w:widowControl/>
        <w:pBdr>
          <w:top w:val="nil"/>
          <w:left w:val="nil"/>
          <w:bottom w:val="nil"/>
          <w:right w:val="nil"/>
          <w:between w:val="nil"/>
        </w:pBdr>
        <w:spacing w:line="276" w:lineRule="auto"/>
      </w:pPr>
      <w:r>
        <w:t xml:space="preserve">Your questions and comments are encouraged. Contact the authors at: </w:t>
      </w:r>
    </w:p>
    <w:p w14:paraId="2395FF8F" w14:textId="25DBB03D" w:rsidR="009A4A4C" w:rsidRDefault="009A4A4C" w:rsidP="00CE3BBA">
      <w:pPr>
        <w:widowControl/>
        <w:pBdr>
          <w:top w:val="nil"/>
          <w:left w:val="nil"/>
          <w:bottom w:val="nil"/>
          <w:right w:val="nil"/>
          <w:between w:val="nil"/>
        </w:pBdr>
        <w:spacing w:line="276" w:lineRule="auto"/>
      </w:pPr>
      <w:r w:rsidRPr="00BB37D6">
        <w:rPr>
          <w:b/>
          <w:bCs/>
        </w:rPr>
        <w:t>Eric Grasby; Daniel Berleant</w:t>
      </w:r>
      <w:r w:rsidR="00D00F82">
        <w:t xml:space="preserve"> </w:t>
      </w:r>
      <w:r>
        <w:br/>
        <w:t xml:space="preserve">UA Little Rock – </w:t>
      </w:r>
      <w:r w:rsidR="00763366">
        <w:t>School of Computer and Information Science</w:t>
      </w:r>
      <w:r>
        <w:br/>
        <w:t>{ecgrasby, jdberleant}</w:t>
      </w:r>
      <w:r w:rsidR="002A6A84">
        <w:t xml:space="preserve"> (at) </w:t>
      </w:r>
      <w:r>
        <w:t>ualr</w:t>
      </w:r>
      <w:r w:rsidR="00785E66">
        <w:t xml:space="preserve"> (dot) </w:t>
      </w:r>
      <w:r>
        <w:t>edu</w:t>
      </w:r>
    </w:p>
    <w:p w14:paraId="7DB9BD38" w14:textId="6BF55644" w:rsidR="002A6A84" w:rsidRDefault="009A4A4C" w:rsidP="00CE3BBA">
      <w:pPr>
        <w:widowControl/>
        <w:pBdr>
          <w:top w:val="nil"/>
          <w:left w:val="nil"/>
          <w:bottom w:val="nil"/>
          <w:right w:val="nil"/>
          <w:between w:val="nil"/>
        </w:pBdr>
        <w:spacing w:line="276" w:lineRule="auto"/>
      </w:pPr>
      <w:r w:rsidRPr="00BB37D6">
        <w:rPr>
          <w:b/>
          <w:bCs/>
        </w:rPr>
        <w:t>Maria CB Gingras</w:t>
      </w:r>
      <w:r>
        <w:br/>
      </w:r>
      <w:r w:rsidR="002A6A84">
        <w:t>maria</w:t>
      </w:r>
      <w:r w:rsidR="00785E66">
        <w:t xml:space="preserve"> </w:t>
      </w:r>
      <w:r w:rsidR="002A6A84">
        <w:t xml:space="preserve">(at) </w:t>
      </w:r>
      <w:r w:rsidR="002A6A84" w:rsidRPr="002A6A84">
        <w:t>ochotonaanalytics</w:t>
      </w:r>
      <w:r w:rsidR="00785E66">
        <w:t xml:space="preserve"> (dot) </w:t>
      </w:r>
      <w:r w:rsidR="002A6A84" w:rsidRPr="002A6A84">
        <w:t>com</w:t>
      </w:r>
    </w:p>
    <w:p w14:paraId="08D99433" w14:textId="2ADF13EA" w:rsidR="004E2786" w:rsidRPr="00CC7D52" w:rsidRDefault="00CC7D52" w:rsidP="00CC7D52">
      <w:pPr>
        <w:pStyle w:val="Heading1"/>
      </w:pPr>
      <w:bookmarkStart w:id="22" w:name="_heading=h.hs7c92y1og9i" w:colFirst="0" w:colLast="0"/>
      <w:bookmarkStart w:id="23" w:name="_heading=h.w80t7yem59fv" w:colFirst="0" w:colLast="0"/>
      <w:bookmarkStart w:id="24" w:name="bookmark=id.a6vnkmwz2k3y" w:colFirst="0" w:colLast="0"/>
      <w:bookmarkStart w:id="25" w:name="_heading=h.ianfiendd7gt" w:colFirst="0" w:colLast="0"/>
      <w:bookmarkEnd w:id="22"/>
      <w:bookmarkEnd w:id="23"/>
      <w:bookmarkEnd w:id="24"/>
      <w:bookmarkEnd w:id="25"/>
      <w:r>
        <w:t>APPENDIX</w:t>
      </w:r>
    </w:p>
    <w:p w14:paraId="1720BF92" w14:textId="1D6A40E4" w:rsidR="00A94B0A" w:rsidRDefault="00B354CE" w:rsidP="00F34046">
      <w:r>
        <w:t>See</w:t>
      </w:r>
      <w:r w:rsidR="003751DD">
        <w:t xml:space="preserve"> </w:t>
      </w:r>
      <w:hyperlink r:id="rId31" w:history="1">
        <w:r w:rsidR="00A94B0A" w:rsidRPr="004851E6">
          <w:rPr>
            <w:rStyle w:val="Hyperlink"/>
          </w:rPr>
          <w:t>https://github.com/echarlesgrasby/seasug-2026-paper/tree/master/transpiler</w:t>
        </w:r>
      </w:hyperlink>
      <w:r w:rsidR="00A94B0A">
        <w:t xml:space="preserve"> </w:t>
      </w:r>
      <w:r w:rsidR="004B5C3D">
        <w:t>for any source code referenced in this paper.</w:t>
      </w:r>
      <w:r w:rsidR="00A94B0A">
        <w:t xml:space="preserve"> Other material can be found </w:t>
      </w:r>
      <w:hyperlink r:id="rId32" w:history="1">
        <w:r w:rsidR="00A94B0A" w:rsidRPr="00A94B0A">
          <w:rPr>
            <w:rStyle w:val="Hyperlink"/>
          </w:rPr>
          <w:t>here</w:t>
        </w:r>
      </w:hyperlink>
      <w:r w:rsidR="00A94B0A">
        <w:t>.</w:t>
      </w:r>
    </w:p>
    <w:p w14:paraId="6E5F6054" w14:textId="3AF52BF2" w:rsidR="00DD2C7D" w:rsidRDefault="00DD2C7D" w:rsidP="00DD2C7D">
      <w:pPr>
        <w:pStyle w:val="ListParagraph"/>
        <w:numPr>
          <w:ilvl w:val="0"/>
          <w:numId w:val="22"/>
        </w:numPr>
      </w:pPr>
      <w:r>
        <w:t>Appendix A – Initial Lark Grammar</w:t>
      </w:r>
    </w:p>
    <w:p w14:paraId="2789FE68" w14:textId="1F9865F1" w:rsidR="00DD2C7D" w:rsidRDefault="00DD2C7D" w:rsidP="00DD2C7D">
      <w:pPr>
        <w:pStyle w:val="ListParagraph"/>
        <w:numPr>
          <w:ilvl w:val="0"/>
          <w:numId w:val="22"/>
        </w:numPr>
      </w:pPr>
      <w:r>
        <w:t>Appendix B – Basic Monitor Language (</w:t>
      </w:r>
      <w:r w:rsidR="00DA5390">
        <w:t>MLang</w:t>
      </w:r>
      <w:r>
        <w:t>) Program</w:t>
      </w:r>
    </w:p>
    <w:p w14:paraId="79279D64" w14:textId="17B27B98" w:rsidR="00DD2C7D" w:rsidRDefault="00DD2C7D" w:rsidP="00DD2C7D">
      <w:pPr>
        <w:pStyle w:val="ListParagraph"/>
        <w:numPr>
          <w:ilvl w:val="0"/>
          <w:numId w:val="22"/>
        </w:numPr>
      </w:pPr>
      <w:r>
        <w:t>Appendix C – Herfindahl-Hirschman Index (HHI) Visualizations</w:t>
      </w:r>
    </w:p>
    <w:bookmarkStart w:id="26" w:name="_MON_1850383349"/>
    <w:bookmarkEnd w:id="26"/>
    <w:p w14:paraId="56FDB818" w14:textId="75040A2B" w:rsidR="00782008" w:rsidRDefault="00425A4D">
      <w:r>
        <w:object w:dxaOrig="9360" w:dyaOrig="12226" w14:anchorId="184A8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5pt;height:583pt" o:ole="">
            <v:imagedata r:id="rId33" o:title=""/>
          </v:shape>
          <o:OLEObject Type="Embed" ProgID="Word.OpenDocumentText.12" ShapeID="_x0000_i1025" DrawAspect="Content" ObjectID="_1851066583" r:id="rId34"/>
        </w:object>
      </w:r>
    </w:p>
    <w:bookmarkStart w:id="27" w:name="_MON_1850392358"/>
    <w:bookmarkEnd w:id="27"/>
    <w:p w14:paraId="1F2F5C04" w14:textId="44160FAB" w:rsidR="00F34046" w:rsidRPr="00F34046" w:rsidRDefault="00EA1CC1" w:rsidP="00F34046">
      <w:r>
        <w:object w:dxaOrig="9360" w:dyaOrig="9074" w14:anchorId="2F16B835">
          <v:shape id="_x0000_i1026" type="#_x0000_t75" style="width:468.5pt;height:456.5pt" o:ole="">
            <v:imagedata r:id="rId35" o:title=""/>
          </v:shape>
          <o:OLEObject Type="Embed" ProgID="Word.OpenDocumentText.12" ShapeID="_x0000_i1026" DrawAspect="Content" ObjectID="_1851066584" r:id="rId36"/>
        </w:object>
      </w:r>
    </w:p>
    <w:p w14:paraId="09A63E0B" w14:textId="77777777" w:rsidR="00F34046" w:rsidRDefault="00F34046" w:rsidP="00B354CE"/>
    <w:p w14:paraId="2D788C30" w14:textId="6AE160F7" w:rsidR="00E54301" w:rsidRDefault="00E54301">
      <w:r>
        <w:br w:type="page"/>
      </w:r>
    </w:p>
    <w:p w14:paraId="6351D3E5" w14:textId="6A62F136" w:rsidR="00B354CE" w:rsidRPr="00C81CC8" w:rsidRDefault="00E54301" w:rsidP="00C81CC8">
      <w:pPr>
        <w:widowControl/>
        <w:suppressAutoHyphens/>
        <w:autoSpaceDN w:val="0"/>
        <w:spacing w:after="160" w:line="276" w:lineRule="auto"/>
        <w:rPr>
          <w:rFonts w:eastAsia="Aptos"/>
          <w:b/>
          <w:bCs/>
          <w:kern w:val="3"/>
          <w:sz w:val="22"/>
          <w:szCs w:val="22"/>
          <w:lang w:val="en-US"/>
        </w:rPr>
      </w:pPr>
      <w:r w:rsidRPr="00C81CC8">
        <w:rPr>
          <w:rFonts w:eastAsia="Aptos"/>
          <w:b/>
          <w:bCs/>
          <w:kern w:val="3"/>
          <w:sz w:val="22"/>
          <w:szCs w:val="22"/>
          <w:lang w:val="en-US"/>
        </w:rPr>
        <w:lastRenderedPageBreak/>
        <w:t>Appendix C: HHI Visualizations</w:t>
      </w:r>
    </w:p>
    <w:p w14:paraId="7574629D" w14:textId="77777777" w:rsidR="00E54301" w:rsidRDefault="00E54301" w:rsidP="00B354CE"/>
    <w:p w14:paraId="268B678A" w14:textId="77777777" w:rsidR="0022171E" w:rsidRDefault="0022171E" w:rsidP="0022171E">
      <w:pPr>
        <w:keepNext/>
        <w:jc w:val="center"/>
      </w:pPr>
      <w:r>
        <w:rPr>
          <w:noProof/>
        </w:rPr>
        <w:drawing>
          <wp:inline distT="0" distB="0" distL="0" distR="0" wp14:anchorId="3F19C24F" wp14:editId="2F16B3BD">
            <wp:extent cx="4292600" cy="3213711"/>
            <wp:effectExtent l="19050" t="19050" r="12700" b="25400"/>
            <wp:docPr id="5159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1945" cy="3220707"/>
                    </a:xfrm>
                    <a:prstGeom prst="rect">
                      <a:avLst/>
                    </a:prstGeom>
                    <a:noFill/>
                    <a:ln>
                      <a:solidFill>
                        <a:schemeClr val="tx1"/>
                      </a:solidFill>
                    </a:ln>
                  </pic:spPr>
                </pic:pic>
              </a:graphicData>
            </a:graphic>
          </wp:inline>
        </w:drawing>
      </w:r>
    </w:p>
    <w:p w14:paraId="2DD52ACA" w14:textId="587675BF" w:rsidR="00E54301" w:rsidRPr="00B354CE" w:rsidRDefault="00E54301" w:rsidP="00124B24">
      <w:pPr>
        <w:keepNext/>
        <w:jc w:val="center"/>
      </w:pPr>
      <w:r w:rsidRPr="00E54301">
        <w:rPr>
          <w:noProof/>
          <w:lang w:val="en-US"/>
        </w:rPr>
        <w:drawing>
          <wp:inline distT="0" distB="0" distL="0" distR="0" wp14:anchorId="25DE3B3D" wp14:editId="4A6E6261">
            <wp:extent cx="4305300" cy="3208735"/>
            <wp:effectExtent l="19050" t="19050" r="19050" b="10795"/>
            <wp:docPr id="1466357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4874" cy="3223323"/>
                    </a:xfrm>
                    <a:prstGeom prst="rect">
                      <a:avLst/>
                    </a:prstGeom>
                    <a:noFill/>
                    <a:ln>
                      <a:solidFill>
                        <a:schemeClr val="tx1"/>
                      </a:solidFill>
                    </a:ln>
                  </pic:spPr>
                </pic:pic>
              </a:graphicData>
            </a:graphic>
          </wp:inline>
        </w:drawing>
      </w:r>
    </w:p>
    <w:sectPr w:rsidR="00E54301" w:rsidRPr="00B354CE">
      <w:footerReference w:type="even" r:id="rId39"/>
      <w:footerReference w:type="default" r:id="rId40"/>
      <w:footerReference w:type="first" r:id="rId4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C79B" w14:textId="77777777" w:rsidR="00E622C0" w:rsidRDefault="00E622C0">
      <w:pPr>
        <w:spacing w:after="0"/>
      </w:pPr>
      <w:r>
        <w:separator/>
      </w:r>
    </w:p>
  </w:endnote>
  <w:endnote w:type="continuationSeparator" w:id="0">
    <w:p w14:paraId="1F595D80" w14:textId="77777777" w:rsidR="00E622C0" w:rsidRDefault="00E622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D22ED59-5663-46B7-A28D-6634BCA0CEC1}"/>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4C1AE9B-0363-48FF-B08D-5AFF8F2AEFC3}"/>
  </w:font>
  <w:font w:name="Aptos">
    <w:charset w:val="00"/>
    <w:family w:val="swiss"/>
    <w:pitch w:val="variable"/>
    <w:sig w:usb0="20000287" w:usb1="00000003" w:usb2="00000000" w:usb3="00000000" w:csb0="0000019F" w:csb1="00000000"/>
    <w:embedBold r:id="rId3" w:fontKey="{38BB10C0-2D22-468C-A6EA-0F48F0A86428}"/>
  </w:font>
  <w:font w:name="Calibri">
    <w:panose1 w:val="020F0502020204030204"/>
    <w:charset w:val="00"/>
    <w:family w:val="swiss"/>
    <w:pitch w:val="variable"/>
    <w:sig w:usb0="E4002EFF" w:usb1="C200247B" w:usb2="00000009" w:usb3="00000000" w:csb0="000001FF" w:csb1="00000000"/>
    <w:embedRegular r:id="rId4" w:fontKey="{FCB59146-A7BB-4C04-969D-AE1762EFA1DA}"/>
  </w:font>
  <w:font w:name="Cambria">
    <w:panose1 w:val="02040503050406030204"/>
    <w:charset w:val="00"/>
    <w:family w:val="roman"/>
    <w:pitch w:val="variable"/>
    <w:sig w:usb0="E00006FF" w:usb1="420024FF" w:usb2="02000000" w:usb3="00000000" w:csb0="0000019F" w:csb1="00000000"/>
    <w:embedRegular r:id="rId5" w:fontKey="{35D836AF-96A5-4D62-9C82-10BC754B31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1FA" w14:textId="288A79D8" w:rsidR="004E2786" w:rsidRDefault="004E278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C6B7" w14:textId="29186940" w:rsidR="004E2786" w:rsidRDefault="00000000">
    <w:pPr>
      <w:widowControl/>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BF17" w14:textId="323EAA4F" w:rsidR="004E278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1803" w14:textId="77777777" w:rsidR="00E622C0" w:rsidRDefault="00E622C0">
      <w:pPr>
        <w:spacing w:after="0"/>
      </w:pPr>
      <w:r>
        <w:separator/>
      </w:r>
    </w:p>
  </w:footnote>
  <w:footnote w:type="continuationSeparator" w:id="0">
    <w:p w14:paraId="070470C4" w14:textId="77777777" w:rsidR="00E622C0" w:rsidRDefault="00E622C0">
      <w:pPr>
        <w:spacing w:after="0"/>
      </w:pPr>
      <w:r>
        <w:continuationSeparator/>
      </w:r>
    </w:p>
  </w:footnote>
  <w:footnote w:id="1">
    <w:p w14:paraId="3D9C78A0" w14:textId="6711F3C0" w:rsidR="00397A0E" w:rsidRPr="00397A0E" w:rsidRDefault="00397A0E">
      <w:pPr>
        <w:pStyle w:val="FootnoteText"/>
        <w:rPr>
          <w:lang w:val="en-US"/>
        </w:rPr>
      </w:pPr>
      <w:r>
        <w:rPr>
          <w:rStyle w:val="FootnoteReference"/>
        </w:rPr>
        <w:footnoteRef/>
      </w:r>
      <w:r>
        <w:t xml:space="preserve"> </w:t>
      </w:r>
      <w:r w:rsidRPr="00397A0E">
        <w:rPr>
          <w:sz w:val="18"/>
          <w:szCs w:val="18"/>
        </w:rPr>
        <w:t>The Electric Reliability Council of Texas (ERCOT), while monitored by a wholesale electric market monitoring firm, does not report to FERC and is excluded from this list.</w:t>
      </w:r>
    </w:p>
  </w:footnote>
  <w:footnote w:id="2">
    <w:p w14:paraId="21F534B0" w14:textId="44F5FF79" w:rsidR="00D30B43" w:rsidRPr="00425A4D" w:rsidRDefault="00D30B43">
      <w:pPr>
        <w:pStyle w:val="FootnoteText"/>
        <w:rPr>
          <w:sz w:val="18"/>
          <w:szCs w:val="18"/>
        </w:rPr>
      </w:pPr>
      <w:r>
        <w:rPr>
          <w:rStyle w:val="FootnoteReference"/>
        </w:rPr>
        <w:footnoteRef/>
      </w:r>
      <w:r w:rsidR="00A856CB">
        <w:t xml:space="preserve"> </w:t>
      </w:r>
      <w:r w:rsidR="00A856CB" w:rsidRPr="00425A4D">
        <w:rPr>
          <w:sz w:val="18"/>
          <w:szCs w:val="18"/>
        </w:rPr>
        <w:t>CFR</w:t>
      </w:r>
      <w:r w:rsidR="00425A4D" w:rsidRPr="00425A4D">
        <w:rPr>
          <w:sz w:val="18"/>
          <w:szCs w:val="18"/>
        </w:rPr>
        <w:t xml:space="preserve"> </w:t>
      </w:r>
      <w:r w:rsidRPr="00E73638">
        <w:rPr>
          <w:sz w:val="18"/>
          <w:szCs w:val="18"/>
        </w:rPr>
        <w:t>18 35.41</w:t>
      </w:r>
      <w:r w:rsidR="00425A4D">
        <w:rPr>
          <w:sz w:val="18"/>
          <w:szCs w:val="18"/>
        </w:rPr>
        <w:t xml:space="preserve"> </w:t>
      </w:r>
      <w:r w:rsidR="00C71497">
        <w:rPr>
          <w:sz w:val="18"/>
          <w:szCs w:val="18"/>
        </w:rPr>
        <w:t xml:space="preserve">mandates four rules concerning electricity market behavior, including: 1) </w:t>
      </w:r>
      <w:r w:rsidR="00A856CB">
        <w:rPr>
          <w:sz w:val="18"/>
          <w:szCs w:val="18"/>
        </w:rPr>
        <w:t xml:space="preserve">generating </w:t>
      </w:r>
      <w:r w:rsidR="00C71497">
        <w:rPr>
          <w:sz w:val="18"/>
          <w:szCs w:val="18"/>
        </w:rPr>
        <w:t>unit operation, 2) factual communication with FERC, 3) factual price rep</w:t>
      </w:r>
      <w:r w:rsidR="00A856CB">
        <w:rPr>
          <w:sz w:val="18"/>
          <w:szCs w:val="18"/>
        </w:rPr>
        <w:t>orting, and 4) a five-year records retention period [</w:t>
      </w:r>
      <w:r w:rsidR="00F44CEF">
        <w:rPr>
          <w:sz w:val="18"/>
          <w:szCs w:val="18"/>
        </w:rPr>
        <w:t>4</w:t>
      </w:r>
      <w:r w:rsidR="00A856CB">
        <w:rPr>
          <w:sz w:val="18"/>
          <w:szCs w:val="18"/>
        </w:rPr>
        <w:t>].</w:t>
      </w:r>
    </w:p>
  </w:footnote>
  <w:footnote w:id="3">
    <w:p w14:paraId="16195E7F" w14:textId="723FB5AA" w:rsidR="00FC26B9" w:rsidRPr="00FC26B9" w:rsidRDefault="00FC26B9">
      <w:pPr>
        <w:pStyle w:val="FootnoteText"/>
        <w:rPr>
          <w:lang w:val="en-US"/>
        </w:rPr>
      </w:pPr>
      <w:r w:rsidRPr="008B2F0B">
        <w:rPr>
          <w:sz w:val="18"/>
          <w:szCs w:val="18"/>
          <w:vertAlign w:val="superscript"/>
        </w:rPr>
        <w:footnoteRef/>
      </w:r>
      <w:r w:rsidRPr="008B2F0B">
        <w:rPr>
          <w:sz w:val="18"/>
          <w:szCs w:val="18"/>
          <w:vertAlign w:val="superscript"/>
        </w:rPr>
        <w:t xml:space="preserve"> </w:t>
      </w:r>
      <w:r w:rsidR="00421041">
        <w:rPr>
          <w:sz w:val="18"/>
          <w:szCs w:val="18"/>
        </w:rPr>
        <w:t>A Delphi study</w:t>
      </w:r>
      <w:r w:rsidRPr="008B2F0B">
        <w:rPr>
          <w:sz w:val="18"/>
          <w:szCs w:val="18"/>
        </w:rPr>
        <w:t xml:space="preserve"> “is a research survey technique used as a way of collecting data from respondents within their domain of expertise.”</w:t>
      </w:r>
      <w:r w:rsidR="009E2CBC">
        <w:rPr>
          <w:sz w:val="18"/>
          <w:szCs w:val="18"/>
        </w:rPr>
        <w:t xml:space="preserve"> [6]</w:t>
      </w:r>
      <w:r w:rsidRPr="008B2F0B">
        <w:rPr>
          <w:sz w:val="18"/>
          <w:szCs w:val="18"/>
        </w:rPr>
        <w:t xml:space="preserve"> </w:t>
      </w:r>
      <w:r w:rsidR="00B40364">
        <w:rPr>
          <w:sz w:val="18"/>
          <w:szCs w:val="18"/>
        </w:rPr>
        <w:t>Put plainly, it is a panel of experts that anonymously respond to survey questions.</w:t>
      </w:r>
      <w:r w:rsidR="00BC66A0">
        <w:rPr>
          <w:sz w:val="18"/>
          <w:szCs w:val="18"/>
        </w:rPr>
        <w:t xml:space="preserve"> Once the results are processed by the researcher, they are provided back to the panelists (in anonymized format to minimize bias) so that the panelists can achieve a consensus.</w:t>
      </w:r>
    </w:p>
  </w:footnote>
  <w:footnote w:id="4">
    <w:p w14:paraId="0B253E1D" w14:textId="09469FCF" w:rsidR="00855FF3" w:rsidRPr="00855FF3" w:rsidRDefault="00855FF3">
      <w:pPr>
        <w:pStyle w:val="FootnoteText"/>
        <w:rPr>
          <w:lang w:val="en-US"/>
        </w:rPr>
      </w:pPr>
      <w:r>
        <w:rPr>
          <w:rStyle w:val="FootnoteReference"/>
        </w:rPr>
        <w:footnoteRef/>
      </w:r>
      <w:r>
        <w:t xml:space="preserve"> </w:t>
      </w:r>
      <w:r w:rsidRPr="00855FF3">
        <w:rPr>
          <w:sz w:val="18"/>
          <w:szCs w:val="18"/>
        </w:rPr>
        <w:t xml:space="preserve">The research protocol for this Delphi study was approved by the UA Little Rock Institutional Review Board. The research protocol and copy of the waiver of informed consent can be found in this GitHub repository: </w:t>
      </w:r>
      <w:hyperlink r:id="rId1" w:history="1">
        <w:r w:rsidR="0024057A" w:rsidRPr="00D07909">
          <w:rPr>
            <w:rStyle w:val="Hyperlink"/>
            <w:sz w:val="18"/>
            <w:szCs w:val="18"/>
          </w:rPr>
          <w:t>https://github.com/echarlesgrasby/dissertation/tree/master/ext</w:t>
        </w:r>
      </w:hyperlink>
      <w:r w:rsidRPr="00855FF3">
        <w:rPr>
          <w:sz w:val="18"/>
          <w:szCs w:val="18"/>
        </w:rPr>
        <w:t>.</w:t>
      </w:r>
    </w:p>
  </w:footnote>
  <w:footnote w:id="5">
    <w:p w14:paraId="01165BAB" w14:textId="175C3BD8"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Energy Intermarket Surveillance Group (EISG) is the international, professional, conference of energy market monitors. EISG </w:t>
      </w:r>
      <w:r w:rsidR="00BC1EB2">
        <w:rPr>
          <w:sz w:val="18"/>
          <w:szCs w:val="18"/>
        </w:rPr>
        <w:t xml:space="preserve">membership is determined </w:t>
      </w:r>
      <w:r w:rsidRPr="00A37411">
        <w:rPr>
          <w:sz w:val="18"/>
          <w:szCs w:val="18"/>
        </w:rPr>
        <w:t xml:space="preserve">by virtue of working for an MMU that </w:t>
      </w:r>
      <w:r w:rsidR="00BC1EB2">
        <w:rPr>
          <w:sz w:val="18"/>
          <w:szCs w:val="18"/>
        </w:rPr>
        <w:t>is a</w:t>
      </w:r>
      <w:r w:rsidRPr="00A37411">
        <w:rPr>
          <w:sz w:val="18"/>
          <w:szCs w:val="18"/>
        </w:rPr>
        <w:t xml:space="preserve"> member of the EISG.</w:t>
      </w:r>
    </w:p>
  </w:footnote>
  <w:footnote w:id="6">
    <w:p w14:paraId="6148754B" w14:textId="7917B5DF" w:rsidR="001713AA" w:rsidRPr="001713AA" w:rsidRDefault="001713AA">
      <w:pPr>
        <w:pStyle w:val="FootnoteText"/>
        <w:rPr>
          <w:lang w:val="en-US"/>
        </w:rPr>
      </w:pPr>
      <w:r w:rsidRPr="00732E47">
        <w:rPr>
          <w:sz w:val="18"/>
          <w:szCs w:val="18"/>
          <w:vertAlign w:val="superscript"/>
        </w:rPr>
        <w:footnoteRef/>
      </w:r>
      <w:r w:rsidRPr="001713AA">
        <w:rPr>
          <w:sz w:val="18"/>
          <w:szCs w:val="18"/>
        </w:rPr>
        <w:t xml:space="preserve"> Participants were allowed to select more than one role that applied to them (in </w:t>
      </w:r>
      <w:r w:rsidRPr="001713AA">
        <w:rPr>
          <w:sz w:val="18"/>
          <w:szCs w:val="18"/>
        </w:rPr>
        <w:fldChar w:fldCharType="begin"/>
      </w:r>
      <w:r w:rsidRPr="001713AA">
        <w:rPr>
          <w:sz w:val="18"/>
          <w:szCs w:val="18"/>
        </w:rPr>
        <w:instrText xml:space="preserve"> REF _Ref230939531 \h </w:instrText>
      </w:r>
      <w:r>
        <w:rPr>
          <w:sz w:val="18"/>
          <w:szCs w:val="18"/>
        </w:rPr>
        <w:instrText xml:space="preserve"> \* MERGEFORMAT </w:instrText>
      </w:r>
      <w:r w:rsidRPr="001713AA">
        <w:rPr>
          <w:sz w:val="18"/>
          <w:szCs w:val="18"/>
        </w:rPr>
      </w:r>
      <w:r w:rsidRPr="001713AA">
        <w:rPr>
          <w:sz w:val="18"/>
          <w:szCs w:val="18"/>
        </w:rPr>
        <w:fldChar w:fldCharType="separate"/>
      </w:r>
      <w:r w:rsidRPr="001713AA">
        <w:rPr>
          <w:sz w:val="18"/>
          <w:szCs w:val="18"/>
        </w:rPr>
        <w:t>Table 1</w:t>
      </w:r>
      <w:r w:rsidRPr="001713AA">
        <w:rPr>
          <w:sz w:val="18"/>
          <w:szCs w:val="18"/>
        </w:rPr>
        <w:fldChar w:fldCharType="end"/>
      </w:r>
      <w:r w:rsidRPr="001713AA">
        <w:rPr>
          <w:sz w:val="18"/>
          <w:szCs w:val="18"/>
        </w:rPr>
        <w:t>)</w:t>
      </w:r>
      <w:r w:rsidR="00E24D08">
        <w:rPr>
          <w:sz w:val="18"/>
          <w:szCs w:val="18"/>
        </w:rPr>
        <w:t>; multiple roles may be represented by the same participant</w:t>
      </w:r>
      <w:r w:rsidRPr="001713AA">
        <w:rPr>
          <w:sz w:val="18"/>
          <w:szCs w:val="18"/>
        </w:rPr>
        <w:t>.</w:t>
      </w:r>
    </w:p>
  </w:footnote>
  <w:footnote w:id="7">
    <w:p w14:paraId="13977EF1" w14:textId="2FBD25EB" w:rsidR="00670EED" w:rsidRPr="00670EED" w:rsidRDefault="00670EED">
      <w:pPr>
        <w:pStyle w:val="FootnoteText"/>
        <w:rPr>
          <w:lang w:val="en-US"/>
        </w:rPr>
      </w:pPr>
      <w:r>
        <w:rPr>
          <w:rStyle w:val="FootnoteReference"/>
        </w:rPr>
        <w:footnoteRef/>
      </w:r>
      <w:r>
        <w:t xml:space="preserve"> </w:t>
      </w:r>
      <w:r w:rsidRPr="00670EED">
        <w:rPr>
          <w:i/>
          <w:iCs/>
          <w:sz w:val="18"/>
          <w:szCs w:val="18"/>
        </w:rPr>
        <w:t>Thematic codes</w:t>
      </w:r>
      <w:r w:rsidRPr="00670EED">
        <w:rPr>
          <w:sz w:val="18"/>
          <w:szCs w:val="18"/>
        </w:rPr>
        <w:t xml:space="preserve"> are short descriptors attached to qualitative data that are used to identify the meaning of a phrase or response.</w:t>
      </w:r>
    </w:p>
  </w:footnote>
  <w:footnote w:id="8">
    <w:p w14:paraId="7E447560" w14:textId="47E96734" w:rsidR="0064155A" w:rsidRPr="0064155A" w:rsidRDefault="0064155A">
      <w:pPr>
        <w:pStyle w:val="FootnoteText"/>
        <w:rPr>
          <w:lang w:val="en-US"/>
        </w:rPr>
      </w:pPr>
      <w:r>
        <w:rPr>
          <w:rStyle w:val="FootnoteReference"/>
        </w:rPr>
        <w:footnoteRef/>
      </w:r>
      <w:r>
        <w:t xml:space="preserve"> </w:t>
      </w:r>
      <w:r w:rsidRPr="0064155A">
        <w:rPr>
          <w:sz w:val="18"/>
          <w:szCs w:val="18"/>
          <w:lang w:val="en-US"/>
        </w:rPr>
        <w:t xml:space="preserve">This is sourced from </w:t>
      </w:r>
      <w:r w:rsidRPr="001D3437">
        <w:rPr>
          <w:rFonts w:ascii="Courier New" w:hAnsi="Courier New" w:cs="Courier New"/>
          <w:sz w:val="18"/>
          <w:szCs w:val="18"/>
          <w:lang w:val="en-US"/>
        </w:rPr>
        <w:t>search_tags.sas.tpl</w:t>
      </w:r>
      <w:r w:rsidRPr="0064155A">
        <w:rPr>
          <w:sz w:val="18"/>
          <w:szCs w:val="18"/>
          <w:lang w:val="en-US"/>
        </w:rPr>
        <w:t>, a template file for querying SAS data sets and/or field names that are tagged with a particular user-defined tag in Mlang (using SAS Extended Attributes)</w:t>
      </w:r>
      <w:r w:rsidR="00684498">
        <w:rPr>
          <w:sz w:val="18"/>
          <w:szCs w:val="18"/>
          <w:lang w:val="en-US"/>
        </w:rPr>
        <w:t>.</w:t>
      </w:r>
    </w:p>
  </w:footnote>
  <w:footnote w:id="9">
    <w:p w14:paraId="4EE2D8DB" w14:textId="24502A25" w:rsidR="00DE7CC9" w:rsidRPr="002D524E" w:rsidRDefault="00DE7CC9" w:rsidP="00DE7CC9">
      <w:pPr>
        <w:pStyle w:val="FootnoteText"/>
        <w:rPr>
          <w:lang w:val="en-US"/>
        </w:rPr>
      </w:pPr>
      <w:r w:rsidRPr="00BE567E">
        <w:rPr>
          <w:rStyle w:val="FootnoteReference"/>
          <w:sz w:val="18"/>
          <w:szCs w:val="18"/>
        </w:rPr>
        <w:footnoteRef/>
      </w:r>
      <w:r w:rsidRPr="00BE567E">
        <w:rPr>
          <w:sz w:val="18"/>
          <w:szCs w:val="18"/>
        </w:rPr>
        <w:t xml:space="preserve"> </w:t>
      </w:r>
      <w:r w:rsidRPr="00BE567E">
        <w:rPr>
          <w:sz w:val="18"/>
          <w:szCs w:val="18"/>
          <w:lang w:val="en-US"/>
        </w:rPr>
        <w:t xml:space="preserve">The terms </w:t>
      </w:r>
      <w:r w:rsidRPr="00BE567E">
        <w:rPr>
          <w:i/>
          <w:iCs/>
          <w:sz w:val="18"/>
          <w:szCs w:val="18"/>
          <w:lang w:val="en-US"/>
        </w:rPr>
        <w:t xml:space="preserve">lexing </w:t>
      </w:r>
      <w:r w:rsidRPr="00BE567E">
        <w:rPr>
          <w:sz w:val="18"/>
          <w:szCs w:val="18"/>
          <w:lang w:val="en-US"/>
        </w:rPr>
        <w:t xml:space="preserve">and </w:t>
      </w:r>
      <w:r w:rsidRPr="00BE567E">
        <w:rPr>
          <w:i/>
          <w:iCs/>
          <w:sz w:val="18"/>
          <w:szCs w:val="18"/>
          <w:lang w:val="en-US"/>
        </w:rPr>
        <w:t xml:space="preserve">parsing </w:t>
      </w:r>
      <w:r w:rsidRPr="00BE567E">
        <w:rPr>
          <w:sz w:val="18"/>
          <w:szCs w:val="18"/>
          <w:lang w:val="en-US"/>
        </w:rPr>
        <w:t xml:space="preserve">refer to operations in </w:t>
      </w:r>
      <w:r w:rsidR="00CC0375">
        <w:rPr>
          <w:sz w:val="18"/>
          <w:szCs w:val="18"/>
          <w:lang w:val="en-US"/>
        </w:rPr>
        <w:t>compiler design</w:t>
      </w:r>
      <w:r w:rsidRPr="00BE567E">
        <w:rPr>
          <w:sz w:val="18"/>
          <w:szCs w:val="18"/>
          <w:lang w:val="en-US"/>
        </w:rPr>
        <w:t xml:space="preserve"> for working with </w:t>
      </w:r>
      <w:r w:rsidR="00CC0375">
        <w:rPr>
          <w:sz w:val="18"/>
          <w:szCs w:val="18"/>
          <w:lang w:val="en-US"/>
        </w:rPr>
        <w:t>source code</w:t>
      </w:r>
      <w:r w:rsidRPr="00BE567E">
        <w:rPr>
          <w:sz w:val="18"/>
          <w:szCs w:val="18"/>
          <w:lang w:val="en-US"/>
        </w:rPr>
        <w:t xml:space="preserve">. A lexer takes an </w:t>
      </w:r>
      <w:r w:rsidR="00CC0375">
        <w:rPr>
          <w:sz w:val="18"/>
          <w:szCs w:val="18"/>
          <w:lang w:val="en-US"/>
        </w:rPr>
        <w:t xml:space="preserve">input list of tokens </w:t>
      </w:r>
      <w:r w:rsidR="00860B70">
        <w:rPr>
          <w:sz w:val="18"/>
          <w:szCs w:val="18"/>
          <w:lang w:val="en-US"/>
        </w:rPr>
        <w:t xml:space="preserve">and tags </w:t>
      </w:r>
      <w:r w:rsidR="00CC0375">
        <w:rPr>
          <w:sz w:val="18"/>
          <w:szCs w:val="18"/>
          <w:lang w:val="en-US"/>
        </w:rPr>
        <w:t xml:space="preserve">those tokens </w:t>
      </w:r>
      <w:r w:rsidR="00860B70">
        <w:rPr>
          <w:sz w:val="18"/>
          <w:szCs w:val="18"/>
          <w:lang w:val="en-US"/>
        </w:rPr>
        <w:t xml:space="preserve">as </w:t>
      </w:r>
      <w:r w:rsidRPr="00BE567E">
        <w:rPr>
          <w:sz w:val="18"/>
          <w:szCs w:val="18"/>
          <w:lang w:val="en-US"/>
        </w:rPr>
        <w:t xml:space="preserve">atomic </w:t>
      </w:r>
      <w:r w:rsidRPr="00BE567E">
        <w:rPr>
          <w:i/>
          <w:iCs/>
          <w:sz w:val="18"/>
          <w:szCs w:val="18"/>
          <w:lang w:val="en-US"/>
        </w:rPr>
        <w:t>lexemes</w:t>
      </w:r>
      <w:r w:rsidR="00860B70">
        <w:rPr>
          <w:i/>
          <w:iCs/>
          <w:sz w:val="18"/>
          <w:szCs w:val="18"/>
          <w:lang w:val="en-US"/>
        </w:rPr>
        <w:t xml:space="preserve"> </w:t>
      </w:r>
      <w:r w:rsidRPr="00BE567E">
        <w:rPr>
          <w:sz w:val="18"/>
          <w:szCs w:val="18"/>
          <w:lang w:val="en-US"/>
        </w:rPr>
        <w:t xml:space="preserve">(e.g. </w:t>
      </w:r>
      <w:r w:rsidR="00860B70" w:rsidRPr="00956852">
        <w:rPr>
          <w:rFonts w:ascii="Courier New" w:hAnsi="Courier New" w:cs="Courier New"/>
          <w:sz w:val="18"/>
          <w:szCs w:val="18"/>
          <w:lang w:val="en-US"/>
        </w:rPr>
        <w:t>[</w:t>
      </w:r>
      <w:r w:rsidRPr="00BE567E">
        <w:rPr>
          <w:rFonts w:ascii="Courier New" w:hAnsi="Courier New" w:cs="Courier New"/>
          <w:sz w:val="18"/>
          <w:szCs w:val="18"/>
          <w:lang w:val="en-US"/>
        </w:rPr>
        <w:t>“Brenda</w:t>
      </w:r>
      <w:r w:rsidR="00860B70">
        <w:rPr>
          <w:rFonts w:ascii="Courier New" w:hAnsi="Courier New" w:cs="Courier New"/>
          <w:sz w:val="18"/>
          <w:szCs w:val="18"/>
          <w:lang w:val="en-US"/>
        </w:rPr>
        <w:t>”,</w:t>
      </w:r>
      <w:r w:rsidRPr="00BE567E">
        <w:rPr>
          <w:rFonts w:ascii="Courier New" w:hAnsi="Courier New" w:cs="Courier New"/>
          <w:sz w:val="18"/>
          <w:szCs w:val="18"/>
          <w:lang w:val="en-US"/>
        </w:rPr>
        <w:t xml:space="preserve"> </w:t>
      </w:r>
      <w:r w:rsidR="00860B70">
        <w:rPr>
          <w:rFonts w:ascii="Courier New" w:hAnsi="Courier New" w:cs="Courier New"/>
          <w:sz w:val="18"/>
          <w:szCs w:val="18"/>
          <w:lang w:val="en-US"/>
        </w:rPr>
        <w:t>“</w:t>
      </w:r>
      <w:r w:rsidRPr="00BE567E">
        <w:rPr>
          <w:rFonts w:ascii="Courier New" w:hAnsi="Courier New" w:cs="Courier New"/>
          <w:sz w:val="18"/>
          <w:szCs w:val="18"/>
          <w:lang w:val="en-US"/>
        </w:rPr>
        <w:t>was</w:t>
      </w:r>
      <w:r w:rsidR="00860B70">
        <w:rPr>
          <w:rFonts w:ascii="Courier New" w:hAnsi="Courier New" w:cs="Courier New"/>
          <w:sz w:val="18"/>
          <w:szCs w:val="18"/>
          <w:lang w:val="en-US"/>
        </w:rPr>
        <w:t>”,</w:t>
      </w:r>
      <w:r w:rsidRPr="00BE567E">
        <w:rPr>
          <w:rFonts w:ascii="Courier New" w:hAnsi="Courier New" w:cs="Courier New"/>
          <w:sz w:val="18"/>
          <w:szCs w:val="18"/>
          <w:lang w:val="en-US"/>
        </w:rPr>
        <w:t xml:space="preserve"> </w:t>
      </w:r>
      <w:r w:rsidR="00860B70">
        <w:rPr>
          <w:rFonts w:ascii="Courier New" w:hAnsi="Courier New" w:cs="Courier New"/>
          <w:sz w:val="18"/>
          <w:szCs w:val="18"/>
          <w:lang w:val="en-US"/>
        </w:rPr>
        <w:t>“</w:t>
      </w:r>
      <w:r w:rsidRPr="00BE567E">
        <w:rPr>
          <w:rFonts w:ascii="Courier New" w:hAnsi="Courier New" w:cs="Courier New"/>
          <w:sz w:val="18"/>
          <w:szCs w:val="18"/>
          <w:lang w:val="en-US"/>
        </w:rPr>
        <w:t>the</w:t>
      </w:r>
      <w:r w:rsidR="00860B70">
        <w:rPr>
          <w:rFonts w:ascii="Courier New" w:hAnsi="Courier New" w:cs="Courier New"/>
          <w:sz w:val="18"/>
          <w:szCs w:val="18"/>
          <w:lang w:val="en-US"/>
        </w:rPr>
        <w:t>”,</w:t>
      </w:r>
      <w:r w:rsidRPr="00BE567E">
        <w:rPr>
          <w:rFonts w:ascii="Courier New" w:hAnsi="Courier New" w:cs="Courier New"/>
          <w:sz w:val="18"/>
          <w:szCs w:val="18"/>
          <w:lang w:val="en-US"/>
        </w:rPr>
        <w:t xml:space="preserve"> </w:t>
      </w:r>
      <w:r w:rsidR="00860B70">
        <w:rPr>
          <w:rFonts w:ascii="Courier New" w:hAnsi="Courier New" w:cs="Courier New"/>
          <w:sz w:val="18"/>
          <w:szCs w:val="18"/>
          <w:lang w:val="en-US"/>
        </w:rPr>
        <w:t>“</w:t>
      </w:r>
      <w:r w:rsidRPr="00BE567E">
        <w:rPr>
          <w:rFonts w:ascii="Courier New" w:hAnsi="Courier New" w:cs="Courier New"/>
          <w:sz w:val="18"/>
          <w:szCs w:val="18"/>
          <w:lang w:val="en-US"/>
        </w:rPr>
        <w:t>best</w:t>
      </w:r>
      <w:r w:rsidR="00860B70">
        <w:rPr>
          <w:rFonts w:ascii="Courier New" w:hAnsi="Courier New" w:cs="Courier New"/>
          <w:sz w:val="18"/>
          <w:szCs w:val="18"/>
          <w:lang w:val="en-US"/>
        </w:rPr>
        <w:t>”, “</w:t>
      </w:r>
      <w:r w:rsidRPr="00BE567E">
        <w:rPr>
          <w:rFonts w:ascii="Courier New" w:hAnsi="Courier New" w:cs="Courier New"/>
          <w:sz w:val="18"/>
          <w:szCs w:val="18"/>
          <w:lang w:val="en-US"/>
        </w:rPr>
        <w:t>programmer</w:t>
      </w:r>
      <w:r w:rsidR="00860B70">
        <w:rPr>
          <w:rFonts w:ascii="Courier New" w:hAnsi="Courier New" w:cs="Courier New"/>
          <w:sz w:val="18"/>
          <w:szCs w:val="18"/>
          <w:lang w:val="en-US"/>
        </w:rPr>
        <w:t>”,</w:t>
      </w:r>
      <w:r w:rsidRPr="00BE567E">
        <w:rPr>
          <w:rFonts w:ascii="Courier New" w:hAnsi="Courier New" w:cs="Courier New"/>
          <w:sz w:val="18"/>
          <w:szCs w:val="18"/>
          <w:lang w:val="en-US"/>
        </w:rPr>
        <w:t xml:space="preserve"> </w:t>
      </w:r>
      <w:r w:rsidR="00860B70">
        <w:rPr>
          <w:rFonts w:ascii="Courier New" w:hAnsi="Courier New" w:cs="Courier New"/>
          <w:sz w:val="18"/>
          <w:szCs w:val="18"/>
          <w:lang w:val="en-US"/>
        </w:rPr>
        <w:t>“</w:t>
      </w:r>
      <w:r w:rsidRPr="00BE567E">
        <w:rPr>
          <w:rFonts w:ascii="Courier New" w:hAnsi="Courier New" w:cs="Courier New"/>
          <w:sz w:val="18"/>
          <w:szCs w:val="18"/>
          <w:lang w:val="en-US"/>
        </w:rPr>
        <w:t>amongst</w:t>
      </w:r>
      <w:r w:rsidR="00860B70">
        <w:rPr>
          <w:rFonts w:ascii="Courier New" w:hAnsi="Courier New" w:cs="Courier New"/>
          <w:sz w:val="18"/>
          <w:szCs w:val="18"/>
          <w:lang w:val="en-US"/>
        </w:rPr>
        <w:t>”,</w:t>
      </w:r>
      <w:r w:rsidRPr="00BE567E">
        <w:rPr>
          <w:rFonts w:ascii="Courier New" w:hAnsi="Courier New" w:cs="Courier New"/>
          <w:sz w:val="18"/>
          <w:szCs w:val="18"/>
          <w:lang w:val="en-US"/>
        </w:rPr>
        <w:t xml:space="preserve"> </w:t>
      </w:r>
      <w:r w:rsidR="00860B70">
        <w:rPr>
          <w:rFonts w:ascii="Courier New" w:hAnsi="Courier New" w:cs="Courier New"/>
          <w:sz w:val="18"/>
          <w:szCs w:val="18"/>
          <w:lang w:val="en-US"/>
        </w:rPr>
        <w:t>“</w:t>
      </w:r>
      <w:r w:rsidRPr="00BE567E">
        <w:rPr>
          <w:rFonts w:ascii="Courier New" w:hAnsi="Courier New" w:cs="Courier New"/>
          <w:sz w:val="18"/>
          <w:szCs w:val="18"/>
          <w:lang w:val="en-US"/>
        </w:rPr>
        <w:t>us”</w:t>
      </w:r>
      <w:r w:rsidR="00860B70">
        <w:rPr>
          <w:rFonts w:ascii="Courier New" w:hAnsi="Courier New" w:cs="Courier New"/>
          <w:sz w:val="18"/>
          <w:szCs w:val="18"/>
          <w:lang w:val="en-US"/>
        </w:rPr>
        <w:t>]</w:t>
      </w:r>
      <w:r w:rsidRPr="00BE567E">
        <w:rPr>
          <w:sz w:val="18"/>
          <w:szCs w:val="18"/>
          <w:lang w:val="en-US"/>
        </w:rPr>
        <w:t xml:space="preserve"> would be “lexed” as</w:t>
      </w:r>
      <w:r w:rsidR="00860B70">
        <w:rPr>
          <w:sz w:val="18"/>
          <w:szCs w:val="18"/>
          <w:lang w:val="en-US"/>
        </w:rPr>
        <w:t>:</w:t>
      </w:r>
      <w:r w:rsidRPr="00BE567E">
        <w:rPr>
          <w:rFonts w:ascii="Courier New" w:hAnsi="Courier New" w:cs="Courier New"/>
          <w:sz w:val="18"/>
          <w:szCs w:val="18"/>
          <w:lang w:val="en-US"/>
        </w:rPr>
        <w:t>[“Brenda”</w:t>
      </w:r>
      <w:r w:rsidR="00860B70">
        <w:rPr>
          <w:rFonts w:ascii="Courier New" w:hAnsi="Courier New" w:cs="Courier New"/>
          <w:sz w:val="18"/>
          <w:szCs w:val="18"/>
          <w:lang w:val="en-US"/>
        </w:rPr>
        <w:t>(PROPN)</w:t>
      </w:r>
      <w:r w:rsidRPr="00BE567E">
        <w:rPr>
          <w:rFonts w:ascii="Courier New" w:hAnsi="Courier New" w:cs="Courier New"/>
          <w:sz w:val="18"/>
          <w:szCs w:val="18"/>
          <w:lang w:val="en-US"/>
        </w:rPr>
        <w:t>, “was”</w:t>
      </w:r>
      <w:r w:rsidR="00860B70">
        <w:rPr>
          <w:rFonts w:ascii="Courier New" w:hAnsi="Courier New" w:cs="Courier New"/>
          <w:sz w:val="18"/>
          <w:szCs w:val="18"/>
          <w:lang w:val="en-US"/>
        </w:rPr>
        <w:t>(VERB)</w:t>
      </w:r>
      <w:r w:rsidRPr="00BE567E">
        <w:rPr>
          <w:rFonts w:ascii="Courier New" w:hAnsi="Courier New" w:cs="Courier New"/>
          <w:sz w:val="18"/>
          <w:szCs w:val="18"/>
          <w:lang w:val="en-US"/>
        </w:rPr>
        <w:t>, “the”</w:t>
      </w:r>
      <w:r w:rsidR="00860B70">
        <w:rPr>
          <w:rFonts w:ascii="Courier New" w:hAnsi="Courier New" w:cs="Courier New"/>
          <w:sz w:val="18"/>
          <w:szCs w:val="18"/>
          <w:lang w:val="en-US"/>
        </w:rPr>
        <w:t>(DET)</w:t>
      </w:r>
      <w:r w:rsidRPr="00BE567E">
        <w:rPr>
          <w:rFonts w:ascii="Courier New" w:hAnsi="Courier New" w:cs="Courier New"/>
          <w:sz w:val="18"/>
          <w:szCs w:val="18"/>
          <w:lang w:val="en-US"/>
        </w:rPr>
        <w:t>, “best”</w:t>
      </w:r>
      <w:r w:rsidR="00860B70">
        <w:rPr>
          <w:rFonts w:ascii="Courier New" w:hAnsi="Courier New" w:cs="Courier New"/>
          <w:sz w:val="18"/>
          <w:szCs w:val="18"/>
          <w:lang w:val="en-US"/>
        </w:rPr>
        <w:t>(ADJ)</w:t>
      </w:r>
      <w:r w:rsidRPr="00BE567E">
        <w:rPr>
          <w:rFonts w:ascii="Courier New" w:hAnsi="Courier New" w:cs="Courier New"/>
          <w:sz w:val="18"/>
          <w:szCs w:val="18"/>
          <w:lang w:val="en-US"/>
        </w:rPr>
        <w:t>, “programmer”</w:t>
      </w:r>
      <w:r w:rsidR="00860B70">
        <w:rPr>
          <w:rFonts w:ascii="Courier New" w:hAnsi="Courier New" w:cs="Courier New"/>
          <w:sz w:val="18"/>
          <w:szCs w:val="18"/>
          <w:lang w:val="en-US"/>
        </w:rPr>
        <w:t>(NOUN)</w:t>
      </w:r>
      <w:r w:rsidRPr="00BE567E">
        <w:rPr>
          <w:rFonts w:ascii="Courier New" w:hAnsi="Courier New" w:cs="Courier New"/>
          <w:sz w:val="18"/>
          <w:szCs w:val="18"/>
          <w:lang w:val="en-US"/>
        </w:rPr>
        <w:t>, “amongst”</w:t>
      </w:r>
      <w:r w:rsidR="00860B70">
        <w:rPr>
          <w:rFonts w:ascii="Courier New" w:hAnsi="Courier New" w:cs="Courier New"/>
          <w:sz w:val="18"/>
          <w:szCs w:val="18"/>
          <w:lang w:val="en-US"/>
        </w:rPr>
        <w:t>(PREP)</w:t>
      </w:r>
      <w:r w:rsidRPr="00BE567E">
        <w:rPr>
          <w:rFonts w:ascii="Courier New" w:hAnsi="Courier New" w:cs="Courier New"/>
          <w:sz w:val="18"/>
          <w:szCs w:val="18"/>
          <w:lang w:val="en-US"/>
        </w:rPr>
        <w:t>, “us”</w:t>
      </w:r>
      <w:r w:rsidR="00860B70">
        <w:rPr>
          <w:rFonts w:ascii="Courier New" w:hAnsi="Courier New" w:cs="Courier New"/>
          <w:sz w:val="18"/>
          <w:szCs w:val="18"/>
          <w:lang w:val="en-US"/>
        </w:rPr>
        <w:t>(</w:t>
      </w:r>
      <w:r w:rsidR="00741E72">
        <w:rPr>
          <w:rFonts w:ascii="Courier New" w:hAnsi="Courier New" w:cs="Courier New"/>
          <w:sz w:val="18"/>
          <w:szCs w:val="18"/>
          <w:lang w:val="en-US"/>
        </w:rPr>
        <w:t>PRON</w:t>
      </w:r>
      <w:r w:rsidR="00860B70">
        <w:rPr>
          <w:rFonts w:ascii="Courier New" w:hAnsi="Courier New" w:cs="Courier New"/>
          <w:sz w:val="18"/>
          <w:szCs w:val="18"/>
          <w:lang w:val="en-US"/>
        </w:rPr>
        <w:t>)</w:t>
      </w:r>
      <w:r w:rsidRPr="00BE567E">
        <w:rPr>
          <w:rFonts w:ascii="Courier New" w:hAnsi="Courier New" w:cs="Courier New"/>
          <w:sz w:val="18"/>
          <w:szCs w:val="18"/>
          <w:lang w:val="en-US"/>
        </w:rPr>
        <w:t>]</w:t>
      </w:r>
      <w:r w:rsidRPr="00BE567E">
        <w:rPr>
          <w:sz w:val="18"/>
          <w:szCs w:val="18"/>
          <w:lang w:val="en-US"/>
        </w:rPr>
        <w:t xml:space="preserve">). </w:t>
      </w:r>
      <w:r w:rsidRPr="00BE567E">
        <w:rPr>
          <w:i/>
          <w:iCs/>
          <w:sz w:val="18"/>
          <w:szCs w:val="18"/>
          <w:lang w:val="en-US"/>
        </w:rPr>
        <w:t xml:space="preserve">Parsing </w:t>
      </w:r>
      <w:r w:rsidRPr="00BE567E">
        <w:rPr>
          <w:sz w:val="18"/>
          <w:szCs w:val="18"/>
          <w:lang w:val="en-US"/>
        </w:rPr>
        <w:t xml:space="preserve">then takes </w:t>
      </w:r>
      <w:r w:rsidR="00CC0375">
        <w:rPr>
          <w:sz w:val="18"/>
          <w:szCs w:val="18"/>
          <w:lang w:val="en-US"/>
        </w:rPr>
        <w:t>these lexemes</w:t>
      </w:r>
      <w:r w:rsidRPr="00BE567E">
        <w:rPr>
          <w:sz w:val="18"/>
          <w:szCs w:val="18"/>
          <w:lang w:val="en-US"/>
        </w:rPr>
        <w:t xml:space="preserve"> and applies syntactic rules to</w:t>
      </w:r>
      <w:r w:rsidR="00402979">
        <w:rPr>
          <w:sz w:val="18"/>
          <w:szCs w:val="18"/>
          <w:lang w:val="en-US"/>
        </w:rPr>
        <w:t xml:space="preserve"> them</w:t>
      </w:r>
      <w:r>
        <w:rPr>
          <w:sz w:val="18"/>
          <w:szCs w:val="18"/>
          <w:lang w:val="en-US"/>
        </w:rPr>
        <w:t xml:space="preserve"> to </w:t>
      </w:r>
      <w:r w:rsidR="00402979">
        <w:rPr>
          <w:sz w:val="18"/>
          <w:szCs w:val="18"/>
          <w:lang w:val="en-US"/>
        </w:rPr>
        <w:t>derive</w:t>
      </w:r>
      <w:r>
        <w:rPr>
          <w:sz w:val="18"/>
          <w:szCs w:val="18"/>
          <w:lang w:val="en-US"/>
        </w:rPr>
        <w:t xml:space="preserve"> a </w:t>
      </w:r>
      <w:r>
        <w:rPr>
          <w:i/>
          <w:iCs/>
          <w:sz w:val="18"/>
          <w:szCs w:val="18"/>
          <w:lang w:val="en-US"/>
        </w:rPr>
        <w:t xml:space="preserve">parse tree </w:t>
      </w:r>
      <w:r w:rsidRPr="00BE567E">
        <w:rPr>
          <w:sz w:val="18"/>
          <w:szCs w:val="18"/>
          <w:lang w:val="en-US"/>
        </w:rPr>
        <w:t>(i.e. identifying “</w:t>
      </w:r>
      <w:r w:rsidRPr="00860B70">
        <w:rPr>
          <w:rFonts w:ascii="Courier New" w:hAnsi="Courier New" w:cs="Courier New"/>
          <w:sz w:val="18"/>
          <w:szCs w:val="18"/>
          <w:lang w:val="en-US"/>
        </w:rPr>
        <w:t>Brenda</w:t>
      </w:r>
      <w:r w:rsidRPr="00BE567E">
        <w:rPr>
          <w:sz w:val="18"/>
          <w:szCs w:val="18"/>
          <w:lang w:val="en-US"/>
        </w:rPr>
        <w:t>” as the subject of the sentence</w:t>
      </w:r>
      <w:r w:rsidR="00056A63">
        <w:rPr>
          <w:sz w:val="18"/>
          <w:szCs w:val="18"/>
          <w:lang w:val="en-US"/>
        </w:rPr>
        <w:t>, “</w:t>
      </w:r>
      <w:r w:rsidRPr="00860B70">
        <w:rPr>
          <w:rFonts w:ascii="Courier New" w:hAnsi="Courier New" w:cs="Courier New"/>
          <w:sz w:val="18"/>
          <w:szCs w:val="18"/>
          <w:lang w:val="en-US"/>
        </w:rPr>
        <w:t>was</w:t>
      </w:r>
      <w:r w:rsidRPr="00BE567E">
        <w:rPr>
          <w:sz w:val="18"/>
          <w:szCs w:val="18"/>
          <w:lang w:val="en-US"/>
        </w:rPr>
        <w:t xml:space="preserve">” as the </w:t>
      </w:r>
      <w:r w:rsidR="00860B70">
        <w:rPr>
          <w:sz w:val="18"/>
          <w:szCs w:val="18"/>
          <w:lang w:val="en-US"/>
        </w:rPr>
        <w:t>linking</w:t>
      </w:r>
      <w:r w:rsidR="00EC2EE7">
        <w:rPr>
          <w:sz w:val="18"/>
          <w:szCs w:val="18"/>
          <w:lang w:val="en-US"/>
        </w:rPr>
        <w:t xml:space="preserve"> </w:t>
      </w:r>
      <w:r w:rsidRPr="00BE567E">
        <w:rPr>
          <w:sz w:val="18"/>
          <w:szCs w:val="18"/>
          <w:lang w:val="en-US"/>
        </w:rPr>
        <w:t>verb</w:t>
      </w:r>
      <w:r w:rsidR="00056A63">
        <w:rPr>
          <w:sz w:val="18"/>
          <w:szCs w:val="18"/>
          <w:lang w:val="en-US"/>
        </w:rPr>
        <w:t>, etc.</w:t>
      </w:r>
      <w:r w:rsidRPr="00BE567E">
        <w:rPr>
          <w:sz w:val="18"/>
          <w:szCs w:val="18"/>
          <w:lang w:val="en-US"/>
        </w:rPr>
        <w:t>).</w:t>
      </w:r>
    </w:p>
  </w:footnote>
  <w:footnote w:id="10">
    <w:p w14:paraId="065EBD72" w14:textId="25D22829" w:rsidR="00422E4D" w:rsidRPr="00422E4D" w:rsidRDefault="00422E4D">
      <w:pPr>
        <w:pStyle w:val="FootnoteText"/>
        <w:rPr>
          <w:lang w:val="en-US"/>
        </w:rPr>
      </w:pPr>
      <w:r>
        <w:rPr>
          <w:rStyle w:val="FootnoteReference"/>
        </w:rPr>
        <w:footnoteRef/>
      </w:r>
      <w:r>
        <w:t xml:space="preserve"> </w:t>
      </w:r>
      <w:r w:rsidRPr="00422E4D">
        <w:rPr>
          <w:sz w:val="18"/>
          <w:szCs w:val="18"/>
          <w:lang w:val="en-US"/>
        </w:rPr>
        <w:t>According to the US Department of Justice’s definition of HHI</w:t>
      </w:r>
      <w:r w:rsidR="00AD483D">
        <w:rPr>
          <w:sz w:val="18"/>
          <w:szCs w:val="18"/>
          <w:lang w:val="en-US"/>
        </w:rPr>
        <w:t xml:space="preserve"> [12]</w:t>
      </w:r>
      <w:r w:rsidRPr="00422E4D">
        <w:rPr>
          <w:sz w:val="18"/>
          <w:szCs w:val="18"/>
          <w:lang w:val="en-US"/>
        </w:rPr>
        <w:t xml:space="preserve">, any score below 1,000 indicates a reasonably unconcentrated market (i.e. the market is not controlled by a small number of firms).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1BA"/>
    <w:multiLevelType w:val="multilevel"/>
    <w:tmpl w:val="B5923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63BB3"/>
    <w:multiLevelType w:val="multilevel"/>
    <w:tmpl w:val="00E6B6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F6104"/>
    <w:multiLevelType w:val="hybridMultilevel"/>
    <w:tmpl w:val="4E42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9A9"/>
    <w:multiLevelType w:val="hybridMultilevel"/>
    <w:tmpl w:val="07BC17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3D61F11"/>
    <w:multiLevelType w:val="hybridMultilevel"/>
    <w:tmpl w:val="0B2E2F9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15C83DB4"/>
    <w:multiLevelType w:val="hybridMultilevel"/>
    <w:tmpl w:val="378ECE44"/>
    <w:lvl w:ilvl="0" w:tplc="7F1614C6">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B48AC"/>
    <w:multiLevelType w:val="hybridMultilevel"/>
    <w:tmpl w:val="56CA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BB7DE8"/>
    <w:multiLevelType w:val="hybridMultilevel"/>
    <w:tmpl w:val="F162F888"/>
    <w:lvl w:ilvl="0" w:tplc="CEA4063E">
      <w:start w:val="15"/>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3C521C"/>
    <w:multiLevelType w:val="multilevel"/>
    <w:tmpl w:val="8E70D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6B742F8"/>
    <w:multiLevelType w:val="multilevel"/>
    <w:tmpl w:val="BF546C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1C70B9"/>
    <w:multiLevelType w:val="multilevel"/>
    <w:tmpl w:val="97E016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C7B73F5"/>
    <w:multiLevelType w:val="hybridMultilevel"/>
    <w:tmpl w:val="88942E30"/>
    <w:lvl w:ilvl="0" w:tplc="55587032">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436D0"/>
    <w:multiLevelType w:val="hybridMultilevel"/>
    <w:tmpl w:val="0CCE9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DC7F55"/>
    <w:multiLevelType w:val="multilevel"/>
    <w:tmpl w:val="7730D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7826104"/>
    <w:multiLevelType w:val="hybridMultilevel"/>
    <w:tmpl w:val="A10CB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A878B1"/>
    <w:multiLevelType w:val="hybridMultilevel"/>
    <w:tmpl w:val="DEAC2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177E27"/>
    <w:multiLevelType w:val="hybridMultilevel"/>
    <w:tmpl w:val="D708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624546"/>
    <w:multiLevelType w:val="multilevel"/>
    <w:tmpl w:val="81B0DB6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4D625FB"/>
    <w:multiLevelType w:val="multilevel"/>
    <w:tmpl w:val="F4921B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B003515"/>
    <w:multiLevelType w:val="multilevel"/>
    <w:tmpl w:val="664E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D80218A"/>
    <w:multiLevelType w:val="hybridMultilevel"/>
    <w:tmpl w:val="61D6D1CC"/>
    <w:lvl w:ilvl="0" w:tplc="409E82DA">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E4CF0"/>
    <w:multiLevelType w:val="hybridMultilevel"/>
    <w:tmpl w:val="D4EE5A78"/>
    <w:lvl w:ilvl="0" w:tplc="552E34CC">
      <w:numFmt w:val="bullet"/>
      <w:lvlText w:val=""/>
      <w:lvlJc w:val="left"/>
      <w:pPr>
        <w:ind w:left="720" w:hanging="360"/>
      </w:pPr>
      <w:rPr>
        <w:rFonts w:ascii="Symbol" w:eastAsia="Arial" w:hAnsi="Symbo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659480">
    <w:abstractNumId w:val="18"/>
  </w:num>
  <w:num w:numId="2" w16cid:durableId="1403943416">
    <w:abstractNumId w:val="17"/>
  </w:num>
  <w:num w:numId="3" w16cid:durableId="1773236115">
    <w:abstractNumId w:val="19"/>
  </w:num>
  <w:num w:numId="4" w16cid:durableId="1238704721">
    <w:abstractNumId w:val="0"/>
  </w:num>
  <w:num w:numId="5" w16cid:durableId="1941133572">
    <w:abstractNumId w:val="9"/>
  </w:num>
  <w:num w:numId="6" w16cid:durableId="455293798">
    <w:abstractNumId w:val="8"/>
  </w:num>
  <w:num w:numId="7" w16cid:durableId="351998595">
    <w:abstractNumId w:val="1"/>
  </w:num>
  <w:num w:numId="8" w16cid:durableId="28146458">
    <w:abstractNumId w:val="13"/>
  </w:num>
  <w:num w:numId="9" w16cid:durableId="1734307518">
    <w:abstractNumId w:val="10"/>
  </w:num>
  <w:num w:numId="10" w16cid:durableId="1317219074">
    <w:abstractNumId w:val="21"/>
  </w:num>
  <w:num w:numId="11" w16cid:durableId="388695762">
    <w:abstractNumId w:val="14"/>
  </w:num>
  <w:num w:numId="12" w16cid:durableId="385569504">
    <w:abstractNumId w:val="2"/>
  </w:num>
  <w:num w:numId="13" w16cid:durableId="511409727">
    <w:abstractNumId w:val="6"/>
  </w:num>
  <w:num w:numId="14" w16cid:durableId="682245822">
    <w:abstractNumId w:val="5"/>
  </w:num>
  <w:num w:numId="15" w16cid:durableId="1163468922">
    <w:abstractNumId w:val="20"/>
  </w:num>
  <w:num w:numId="16" w16cid:durableId="629365131">
    <w:abstractNumId w:val="7"/>
  </w:num>
  <w:num w:numId="17" w16cid:durableId="1832793439">
    <w:abstractNumId w:val="11"/>
  </w:num>
  <w:num w:numId="18" w16cid:durableId="654605839">
    <w:abstractNumId w:val="15"/>
  </w:num>
  <w:num w:numId="19" w16cid:durableId="154344501">
    <w:abstractNumId w:val="12"/>
  </w:num>
  <w:num w:numId="20" w16cid:durableId="1848517654">
    <w:abstractNumId w:val="4"/>
  </w:num>
  <w:num w:numId="21" w16cid:durableId="332536880">
    <w:abstractNumId w:val="3"/>
  </w:num>
  <w:num w:numId="22" w16cid:durableId="1292857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786"/>
    <w:rsid w:val="000001F4"/>
    <w:rsid w:val="00004337"/>
    <w:rsid w:val="000237DA"/>
    <w:rsid w:val="000240E4"/>
    <w:rsid w:val="00024A4A"/>
    <w:rsid w:val="000303B0"/>
    <w:rsid w:val="00032006"/>
    <w:rsid w:val="0003354B"/>
    <w:rsid w:val="00036D4B"/>
    <w:rsid w:val="00037156"/>
    <w:rsid w:val="0004045C"/>
    <w:rsid w:val="00053B8E"/>
    <w:rsid w:val="00054E66"/>
    <w:rsid w:val="00056A63"/>
    <w:rsid w:val="0006139F"/>
    <w:rsid w:val="00062403"/>
    <w:rsid w:val="000717F7"/>
    <w:rsid w:val="00080F76"/>
    <w:rsid w:val="000A2FC6"/>
    <w:rsid w:val="000B1B58"/>
    <w:rsid w:val="000B5064"/>
    <w:rsid w:val="000C23EB"/>
    <w:rsid w:val="000C4D95"/>
    <w:rsid w:val="000D2CBD"/>
    <w:rsid w:val="000D6BB7"/>
    <w:rsid w:val="000E0BDC"/>
    <w:rsid w:val="000E1540"/>
    <w:rsid w:val="000E6AAF"/>
    <w:rsid w:val="000F214D"/>
    <w:rsid w:val="000F3858"/>
    <w:rsid w:val="000F5315"/>
    <w:rsid w:val="000F67E8"/>
    <w:rsid w:val="000F6EFC"/>
    <w:rsid w:val="001009F8"/>
    <w:rsid w:val="00101AC4"/>
    <w:rsid w:val="00103304"/>
    <w:rsid w:val="00104B48"/>
    <w:rsid w:val="0011120F"/>
    <w:rsid w:val="00124B24"/>
    <w:rsid w:val="00125C1B"/>
    <w:rsid w:val="00131984"/>
    <w:rsid w:val="001369F6"/>
    <w:rsid w:val="001410C5"/>
    <w:rsid w:val="00141ABB"/>
    <w:rsid w:val="00142251"/>
    <w:rsid w:val="00150FDD"/>
    <w:rsid w:val="00161086"/>
    <w:rsid w:val="001713AA"/>
    <w:rsid w:val="00180B30"/>
    <w:rsid w:val="00183A63"/>
    <w:rsid w:val="0019374B"/>
    <w:rsid w:val="00194B59"/>
    <w:rsid w:val="00196069"/>
    <w:rsid w:val="00197D67"/>
    <w:rsid w:val="001A2E15"/>
    <w:rsid w:val="001A57BD"/>
    <w:rsid w:val="001A5B75"/>
    <w:rsid w:val="001A77EA"/>
    <w:rsid w:val="001B09FA"/>
    <w:rsid w:val="001B7B04"/>
    <w:rsid w:val="001C4342"/>
    <w:rsid w:val="001C739E"/>
    <w:rsid w:val="001D1080"/>
    <w:rsid w:val="001D3437"/>
    <w:rsid w:val="001D416A"/>
    <w:rsid w:val="001E3178"/>
    <w:rsid w:val="001E7358"/>
    <w:rsid w:val="001F3A36"/>
    <w:rsid w:val="00200024"/>
    <w:rsid w:val="002011CB"/>
    <w:rsid w:val="002037F5"/>
    <w:rsid w:val="00210368"/>
    <w:rsid w:val="00213202"/>
    <w:rsid w:val="00217A8E"/>
    <w:rsid w:val="0022171E"/>
    <w:rsid w:val="00231559"/>
    <w:rsid w:val="00231EB7"/>
    <w:rsid w:val="00234C1F"/>
    <w:rsid w:val="002370E7"/>
    <w:rsid w:val="0023736E"/>
    <w:rsid w:val="0024057A"/>
    <w:rsid w:val="00251110"/>
    <w:rsid w:val="002642C4"/>
    <w:rsid w:val="00272427"/>
    <w:rsid w:val="00274E7C"/>
    <w:rsid w:val="00281476"/>
    <w:rsid w:val="00283CA6"/>
    <w:rsid w:val="002937B6"/>
    <w:rsid w:val="0029429F"/>
    <w:rsid w:val="002A49BD"/>
    <w:rsid w:val="002A6A84"/>
    <w:rsid w:val="002B13CE"/>
    <w:rsid w:val="002B142E"/>
    <w:rsid w:val="002B3236"/>
    <w:rsid w:val="002B6FF9"/>
    <w:rsid w:val="002B78ED"/>
    <w:rsid w:val="002C60A1"/>
    <w:rsid w:val="002D08FC"/>
    <w:rsid w:val="002D4B97"/>
    <w:rsid w:val="002D524E"/>
    <w:rsid w:val="002D5DD6"/>
    <w:rsid w:val="002E0A71"/>
    <w:rsid w:val="002E445C"/>
    <w:rsid w:val="002F5333"/>
    <w:rsid w:val="00302CEF"/>
    <w:rsid w:val="00305D2D"/>
    <w:rsid w:val="0030657A"/>
    <w:rsid w:val="003105EF"/>
    <w:rsid w:val="00316EE2"/>
    <w:rsid w:val="00317193"/>
    <w:rsid w:val="00321E9E"/>
    <w:rsid w:val="0033134B"/>
    <w:rsid w:val="00340E59"/>
    <w:rsid w:val="003413DD"/>
    <w:rsid w:val="003427D2"/>
    <w:rsid w:val="003432BF"/>
    <w:rsid w:val="00344EAF"/>
    <w:rsid w:val="0035633C"/>
    <w:rsid w:val="003619D3"/>
    <w:rsid w:val="003655B3"/>
    <w:rsid w:val="003751DD"/>
    <w:rsid w:val="0037596C"/>
    <w:rsid w:val="00383DBA"/>
    <w:rsid w:val="0039139A"/>
    <w:rsid w:val="00397A0E"/>
    <w:rsid w:val="003A5873"/>
    <w:rsid w:val="003A6BF4"/>
    <w:rsid w:val="003B218D"/>
    <w:rsid w:val="003C16C2"/>
    <w:rsid w:val="003C2B06"/>
    <w:rsid w:val="003D05D7"/>
    <w:rsid w:val="003D1B82"/>
    <w:rsid w:val="003D27F8"/>
    <w:rsid w:val="003D2E09"/>
    <w:rsid w:val="003D4ABB"/>
    <w:rsid w:val="003E445E"/>
    <w:rsid w:val="00400DBB"/>
    <w:rsid w:val="00401F54"/>
    <w:rsid w:val="00402979"/>
    <w:rsid w:val="00415981"/>
    <w:rsid w:val="00421041"/>
    <w:rsid w:val="00421F9C"/>
    <w:rsid w:val="00422E4D"/>
    <w:rsid w:val="00423252"/>
    <w:rsid w:val="00425580"/>
    <w:rsid w:val="00425A4D"/>
    <w:rsid w:val="00426B43"/>
    <w:rsid w:val="00434815"/>
    <w:rsid w:val="00435FE1"/>
    <w:rsid w:val="00443220"/>
    <w:rsid w:val="00446F61"/>
    <w:rsid w:val="00450730"/>
    <w:rsid w:val="00454CD5"/>
    <w:rsid w:val="00457D7A"/>
    <w:rsid w:val="0046223A"/>
    <w:rsid w:val="00463349"/>
    <w:rsid w:val="0047763A"/>
    <w:rsid w:val="004917B8"/>
    <w:rsid w:val="00492747"/>
    <w:rsid w:val="00494A08"/>
    <w:rsid w:val="00494AE7"/>
    <w:rsid w:val="004B26BE"/>
    <w:rsid w:val="004B5C3D"/>
    <w:rsid w:val="004C3B03"/>
    <w:rsid w:val="004C7779"/>
    <w:rsid w:val="004C7DF7"/>
    <w:rsid w:val="004D09CA"/>
    <w:rsid w:val="004D2E60"/>
    <w:rsid w:val="004D5E9F"/>
    <w:rsid w:val="004E2786"/>
    <w:rsid w:val="004E401F"/>
    <w:rsid w:val="004E50A4"/>
    <w:rsid w:val="00503704"/>
    <w:rsid w:val="00506905"/>
    <w:rsid w:val="0052524C"/>
    <w:rsid w:val="005257AC"/>
    <w:rsid w:val="00526694"/>
    <w:rsid w:val="00531017"/>
    <w:rsid w:val="0053668A"/>
    <w:rsid w:val="005451A2"/>
    <w:rsid w:val="005474A6"/>
    <w:rsid w:val="005531C6"/>
    <w:rsid w:val="00556BEE"/>
    <w:rsid w:val="00556CF0"/>
    <w:rsid w:val="00565947"/>
    <w:rsid w:val="00570772"/>
    <w:rsid w:val="00570923"/>
    <w:rsid w:val="005713A6"/>
    <w:rsid w:val="00572267"/>
    <w:rsid w:val="005762F4"/>
    <w:rsid w:val="00587ECE"/>
    <w:rsid w:val="005A34EA"/>
    <w:rsid w:val="005A5B7E"/>
    <w:rsid w:val="005B0EEC"/>
    <w:rsid w:val="005B1325"/>
    <w:rsid w:val="005B1A13"/>
    <w:rsid w:val="005D0AEC"/>
    <w:rsid w:val="005D0DB1"/>
    <w:rsid w:val="005D3138"/>
    <w:rsid w:val="005D3F00"/>
    <w:rsid w:val="005E17FB"/>
    <w:rsid w:val="005E51FF"/>
    <w:rsid w:val="005F02B4"/>
    <w:rsid w:val="005F3580"/>
    <w:rsid w:val="005F49F6"/>
    <w:rsid w:val="005F76E9"/>
    <w:rsid w:val="006059CA"/>
    <w:rsid w:val="00620207"/>
    <w:rsid w:val="00621488"/>
    <w:rsid w:val="00626022"/>
    <w:rsid w:val="00626242"/>
    <w:rsid w:val="006324E6"/>
    <w:rsid w:val="00633453"/>
    <w:rsid w:val="00635388"/>
    <w:rsid w:val="00635BBB"/>
    <w:rsid w:val="00637821"/>
    <w:rsid w:val="0064060F"/>
    <w:rsid w:val="0064155A"/>
    <w:rsid w:val="00653B00"/>
    <w:rsid w:val="00655DBB"/>
    <w:rsid w:val="00657A61"/>
    <w:rsid w:val="00663B9B"/>
    <w:rsid w:val="00670EED"/>
    <w:rsid w:val="00674E6B"/>
    <w:rsid w:val="006834BA"/>
    <w:rsid w:val="00684498"/>
    <w:rsid w:val="006975FD"/>
    <w:rsid w:val="006A073E"/>
    <w:rsid w:val="006A18D6"/>
    <w:rsid w:val="006B7181"/>
    <w:rsid w:val="006C39F2"/>
    <w:rsid w:val="006C7854"/>
    <w:rsid w:val="006D607A"/>
    <w:rsid w:val="006E048C"/>
    <w:rsid w:val="006E5054"/>
    <w:rsid w:val="006E666C"/>
    <w:rsid w:val="006F1708"/>
    <w:rsid w:val="006F3785"/>
    <w:rsid w:val="00704659"/>
    <w:rsid w:val="00712D0D"/>
    <w:rsid w:val="007279A6"/>
    <w:rsid w:val="00731F14"/>
    <w:rsid w:val="0073256C"/>
    <w:rsid w:val="00732E47"/>
    <w:rsid w:val="0073375B"/>
    <w:rsid w:val="00741E72"/>
    <w:rsid w:val="00746334"/>
    <w:rsid w:val="00746A35"/>
    <w:rsid w:val="007603D6"/>
    <w:rsid w:val="00763366"/>
    <w:rsid w:val="00765499"/>
    <w:rsid w:val="00766488"/>
    <w:rsid w:val="007706F5"/>
    <w:rsid w:val="00770B43"/>
    <w:rsid w:val="00772040"/>
    <w:rsid w:val="00780F09"/>
    <w:rsid w:val="00782008"/>
    <w:rsid w:val="00782DC7"/>
    <w:rsid w:val="00785E66"/>
    <w:rsid w:val="00787294"/>
    <w:rsid w:val="00787E64"/>
    <w:rsid w:val="00791A5C"/>
    <w:rsid w:val="0079309F"/>
    <w:rsid w:val="007937E3"/>
    <w:rsid w:val="007B0F79"/>
    <w:rsid w:val="007B4CD0"/>
    <w:rsid w:val="007C0885"/>
    <w:rsid w:val="007C0905"/>
    <w:rsid w:val="007C2911"/>
    <w:rsid w:val="007C3A6B"/>
    <w:rsid w:val="007C42E3"/>
    <w:rsid w:val="007D3117"/>
    <w:rsid w:val="007D3D32"/>
    <w:rsid w:val="007D4648"/>
    <w:rsid w:val="007D5FCF"/>
    <w:rsid w:val="007E164B"/>
    <w:rsid w:val="007E3238"/>
    <w:rsid w:val="007E66B0"/>
    <w:rsid w:val="007E7698"/>
    <w:rsid w:val="007E7B0A"/>
    <w:rsid w:val="007F055A"/>
    <w:rsid w:val="007F1660"/>
    <w:rsid w:val="007F2B07"/>
    <w:rsid w:val="007F3390"/>
    <w:rsid w:val="007F5DAD"/>
    <w:rsid w:val="007F6A13"/>
    <w:rsid w:val="007F762D"/>
    <w:rsid w:val="00804933"/>
    <w:rsid w:val="008065C5"/>
    <w:rsid w:val="008144F4"/>
    <w:rsid w:val="0082062D"/>
    <w:rsid w:val="00832026"/>
    <w:rsid w:val="00836CF5"/>
    <w:rsid w:val="00853A9D"/>
    <w:rsid w:val="00855FF3"/>
    <w:rsid w:val="008608D0"/>
    <w:rsid w:val="00860B70"/>
    <w:rsid w:val="008629C3"/>
    <w:rsid w:val="0086437C"/>
    <w:rsid w:val="00870F46"/>
    <w:rsid w:val="00880364"/>
    <w:rsid w:val="00884FF6"/>
    <w:rsid w:val="008966D6"/>
    <w:rsid w:val="008A0290"/>
    <w:rsid w:val="008A506B"/>
    <w:rsid w:val="008A5E3D"/>
    <w:rsid w:val="008B1EBE"/>
    <w:rsid w:val="008B2F0B"/>
    <w:rsid w:val="008B50D4"/>
    <w:rsid w:val="008C5D04"/>
    <w:rsid w:val="008F6539"/>
    <w:rsid w:val="008F6C00"/>
    <w:rsid w:val="009011E8"/>
    <w:rsid w:val="0090652A"/>
    <w:rsid w:val="009073D7"/>
    <w:rsid w:val="0091181E"/>
    <w:rsid w:val="00912867"/>
    <w:rsid w:val="00922EEF"/>
    <w:rsid w:val="00924578"/>
    <w:rsid w:val="00927928"/>
    <w:rsid w:val="00934EAE"/>
    <w:rsid w:val="00937328"/>
    <w:rsid w:val="009444C2"/>
    <w:rsid w:val="00945870"/>
    <w:rsid w:val="00946025"/>
    <w:rsid w:val="0095673E"/>
    <w:rsid w:val="00956852"/>
    <w:rsid w:val="0096532F"/>
    <w:rsid w:val="009909B3"/>
    <w:rsid w:val="00991100"/>
    <w:rsid w:val="00993E96"/>
    <w:rsid w:val="0099643B"/>
    <w:rsid w:val="009966A9"/>
    <w:rsid w:val="009A4A4C"/>
    <w:rsid w:val="009A5B85"/>
    <w:rsid w:val="009A79F9"/>
    <w:rsid w:val="009B696A"/>
    <w:rsid w:val="009C07A3"/>
    <w:rsid w:val="009C3810"/>
    <w:rsid w:val="009C7663"/>
    <w:rsid w:val="009E040A"/>
    <w:rsid w:val="009E2CBC"/>
    <w:rsid w:val="009E4999"/>
    <w:rsid w:val="009E7F20"/>
    <w:rsid w:val="00A028CF"/>
    <w:rsid w:val="00A11ABE"/>
    <w:rsid w:val="00A139B7"/>
    <w:rsid w:val="00A14013"/>
    <w:rsid w:val="00A17606"/>
    <w:rsid w:val="00A2176B"/>
    <w:rsid w:val="00A22327"/>
    <w:rsid w:val="00A23C8C"/>
    <w:rsid w:val="00A24DC3"/>
    <w:rsid w:val="00A25726"/>
    <w:rsid w:val="00A27590"/>
    <w:rsid w:val="00A35487"/>
    <w:rsid w:val="00A36564"/>
    <w:rsid w:val="00A37411"/>
    <w:rsid w:val="00A41BBE"/>
    <w:rsid w:val="00A41C79"/>
    <w:rsid w:val="00A81360"/>
    <w:rsid w:val="00A84334"/>
    <w:rsid w:val="00A856CB"/>
    <w:rsid w:val="00A91604"/>
    <w:rsid w:val="00A94B0A"/>
    <w:rsid w:val="00A97192"/>
    <w:rsid w:val="00AB10CB"/>
    <w:rsid w:val="00AB3006"/>
    <w:rsid w:val="00AB6D6D"/>
    <w:rsid w:val="00AB7BDB"/>
    <w:rsid w:val="00AC1827"/>
    <w:rsid w:val="00AC6F55"/>
    <w:rsid w:val="00AD13C3"/>
    <w:rsid w:val="00AD193D"/>
    <w:rsid w:val="00AD483D"/>
    <w:rsid w:val="00AD74CA"/>
    <w:rsid w:val="00AE04C5"/>
    <w:rsid w:val="00AE6606"/>
    <w:rsid w:val="00B00C9A"/>
    <w:rsid w:val="00B0212D"/>
    <w:rsid w:val="00B02AA7"/>
    <w:rsid w:val="00B0536B"/>
    <w:rsid w:val="00B0629C"/>
    <w:rsid w:val="00B10DA3"/>
    <w:rsid w:val="00B14128"/>
    <w:rsid w:val="00B14489"/>
    <w:rsid w:val="00B241FF"/>
    <w:rsid w:val="00B2634F"/>
    <w:rsid w:val="00B31888"/>
    <w:rsid w:val="00B31BE8"/>
    <w:rsid w:val="00B320A9"/>
    <w:rsid w:val="00B354CE"/>
    <w:rsid w:val="00B3571A"/>
    <w:rsid w:val="00B40364"/>
    <w:rsid w:val="00B41458"/>
    <w:rsid w:val="00B52BBD"/>
    <w:rsid w:val="00B532F6"/>
    <w:rsid w:val="00B54EA2"/>
    <w:rsid w:val="00B71B9A"/>
    <w:rsid w:val="00B91DF1"/>
    <w:rsid w:val="00B926E3"/>
    <w:rsid w:val="00B93EC2"/>
    <w:rsid w:val="00B93F09"/>
    <w:rsid w:val="00BB37D6"/>
    <w:rsid w:val="00BC0833"/>
    <w:rsid w:val="00BC0D6A"/>
    <w:rsid w:val="00BC1EB2"/>
    <w:rsid w:val="00BC66A0"/>
    <w:rsid w:val="00BC68D8"/>
    <w:rsid w:val="00BC72E7"/>
    <w:rsid w:val="00BD2735"/>
    <w:rsid w:val="00BD2E6D"/>
    <w:rsid w:val="00BD5420"/>
    <w:rsid w:val="00BD5F41"/>
    <w:rsid w:val="00BE567E"/>
    <w:rsid w:val="00BF16C2"/>
    <w:rsid w:val="00BF6158"/>
    <w:rsid w:val="00C121D7"/>
    <w:rsid w:val="00C129D4"/>
    <w:rsid w:val="00C16545"/>
    <w:rsid w:val="00C20441"/>
    <w:rsid w:val="00C226E8"/>
    <w:rsid w:val="00C26B71"/>
    <w:rsid w:val="00C27579"/>
    <w:rsid w:val="00C27602"/>
    <w:rsid w:val="00C3445C"/>
    <w:rsid w:val="00C452D2"/>
    <w:rsid w:val="00C47BA0"/>
    <w:rsid w:val="00C52410"/>
    <w:rsid w:val="00C5310A"/>
    <w:rsid w:val="00C5619F"/>
    <w:rsid w:val="00C636BD"/>
    <w:rsid w:val="00C64205"/>
    <w:rsid w:val="00C71497"/>
    <w:rsid w:val="00C72A96"/>
    <w:rsid w:val="00C735DA"/>
    <w:rsid w:val="00C80A4A"/>
    <w:rsid w:val="00C81CC8"/>
    <w:rsid w:val="00C856B9"/>
    <w:rsid w:val="00C90ED4"/>
    <w:rsid w:val="00C93C4C"/>
    <w:rsid w:val="00C96758"/>
    <w:rsid w:val="00CA2204"/>
    <w:rsid w:val="00CA2D8D"/>
    <w:rsid w:val="00CA2FDD"/>
    <w:rsid w:val="00CA3B2C"/>
    <w:rsid w:val="00CA746F"/>
    <w:rsid w:val="00CA75A9"/>
    <w:rsid w:val="00CA78FE"/>
    <w:rsid w:val="00CA7AC4"/>
    <w:rsid w:val="00CB0429"/>
    <w:rsid w:val="00CB20A7"/>
    <w:rsid w:val="00CC0375"/>
    <w:rsid w:val="00CC5116"/>
    <w:rsid w:val="00CC644F"/>
    <w:rsid w:val="00CC6585"/>
    <w:rsid w:val="00CC6951"/>
    <w:rsid w:val="00CC725A"/>
    <w:rsid w:val="00CC7D52"/>
    <w:rsid w:val="00CD04CC"/>
    <w:rsid w:val="00CD1E5D"/>
    <w:rsid w:val="00CD69CB"/>
    <w:rsid w:val="00CD74EE"/>
    <w:rsid w:val="00CD7526"/>
    <w:rsid w:val="00CD7B3B"/>
    <w:rsid w:val="00CE2138"/>
    <w:rsid w:val="00CE3BBA"/>
    <w:rsid w:val="00CF3085"/>
    <w:rsid w:val="00CF6E3F"/>
    <w:rsid w:val="00CF7F25"/>
    <w:rsid w:val="00D0051A"/>
    <w:rsid w:val="00D00F82"/>
    <w:rsid w:val="00D108E8"/>
    <w:rsid w:val="00D12677"/>
    <w:rsid w:val="00D21BEF"/>
    <w:rsid w:val="00D21D2E"/>
    <w:rsid w:val="00D23256"/>
    <w:rsid w:val="00D30B43"/>
    <w:rsid w:val="00D3625F"/>
    <w:rsid w:val="00D43932"/>
    <w:rsid w:val="00D51B49"/>
    <w:rsid w:val="00D626DA"/>
    <w:rsid w:val="00D63F07"/>
    <w:rsid w:val="00D70921"/>
    <w:rsid w:val="00D7354E"/>
    <w:rsid w:val="00D8028F"/>
    <w:rsid w:val="00D86591"/>
    <w:rsid w:val="00DA25BB"/>
    <w:rsid w:val="00DA5390"/>
    <w:rsid w:val="00DB5B90"/>
    <w:rsid w:val="00DB7F6C"/>
    <w:rsid w:val="00DD2C7D"/>
    <w:rsid w:val="00DD4EAE"/>
    <w:rsid w:val="00DE0C01"/>
    <w:rsid w:val="00DE74CB"/>
    <w:rsid w:val="00DE7CC9"/>
    <w:rsid w:val="00DF0451"/>
    <w:rsid w:val="00DF20E4"/>
    <w:rsid w:val="00DF6F0D"/>
    <w:rsid w:val="00DF7F26"/>
    <w:rsid w:val="00E01A15"/>
    <w:rsid w:val="00E01A1F"/>
    <w:rsid w:val="00E02CA1"/>
    <w:rsid w:val="00E04285"/>
    <w:rsid w:val="00E07B89"/>
    <w:rsid w:val="00E07BDB"/>
    <w:rsid w:val="00E12CE8"/>
    <w:rsid w:val="00E12D67"/>
    <w:rsid w:val="00E14A36"/>
    <w:rsid w:val="00E206A8"/>
    <w:rsid w:val="00E24D08"/>
    <w:rsid w:val="00E25AE7"/>
    <w:rsid w:val="00E330A4"/>
    <w:rsid w:val="00E33B4E"/>
    <w:rsid w:val="00E36D8F"/>
    <w:rsid w:val="00E37AFE"/>
    <w:rsid w:val="00E4112C"/>
    <w:rsid w:val="00E44311"/>
    <w:rsid w:val="00E51D22"/>
    <w:rsid w:val="00E54301"/>
    <w:rsid w:val="00E617B7"/>
    <w:rsid w:val="00E6227C"/>
    <w:rsid w:val="00E622C0"/>
    <w:rsid w:val="00E71328"/>
    <w:rsid w:val="00E73638"/>
    <w:rsid w:val="00E743CF"/>
    <w:rsid w:val="00E84D8A"/>
    <w:rsid w:val="00E94881"/>
    <w:rsid w:val="00E95050"/>
    <w:rsid w:val="00EA1CC1"/>
    <w:rsid w:val="00EB213E"/>
    <w:rsid w:val="00EB7512"/>
    <w:rsid w:val="00EC1F75"/>
    <w:rsid w:val="00EC2EE7"/>
    <w:rsid w:val="00EC59DB"/>
    <w:rsid w:val="00EC5B32"/>
    <w:rsid w:val="00EC64B7"/>
    <w:rsid w:val="00EC6871"/>
    <w:rsid w:val="00ED4E3C"/>
    <w:rsid w:val="00ED55FF"/>
    <w:rsid w:val="00EE64B0"/>
    <w:rsid w:val="00EE73C3"/>
    <w:rsid w:val="00EF1280"/>
    <w:rsid w:val="00EF1BDA"/>
    <w:rsid w:val="00F01DD6"/>
    <w:rsid w:val="00F07563"/>
    <w:rsid w:val="00F12928"/>
    <w:rsid w:val="00F12F7C"/>
    <w:rsid w:val="00F13BCC"/>
    <w:rsid w:val="00F14F27"/>
    <w:rsid w:val="00F2042E"/>
    <w:rsid w:val="00F23743"/>
    <w:rsid w:val="00F2516A"/>
    <w:rsid w:val="00F34046"/>
    <w:rsid w:val="00F37869"/>
    <w:rsid w:val="00F37EF2"/>
    <w:rsid w:val="00F42ED9"/>
    <w:rsid w:val="00F44CEF"/>
    <w:rsid w:val="00F466B3"/>
    <w:rsid w:val="00F478A2"/>
    <w:rsid w:val="00F47C60"/>
    <w:rsid w:val="00F53AE9"/>
    <w:rsid w:val="00F5496E"/>
    <w:rsid w:val="00F65095"/>
    <w:rsid w:val="00F710AF"/>
    <w:rsid w:val="00F739A4"/>
    <w:rsid w:val="00F73E4A"/>
    <w:rsid w:val="00F862FC"/>
    <w:rsid w:val="00F87451"/>
    <w:rsid w:val="00F91051"/>
    <w:rsid w:val="00F93176"/>
    <w:rsid w:val="00F94E28"/>
    <w:rsid w:val="00F96665"/>
    <w:rsid w:val="00FA2468"/>
    <w:rsid w:val="00FA5E8B"/>
    <w:rsid w:val="00FA7121"/>
    <w:rsid w:val="00FB0AF3"/>
    <w:rsid w:val="00FB0CD0"/>
    <w:rsid w:val="00FB312E"/>
    <w:rsid w:val="00FC10B1"/>
    <w:rsid w:val="00FC26B9"/>
    <w:rsid w:val="00FC7B27"/>
    <w:rsid w:val="00FD2004"/>
    <w:rsid w:val="00FD368B"/>
    <w:rsid w:val="00FD7A45"/>
    <w:rsid w:val="00FE5494"/>
    <w:rsid w:val="00FF0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4769"/>
  <w15:docId w15:val="{8CE77155-436E-41C3-A217-29C9A524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pPr>
        <w:widowControl w:val="0"/>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526"/>
  </w:style>
  <w:style w:type="paragraph" w:styleId="Heading1">
    <w:name w:val="heading 1"/>
    <w:basedOn w:val="Normal"/>
    <w:next w:val="Normal"/>
    <w:uiPriority w:val="9"/>
    <w:qFormat/>
    <w:pPr>
      <w:spacing w:before="240"/>
      <w:outlineLvl w:val="0"/>
    </w:pPr>
    <w:rPr>
      <w:b/>
      <w:bCs/>
      <w:smallCaps/>
      <w:color w:val="548DD4"/>
      <w:sz w:val="24"/>
      <w:szCs w:val="24"/>
    </w:rPr>
  </w:style>
  <w:style w:type="paragraph" w:styleId="Heading2">
    <w:name w:val="heading 2"/>
    <w:basedOn w:val="Normal"/>
    <w:next w:val="Normal"/>
    <w:uiPriority w:val="9"/>
    <w:unhideWhenUsed/>
    <w:qFormat/>
    <w:pPr>
      <w:spacing w:before="180"/>
      <w:outlineLvl w:val="1"/>
    </w:pPr>
    <w:rPr>
      <w:b/>
      <w:bCs/>
      <w:smallCaps/>
      <w:sz w:val="22"/>
      <w:szCs w:val="22"/>
    </w:rPr>
  </w:style>
  <w:style w:type="paragraph" w:styleId="Heading3">
    <w:name w:val="heading 3"/>
    <w:basedOn w:val="Normal"/>
    <w:next w:val="Normal"/>
    <w:link w:val="Heading3Char"/>
    <w:uiPriority w:val="9"/>
    <w:unhideWhenUsed/>
    <w:qFormat/>
    <w:pPr>
      <w:keepNext/>
      <w:spacing w:before="180"/>
      <w:outlineLvl w:val="2"/>
    </w:pPr>
    <w:rPr>
      <w:b/>
      <w:bCs/>
      <w:sz w:val="22"/>
      <w:szCs w:val="22"/>
    </w:rPr>
  </w:style>
  <w:style w:type="paragraph" w:styleId="Heading4">
    <w:name w:val="heading 4"/>
    <w:basedOn w:val="Normal"/>
    <w:next w:val="Normal"/>
    <w:uiPriority w:val="9"/>
    <w:unhideWhenUsed/>
    <w:qFormat/>
    <w:pPr>
      <w:keepNext/>
      <w:spacing w:before="120"/>
      <w:outlineLvl w:val="3"/>
    </w:pPr>
    <w:rPr>
      <w:b/>
      <w:bCs/>
      <w:i/>
      <w:iCs/>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1120F"/>
    <w:rPr>
      <w:color w:val="0000FF" w:themeColor="hyperlink"/>
      <w:u w:val="single"/>
    </w:rPr>
  </w:style>
  <w:style w:type="character" w:styleId="UnresolvedMention">
    <w:name w:val="Unresolved Mention"/>
    <w:basedOn w:val="DefaultParagraphFont"/>
    <w:uiPriority w:val="99"/>
    <w:semiHidden/>
    <w:unhideWhenUsed/>
    <w:rsid w:val="0011120F"/>
    <w:rPr>
      <w:color w:val="605E5C"/>
      <w:shd w:val="clear" w:color="auto" w:fill="E1DFDD"/>
    </w:rPr>
  </w:style>
  <w:style w:type="paragraph" w:styleId="ListParagraph">
    <w:name w:val="List Paragraph"/>
    <w:basedOn w:val="Normal"/>
    <w:uiPriority w:val="34"/>
    <w:qFormat/>
    <w:rsid w:val="00272427"/>
    <w:pPr>
      <w:ind w:left="720"/>
      <w:contextualSpacing/>
    </w:pPr>
  </w:style>
  <w:style w:type="paragraph" w:styleId="FootnoteText">
    <w:name w:val="footnote text"/>
    <w:basedOn w:val="Normal"/>
    <w:link w:val="FootnoteTextChar"/>
    <w:uiPriority w:val="99"/>
    <w:semiHidden/>
    <w:unhideWhenUsed/>
    <w:rsid w:val="00D51B49"/>
    <w:pPr>
      <w:spacing w:after="0"/>
    </w:pPr>
    <w:rPr>
      <w:sz w:val="20"/>
      <w:szCs w:val="20"/>
    </w:rPr>
  </w:style>
  <w:style w:type="character" w:customStyle="1" w:styleId="FootnoteTextChar">
    <w:name w:val="Footnote Text Char"/>
    <w:basedOn w:val="DefaultParagraphFont"/>
    <w:link w:val="FootnoteText"/>
    <w:uiPriority w:val="99"/>
    <w:semiHidden/>
    <w:rsid w:val="00D51B49"/>
    <w:rPr>
      <w:sz w:val="20"/>
      <w:szCs w:val="20"/>
    </w:rPr>
  </w:style>
  <w:style w:type="character" w:styleId="FootnoteReference">
    <w:name w:val="footnote reference"/>
    <w:basedOn w:val="DefaultParagraphFont"/>
    <w:uiPriority w:val="99"/>
    <w:semiHidden/>
    <w:unhideWhenUsed/>
    <w:rsid w:val="00D51B49"/>
    <w:rPr>
      <w:vertAlign w:val="superscript"/>
    </w:rPr>
  </w:style>
  <w:style w:type="paragraph" w:styleId="Caption">
    <w:name w:val="caption"/>
    <w:basedOn w:val="Normal"/>
    <w:next w:val="Normal"/>
    <w:uiPriority w:val="35"/>
    <w:unhideWhenUsed/>
    <w:qFormat/>
    <w:rsid w:val="00054E66"/>
    <w:pPr>
      <w:spacing w:after="200"/>
    </w:pPr>
    <w:rPr>
      <w:i/>
      <w:iCs/>
      <w:color w:val="1F497D" w:themeColor="text2"/>
    </w:rPr>
  </w:style>
  <w:style w:type="table" w:styleId="TableGrid">
    <w:name w:val="Table Grid"/>
    <w:basedOn w:val="TableNormal"/>
    <w:uiPriority w:val="39"/>
    <w:rsid w:val="007E76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1B82"/>
    <w:pPr>
      <w:tabs>
        <w:tab w:val="center" w:pos="4680"/>
        <w:tab w:val="right" w:pos="9360"/>
      </w:tabs>
      <w:spacing w:after="0"/>
    </w:pPr>
  </w:style>
  <w:style w:type="character" w:customStyle="1" w:styleId="HeaderChar">
    <w:name w:val="Header Char"/>
    <w:basedOn w:val="DefaultParagraphFont"/>
    <w:link w:val="Header"/>
    <w:uiPriority w:val="99"/>
    <w:rsid w:val="003D1B82"/>
  </w:style>
  <w:style w:type="character" w:styleId="FollowedHyperlink">
    <w:name w:val="FollowedHyperlink"/>
    <w:basedOn w:val="DefaultParagraphFont"/>
    <w:uiPriority w:val="99"/>
    <w:semiHidden/>
    <w:unhideWhenUsed/>
    <w:rsid w:val="003751DD"/>
    <w:rPr>
      <w:color w:val="800080" w:themeColor="followedHyperlink"/>
      <w:u w:val="single"/>
    </w:rPr>
  </w:style>
  <w:style w:type="character" w:customStyle="1" w:styleId="Heading3Char">
    <w:name w:val="Heading 3 Char"/>
    <w:basedOn w:val="DefaultParagraphFont"/>
    <w:link w:val="Heading3"/>
    <w:uiPriority w:val="9"/>
    <w:rsid w:val="00EC2EE7"/>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ritannica.com/event/Enron-scandal/Downfall-and-bankruptcy" TargetMode="External"/><Relationship Id="rId26" Type="http://schemas.openxmlformats.org/officeDocument/2006/relationships/hyperlink" Target="https://support.sas.com/resources/papers/proceedings18/2543-2018.pdf" TargetMode="External"/><Relationship Id="rId39" Type="http://schemas.openxmlformats.org/officeDocument/2006/relationships/footer" Target="footer1.xml"/><Relationship Id="rId21" Type="http://schemas.openxmlformats.org/officeDocument/2006/relationships/hyperlink" Target="https://dberleant.github.io/papers/Mei_PMAPS04a.pdf" TargetMode="External"/><Relationship Id="rId34" Type="http://schemas.openxmlformats.org/officeDocument/2006/relationships/oleObject" Target="embeddings/oleObject1.bin"/><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ecfr.gov/current/title-18/chapter-I/subchapter-B/part-35/subpart-H/section-35.41" TargetMode="External"/><Relationship Id="rId29" Type="http://schemas.openxmlformats.org/officeDocument/2006/relationships/hyperlink" Target="https://portal.spp.org/groups/integrated-marketplace"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sas.com/en_us/software/on-demand-for-academics.html" TargetMode="External"/><Relationship Id="rId32" Type="http://schemas.openxmlformats.org/officeDocument/2006/relationships/hyperlink" Target="https://github.com/echarlesgrasby/seasug-2026-paper/tree/master/appendix" TargetMode="External"/><Relationship Id="rId37" Type="http://schemas.openxmlformats.org/officeDocument/2006/relationships/image" Target="media/image11.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github.com/lark-parser/lark" TargetMode="External"/><Relationship Id="rId28" Type="http://schemas.openxmlformats.org/officeDocument/2006/relationships/hyperlink" Target="https://www.justice.gov/atr/herfindahl-hirschman-index" TargetMode="External"/><Relationship Id="rId36" Type="http://schemas.openxmlformats.org/officeDocument/2006/relationships/oleObject" Target="embeddings/oleObject2.bin"/><Relationship Id="rId10" Type="http://schemas.openxmlformats.org/officeDocument/2006/relationships/image" Target="media/image2.png"/><Relationship Id="rId19" Type="http://schemas.openxmlformats.org/officeDocument/2006/relationships/hyperlink" Target="https://link.springer.com/article/10.1007/s13132-022-01096-6" TargetMode="External"/><Relationship Id="rId31" Type="http://schemas.openxmlformats.org/officeDocument/2006/relationships/hyperlink" Target="https://github.com/echarlesgrasby/seasug-2026-paper/tree/master/transpil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ardiff.ac.uk/__data/assets/pdf_file/0010/1164961/how_to_conduct_a_delphistudy.pdf" TargetMode="External"/><Relationship Id="rId27" Type="http://schemas.openxmlformats.org/officeDocument/2006/relationships/hyperlink" Target="https://www.eia.gov/electricity/data/eia860/" TargetMode="External"/><Relationship Id="rId30" Type="http://schemas.openxmlformats.org/officeDocument/2006/relationships/hyperlink" Target="https://www.eia.gov/electricity/" TargetMode="External"/><Relationship Id="rId35" Type="http://schemas.openxmlformats.org/officeDocument/2006/relationships/image" Target="media/image10.emf"/><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ornl.gov/blog/nils-stenvig-exploring-worlds-largest-machine" TargetMode="External"/><Relationship Id="rId25" Type="http://schemas.openxmlformats.org/officeDocument/2006/relationships/hyperlink" Target="https://support.sas.com/resources/papers/proceedings19/3824-2019.pdf" TargetMode="External"/><Relationship Id="rId33" Type="http://schemas.openxmlformats.org/officeDocument/2006/relationships/image" Target="media/image9.emf"/><Relationship Id="rId38"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T/+2Hr6+71DSXwqWa9yDy7fTQ==">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</go:docsCustomData>
</go:gDocsCustomXmlDataStorage>
</file>

<file path=customXml/itemProps1.xml><?xml version="1.0" encoding="utf-8"?>
<ds:datastoreItem xmlns:ds="http://schemas.openxmlformats.org/officeDocument/2006/customXml" ds:itemID="{37BA38DD-3339-4337-B129-D669332D8C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649</TotalTime>
  <Pages>13</Pages>
  <Words>4343</Words>
  <Characters>25239</Characters>
  <Application>Microsoft Office Word</Application>
  <DocSecurity>0</DocSecurity>
  <Lines>476</Lines>
  <Paragraphs>287</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29295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Eric Grasby</cp:lastModifiedBy>
  <cp:revision>248</cp:revision>
  <cp:lastPrinted>2026-09-09T19:19:00Z</cp:lastPrinted>
  <dcterms:created xsi:type="dcterms:W3CDTF">2026-08-21T23:34:00Z</dcterms:created>
  <dcterms:modified xsi:type="dcterms:W3CDTF">2026-09-16T17:23:00Z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0x010100A5347FA7F93F3C40B17393C6B2C5210B</vt:lpwstr>
  </property>
</Properties>
</file>