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B7D34F" w14:textId="77777777" w:rsidR="004E2786" w:rsidRDefault="00000000">
      <w:pPr>
        <w:keepNext/>
        <w:pBdr>
          <w:top w:val="nil"/>
          <w:left w:val="nil"/>
          <w:bottom w:val="nil"/>
          <w:right w:val="nil"/>
          <w:between w:val="nil"/>
        </w:pBdr>
        <w:spacing w:after="60"/>
        <w:jc w:val="center"/>
        <w:rPr>
          <w:b/>
          <w:bCs/>
          <w:color w:val="000000"/>
          <w:sz w:val="20"/>
          <w:szCs w:val="20"/>
        </w:rPr>
      </w:pPr>
      <w:r>
        <w:rPr>
          <w:b/>
          <w:bCs/>
          <w:color w:val="000000"/>
          <w:sz w:val="20"/>
          <w:szCs w:val="20"/>
        </w:rPr>
        <w:t xml:space="preserve">SEASUG </w:t>
      </w:r>
      <w:proofErr w:type="gramStart"/>
      <w:r>
        <w:rPr>
          <w:b/>
          <w:bCs/>
          <w:color w:val="000000"/>
          <w:sz w:val="20"/>
          <w:szCs w:val="20"/>
        </w:rPr>
        <w:t>Paper ###-</w:t>
      </w:r>
      <w:proofErr w:type="gramEnd"/>
      <w:r>
        <w:rPr>
          <w:b/>
          <w:bCs/>
          <w:color w:val="000000"/>
          <w:sz w:val="20"/>
          <w:szCs w:val="20"/>
        </w:rPr>
        <w:t>2026</w:t>
      </w:r>
    </w:p>
    <w:p w14:paraId="7C326506" w14:textId="01E70BA8" w:rsidR="004E2786" w:rsidRDefault="00CF6E3F">
      <w:pPr>
        <w:keepNext/>
        <w:pBdr>
          <w:top w:val="nil"/>
          <w:left w:val="nil"/>
          <w:bottom w:val="nil"/>
          <w:right w:val="nil"/>
          <w:between w:val="nil"/>
        </w:pBdr>
        <w:spacing w:before="100" w:after="60"/>
        <w:jc w:val="center"/>
        <w:rPr>
          <w:b/>
          <w:bCs/>
          <w:color w:val="000000"/>
          <w:sz w:val="26"/>
          <w:szCs w:val="26"/>
        </w:rPr>
      </w:pPr>
      <w:r>
        <w:rPr>
          <w:b/>
          <w:bCs/>
          <w:color w:val="000000"/>
          <w:sz w:val="26"/>
          <w:szCs w:val="26"/>
        </w:rPr>
        <w:t xml:space="preserve">A Domain-Specific Computer Language for Market Monitoring: </w:t>
      </w:r>
      <w:proofErr w:type="gramStart"/>
      <w:r>
        <w:rPr>
          <w:b/>
          <w:bCs/>
          <w:color w:val="000000"/>
          <w:sz w:val="26"/>
          <w:szCs w:val="26"/>
        </w:rPr>
        <w:t>the</w:t>
      </w:r>
      <w:proofErr w:type="gramEnd"/>
      <w:r>
        <w:rPr>
          <w:b/>
          <w:bCs/>
          <w:color w:val="000000"/>
          <w:sz w:val="26"/>
          <w:szCs w:val="26"/>
        </w:rPr>
        <w:t xml:space="preserve"> Missing Link Between Thoughts and SAS®</w:t>
      </w:r>
    </w:p>
    <w:p w14:paraId="345A8387" w14:textId="66E23E54" w:rsidR="004E2786" w:rsidRDefault="00000000">
      <w:pPr>
        <w:pBdr>
          <w:top w:val="nil"/>
          <w:left w:val="nil"/>
          <w:bottom w:val="nil"/>
          <w:right w:val="nil"/>
          <w:between w:val="nil"/>
        </w:pBdr>
        <w:spacing w:before="20"/>
        <w:jc w:val="center"/>
      </w:pPr>
      <w:r>
        <w:rPr>
          <w:color w:val="000000"/>
          <w:sz w:val="22"/>
          <w:szCs w:val="22"/>
        </w:rPr>
        <w:t xml:space="preserve">Eric C. Grasby, </w:t>
      </w:r>
      <w:r w:rsidR="000F214D">
        <w:rPr>
          <w:color w:val="000000"/>
          <w:sz w:val="22"/>
          <w:szCs w:val="22"/>
        </w:rPr>
        <w:t>SPP</w:t>
      </w:r>
      <w:r>
        <w:rPr>
          <w:color w:val="000000"/>
          <w:sz w:val="22"/>
          <w:szCs w:val="22"/>
        </w:rPr>
        <w:t>; Daniel Berleant, UA Little Rock</w:t>
      </w:r>
    </w:p>
    <w:p w14:paraId="0F749EB3" w14:textId="233D5DF2" w:rsidR="004E2786" w:rsidRPr="00272427" w:rsidRDefault="00CA78FE" w:rsidP="00272427">
      <w:pPr>
        <w:pStyle w:val="Heading1"/>
      </w:pPr>
      <w:r>
        <w:t>ABSTRACT</w:t>
      </w:r>
    </w:p>
    <w:p w14:paraId="728A8E8F" w14:textId="248B91CC" w:rsidR="004E2786" w:rsidRPr="00A37411" w:rsidRDefault="00000000" w:rsidP="00D21BEF">
      <w:r w:rsidRPr="00A37411">
        <w:t>This paper presents a proof-of-concept design and implementation of a domain-specific language (DSL) for use in energy market monitoring. Energy markets are complex systems that enable market participants to economically trade energy at wholesale rates. Market monitors analyze these markets and screen for manipulative behavior, often using SAS</w:t>
      </w:r>
      <w:r w:rsidR="00401F54">
        <w:t>®</w:t>
      </w:r>
      <w:r w:rsidRPr="00A37411">
        <w:t xml:space="preserve"> for data extraction, transformation, and analysis.</w:t>
      </w:r>
    </w:p>
    <w:p w14:paraId="488C0354" w14:textId="77777777" w:rsidR="004E2786" w:rsidRPr="00A37411" w:rsidRDefault="00000000" w:rsidP="00D21BEF">
      <w:r w:rsidRPr="00A37411">
        <w:t>While SAS is a well-established platform for working with data, many market monitors are not expert computer programmers. DSLs enable non-programmers to solve problems without requiring a background in software development. This paper presents a DSL that aims to alleviate this limitation by enabling a monitoring analyst to specify data analyses in an intuitive way that better suits their background and training. It then transpiles their output into valid SAS code, leveraging SAS data sets for data management and SAS procedures, DATA step programming, and SAS macros to handle complex functionality.</w:t>
      </w:r>
    </w:p>
    <w:p w14:paraId="3E687F43" w14:textId="77777777" w:rsidR="004E2786" w:rsidRDefault="00000000" w:rsidP="00D21BEF">
      <w:r w:rsidRPr="00A37411">
        <w:t>This paper, additionally, demonstrates the flexibility of this proposed design by providing example scripts that satisfy several use cases of this system. These use cases were identified by an anonymous panel of market monitors as part of a Delphi study.</w:t>
      </w:r>
    </w:p>
    <w:p w14:paraId="01450761" w14:textId="0B0A68DD" w:rsidR="008A506B" w:rsidRPr="000B5064" w:rsidRDefault="008A506B" w:rsidP="00D21BEF">
      <w:pPr>
        <w:rPr>
          <w:i/>
          <w:iCs/>
        </w:rPr>
      </w:pPr>
      <w:r w:rsidRPr="000B5064">
        <w:rPr>
          <w:b/>
          <w:bCs/>
          <w:i/>
          <w:iCs/>
        </w:rPr>
        <w:t>Keywords</w:t>
      </w:r>
      <w:r w:rsidRPr="000B5064">
        <w:rPr>
          <w:i/>
          <w:iCs/>
        </w:rPr>
        <w:t>: domain-specific language, analyst abstraction, energy market, market monitoring, transpiler</w:t>
      </w:r>
    </w:p>
    <w:p w14:paraId="49E70DB3" w14:textId="5F0B5581" w:rsidR="004E2786" w:rsidRDefault="00CA78FE" w:rsidP="00272427">
      <w:pPr>
        <w:pStyle w:val="Heading1"/>
      </w:pPr>
      <w:bookmarkStart w:id="0" w:name="_heading=h.m8l0puddzh9t" w:colFirst="0" w:colLast="0"/>
      <w:bookmarkEnd w:id="0"/>
      <w:r>
        <w:t>INTRODUCTION</w:t>
      </w:r>
    </w:p>
    <w:p w14:paraId="646DCAC3" w14:textId="06304846" w:rsidR="0011120F" w:rsidRPr="0011120F" w:rsidRDefault="00B31888" w:rsidP="00272427">
      <w:pPr>
        <w:pStyle w:val="Heading3"/>
      </w:pPr>
      <w:r>
        <w:t>Motivation and context</w:t>
      </w:r>
    </w:p>
    <w:p w14:paraId="2A6E9E5F" w14:textId="7F504251" w:rsidR="0011120F" w:rsidRDefault="00B31888" w:rsidP="00272427">
      <w:pPr>
        <w:pStyle w:val="Heading3"/>
      </w:pPr>
      <w:r>
        <w:t>Statement of contributions</w:t>
      </w:r>
    </w:p>
    <w:p w14:paraId="5E174452" w14:textId="61C2C282" w:rsidR="00032006" w:rsidRPr="00032006" w:rsidRDefault="00032006" w:rsidP="00032006">
      <w:pPr>
        <w:pStyle w:val="Heading3"/>
      </w:pPr>
      <w:r>
        <w:t>Energy market structure and monitoring</w:t>
      </w:r>
    </w:p>
    <w:p w14:paraId="503128FE" w14:textId="568D9888" w:rsidR="004E2786" w:rsidRDefault="00CA78FE">
      <w:pPr>
        <w:pStyle w:val="Heading1"/>
      </w:pPr>
      <w:bookmarkStart w:id="1" w:name="_heading=h.y2zz5yuofigo" w:colFirst="0" w:colLast="0"/>
      <w:bookmarkEnd w:id="1"/>
      <w:r>
        <w:t>BACKGROUND</w:t>
      </w:r>
    </w:p>
    <w:p w14:paraId="5C8F5606" w14:textId="70C497DF" w:rsidR="0011120F" w:rsidRDefault="0011120F" w:rsidP="00272427">
      <w:pPr>
        <w:pStyle w:val="Heading3"/>
      </w:pPr>
      <w:bookmarkStart w:id="2" w:name="_heading=h.wc0ucybh4nlh" w:colFirst="0" w:colLast="0"/>
      <w:bookmarkEnd w:id="2"/>
      <w:r>
        <w:t xml:space="preserve">The business problem: why a </w:t>
      </w:r>
      <w:r w:rsidR="00B31888">
        <w:t>d</w:t>
      </w:r>
      <w:r>
        <w:t>omain-</w:t>
      </w:r>
      <w:r w:rsidR="00B31888">
        <w:t>s</w:t>
      </w:r>
      <w:r>
        <w:t xml:space="preserve">pecific </w:t>
      </w:r>
      <w:r w:rsidR="00B31888">
        <w:t>l</w:t>
      </w:r>
      <w:r>
        <w:t>anguage?</w:t>
      </w:r>
    </w:p>
    <w:p w14:paraId="082D1A71" w14:textId="62203549" w:rsidR="000A2FC6" w:rsidRDefault="000A2FC6" w:rsidP="000A2FC6">
      <w:r>
        <w:t xml:space="preserve">Systems such as SAS already provide an abstraction layer for data processing – why propose to build a DSL on top of SAS at all? The answer to this question lies in the energy data landscape itself. Although the BES is operationally complex, the surrounding data infrastructure is even more fragmented. Market monitors routinely interact with disparate systems, siloed databases, undocumented schemas, and numerous other information quality issues that impede their analysis. </w:t>
      </w:r>
    </w:p>
    <w:p w14:paraId="5D417F40" w14:textId="3FFA6DA3" w:rsidR="000A2FC6" w:rsidRDefault="000A2FC6" w:rsidP="000A2FC6">
      <w:r>
        <w:t xml:space="preserve">Many of these issues are </w:t>
      </w:r>
      <w:r w:rsidRPr="000A2FC6">
        <w:rPr>
          <w:i/>
          <w:iCs/>
        </w:rPr>
        <w:t>semantic problems</w:t>
      </w:r>
      <w:r>
        <w:t xml:space="preserve">, requiring an individual to encode their domain expertise into SAS or SQL scripts. A prevalent example in energy markets involves how timestamps are interpreted across time zones. Because energy market transactions span across time zones, timestamps on these transactions may be recorded in local time, adjacent market time, or Coordinated Universal Time (UTC/GMT). If the time zone metadata is not readily apparent, analytical queries may produce </w:t>
      </w:r>
      <w:r w:rsidRPr="000A2FC6">
        <w:rPr>
          <w:i/>
          <w:iCs/>
        </w:rPr>
        <w:t>fundamentally incorrect results</w:t>
      </w:r>
      <w:r>
        <w:t xml:space="preserve">, despite being written as </w:t>
      </w:r>
      <w:r w:rsidRPr="000A2FC6">
        <w:rPr>
          <w:i/>
          <w:iCs/>
        </w:rPr>
        <w:t>syntactically valid</w:t>
      </w:r>
      <w:r>
        <w:t>.</w:t>
      </w:r>
    </w:p>
    <w:p w14:paraId="6FA13D40" w14:textId="6E5B4E33" w:rsidR="00934EAE" w:rsidRDefault="00934EAE" w:rsidP="000A2FC6">
      <w:r>
        <w:t xml:space="preserve">Modern analytics platforms provide mechanisms for performing these conversions, but they tend to rely on the user understanding and correctly applying the domain-level semantics associated with the data (using the appropriate time zone, for example). By leveraging metadata and domain-aware rules, </w:t>
      </w:r>
      <w:proofErr w:type="gramStart"/>
      <w:r>
        <w:t>the DSL</w:t>
      </w:r>
      <w:proofErr w:type="gramEnd"/>
      <w:r>
        <w:t xml:space="preserve"> can transparently handle these operations without requiring the user to manually account for such details.</w:t>
      </w:r>
    </w:p>
    <w:p w14:paraId="3D5BA253" w14:textId="1EC02897" w:rsidR="00934EAE" w:rsidRPr="000A2FC6" w:rsidRDefault="00934EAE" w:rsidP="000A2FC6">
      <w:r>
        <w:t xml:space="preserve">The proposed DSL is not intended to replace existing analytics platforms, like SAS, but instead </w:t>
      </w:r>
      <w:r w:rsidR="00446F61">
        <w:t>provides</w:t>
      </w:r>
      <w:r>
        <w:t xml:space="preserve"> a semantic layer that mitigates these information quality risks.</w:t>
      </w:r>
    </w:p>
    <w:p w14:paraId="0571E4A0" w14:textId="255A8CF9" w:rsidR="0011120F" w:rsidRDefault="0011120F" w:rsidP="00272427">
      <w:pPr>
        <w:pStyle w:val="Heading3"/>
      </w:pPr>
      <w:r>
        <w:t>Why SAS</w:t>
      </w:r>
      <w:r w:rsidR="001A2E15">
        <w:t>®</w:t>
      </w:r>
      <w:r>
        <w:t>?</w:t>
      </w:r>
    </w:p>
    <w:p w14:paraId="09C14A2D" w14:textId="003AD0E1" w:rsidR="00EC1F75" w:rsidRDefault="00EC1F75" w:rsidP="00EC1F75">
      <w:r>
        <w:t xml:space="preserve">Using SAS as the target language for this DSL comes with several advantages. </w:t>
      </w:r>
      <w:r w:rsidR="002D4B97">
        <w:t xml:space="preserve">While the design and implementation of this language </w:t>
      </w:r>
      <w:r w:rsidR="00D21BEF">
        <w:t>provide</w:t>
      </w:r>
      <w:r w:rsidR="002D4B97">
        <w:t xml:space="preserve"> a parser and language transpiler </w:t>
      </w:r>
      <w:r w:rsidR="00D21BEF">
        <w:t>to effectuate</w:t>
      </w:r>
      <w:r w:rsidR="00450730">
        <w:t xml:space="preserve"> the</w:t>
      </w:r>
      <w:r w:rsidR="00D21BEF">
        <w:t xml:space="preserve"> execution of the language, there are other components that are required to provide users with a functional analysis system. These main components include a </w:t>
      </w:r>
      <w:r w:rsidR="00D21BEF">
        <w:lastRenderedPageBreak/>
        <w:t>data processing engine, a reliable data typing scheme, and ca</w:t>
      </w:r>
      <w:r w:rsidR="00E36D8F">
        <w:t>p</w:t>
      </w:r>
      <w:r w:rsidR="00D21BEF">
        <w:t>abilities for data visualization and basic cartography.</w:t>
      </w:r>
    </w:p>
    <w:p w14:paraId="0E7D9744" w14:textId="7124D1D6" w:rsidR="00194B59" w:rsidRDefault="00194B59" w:rsidP="00EC1F75">
      <w:r>
        <w:t xml:space="preserve">The SAS ecosystem satisfies each of these system requirements. BASE SAS and SAS/ACCESS provide mechanisms for </w:t>
      </w:r>
      <w:r w:rsidR="00663B9B">
        <w:t>processing data, as well as importing and</w:t>
      </w:r>
      <w:r>
        <w:t xml:space="preserve"> exporting </w:t>
      </w:r>
      <w:r w:rsidR="00663B9B">
        <w:t xml:space="preserve">that </w:t>
      </w:r>
      <w:r>
        <w:t xml:space="preserve">data from a variety of </w:t>
      </w:r>
      <w:r w:rsidR="00663B9B">
        <w:t xml:space="preserve">external </w:t>
      </w:r>
      <w:r>
        <w:t>systems (including relational databases). When data is loaded from a source system</w:t>
      </w:r>
      <w:r w:rsidR="00663B9B">
        <w:t>,</w:t>
      </w:r>
      <w:r>
        <w:t xml:space="preserve"> SAS </w:t>
      </w:r>
      <w:r w:rsidR="00663B9B">
        <w:t>houses</w:t>
      </w:r>
      <w:r>
        <w:t xml:space="preserve"> that data in SAS datasets</w:t>
      </w:r>
      <w:r w:rsidR="00663B9B">
        <w:t>. These datasets, in turn,</w:t>
      </w:r>
      <w:r>
        <w:t xml:space="preserve"> </w:t>
      </w:r>
      <w:r w:rsidR="00663B9B">
        <w:t>provide a r</w:t>
      </w:r>
      <w:r>
        <w:t xml:space="preserve">eliable </w:t>
      </w:r>
      <w:r w:rsidR="00663B9B">
        <w:t xml:space="preserve">and universal </w:t>
      </w:r>
      <w:r>
        <w:t xml:space="preserve">API for data processing across all </w:t>
      </w:r>
      <w:r w:rsidR="00663B9B">
        <w:t xml:space="preserve">other </w:t>
      </w:r>
      <w:r>
        <w:t xml:space="preserve">SAS components. BASE SAS also ships with a data typing system, so the upstream DSL does not have to enforce strict typing as part of the syntax (which translates to less cognitive burden on the user). </w:t>
      </w:r>
    </w:p>
    <w:p w14:paraId="5AAF1EBA" w14:textId="0FFD7C2F" w:rsidR="00194B59" w:rsidRDefault="00194B59" w:rsidP="00EC1F75">
      <w:r>
        <w:t>Additionally, the Output Delivery System (ODS) that ships with SAS provides first-class citizens for generating and formatting both data visualization graphs and spatial maps. The ODS principally provides this functionality through the SGMAP and SGPLOT procedures, respectively.</w:t>
      </w:r>
    </w:p>
    <w:p w14:paraId="14D82BC3" w14:textId="35C900B0" w:rsidR="009011E8" w:rsidRPr="00EC1F75" w:rsidRDefault="009011E8" w:rsidP="00EC1F75">
      <w:r>
        <w:t xml:space="preserve">With each of these infrastructural components available within one platform, </w:t>
      </w:r>
      <w:proofErr w:type="gramStart"/>
      <w:r w:rsidR="005713A6">
        <w:t>the DSL</w:t>
      </w:r>
      <w:proofErr w:type="gramEnd"/>
      <w:r>
        <w:t xml:space="preserve"> can remain focused on allowing the user to write intuitive data logic. The DSL can then offload any technical complexity to SAS and return results and error messages back to the user.</w:t>
      </w:r>
    </w:p>
    <w:p w14:paraId="0B52D380" w14:textId="18E8C79E" w:rsidR="004E2786" w:rsidRDefault="00CA78FE">
      <w:pPr>
        <w:pStyle w:val="Heading1"/>
      </w:pPr>
      <w:r>
        <w:t>REQUIREMENTS SOLICITATION</w:t>
      </w:r>
    </w:p>
    <w:p w14:paraId="1B18A159" w14:textId="49CE421C" w:rsidR="00D51B49" w:rsidRPr="00A37411" w:rsidRDefault="00D51B49" w:rsidP="00A37411">
      <w:bookmarkStart w:id="3" w:name="_heading=h.v04ytp5vmndc" w:colFirst="0" w:colLast="0"/>
      <w:bookmarkEnd w:id="3"/>
      <w:r w:rsidRPr="00A37411">
        <w:t>To identify relevant use cases during the implementation of this DSL, the researchers chose to proctor a Delphi study</w:t>
      </w:r>
      <w:r w:rsidR="00FC26B9">
        <w:rPr>
          <w:rStyle w:val="FootnoteReference"/>
        </w:rPr>
        <w:footnoteReference w:id="1"/>
      </w:r>
      <w:r w:rsidRPr="00A37411">
        <w:t xml:space="preserve">. Eligibility to participate in this study was determined by only two (2) requirements: </w:t>
      </w:r>
    </w:p>
    <w:p w14:paraId="638075C2" w14:textId="77777777" w:rsidR="00A37411" w:rsidRDefault="00D51B49" w:rsidP="00A37411">
      <w:pPr>
        <w:pStyle w:val="ListParagraph"/>
        <w:numPr>
          <w:ilvl w:val="0"/>
          <w:numId w:val="13"/>
        </w:numPr>
      </w:pPr>
      <w:r w:rsidRPr="00A37411">
        <w:t>The participant must be over the age of 18</w:t>
      </w:r>
    </w:p>
    <w:p w14:paraId="02A201DB" w14:textId="3CCB6F7A" w:rsidR="00D51B49" w:rsidRPr="00A37411" w:rsidRDefault="00D51B49" w:rsidP="00A37411">
      <w:pPr>
        <w:pStyle w:val="ListParagraph"/>
        <w:numPr>
          <w:ilvl w:val="0"/>
          <w:numId w:val="13"/>
        </w:numPr>
      </w:pPr>
      <w:r w:rsidRPr="00A37411">
        <w:t>The participant must be a member of the Energy Intermarket Surveillance Group (EISG)</w:t>
      </w:r>
      <w:r w:rsidRPr="00A37411">
        <w:rPr>
          <w:vertAlign w:val="superscript"/>
        </w:rPr>
        <w:footnoteReference w:id="2"/>
      </w:r>
    </w:p>
    <w:p w14:paraId="774CE026" w14:textId="58B7F5B9" w:rsidR="00D51B49" w:rsidRPr="00A37411" w:rsidRDefault="00D51B49" w:rsidP="00A37411">
      <w:r w:rsidRPr="00A37411">
        <w:t>These eligibility requirements were introduced to both adhere to responsible research ethics</w:t>
      </w:r>
      <w:r w:rsidRPr="00A37411">
        <w:rPr>
          <w:vertAlign w:val="superscript"/>
        </w:rPr>
        <w:footnoteReference w:id="3"/>
      </w:r>
      <w:r w:rsidRPr="00A37411">
        <w:t xml:space="preserve"> and to establish a definition of “expert opinion” provided by each participant. Plainly, this ensured that the survey questions posed in this study were answered by the same individuals that </w:t>
      </w:r>
      <w:r w:rsidR="00804933" w:rsidRPr="00A37411">
        <w:t>may</w:t>
      </w:r>
      <w:r w:rsidRPr="00A37411">
        <w:t xml:space="preserve"> use a purpose-made DSL for energy market analytics. The study was conducted in two (2) rounds, where a round corresponds to a group of survey questions that were provided to the participants. These included a list of free-form text responses, multiple choice questions, and questions provided in a Likert format.</w:t>
      </w:r>
    </w:p>
    <w:p w14:paraId="0D34A1F3" w14:textId="3DCDF253" w:rsidR="008B50D4" w:rsidRDefault="008B50D4" w:rsidP="008B50D4">
      <w:pPr>
        <w:pStyle w:val="Heading4"/>
      </w:pPr>
      <w:r>
        <w:t>Panel Composition</w:t>
      </w:r>
    </w:p>
    <w:p w14:paraId="533C7877" w14:textId="2B1E3C73" w:rsidR="008B50D4" w:rsidRDefault="008B50D4" w:rsidP="00A37411">
      <w:r w:rsidRPr="00A37411">
        <w:t xml:space="preserve">At the time of administering this study, the EISG held a roster of 131 active members. </w:t>
      </w:r>
      <w:r w:rsidR="0039139A" w:rsidRPr="00A37411">
        <w:t xml:space="preserve">Round #1 yielded a roughly 15% response rate (19 confirmed individuals participated in the first round). Only 11 of the original 19 participants elected to respond to round #2 (roughly a 58% retention rate of the original participants). Of the panelists, 16 of the EISG members were US-based market monitors. The remaining 3 worked for an internationally based market monitoring unit. </w:t>
      </w:r>
      <w:r w:rsidR="007E7698">
        <w:fldChar w:fldCharType="begin"/>
      </w:r>
      <w:r w:rsidR="007E7698">
        <w:instrText xml:space="preserve"> REF _Ref230939531 \h </w:instrText>
      </w:r>
      <w:r w:rsidR="007E7698">
        <w:fldChar w:fldCharType="separate"/>
      </w:r>
      <w:r w:rsidR="007E7698">
        <w:t xml:space="preserve">Table </w:t>
      </w:r>
      <w:r w:rsidR="007E7698">
        <w:rPr>
          <w:noProof/>
        </w:rPr>
        <w:t>1</w:t>
      </w:r>
      <w:r w:rsidR="007E7698">
        <w:fldChar w:fldCharType="end"/>
      </w:r>
      <w:r w:rsidR="007E7698">
        <w:t xml:space="preserve"> displays the </w:t>
      </w:r>
      <w:r w:rsidR="00054E66" w:rsidRPr="00A37411">
        <w:t>professional role mix of the panelists, indicating that market monitoring analysts make up the largest portion of the panelists, with a mix of other roles including management, economists, data scientists, and a developer.</w:t>
      </w:r>
    </w:p>
    <w:tbl>
      <w:tblPr>
        <w:tblStyle w:val="TableGrid"/>
        <w:tblW w:w="0" w:type="auto"/>
        <w:jc w:val="center"/>
        <w:tblLook w:val="04A0" w:firstRow="1" w:lastRow="0" w:firstColumn="1" w:lastColumn="0" w:noHBand="0" w:noVBand="1"/>
      </w:tblPr>
      <w:tblGrid>
        <w:gridCol w:w="2337"/>
        <w:gridCol w:w="2337"/>
        <w:gridCol w:w="2337"/>
      </w:tblGrid>
      <w:tr w:rsidR="001713AA" w14:paraId="4A4FAC17" w14:textId="66E4E7DF" w:rsidTr="003B48CF">
        <w:trPr>
          <w:jc w:val="center"/>
        </w:trPr>
        <w:tc>
          <w:tcPr>
            <w:tcW w:w="2337" w:type="dxa"/>
          </w:tcPr>
          <w:p w14:paraId="043C1D4F" w14:textId="352ADA63" w:rsidR="001713AA" w:rsidRPr="007E7698" w:rsidRDefault="001713AA" w:rsidP="00C90ED4">
            <w:pPr>
              <w:jc w:val="center"/>
              <w:rPr>
                <w:b/>
                <w:bCs/>
              </w:rPr>
            </w:pPr>
            <w:r w:rsidRPr="007E7698">
              <w:rPr>
                <w:b/>
                <w:bCs/>
              </w:rPr>
              <w:t>Role</w:t>
            </w:r>
          </w:p>
        </w:tc>
        <w:tc>
          <w:tcPr>
            <w:tcW w:w="2337" w:type="dxa"/>
          </w:tcPr>
          <w:p w14:paraId="113D0491" w14:textId="1F77417C" w:rsidR="001713AA" w:rsidRPr="007E7698" w:rsidRDefault="001713AA" w:rsidP="00C90ED4">
            <w:pPr>
              <w:jc w:val="center"/>
              <w:rPr>
                <w:b/>
                <w:bCs/>
              </w:rPr>
            </w:pPr>
            <w:r w:rsidRPr="007E7698">
              <w:rPr>
                <w:b/>
                <w:bCs/>
              </w:rPr>
              <w:t>Count of Role in Panel</w:t>
            </w:r>
          </w:p>
        </w:tc>
        <w:tc>
          <w:tcPr>
            <w:tcW w:w="2337" w:type="dxa"/>
          </w:tcPr>
          <w:p w14:paraId="76A037A4" w14:textId="710AD4E2" w:rsidR="001713AA" w:rsidRPr="007E7698" w:rsidRDefault="001713AA" w:rsidP="00C90ED4">
            <w:pPr>
              <w:jc w:val="center"/>
              <w:rPr>
                <w:b/>
                <w:bCs/>
              </w:rPr>
            </w:pPr>
            <w:r>
              <w:rPr>
                <w:b/>
                <w:bCs/>
              </w:rPr>
              <w:t>Percentage (%)</w:t>
            </w:r>
          </w:p>
        </w:tc>
      </w:tr>
      <w:tr w:rsidR="001713AA" w14:paraId="62F30E3B" w14:textId="7B83826A" w:rsidTr="003B48CF">
        <w:trPr>
          <w:jc w:val="center"/>
        </w:trPr>
        <w:tc>
          <w:tcPr>
            <w:tcW w:w="2337" w:type="dxa"/>
          </w:tcPr>
          <w:p w14:paraId="4FCAE659" w14:textId="38D73DB2" w:rsidR="001713AA" w:rsidRDefault="001713AA" w:rsidP="00C90ED4">
            <w:pPr>
              <w:jc w:val="center"/>
            </w:pPr>
            <w:r>
              <w:t>Market Monitor (Analyst)</w:t>
            </w:r>
          </w:p>
        </w:tc>
        <w:tc>
          <w:tcPr>
            <w:tcW w:w="2337" w:type="dxa"/>
          </w:tcPr>
          <w:p w14:paraId="35F3BEFF" w14:textId="5FC1580E" w:rsidR="001713AA" w:rsidRDefault="001713AA" w:rsidP="00C90ED4">
            <w:pPr>
              <w:jc w:val="center"/>
            </w:pPr>
            <w:r>
              <w:t>13</w:t>
            </w:r>
          </w:p>
        </w:tc>
        <w:tc>
          <w:tcPr>
            <w:tcW w:w="2337" w:type="dxa"/>
          </w:tcPr>
          <w:p w14:paraId="7F2F15D0" w14:textId="32C37053" w:rsidR="001713AA" w:rsidRDefault="001713AA" w:rsidP="00C90ED4">
            <w:pPr>
              <w:jc w:val="center"/>
            </w:pPr>
            <w:r>
              <w:t>68%</w:t>
            </w:r>
          </w:p>
        </w:tc>
      </w:tr>
      <w:tr w:rsidR="001713AA" w14:paraId="3B56D764" w14:textId="4C64CFC3" w:rsidTr="003B48CF">
        <w:trPr>
          <w:jc w:val="center"/>
        </w:trPr>
        <w:tc>
          <w:tcPr>
            <w:tcW w:w="2337" w:type="dxa"/>
          </w:tcPr>
          <w:p w14:paraId="651FF2EE" w14:textId="4C84E6E2" w:rsidR="001713AA" w:rsidRDefault="001713AA" w:rsidP="00C90ED4">
            <w:pPr>
              <w:jc w:val="center"/>
            </w:pPr>
            <w:r>
              <w:t>Management</w:t>
            </w:r>
          </w:p>
        </w:tc>
        <w:tc>
          <w:tcPr>
            <w:tcW w:w="2337" w:type="dxa"/>
          </w:tcPr>
          <w:p w14:paraId="15B77D83" w14:textId="219A5C0C" w:rsidR="001713AA" w:rsidRDefault="001713AA" w:rsidP="00C90ED4">
            <w:pPr>
              <w:jc w:val="center"/>
            </w:pPr>
            <w:r>
              <w:t>4</w:t>
            </w:r>
          </w:p>
        </w:tc>
        <w:tc>
          <w:tcPr>
            <w:tcW w:w="2337" w:type="dxa"/>
          </w:tcPr>
          <w:p w14:paraId="528347C7" w14:textId="3786282B" w:rsidR="001713AA" w:rsidRDefault="001713AA" w:rsidP="00C90ED4">
            <w:pPr>
              <w:jc w:val="center"/>
            </w:pPr>
            <w:r>
              <w:t>21%</w:t>
            </w:r>
          </w:p>
        </w:tc>
      </w:tr>
      <w:tr w:rsidR="001713AA" w14:paraId="635181F9" w14:textId="11657244" w:rsidTr="003B48CF">
        <w:trPr>
          <w:jc w:val="center"/>
        </w:trPr>
        <w:tc>
          <w:tcPr>
            <w:tcW w:w="2337" w:type="dxa"/>
          </w:tcPr>
          <w:p w14:paraId="2B7D9665" w14:textId="6F4BFCC3" w:rsidR="001713AA" w:rsidRDefault="001713AA" w:rsidP="00C90ED4">
            <w:pPr>
              <w:jc w:val="center"/>
            </w:pPr>
            <w:r>
              <w:t>Economist</w:t>
            </w:r>
          </w:p>
        </w:tc>
        <w:tc>
          <w:tcPr>
            <w:tcW w:w="2337" w:type="dxa"/>
          </w:tcPr>
          <w:p w14:paraId="0BFF7C55" w14:textId="512CC09F" w:rsidR="001713AA" w:rsidRDefault="001713AA" w:rsidP="00C90ED4">
            <w:pPr>
              <w:jc w:val="center"/>
            </w:pPr>
            <w:r>
              <w:t>3</w:t>
            </w:r>
          </w:p>
        </w:tc>
        <w:tc>
          <w:tcPr>
            <w:tcW w:w="2337" w:type="dxa"/>
          </w:tcPr>
          <w:p w14:paraId="7BDD4D6D" w14:textId="1560EDDB" w:rsidR="001713AA" w:rsidRDefault="001713AA" w:rsidP="00C90ED4">
            <w:pPr>
              <w:jc w:val="center"/>
            </w:pPr>
            <w:r>
              <w:t>16%</w:t>
            </w:r>
          </w:p>
        </w:tc>
      </w:tr>
      <w:tr w:rsidR="001713AA" w14:paraId="6D6DE894" w14:textId="73F04DAC" w:rsidTr="003B48CF">
        <w:trPr>
          <w:jc w:val="center"/>
        </w:trPr>
        <w:tc>
          <w:tcPr>
            <w:tcW w:w="2337" w:type="dxa"/>
          </w:tcPr>
          <w:p w14:paraId="0F7830DB" w14:textId="38007639" w:rsidR="001713AA" w:rsidRDefault="001713AA" w:rsidP="00C90ED4">
            <w:pPr>
              <w:jc w:val="center"/>
            </w:pPr>
            <w:r>
              <w:t>Data Scientist</w:t>
            </w:r>
          </w:p>
        </w:tc>
        <w:tc>
          <w:tcPr>
            <w:tcW w:w="2337" w:type="dxa"/>
          </w:tcPr>
          <w:p w14:paraId="10F6F6FC" w14:textId="04C448C5" w:rsidR="001713AA" w:rsidRDefault="001713AA" w:rsidP="00C90ED4">
            <w:pPr>
              <w:jc w:val="center"/>
            </w:pPr>
            <w:r>
              <w:t>2</w:t>
            </w:r>
          </w:p>
        </w:tc>
        <w:tc>
          <w:tcPr>
            <w:tcW w:w="2337" w:type="dxa"/>
          </w:tcPr>
          <w:p w14:paraId="64E0C215" w14:textId="4ECF528A" w:rsidR="001713AA" w:rsidRDefault="001713AA" w:rsidP="00C90ED4">
            <w:pPr>
              <w:jc w:val="center"/>
            </w:pPr>
            <w:r>
              <w:t>11%</w:t>
            </w:r>
          </w:p>
        </w:tc>
      </w:tr>
      <w:tr w:rsidR="001713AA" w14:paraId="283C11DA" w14:textId="1D82908C" w:rsidTr="003B48CF">
        <w:trPr>
          <w:jc w:val="center"/>
        </w:trPr>
        <w:tc>
          <w:tcPr>
            <w:tcW w:w="2337" w:type="dxa"/>
          </w:tcPr>
          <w:p w14:paraId="3D21E92A" w14:textId="4D570627" w:rsidR="001713AA" w:rsidRDefault="001713AA" w:rsidP="00C90ED4">
            <w:pPr>
              <w:jc w:val="center"/>
            </w:pPr>
            <w:r>
              <w:t>Developer/IT</w:t>
            </w:r>
          </w:p>
        </w:tc>
        <w:tc>
          <w:tcPr>
            <w:tcW w:w="2337" w:type="dxa"/>
          </w:tcPr>
          <w:p w14:paraId="58FACA9F" w14:textId="1E93F7D6" w:rsidR="001713AA" w:rsidRDefault="001713AA" w:rsidP="00C90ED4">
            <w:pPr>
              <w:keepNext/>
              <w:jc w:val="center"/>
            </w:pPr>
            <w:r>
              <w:t>1</w:t>
            </w:r>
          </w:p>
        </w:tc>
        <w:tc>
          <w:tcPr>
            <w:tcW w:w="2337" w:type="dxa"/>
          </w:tcPr>
          <w:p w14:paraId="34F01A6F" w14:textId="0FAA2466" w:rsidR="001713AA" w:rsidRDefault="001713AA" w:rsidP="00C90ED4">
            <w:pPr>
              <w:keepNext/>
              <w:jc w:val="center"/>
            </w:pPr>
            <w:r>
              <w:t>5%</w:t>
            </w:r>
          </w:p>
        </w:tc>
      </w:tr>
    </w:tbl>
    <w:p w14:paraId="0EA15319" w14:textId="0D43134F" w:rsidR="007E7698" w:rsidRPr="00CD69CB" w:rsidRDefault="007E7698" w:rsidP="007E7698">
      <w:pPr>
        <w:pStyle w:val="Caption"/>
        <w:jc w:val="center"/>
        <w:rPr>
          <w:i w:val="0"/>
          <w:iCs w:val="0"/>
          <w:color w:val="auto"/>
        </w:rPr>
      </w:pPr>
      <w:bookmarkStart w:id="4" w:name="_Ref230939531"/>
      <w:r w:rsidRPr="00CD69CB">
        <w:rPr>
          <w:i w:val="0"/>
          <w:iCs w:val="0"/>
          <w:color w:val="auto"/>
        </w:rPr>
        <w:t xml:space="preserve">Table </w:t>
      </w:r>
      <w:r w:rsidRPr="00CD69CB">
        <w:rPr>
          <w:i w:val="0"/>
          <w:iCs w:val="0"/>
          <w:color w:val="auto"/>
        </w:rPr>
        <w:fldChar w:fldCharType="begin"/>
      </w:r>
      <w:r w:rsidRPr="00CD69CB">
        <w:rPr>
          <w:i w:val="0"/>
          <w:iCs w:val="0"/>
          <w:color w:val="auto"/>
        </w:rPr>
        <w:instrText xml:space="preserve"> SEQ Table \* ARABIC </w:instrText>
      </w:r>
      <w:r w:rsidRPr="00CD69CB">
        <w:rPr>
          <w:i w:val="0"/>
          <w:iCs w:val="0"/>
          <w:color w:val="auto"/>
        </w:rPr>
        <w:fldChar w:fldCharType="separate"/>
      </w:r>
      <w:r w:rsidRPr="00CD69CB">
        <w:rPr>
          <w:i w:val="0"/>
          <w:iCs w:val="0"/>
          <w:color w:val="auto"/>
        </w:rPr>
        <w:t>1</w:t>
      </w:r>
      <w:r w:rsidRPr="00CD69CB">
        <w:rPr>
          <w:i w:val="0"/>
          <w:iCs w:val="0"/>
          <w:color w:val="auto"/>
        </w:rPr>
        <w:fldChar w:fldCharType="end"/>
      </w:r>
      <w:bookmarkEnd w:id="4"/>
      <w:r w:rsidRPr="00CD69CB">
        <w:rPr>
          <w:i w:val="0"/>
          <w:iCs w:val="0"/>
          <w:color w:val="auto"/>
        </w:rPr>
        <w:t>. Professional Role Mix of Delphi Panel</w:t>
      </w:r>
      <w:r w:rsidR="001713AA" w:rsidRPr="00CD69CB">
        <w:rPr>
          <w:i w:val="0"/>
          <w:iCs w:val="0"/>
          <w:color w:val="auto"/>
          <w:vertAlign w:val="superscript"/>
        </w:rPr>
        <w:footnoteReference w:id="4"/>
      </w:r>
    </w:p>
    <w:tbl>
      <w:tblPr>
        <w:tblStyle w:val="TableGrid"/>
        <w:tblW w:w="0" w:type="auto"/>
        <w:tblInd w:w="1165" w:type="dxa"/>
        <w:tblLook w:val="04A0" w:firstRow="1" w:lastRow="0" w:firstColumn="1" w:lastColumn="0" w:noHBand="0" w:noVBand="1"/>
      </w:tblPr>
      <w:tblGrid>
        <w:gridCol w:w="2340"/>
        <w:gridCol w:w="2340"/>
        <w:gridCol w:w="2320"/>
      </w:tblGrid>
      <w:tr w:rsidR="001713AA" w14:paraId="6BFD1273" w14:textId="77777777" w:rsidTr="00B14489">
        <w:trPr>
          <w:trHeight w:val="241"/>
        </w:trPr>
        <w:tc>
          <w:tcPr>
            <w:tcW w:w="2340" w:type="dxa"/>
          </w:tcPr>
          <w:p w14:paraId="19806DC0" w14:textId="54A98CB9" w:rsidR="001713AA" w:rsidRPr="00B14489" w:rsidRDefault="001713AA" w:rsidP="001713AA">
            <w:pPr>
              <w:rPr>
                <w:b/>
                <w:bCs/>
              </w:rPr>
            </w:pPr>
            <w:r w:rsidRPr="00B14489">
              <w:rPr>
                <w:b/>
                <w:bCs/>
              </w:rPr>
              <w:t>Tenure Range</w:t>
            </w:r>
          </w:p>
        </w:tc>
        <w:tc>
          <w:tcPr>
            <w:tcW w:w="2340" w:type="dxa"/>
          </w:tcPr>
          <w:p w14:paraId="6EFF1D2A" w14:textId="19441DF3" w:rsidR="001713AA" w:rsidRPr="00B14489" w:rsidRDefault="001713AA" w:rsidP="001713AA">
            <w:pPr>
              <w:rPr>
                <w:b/>
                <w:bCs/>
              </w:rPr>
            </w:pPr>
            <w:r w:rsidRPr="00B14489">
              <w:rPr>
                <w:b/>
                <w:bCs/>
              </w:rPr>
              <w:t>Participant Count</w:t>
            </w:r>
          </w:p>
        </w:tc>
        <w:tc>
          <w:tcPr>
            <w:tcW w:w="2320" w:type="dxa"/>
          </w:tcPr>
          <w:p w14:paraId="4C0EB9DC" w14:textId="51CE8BCA" w:rsidR="001713AA" w:rsidRPr="00B14489" w:rsidRDefault="001713AA" w:rsidP="001713AA">
            <w:pPr>
              <w:rPr>
                <w:b/>
                <w:bCs/>
              </w:rPr>
            </w:pPr>
            <w:r w:rsidRPr="00B14489">
              <w:rPr>
                <w:b/>
                <w:bCs/>
              </w:rPr>
              <w:t>Percentage (%)</w:t>
            </w:r>
          </w:p>
        </w:tc>
      </w:tr>
      <w:tr w:rsidR="00B14489" w14:paraId="798B09E6" w14:textId="77777777" w:rsidTr="00B14489">
        <w:trPr>
          <w:trHeight w:val="260"/>
        </w:trPr>
        <w:tc>
          <w:tcPr>
            <w:tcW w:w="2340" w:type="dxa"/>
          </w:tcPr>
          <w:p w14:paraId="1D5921C7" w14:textId="77777777" w:rsidR="00B14489" w:rsidRDefault="00B14489" w:rsidP="001713AA"/>
        </w:tc>
        <w:tc>
          <w:tcPr>
            <w:tcW w:w="2340" w:type="dxa"/>
          </w:tcPr>
          <w:p w14:paraId="7F719665" w14:textId="77777777" w:rsidR="00B14489" w:rsidRDefault="00B14489" w:rsidP="001713AA"/>
        </w:tc>
        <w:tc>
          <w:tcPr>
            <w:tcW w:w="2320" w:type="dxa"/>
          </w:tcPr>
          <w:p w14:paraId="43A3AF5B" w14:textId="77777777" w:rsidR="00B14489" w:rsidRDefault="00B14489" w:rsidP="001713AA"/>
        </w:tc>
      </w:tr>
    </w:tbl>
    <w:p w14:paraId="735B63E3" w14:textId="63D82D04" w:rsidR="00E51D22" w:rsidRPr="006A073E" w:rsidRDefault="006A073E" w:rsidP="00BC0D6A">
      <w:pPr>
        <w:pStyle w:val="Heading3"/>
      </w:pPr>
      <w:bookmarkStart w:id="5" w:name="_heading=h.xw4c9cml9ir2" w:colFirst="0" w:colLast="0"/>
      <w:bookmarkEnd w:id="5"/>
      <w:r w:rsidRPr="006A073E">
        <w:lastRenderedPageBreak/>
        <w:t>Derived requirements and use cases</w:t>
      </w:r>
    </w:p>
    <w:p w14:paraId="2C93677F" w14:textId="417A0D33" w:rsidR="00E51D22" w:rsidRDefault="00CA78FE">
      <w:pPr>
        <w:pStyle w:val="Heading1"/>
      </w:pPr>
      <w:bookmarkStart w:id="6" w:name="_heading=h.3n1hn86yzluu" w:colFirst="0" w:colLast="0"/>
      <w:bookmarkEnd w:id="6"/>
      <w:r>
        <w:t>DOMAIN-SPECIFIC LANGUAGE DESIGN</w:t>
      </w:r>
    </w:p>
    <w:p w14:paraId="47DB29B6" w14:textId="65991332" w:rsidR="00272427" w:rsidRDefault="00272427" w:rsidP="00272427">
      <w:pPr>
        <w:pStyle w:val="Heading3"/>
      </w:pPr>
      <w:r>
        <w:t>Design goals and constraints</w:t>
      </w:r>
    </w:p>
    <w:p w14:paraId="70B7017C" w14:textId="719A02BD" w:rsidR="00272427" w:rsidRDefault="00272427" w:rsidP="00272427">
      <w:pPr>
        <w:pStyle w:val="Heading3"/>
      </w:pPr>
      <w:r>
        <w:t>Grammar specification</w:t>
      </w:r>
    </w:p>
    <w:p w14:paraId="7D97597A" w14:textId="6677BF22" w:rsidR="00272427" w:rsidRPr="00272427" w:rsidRDefault="00272427" w:rsidP="00272427">
      <w:pPr>
        <w:pStyle w:val="Heading3"/>
      </w:pPr>
      <w:r>
        <w:t>Example DSL statements</w:t>
      </w:r>
    </w:p>
    <w:p w14:paraId="4DA5C183" w14:textId="6EB86FEC" w:rsidR="00E51D22" w:rsidRDefault="00CA78FE" w:rsidP="00E51D22">
      <w:pPr>
        <w:pStyle w:val="Heading1"/>
      </w:pPr>
      <w:r>
        <w:t>TRANSPILER IMPLEMENTATION</w:t>
      </w:r>
    </w:p>
    <w:p w14:paraId="237C244E" w14:textId="488FDE8D" w:rsidR="00197D67" w:rsidRPr="00197D67" w:rsidRDefault="00197D67" w:rsidP="00197D67">
      <w:r>
        <w:t>To implement this domain-specific language, the researchers used two (2) main technologies: Python (including the Lark parser framework</w:t>
      </w:r>
      <w:r w:rsidR="002D524E">
        <w:rPr>
          <w:rStyle w:val="FootnoteReference"/>
        </w:rPr>
        <w:footnoteReference w:id="5"/>
      </w:r>
      <w:r>
        <w:t xml:space="preserve">) and the SAS® OnDemand for Academics (SODA) environment. </w:t>
      </w:r>
      <w:r w:rsidR="00213202">
        <w:t>The authors created a Python library that defines the grammar of the DSL, builds the lexer, parser, and transpiler, and then outputs valid SAS code. The code is then uploaded to SODA to check for execution errors and to retrieve any results.</w:t>
      </w:r>
    </w:p>
    <w:p w14:paraId="77C3A803" w14:textId="3596B5AB" w:rsidR="00272427" w:rsidRDefault="00272427" w:rsidP="00272427">
      <w:pPr>
        <w:pStyle w:val="Heading3"/>
      </w:pPr>
      <w:r>
        <w:t>Parser and transpiler architecture</w:t>
      </w:r>
    </w:p>
    <w:p w14:paraId="2AFEDE45" w14:textId="116E850C" w:rsidR="008A5E3D" w:rsidRDefault="008A5E3D" w:rsidP="008A5E3D">
      <w:r>
        <w:t xml:space="preserve">Transpiler process flow shown below: </w:t>
      </w:r>
    </w:p>
    <w:p w14:paraId="67BCE4DD" w14:textId="77777777" w:rsidR="000303B0" w:rsidRDefault="007D3D32" w:rsidP="000303B0">
      <w:pPr>
        <w:keepNext/>
      </w:pPr>
      <w:r>
        <w:rPr>
          <w:noProof/>
        </w:rPr>
        <w:drawing>
          <wp:inline distT="0" distB="0" distL="0" distR="0" wp14:anchorId="5B372CEB" wp14:editId="6578EE15">
            <wp:extent cx="5934075" cy="2028825"/>
            <wp:effectExtent l="19050" t="19050" r="28575" b="28575"/>
            <wp:docPr id="1594055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34075" cy="2028825"/>
                    </a:xfrm>
                    <a:prstGeom prst="rect">
                      <a:avLst/>
                    </a:prstGeom>
                    <a:noFill/>
                    <a:ln w="12700">
                      <a:solidFill>
                        <a:schemeClr val="tx1"/>
                      </a:solidFill>
                    </a:ln>
                  </pic:spPr>
                </pic:pic>
              </a:graphicData>
            </a:graphic>
          </wp:inline>
        </w:drawing>
      </w:r>
    </w:p>
    <w:p w14:paraId="18457ECC" w14:textId="37922D51" w:rsidR="008A5E3D" w:rsidRPr="000303B0" w:rsidRDefault="000303B0" w:rsidP="000303B0">
      <w:pPr>
        <w:pStyle w:val="Caption"/>
        <w:jc w:val="center"/>
        <w:rPr>
          <w:i w:val="0"/>
          <w:iCs w:val="0"/>
          <w:color w:val="auto"/>
        </w:rPr>
      </w:pPr>
      <w:r w:rsidRPr="000303B0">
        <w:rPr>
          <w:i w:val="0"/>
          <w:iCs w:val="0"/>
          <w:color w:val="auto"/>
        </w:rPr>
        <w:t xml:space="preserve">Figure </w:t>
      </w:r>
      <w:r w:rsidRPr="000303B0">
        <w:rPr>
          <w:i w:val="0"/>
          <w:iCs w:val="0"/>
          <w:color w:val="auto"/>
        </w:rPr>
        <w:fldChar w:fldCharType="begin"/>
      </w:r>
      <w:r w:rsidRPr="000303B0">
        <w:rPr>
          <w:i w:val="0"/>
          <w:iCs w:val="0"/>
          <w:color w:val="auto"/>
        </w:rPr>
        <w:instrText xml:space="preserve"> SEQ Figure \* ARABIC </w:instrText>
      </w:r>
      <w:r w:rsidRPr="000303B0">
        <w:rPr>
          <w:i w:val="0"/>
          <w:iCs w:val="0"/>
          <w:color w:val="auto"/>
        </w:rPr>
        <w:fldChar w:fldCharType="separate"/>
      </w:r>
      <w:r w:rsidRPr="000303B0">
        <w:rPr>
          <w:i w:val="0"/>
          <w:iCs w:val="0"/>
          <w:color w:val="auto"/>
        </w:rPr>
        <w:t>1</w:t>
      </w:r>
      <w:r w:rsidRPr="000303B0">
        <w:rPr>
          <w:i w:val="0"/>
          <w:iCs w:val="0"/>
          <w:color w:val="auto"/>
        </w:rPr>
        <w:fldChar w:fldCharType="end"/>
      </w:r>
      <w:r w:rsidRPr="000303B0">
        <w:rPr>
          <w:i w:val="0"/>
          <w:iCs w:val="0"/>
          <w:color w:val="auto"/>
        </w:rPr>
        <w:t>. Source DSL to SAS code transpiler process</w:t>
      </w:r>
    </w:p>
    <w:p w14:paraId="0CDAE64A" w14:textId="5A1B7656" w:rsidR="00272427" w:rsidRDefault="00217A8E" w:rsidP="00272427">
      <w:pPr>
        <w:pStyle w:val="Heading3"/>
      </w:pPr>
      <w:r>
        <w:t>Transpiler</w:t>
      </w:r>
      <w:r w:rsidR="00272427">
        <w:t xml:space="preserve"> strategy</w:t>
      </w:r>
    </w:p>
    <w:p w14:paraId="52C65CF6" w14:textId="3E066BC2" w:rsidR="00272427" w:rsidRPr="00272427" w:rsidRDefault="00272427" w:rsidP="00272427">
      <w:pPr>
        <w:pStyle w:val="Heading3"/>
      </w:pPr>
      <w:r>
        <w:t>Handling complex functionality</w:t>
      </w:r>
    </w:p>
    <w:p w14:paraId="19E2410D" w14:textId="15E03048" w:rsidR="00E51D22" w:rsidRDefault="00CA78FE" w:rsidP="00272427">
      <w:pPr>
        <w:pStyle w:val="Heading1"/>
      </w:pPr>
      <w:r>
        <w:t>EVALUATION OF RESULTS</w:t>
      </w:r>
    </w:p>
    <w:p w14:paraId="77E60E46" w14:textId="4BC77855" w:rsidR="00272427" w:rsidRDefault="00272427" w:rsidP="00272427">
      <w:pPr>
        <w:pStyle w:val="Heading3"/>
      </w:pPr>
      <w:r>
        <w:t>Use case demonstrations</w:t>
      </w:r>
    </w:p>
    <w:p w14:paraId="0D34A044" w14:textId="56123122" w:rsidR="00272427" w:rsidRDefault="00272427" w:rsidP="00272427">
      <w:pPr>
        <w:pStyle w:val="Heading3"/>
      </w:pPr>
      <w:r>
        <w:t>Verification of correctness</w:t>
      </w:r>
    </w:p>
    <w:p w14:paraId="2B48547E" w14:textId="56498D3B" w:rsidR="00272427" w:rsidRPr="00272427" w:rsidRDefault="00272427" w:rsidP="00272427">
      <w:pPr>
        <w:pStyle w:val="Heading3"/>
      </w:pPr>
      <w:r>
        <w:t>Coverage of derived requirements</w:t>
      </w:r>
    </w:p>
    <w:p w14:paraId="4E6752D1" w14:textId="5EACB04F" w:rsidR="004E2786" w:rsidRDefault="005451A2">
      <w:pPr>
        <w:pStyle w:val="Heading1"/>
      </w:pPr>
      <w:r>
        <w:t>CONCLUSION</w:t>
      </w:r>
    </w:p>
    <w:p w14:paraId="63149368" w14:textId="330D1AC1" w:rsidR="006F1708" w:rsidRPr="006F1708" w:rsidRDefault="006F1708" w:rsidP="006F1708">
      <w:r w:rsidRPr="006F1708">
        <w:rPr>
          <w:highlight w:val="yellow"/>
        </w:rPr>
        <w:t>Conclusions…</w:t>
      </w:r>
    </w:p>
    <w:p w14:paraId="46E102CA" w14:textId="464F27C9" w:rsidR="0011120F" w:rsidRDefault="0011120F" w:rsidP="00272427">
      <w:pPr>
        <w:pStyle w:val="Heading3"/>
      </w:pPr>
      <w:r>
        <w:lastRenderedPageBreak/>
        <w:t>Limitations</w:t>
      </w:r>
    </w:p>
    <w:p w14:paraId="50A88358" w14:textId="53997447" w:rsidR="00FE5494" w:rsidRDefault="00FE5494" w:rsidP="00FE5494">
      <w:r>
        <w:t xml:space="preserve">Given that this paper provides </w:t>
      </w:r>
      <w:r w:rsidR="00572267">
        <w:t>proof</w:t>
      </w:r>
      <w:r>
        <w:t xml:space="preserve">-of-concept for this DSL, there are several limitations with the </w:t>
      </w:r>
      <w:r w:rsidR="00180B30">
        <w:t xml:space="preserve">current </w:t>
      </w:r>
      <w:r>
        <w:t xml:space="preserve">implementation of this solution, namely: </w:t>
      </w:r>
    </w:p>
    <w:p w14:paraId="56520D66" w14:textId="78D28804" w:rsidR="00FE5494" w:rsidRDefault="00FE5494" w:rsidP="00FE5494">
      <w:pPr>
        <w:pStyle w:val="ListParagraph"/>
        <w:numPr>
          <w:ilvl w:val="0"/>
          <w:numId w:val="12"/>
        </w:numPr>
      </w:pPr>
      <w:r>
        <w:t>The execution model of this DSL exists solely as preprocessor directives</w:t>
      </w:r>
    </w:p>
    <w:p w14:paraId="377E7BFC" w14:textId="16BB559F" w:rsidR="00FE5494" w:rsidRDefault="00FE5494" w:rsidP="00FE5494">
      <w:pPr>
        <w:pStyle w:val="ListParagraph"/>
        <w:numPr>
          <w:ilvl w:val="0"/>
          <w:numId w:val="12"/>
        </w:numPr>
      </w:pPr>
      <w:r>
        <w:t>Use of the resultant SAS code requires manual intervention</w:t>
      </w:r>
    </w:p>
    <w:p w14:paraId="0F2ACA9D" w14:textId="70FC9602" w:rsidR="007279A6" w:rsidRDefault="007279A6" w:rsidP="007279A6">
      <w:pPr>
        <w:pStyle w:val="Heading3"/>
      </w:pPr>
      <w:r>
        <w:t>Improvement Possibilities</w:t>
      </w:r>
    </w:p>
    <w:p w14:paraId="7EC812F8" w14:textId="7F15D931" w:rsidR="007279A6" w:rsidRPr="005F76E9" w:rsidRDefault="007279A6" w:rsidP="007279A6">
      <w:pPr>
        <w:rPr>
          <w:highlight w:val="yellow"/>
        </w:rPr>
      </w:pPr>
      <w:r w:rsidRPr="005F76E9">
        <w:rPr>
          <w:highlight w:val="yellow"/>
        </w:rPr>
        <w:t>The exciting section!</w:t>
      </w:r>
      <w:r w:rsidR="00180B30" w:rsidRPr="005F76E9">
        <w:rPr>
          <w:highlight w:val="yellow"/>
        </w:rPr>
        <w:t xml:space="preserve"> Possibilities should include: </w:t>
      </w:r>
    </w:p>
    <w:p w14:paraId="443F8F51" w14:textId="33F42580" w:rsidR="00180B30" w:rsidRPr="005F76E9" w:rsidRDefault="00180B30" w:rsidP="00180B30">
      <w:pPr>
        <w:pStyle w:val="ListParagraph"/>
        <w:numPr>
          <w:ilvl w:val="0"/>
          <w:numId w:val="14"/>
        </w:numPr>
        <w:rPr>
          <w:highlight w:val="yellow"/>
        </w:rPr>
      </w:pPr>
      <w:r w:rsidRPr="005F76E9">
        <w:rPr>
          <w:highlight w:val="yellow"/>
        </w:rPr>
        <w:t>Language Server Protocol (LSP) and editor support</w:t>
      </w:r>
    </w:p>
    <w:p w14:paraId="581D7C3F" w14:textId="634E2178" w:rsidR="00180B30" w:rsidRPr="005F76E9" w:rsidRDefault="00180B30" w:rsidP="00180B30">
      <w:pPr>
        <w:pStyle w:val="ListParagraph"/>
        <w:numPr>
          <w:ilvl w:val="0"/>
          <w:numId w:val="14"/>
        </w:numPr>
        <w:rPr>
          <w:highlight w:val="yellow"/>
        </w:rPr>
      </w:pPr>
      <w:r w:rsidRPr="005F76E9">
        <w:rPr>
          <w:highlight w:val="yellow"/>
        </w:rPr>
        <w:t>Enhanced error handling and reporting</w:t>
      </w:r>
    </w:p>
    <w:p w14:paraId="529D5037" w14:textId="59621DE0" w:rsidR="00180B30" w:rsidRPr="005F76E9" w:rsidRDefault="00180B30" w:rsidP="00180B30">
      <w:pPr>
        <w:pStyle w:val="ListParagraph"/>
        <w:numPr>
          <w:ilvl w:val="0"/>
          <w:numId w:val="14"/>
        </w:numPr>
        <w:rPr>
          <w:highlight w:val="yellow"/>
        </w:rPr>
      </w:pPr>
      <w:r w:rsidRPr="005F76E9">
        <w:rPr>
          <w:highlight w:val="yellow"/>
        </w:rPr>
        <w:t>Connectivity with the SAS platform (either a traditional SAS 9.4 Server or the Viya cloud environment) – keeps the user from having to take the code and manually execute it</w:t>
      </w:r>
    </w:p>
    <w:p w14:paraId="2FFF6BF5" w14:textId="3BD3CC13" w:rsidR="00180B30" w:rsidRPr="005F76E9" w:rsidRDefault="00180B30" w:rsidP="00180B30">
      <w:pPr>
        <w:pStyle w:val="ListParagraph"/>
        <w:numPr>
          <w:ilvl w:val="0"/>
          <w:numId w:val="14"/>
        </w:numPr>
        <w:rPr>
          <w:highlight w:val="yellow"/>
        </w:rPr>
      </w:pPr>
      <w:r w:rsidRPr="005F76E9">
        <w:rPr>
          <w:highlight w:val="yellow"/>
        </w:rPr>
        <w:t>Integration with agentic AI (use the user’s DSL code as a “deterministic prompt”, to then build executable output code).</w:t>
      </w:r>
    </w:p>
    <w:p w14:paraId="18119A85" w14:textId="55E1BCC8" w:rsidR="0011120F" w:rsidRPr="0011120F" w:rsidRDefault="0011120F" w:rsidP="00272427">
      <w:pPr>
        <w:pStyle w:val="Heading3"/>
      </w:pPr>
      <w:r>
        <w:t>Future Work</w:t>
      </w:r>
    </w:p>
    <w:p w14:paraId="4B73A539" w14:textId="77777777" w:rsidR="004E2786" w:rsidRDefault="00000000">
      <w:pPr>
        <w:pStyle w:val="Heading1"/>
      </w:pPr>
      <w:bookmarkStart w:id="7" w:name="_heading=h.cb9bfkp3n0ty" w:colFirst="0" w:colLast="0"/>
      <w:bookmarkEnd w:id="7"/>
      <w:r>
        <w:t>References</w:t>
      </w:r>
    </w:p>
    <w:p w14:paraId="3A889A22" w14:textId="76009168" w:rsidR="008F6C00" w:rsidRDefault="008F6C00" w:rsidP="008F6C00">
      <w:r w:rsidRPr="008F6C00">
        <w:rPr>
          <w:highlight w:val="yellow"/>
        </w:rPr>
        <w:t xml:space="preserve">References are </w:t>
      </w:r>
      <w:proofErr w:type="gramStart"/>
      <w:r w:rsidRPr="008F6C00">
        <w:rPr>
          <w:highlight w:val="yellow"/>
        </w:rPr>
        <w:t>in-progress</w:t>
      </w:r>
      <w:proofErr w:type="gramEnd"/>
    </w:p>
    <w:p w14:paraId="3F79CF92" w14:textId="55931160" w:rsidR="00A27590" w:rsidRDefault="008065C5" w:rsidP="008F6C00">
      <w:r w:rsidRPr="005F76E9">
        <w:rPr>
          <w:highlight w:val="yellow"/>
        </w:rPr>
        <w:t>[1] Ruslan Mitkov, </w:t>
      </w:r>
      <w:r w:rsidRPr="005F76E9">
        <w:rPr>
          <w:i/>
          <w:iCs/>
          <w:highlight w:val="yellow"/>
        </w:rPr>
        <w:t>The Oxford handbook of computational linguistics</w:t>
      </w:r>
      <w:r w:rsidRPr="005F76E9">
        <w:rPr>
          <w:highlight w:val="yellow"/>
        </w:rPr>
        <w:t>. Oxford: Oxford University Press, 2004.</w:t>
      </w:r>
    </w:p>
    <w:p w14:paraId="7D18269C" w14:textId="55AA475B" w:rsidR="00780F09" w:rsidRPr="008F6C00" w:rsidRDefault="007E164B" w:rsidP="00780F09">
      <w:r w:rsidRPr="00E02CA1">
        <w:rPr>
          <w:highlight w:val="yellow"/>
        </w:rPr>
        <w:t xml:space="preserve">[2] </w:t>
      </w:r>
      <w:r w:rsidR="00780F09" w:rsidRPr="00E02CA1">
        <w:rPr>
          <w:highlight w:val="yellow"/>
        </w:rPr>
        <w:t>S. Chuenjitwongsa, “How to: Conduct a Delphi Study,” </w:t>
      </w:r>
      <w:r w:rsidR="00780F09" w:rsidRPr="00E02CA1">
        <w:rPr>
          <w:i/>
          <w:iCs/>
          <w:highlight w:val="yellow"/>
        </w:rPr>
        <w:t>Cardiff University</w:t>
      </w:r>
      <w:r w:rsidR="00780F09" w:rsidRPr="00E02CA1">
        <w:rPr>
          <w:highlight w:val="yellow"/>
        </w:rPr>
        <w:t xml:space="preserve">, 2017. </w:t>
      </w:r>
      <w:hyperlink r:id="rId10" w:history="1">
        <w:r w:rsidR="00780F09" w:rsidRPr="00E02CA1">
          <w:rPr>
            <w:rStyle w:val="Hyperlink"/>
            <w:highlight w:val="yellow"/>
          </w:rPr>
          <w:t>https://www.cardiff.ac.uk/__data/assets/pdf_file/0010/1164961/how_to_conduct_a_delphistudy.pdf</w:t>
        </w:r>
      </w:hyperlink>
    </w:p>
    <w:p w14:paraId="2C60C7E6" w14:textId="77777777" w:rsidR="004E2786" w:rsidRDefault="00000000">
      <w:pPr>
        <w:pStyle w:val="Heading1"/>
      </w:pPr>
      <w:bookmarkStart w:id="8" w:name="_heading=h.hb5jtu4yn1aq" w:colFirst="0" w:colLast="0"/>
      <w:bookmarkEnd w:id="8"/>
      <w:r>
        <w:t>Acknowledgments</w:t>
      </w:r>
    </w:p>
    <w:p w14:paraId="445C4A52" w14:textId="3AA884BB" w:rsidR="004E2786" w:rsidRPr="00A37411" w:rsidRDefault="00000000" w:rsidP="00A37411">
      <w:pPr>
        <w:widowControl/>
        <w:pBdr>
          <w:top w:val="nil"/>
          <w:left w:val="nil"/>
          <w:bottom w:val="nil"/>
          <w:right w:val="nil"/>
          <w:between w:val="nil"/>
        </w:pBdr>
        <w:spacing w:line="276" w:lineRule="auto"/>
      </w:pPr>
      <w:r w:rsidRPr="00A37411">
        <w:t>We would like to acknowledge SPP</w:t>
      </w:r>
      <w:r w:rsidR="00272427" w:rsidRPr="00A37411">
        <w:t xml:space="preserve">, the Energy Information Authority (EIA), and DegreeDays.net </w:t>
      </w:r>
      <w:r w:rsidRPr="00A37411">
        <w:t xml:space="preserve">for providing </w:t>
      </w:r>
      <w:r w:rsidR="00272427" w:rsidRPr="00A37411">
        <w:t>sources</w:t>
      </w:r>
      <w:r w:rsidRPr="00A37411">
        <w:t xml:space="preserve"> of publicly available </w:t>
      </w:r>
      <w:r w:rsidR="00272427" w:rsidRPr="00A37411">
        <w:t xml:space="preserve">data </w:t>
      </w:r>
      <w:r w:rsidRPr="00A37411">
        <w:t xml:space="preserve">which made </w:t>
      </w:r>
      <w:r w:rsidR="00272427" w:rsidRPr="00A37411">
        <w:t>the construction and evaluation of this</w:t>
      </w:r>
      <w:r w:rsidRPr="00A37411">
        <w:t xml:space="preserve"> project possible.</w:t>
      </w:r>
      <w:r w:rsidR="00272427" w:rsidRPr="00A37411">
        <w:t xml:space="preserve"> Readers are encouraged to visit </w:t>
      </w:r>
      <w:r w:rsidR="00DF0451">
        <w:t>the</w:t>
      </w:r>
      <w:r w:rsidR="007C42E3">
        <w:t xml:space="preserve"> </w:t>
      </w:r>
      <w:r w:rsidR="00272427" w:rsidRPr="00A37411">
        <w:t>website</w:t>
      </w:r>
      <w:r w:rsidR="007C42E3">
        <w:t>, for each respective organization,</w:t>
      </w:r>
      <w:r w:rsidR="00272427" w:rsidRPr="00A37411">
        <w:t xml:space="preserve"> for more information</w:t>
      </w:r>
      <w:r w:rsidR="008F6C00" w:rsidRPr="00A37411">
        <w:t xml:space="preserve"> on </w:t>
      </w:r>
      <w:r w:rsidR="00EC1F75" w:rsidRPr="00A37411">
        <w:t xml:space="preserve">sources of </w:t>
      </w:r>
      <w:r w:rsidR="008F6C00" w:rsidRPr="00A37411">
        <w:t>energy data</w:t>
      </w:r>
      <w:r w:rsidR="00272427" w:rsidRPr="00A37411">
        <w:t>:</w:t>
      </w:r>
    </w:p>
    <w:p w14:paraId="68EB3525" w14:textId="210ABB84" w:rsidR="00272427" w:rsidRPr="00A37411" w:rsidRDefault="00272427" w:rsidP="00D51B49">
      <w:pPr>
        <w:pStyle w:val="ListParagraph"/>
        <w:widowControl/>
        <w:numPr>
          <w:ilvl w:val="0"/>
          <w:numId w:val="10"/>
        </w:numPr>
        <w:pBdr>
          <w:top w:val="nil"/>
          <w:left w:val="nil"/>
          <w:bottom w:val="nil"/>
          <w:right w:val="nil"/>
          <w:between w:val="nil"/>
        </w:pBdr>
        <w:spacing w:line="276" w:lineRule="auto"/>
      </w:pPr>
      <w:r w:rsidRPr="00A37411">
        <w:t xml:space="preserve">SPP (née Southwest Power Pool) -- </w:t>
      </w:r>
      <w:hyperlink r:id="rId11" w:history="1">
        <w:r w:rsidRPr="00772040">
          <w:rPr>
            <w:rStyle w:val="Hyperlink"/>
          </w:rPr>
          <w:t>https://portal.spp.org/groups/integrated-marketplace</w:t>
        </w:r>
      </w:hyperlink>
    </w:p>
    <w:p w14:paraId="48136B6C" w14:textId="48D696D0" w:rsidR="00272427" w:rsidRPr="00A37411" w:rsidRDefault="00272427" w:rsidP="00D51B49">
      <w:pPr>
        <w:pStyle w:val="ListParagraph"/>
        <w:widowControl/>
        <w:numPr>
          <w:ilvl w:val="0"/>
          <w:numId w:val="10"/>
        </w:numPr>
        <w:pBdr>
          <w:top w:val="nil"/>
          <w:left w:val="nil"/>
          <w:bottom w:val="nil"/>
          <w:right w:val="nil"/>
          <w:between w:val="nil"/>
        </w:pBdr>
        <w:spacing w:line="276" w:lineRule="auto"/>
      </w:pPr>
      <w:r w:rsidRPr="00A37411">
        <w:t xml:space="preserve">EIA -- </w:t>
      </w:r>
      <w:hyperlink r:id="rId12" w:history="1">
        <w:r w:rsidRPr="00772040">
          <w:rPr>
            <w:rStyle w:val="Hyperlink"/>
          </w:rPr>
          <w:t>https://www.eia.gov/electricity/</w:t>
        </w:r>
      </w:hyperlink>
    </w:p>
    <w:p w14:paraId="14EEADD1" w14:textId="22C03023" w:rsidR="00272427" w:rsidRPr="00CE3BBA" w:rsidRDefault="00F37EF2" w:rsidP="00D51B49">
      <w:pPr>
        <w:pStyle w:val="ListParagraph"/>
        <w:widowControl/>
        <w:numPr>
          <w:ilvl w:val="0"/>
          <w:numId w:val="10"/>
        </w:numPr>
        <w:pBdr>
          <w:top w:val="nil"/>
          <w:left w:val="nil"/>
          <w:bottom w:val="nil"/>
          <w:right w:val="nil"/>
          <w:between w:val="nil"/>
        </w:pBdr>
        <w:spacing w:line="276" w:lineRule="auto"/>
        <w:rPr>
          <w:rStyle w:val="Hyperlink"/>
          <w:color w:val="auto"/>
          <w:u w:val="none"/>
        </w:rPr>
      </w:pPr>
      <w:r>
        <w:t>“</w:t>
      </w:r>
      <w:r w:rsidR="00272427" w:rsidRPr="00A37411">
        <w:t>BizEE</w:t>
      </w:r>
      <w:r>
        <w:t>”</w:t>
      </w:r>
      <w:r w:rsidR="00272427" w:rsidRPr="00A37411">
        <w:t xml:space="preserve"> Degree Days -- </w:t>
      </w:r>
      <w:hyperlink r:id="rId13" w:history="1">
        <w:r w:rsidR="00272427" w:rsidRPr="00772040">
          <w:rPr>
            <w:rStyle w:val="Hyperlink"/>
          </w:rPr>
          <w:t>https://www.degreedays.net/</w:t>
        </w:r>
      </w:hyperlink>
    </w:p>
    <w:p w14:paraId="03DFDCE3" w14:textId="4DF52009" w:rsidR="00CE3BBA" w:rsidRPr="00A37411" w:rsidRDefault="00CE3BBA" w:rsidP="00CE3BBA">
      <w:pPr>
        <w:widowControl/>
        <w:pBdr>
          <w:top w:val="nil"/>
          <w:left w:val="nil"/>
          <w:bottom w:val="nil"/>
          <w:right w:val="nil"/>
          <w:between w:val="nil"/>
        </w:pBdr>
        <w:spacing w:line="276" w:lineRule="auto"/>
      </w:pPr>
      <w:r>
        <w:t>Additionally, Eric would like to acknowledge both Mark Rouse and Bartosz</w:t>
      </w:r>
      <w:r w:rsidR="00E206A8">
        <w:t xml:space="preserve"> “Bart”</w:t>
      </w:r>
      <w:r>
        <w:t xml:space="preserve"> </w:t>
      </w:r>
      <w:proofErr w:type="spellStart"/>
      <w:r w:rsidR="00CA2D8D" w:rsidRPr="00CA2D8D">
        <w:t>Jabłoński</w:t>
      </w:r>
      <w:proofErr w:type="spellEnd"/>
      <w:r w:rsidR="00CA2D8D">
        <w:t xml:space="preserve"> </w:t>
      </w:r>
      <w:r>
        <w:t xml:space="preserve">for inspiring excitement within him </w:t>
      </w:r>
      <w:r w:rsidR="00EC64B7">
        <w:t>for</w:t>
      </w:r>
      <w:r>
        <w:t xml:space="preserve"> </w:t>
      </w:r>
      <w:r w:rsidR="00EC64B7">
        <w:t xml:space="preserve">learning </w:t>
      </w:r>
      <w:r>
        <w:t>SAS.</w:t>
      </w:r>
    </w:p>
    <w:p w14:paraId="239C0F98" w14:textId="77777777" w:rsidR="004E2786" w:rsidRDefault="00000000">
      <w:pPr>
        <w:pStyle w:val="Heading1"/>
      </w:pPr>
      <w:bookmarkStart w:id="9" w:name="_heading=h.hs7c92y1og9i" w:colFirst="0" w:colLast="0"/>
      <w:bookmarkEnd w:id="9"/>
      <w:r>
        <w:t>Recommended Reading</w:t>
      </w:r>
    </w:p>
    <w:p w14:paraId="70D8CA65" w14:textId="77946DC3" w:rsidR="008F6C00" w:rsidRPr="008F6C00" w:rsidRDefault="008F6C00" w:rsidP="008F6C00">
      <w:r w:rsidRPr="008F6C00">
        <w:rPr>
          <w:highlight w:val="yellow"/>
        </w:rPr>
        <w:t xml:space="preserve">Recommended reading in progress… Steven Stoft’s </w:t>
      </w:r>
      <w:r w:rsidRPr="008F6C00">
        <w:rPr>
          <w:i/>
          <w:iCs/>
          <w:highlight w:val="yellow"/>
        </w:rPr>
        <w:t>Power System Economics</w:t>
      </w:r>
      <w:r w:rsidRPr="008F6C00">
        <w:rPr>
          <w:highlight w:val="yellow"/>
        </w:rPr>
        <w:t xml:space="preserve"> at a bare minimum.</w:t>
      </w:r>
    </w:p>
    <w:p w14:paraId="3A7E299D" w14:textId="2E01DEB3" w:rsidR="004E2786" w:rsidRDefault="00000000">
      <w:pPr>
        <w:pStyle w:val="Heading1"/>
      </w:pPr>
      <w:bookmarkStart w:id="10" w:name="_heading=h.w80t7yem59fv" w:colFirst="0" w:colLast="0"/>
      <w:bookmarkEnd w:id="10"/>
      <w:r>
        <w:t>Contact Information</w:t>
      </w:r>
    </w:p>
    <w:p w14:paraId="3F01C1E9" w14:textId="34A10101" w:rsidR="00B31888" w:rsidRPr="00A37411" w:rsidRDefault="00000000" w:rsidP="00A37411">
      <w:pPr>
        <w:widowControl/>
        <w:pBdr>
          <w:top w:val="nil"/>
          <w:left w:val="nil"/>
          <w:bottom w:val="nil"/>
          <w:right w:val="nil"/>
          <w:between w:val="nil"/>
        </w:pBdr>
        <w:spacing w:line="276" w:lineRule="auto"/>
      </w:pPr>
      <w:r w:rsidRPr="00A37411">
        <w:t>Your comments and questions are valued and encouraged. Contact the author(s) at:</w:t>
      </w:r>
    </w:p>
    <w:p w14:paraId="39A69478" w14:textId="1FB04CCC" w:rsidR="004E2786" w:rsidRPr="00A37411" w:rsidRDefault="00000000" w:rsidP="00274E7C">
      <w:pPr>
        <w:widowControl/>
        <w:pBdr>
          <w:top w:val="nil"/>
          <w:left w:val="nil"/>
          <w:bottom w:val="nil"/>
          <w:right w:val="nil"/>
          <w:between w:val="nil"/>
        </w:pBdr>
        <w:spacing w:line="276" w:lineRule="auto"/>
        <w:ind w:left="720"/>
      </w:pPr>
      <w:r w:rsidRPr="00A37411">
        <w:rPr>
          <w:b/>
          <w:bCs/>
        </w:rPr>
        <w:t>Eric C. Grasby</w:t>
      </w:r>
      <w:r w:rsidRPr="00A37411">
        <w:t xml:space="preserve"> </w:t>
      </w:r>
      <w:r w:rsidR="00A37411">
        <w:br/>
      </w:r>
      <w:r w:rsidRPr="00A37411">
        <w:t xml:space="preserve">Senior Market Monitor, Southwest Power Pool, Inc. </w:t>
      </w:r>
      <w:r w:rsidR="00A37411">
        <w:br/>
      </w:r>
      <w:r w:rsidRPr="00A37411">
        <w:t>Doctoral Candidate, UA Little Rock, Department of Information Science</w:t>
      </w:r>
      <w:r w:rsidR="00A37411">
        <w:br/>
      </w:r>
      <w:hyperlink r:id="rId14" w:history="1">
        <w:r w:rsidR="00A37411" w:rsidRPr="004744C7">
          <w:rPr>
            <w:rStyle w:val="Hyperlink"/>
          </w:rPr>
          <w:t>ecgrasby@ualr.edu</w:t>
        </w:r>
      </w:hyperlink>
      <w:r w:rsidR="00A37411">
        <w:br/>
      </w:r>
      <w:hyperlink r:id="rId15" w:history="1">
        <w:r w:rsidR="00A37411" w:rsidRPr="004744C7">
          <w:rPr>
            <w:rStyle w:val="Hyperlink"/>
          </w:rPr>
          <w:t>https://linkedin.com/in/echarlesgrasby</w:t>
        </w:r>
      </w:hyperlink>
    </w:p>
    <w:p w14:paraId="720C0EEA" w14:textId="6049DC93" w:rsidR="001369F6" w:rsidRPr="00A37411" w:rsidRDefault="00000000" w:rsidP="00274E7C">
      <w:pPr>
        <w:widowControl/>
        <w:pBdr>
          <w:top w:val="nil"/>
          <w:left w:val="nil"/>
          <w:bottom w:val="nil"/>
          <w:right w:val="nil"/>
          <w:between w:val="nil"/>
        </w:pBdr>
        <w:spacing w:line="276" w:lineRule="auto"/>
        <w:ind w:left="720"/>
      </w:pPr>
      <w:r w:rsidRPr="00A37411">
        <w:rPr>
          <w:b/>
          <w:bCs/>
        </w:rPr>
        <w:t>Dr. J. Daniel Berleant</w:t>
      </w:r>
      <w:r w:rsidR="00A37411">
        <w:br/>
      </w:r>
      <w:r w:rsidRPr="00A37411">
        <w:t>Professor, UA Little Rock, Department of Information Science</w:t>
      </w:r>
      <w:r w:rsidR="00A37411">
        <w:br/>
      </w:r>
      <w:hyperlink r:id="rId16" w:history="1">
        <w:r w:rsidR="00A37411" w:rsidRPr="004744C7">
          <w:rPr>
            <w:rStyle w:val="Hyperlink"/>
          </w:rPr>
          <w:t>jdberleant@ualr.edu</w:t>
        </w:r>
      </w:hyperlink>
      <w:r w:rsidR="00A37411">
        <w:br/>
      </w:r>
      <w:hyperlink r:id="rId17" w:history="1">
        <w:r w:rsidR="00A37411" w:rsidRPr="004744C7">
          <w:rPr>
            <w:rStyle w:val="Hyperlink"/>
          </w:rPr>
          <w:t>https://www.linkedin.com/in/daniel-berleant-4938451/</w:t>
        </w:r>
      </w:hyperlink>
    </w:p>
    <w:p w14:paraId="019BF745" w14:textId="77777777" w:rsidR="001369F6" w:rsidRPr="00A37411" w:rsidRDefault="001369F6" w:rsidP="00A37411">
      <w:pPr>
        <w:widowControl/>
        <w:pBdr>
          <w:top w:val="nil"/>
          <w:left w:val="nil"/>
          <w:bottom w:val="nil"/>
          <w:right w:val="nil"/>
          <w:between w:val="nil"/>
        </w:pBdr>
        <w:spacing w:line="276" w:lineRule="auto"/>
      </w:pPr>
    </w:p>
    <w:p w14:paraId="6E7D7F8C" w14:textId="46761FA7" w:rsidR="001369F6" w:rsidRPr="00A37411" w:rsidRDefault="001369F6" w:rsidP="00A37411">
      <w:pPr>
        <w:widowControl/>
        <w:pBdr>
          <w:top w:val="nil"/>
          <w:left w:val="nil"/>
          <w:bottom w:val="nil"/>
          <w:right w:val="nil"/>
          <w:between w:val="nil"/>
        </w:pBdr>
        <w:spacing w:line="276" w:lineRule="auto"/>
      </w:pPr>
      <w:r w:rsidRPr="00A37411">
        <w:lastRenderedPageBreak/>
        <w:t xml:space="preserve">SAS and all other SAS Institute Inc. product or service names are registered trademarks of SAS Institute Inc. in the USA and other countries. ® indicates USA registration. </w:t>
      </w:r>
    </w:p>
    <w:p w14:paraId="2AB2D506" w14:textId="5FA321AC" w:rsidR="001369F6" w:rsidRPr="00A37411" w:rsidRDefault="001369F6" w:rsidP="00A37411">
      <w:pPr>
        <w:widowControl/>
        <w:pBdr>
          <w:top w:val="nil"/>
          <w:left w:val="nil"/>
          <w:bottom w:val="nil"/>
          <w:right w:val="nil"/>
          <w:between w:val="nil"/>
        </w:pBdr>
        <w:spacing w:line="276" w:lineRule="auto"/>
      </w:pPr>
      <w:r w:rsidRPr="00A37411">
        <w:t xml:space="preserve">Other </w:t>
      </w:r>
      <w:proofErr w:type="gramStart"/>
      <w:r w:rsidRPr="00A37411">
        <w:t>brand</w:t>
      </w:r>
      <w:proofErr w:type="gramEnd"/>
      <w:r w:rsidRPr="00A37411">
        <w:t xml:space="preserve"> and product names are trademarks of their respective companies.</w:t>
      </w:r>
    </w:p>
    <w:p w14:paraId="3372E361" w14:textId="77777777" w:rsidR="004E2786" w:rsidRDefault="004E2786">
      <w:pPr>
        <w:widowControl/>
        <w:pBdr>
          <w:top w:val="nil"/>
          <w:left w:val="nil"/>
          <w:bottom w:val="nil"/>
          <w:right w:val="nil"/>
          <w:between w:val="nil"/>
        </w:pBdr>
        <w:spacing w:after="0"/>
        <w:ind w:left="432"/>
        <w:rPr>
          <w:color w:val="000000"/>
          <w:sz w:val="20"/>
          <w:szCs w:val="20"/>
        </w:rPr>
      </w:pPr>
    </w:p>
    <w:p w14:paraId="08D99433" w14:textId="7F531AF8" w:rsidR="004E2786" w:rsidRDefault="004E2786" w:rsidP="0011120F">
      <w:bookmarkStart w:id="11" w:name="bookmark=id.a6vnkmwz2k3y" w:colFirst="0" w:colLast="0"/>
      <w:bookmarkStart w:id="12" w:name="_heading=h.ianfiendd7gt" w:colFirst="0" w:colLast="0"/>
      <w:bookmarkEnd w:id="11"/>
      <w:bookmarkEnd w:id="12"/>
    </w:p>
    <w:sectPr w:rsidR="004E2786">
      <w:footerReference w:type="even" r:id="rId18"/>
      <w:footerReference w:type="default" r:id="rId19"/>
      <w:footerReference w:type="first" r:id="rId20"/>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6FF128" w14:textId="77777777" w:rsidR="00425580" w:rsidRDefault="00425580">
      <w:pPr>
        <w:spacing w:after="0"/>
      </w:pPr>
      <w:r>
        <w:separator/>
      </w:r>
    </w:p>
  </w:endnote>
  <w:endnote w:type="continuationSeparator" w:id="0">
    <w:p w14:paraId="7F9A3CB5" w14:textId="77777777" w:rsidR="00425580" w:rsidRDefault="0042558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3D098C67-503A-4910-99A7-B7E1EDE23EA7}"/>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Italic r:id="rId2" w:fontKey="{171CCC4A-E452-4D3B-AC56-A0B24C877EB3}"/>
  </w:font>
  <w:font w:name="Calibri">
    <w:panose1 w:val="020F0502020204030204"/>
    <w:charset w:val="00"/>
    <w:family w:val="swiss"/>
    <w:pitch w:val="variable"/>
    <w:sig w:usb0="E4002EFF" w:usb1="C200247B" w:usb2="00000009" w:usb3="00000000" w:csb0="000001FF" w:csb1="00000000"/>
    <w:embedRegular r:id="rId3" w:fontKey="{B076C430-049D-453B-B157-99DC6E15A35B}"/>
  </w:font>
  <w:font w:name="Cambria">
    <w:panose1 w:val="02040503050406030204"/>
    <w:charset w:val="00"/>
    <w:family w:val="roman"/>
    <w:pitch w:val="variable"/>
    <w:sig w:usb0="E00006FF" w:usb1="420024FF" w:usb2="02000000" w:usb3="00000000" w:csb0="0000019F" w:csb1="00000000"/>
    <w:embedRegular r:id="rId4" w:fontKey="{18AAAA67-C756-4EDB-A2D6-BC2221D6C35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3B51FA" w14:textId="288A79D8" w:rsidR="004E2786" w:rsidRDefault="004E2786">
    <w:pPr>
      <w:pBdr>
        <w:top w:val="nil"/>
        <w:left w:val="nil"/>
        <w:bottom w:val="nil"/>
        <w:right w:val="nil"/>
        <w:between w:val="nil"/>
      </w:pBdr>
      <w:tabs>
        <w:tab w:val="center" w:pos="4320"/>
        <w:tab w:val="right" w:pos="864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1C6B7" w14:textId="29186940" w:rsidR="004E2786" w:rsidRDefault="00000000">
    <w:pPr>
      <w:widowControl/>
      <w:pBdr>
        <w:top w:val="nil"/>
        <w:left w:val="nil"/>
        <w:bottom w:val="nil"/>
        <w:right w:val="nil"/>
        <w:between w:val="nil"/>
      </w:pBdr>
      <w:tabs>
        <w:tab w:val="center" w:pos="4320"/>
        <w:tab w:val="right" w:pos="8640"/>
      </w:tabs>
      <w:jc w:val="center"/>
      <w:rPr>
        <w:color w:val="000000"/>
      </w:rPr>
    </w:pPr>
    <w:r>
      <w:rPr>
        <w:color w:val="000000"/>
      </w:rPr>
      <w:fldChar w:fldCharType="begin"/>
    </w:r>
    <w:r>
      <w:rPr>
        <w:color w:val="000000"/>
      </w:rPr>
      <w:instrText>PAGE</w:instrText>
    </w:r>
    <w:r>
      <w:rPr>
        <w:color w:val="000000"/>
      </w:rPr>
      <w:fldChar w:fldCharType="separate"/>
    </w:r>
    <w:r w:rsidR="00CF6E3F">
      <w:rPr>
        <w:noProof/>
        <w:color w:val="000000"/>
      </w:rPr>
      <w:t>2</w:t>
    </w:r>
    <w:r>
      <w:rPr>
        <w:color w:val="00000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EABF17" w14:textId="323EAA4F" w:rsidR="004E2786" w:rsidRDefault="00000000">
    <w:pPr>
      <w:pBdr>
        <w:top w:val="nil"/>
        <w:left w:val="nil"/>
        <w:bottom w:val="nil"/>
        <w:right w:val="nil"/>
        <w:between w:val="nil"/>
      </w:pBdr>
      <w:tabs>
        <w:tab w:val="center" w:pos="4320"/>
        <w:tab w:val="right" w:pos="8640"/>
      </w:tabs>
      <w:jc w:val="center"/>
      <w:rPr>
        <w:color w:val="000000"/>
      </w:rPr>
    </w:pPr>
    <w:r>
      <w:rPr>
        <w:color w:val="000000"/>
      </w:rPr>
      <w:fldChar w:fldCharType="begin"/>
    </w:r>
    <w:r>
      <w:rPr>
        <w:color w:val="000000"/>
      </w:rPr>
      <w:instrText>PAGE</w:instrText>
    </w:r>
    <w:r>
      <w:rPr>
        <w:color w:val="000000"/>
      </w:rPr>
      <w:fldChar w:fldCharType="separate"/>
    </w:r>
    <w:r w:rsidR="00CF6E3F">
      <w:rPr>
        <w:noProof/>
        <w:color w:val="000000"/>
      </w:rPr>
      <w:t>1</w:t>
    </w:r>
    <w:r>
      <w:rPr>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F224BD" w14:textId="77777777" w:rsidR="00425580" w:rsidRDefault="00425580">
      <w:pPr>
        <w:spacing w:after="0"/>
      </w:pPr>
      <w:r>
        <w:separator/>
      </w:r>
    </w:p>
  </w:footnote>
  <w:footnote w:type="continuationSeparator" w:id="0">
    <w:p w14:paraId="685D7403" w14:textId="77777777" w:rsidR="00425580" w:rsidRDefault="00425580">
      <w:pPr>
        <w:spacing w:after="0"/>
      </w:pPr>
      <w:r>
        <w:continuationSeparator/>
      </w:r>
    </w:p>
  </w:footnote>
  <w:footnote w:id="1">
    <w:p w14:paraId="16195E7F" w14:textId="1B812076" w:rsidR="00FC26B9" w:rsidRPr="00FC26B9" w:rsidRDefault="00FC26B9">
      <w:pPr>
        <w:pStyle w:val="FootnoteText"/>
        <w:rPr>
          <w:lang w:val="en-US"/>
        </w:rPr>
      </w:pPr>
      <w:r w:rsidRPr="008B2F0B">
        <w:rPr>
          <w:sz w:val="18"/>
          <w:szCs w:val="18"/>
          <w:vertAlign w:val="superscript"/>
        </w:rPr>
        <w:footnoteRef/>
      </w:r>
      <w:r w:rsidRPr="008B2F0B">
        <w:rPr>
          <w:sz w:val="18"/>
          <w:szCs w:val="18"/>
          <w:vertAlign w:val="superscript"/>
        </w:rPr>
        <w:t xml:space="preserve"> </w:t>
      </w:r>
      <w:r w:rsidR="00421041">
        <w:rPr>
          <w:sz w:val="18"/>
          <w:szCs w:val="18"/>
        </w:rPr>
        <w:t>A Delphi study</w:t>
      </w:r>
      <w:r w:rsidRPr="008B2F0B">
        <w:rPr>
          <w:sz w:val="18"/>
          <w:szCs w:val="18"/>
        </w:rPr>
        <w:t xml:space="preserve"> “is a research survey technique used as a way of collecting data from respondents within their domain of expertise.” </w:t>
      </w:r>
      <w:r w:rsidR="00B40364">
        <w:rPr>
          <w:sz w:val="18"/>
          <w:szCs w:val="18"/>
        </w:rPr>
        <w:t xml:space="preserve">Put plainly, it is a panel of experts that anonymously respond to survey questions. A researcher then analyzes their results to arrive at a consensus that serves as the solution to a problem. </w:t>
      </w:r>
      <w:r w:rsidRPr="008B2F0B">
        <w:rPr>
          <w:sz w:val="18"/>
          <w:szCs w:val="18"/>
        </w:rPr>
        <w:t>[</w:t>
      </w:r>
      <w:r w:rsidR="00EB213E">
        <w:rPr>
          <w:sz w:val="18"/>
          <w:szCs w:val="18"/>
        </w:rPr>
        <w:t>2</w:t>
      </w:r>
      <w:r w:rsidRPr="008B2F0B">
        <w:rPr>
          <w:sz w:val="18"/>
          <w:szCs w:val="18"/>
        </w:rPr>
        <w:t>]</w:t>
      </w:r>
    </w:p>
  </w:footnote>
  <w:footnote w:id="2">
    <w:p w14:paraId="01165BAB" w14:textId="1D1BD8DF" w:rsidR="00D51B49" w:rsidRPr="00D51B49" w:rsidRDefault="00D51B49">
      <w:pPr>
        <w:pStyle w:val="FootnoteText"/>
        <w:rPr>
          <w:lang w:val="en-US"/>
        </w:rPr>
      </w:pPr>
      <w:r w:rsidRPr="008B2F0B">
        <w:rPr>
          <w:sz w:val="18"/>
          <w:szCs w:val="18"/>
          <w:vertAlign w:val="superscript"/>
        </w:rPr>
        <w:footnoteRef/>
      </w:r>
      <w:r w:rsidRPr="00A37411">
        <w:rPr>
          <w:sz w:val="18"/>
          <w:szCs w:val="18"/>
        </w:rPr>
        <w:t xml:space="preserve"> The Energy Intermarket Surveillance Group (EISG) is the international, professional, conference of energy market monitors. Any given professional is a member of the EISG by virtue of working for an MMU that is an organizational member of the EISG.</w:t>
      </w:r>
    </w:p>
  </w:footnote>
  <w:footnote w:id="3">
    <w:p w14:paraId="45FD7435" w14:textId="467B6BC6" w:rsidR="00D51B49" w:rsidRPr="00D51B49" w:rsidRDefault="00D51B49">
      <w:pPr>
        <w:pStyle w:val="FootnoteText"/>
        <w:rPr>
          <w:lang w:val="en-US"/>
        </w:rPr>
      </w:pPr>
      <w:r w:rsidRPr="008B2F0B">
        <w:rPr>
          <w:sz w:val="18"/>
          <w:szCs w:val="18"/>
          <w:vertAlign w:val="superscript"/>
        </w:rPr>
        <w:footnoteRef/>
      </w:r>
      <w:r w:rsidRPr="00A37411">
        <w:rPr>
          <w:sz w:val="18"/>
          <w:szCs w:val="18"/>
        </w:rPr>
        <w:t xml:space="preserve"> The research protocol for this Delphi study was approved by the UA Little Rock Institutional Review Board. The research protocol and copy of the waiver of informed consent can be found in </w:t>
      </w:r>
      <w:hyperlink r:id="rId1" w:history="1">
        <w:r w:rsidRPr="00A37411">
          <w:rPr>
            <w:sz w:val="18"/>
            <w:szCs w:val="18"/>
          </w:rPr>
          <w:t>this</w:t>
        </w:r>
      </w:hyperlink>
      <w:r w:rsidRPr="00A37411">
        <w:rPr>
          <w:sz w:val="18"/>
          <w:szCs w:val="18"/>
        </w:rPr>
        <w:t xml:space="preserve"> GitHub repository: </w:t>
      </w:r>
      <w:hyperlink r:id="rId2" w:history="1">
        <w:r w:rsidRPr="005D0AEC">
          <w:rPr>
            <w:rStyle w:val="Hyperlink"/>
            <w:sz w:val="18"/>
            <w:szCs w:val="18"/>
          </w:rPr>
          <w:t>https://github.com/echarlesgrasby/dissertation/tree/master/ext</w:t>
        </w:r>
      </w:hyperlink>
      <w:r w:rsidRPr="005D0AEC">
        <w:rPr>
          <w:rStyle w:val="Hyperlink"/>
          <w:sz w:val="18"/>
          <w:szCs w:val="18"/>
        </w:rPr>
        <w:t>.</w:t>
      </w:r>
    </w:p>
  </w:footnote>
  <w:footnote w:id="4">
    <w:p w14:paraId="6148754B" w14:textId="7CA72CFE" w:rsidR="001713AA" w:rsidRPr="001713AA" w:rsidRDefault="001713AA">
      <w:pPr>
        <w:pStyle w:val="FootnoteText"/>
        <w:rPr>
          <w:lang w:val="en-US"/>
        </w:rPr>
      </w:pPr>
      <w:r w:rsidRPr="001713AA">
        <w:rPr>
          <w:sz w:val="18"/>
          <w:szCs w:val="18"/>
        </w:rPr>
        <w:footnoteRef/>
      </w:r>
      <w:r w:rsidRPr="001713AA">
        <w:rPr>
          <w:sz w:val="18"/>
          <w:szCs w:val="18"/>
        </w:rPr>
        <w:t xml:space="preserve"> Participants were allowed to select more than one role that applied to them (in </w:t>
      </w:r>
      <w:r w:rsidRPr="001713AA">
        <w:rPr>
          <w:sz w:val="18"/>
          <w:szCs w:val="18"/>
        </w:rPr>
        <w:fldChar w:fldCharType="begin"/>
      </w:r>
      <w:r w:rsidRPr="001713AA">
        <w:rPr>
          <w:sz w:val="18"/>
          <w:szCs w:val="18"/>
        </w:rPr>
        <w:instrText xml:space="preserve"> REF _Ref230939531 \h </w:instrText>
      </w:r>
      <w:r w:rsidRPr="001713AA">
        <w:rPr>
          <w:sz w:val="18"/>
          <w:szCs w:val="18"/>
        </w:rPr>
      </w:r>
      <w:r>
        <w:rPr>
          <w:sz w:val="18"/>
          <w:szCs w:val="18"/>
        </w:rPr>
        <w:instrText xml:space="preserve"> \* MERGEFORMAT </w:instrText>
      </w:r>
      <w:r w:rsidRPr="001713AA">
        <w:rPr>
          <w:sz w:val="18"/>
          <w:szCs w:val="18"/>
        </w:rPr>
        <w:fldChar w:fldCharType="separate"/>
      </w:r>
      <w:r w:rsidRPr="001713AA">
        <w:rPr>
          <w:sz w:val="18"/>
          <w:szCs w:val="18"/>
        </w:rPr>
        <w:t>Table 1</w:t>
      </w:r>
      <w:r w:rsidRPr="001713AA">
        <w:rPr>
          <w:sz w:val="18"/>
          <w:szCs w:val="18"/>
        </w:rPr>
        <w:fldChar w:fldCharType="end"/>
      </w:r>
      <w:r w:rsidRPr="001713AA">
        <w:rPr>
          <w:sz w:val="18"/>
          <w:szCs w:val="18"/>
        </w:rPr>
        <w:t>), so those that chose (Management) are also represented by other roles that they once performed.</w:t>
      </w:r>
    </w:p>
  </w:footnote>
  <w:footnote w:id="5">
    <w:p w14:paraId="525992E6" w14:textId="0A64A240" w:rsidR="002D524E" w:rsidRPr="002D524E" w:rsidRDefault="002D524E">
      <w:pPr>
        <w:pStyle w:val="FootnoteText"/>
        <w:rPr>
          <w:lang w:val="en-US"/>
        </w:rPr>
      </w:pPr>
      <w:r w:rsidRPr="00BE567E">
        <w:rPr>
          <w:rStyle w:val="FootnoteReference"/>
          <w:sz w:val="18"/>
          <w:szCs w:val="18"/>
        </w:rPr>
        <w:footnoteRef/>
      </w:r>
      <w:r w:rsidRPr="00BE567E">
        <w:rPr>
          <w:sz w:val="18"/>
          <w:szCs w:val="18"/>
        </w:rPr>
        <w:t xml:space="preserve"> </w:t>
      </w:r>
      <w:r w:rsidRPr="00BE567E">
        <w:rPr>
          <w:sz w:val="18"/>
          <w:szCs w:val="18"/>
          <w:lang w:val="en-US"/>
        </w:rPr>
        <w:t xml:space="preserve">The terms </w:t>
      </w:r>
      <w:proofErr w:type="spellStart"/>
      <w:r w:rsidRPr="00BE567E">
        <w:rPr>
          <w:i/>
          <w:iCs/>
          <w:sz w:val="18"/>
          <w:szCs w:val="18"/>
          <w:lang w:val="en-US"/>
        </w:rPr>
        <w:t>lexing</w:t>
      </w:r>
      <w:proofErr w:type="spellEnd"/>
      <w:r w:rsidRPr="00BE567E">
        <w:rPr>
          <w:i/>
          <w:iCs/>
          <w:sz w:val="18"/>
          <w:szCs w:val="18"/>
          <w:lang w:val="en-US"/>
        </w:rPr>
        <w:t xml:space="preserve"> </w:t>
      </w:r>
      <w:r w:rsidRPr="00BE567E">
        <w:rPr>
          <w:sz w:val="18"/>
          <w:szCs w:val="18"/>
          <w:lang w:val="en-US"/>
        </w:rPr>
        <w:t xml:space="preserve">(tokenization) and </w:t>
      </w:r>
      <w:r w:rsidRPr="00BE567E">
        <w:rPr>
          <w:i/>
          <w:iCs/>
          <w:sz w:val="18"/>
          <w:szCs w:val="18"/>
          <w:lang w:val="en-US"/>
        </w:rPr>
        <w:t xml:space="preserve">parsing </w:t>
      </w:r>
      <w:r w:rsidRPr="00BE567E">
        <w:rPr>
          <w:sz w:val="18"/>
          <w:szCs w:val="18"/>
          <w:lang w:val="en-US"/>
        </w:rPr>
        <w:t xml:space="preserve">refer to distinct operations in computer science for working with text. A lexer takes an input string and breaks it up on a delimiter (usually a whitespace character) into atomic </w:t>
      </w:r>
      <w:r w:rsidRPr="00BE567E">
        <w:rPr>
          <w:i/>
          <w:iCs/>
          <w:sz w:val="18"/>
          <w:szCs w:val="18"/>
          <w:lang w:val="en-US"/>
        </w:rPr>
        <w:t xml:space="preserve">lexemes </w:t>
      </w:r>
      <w:r w:rsidRPr="00BE567E">
        <w:rPr>
          <w:sz w:val="18"/>
          <w:szCs w:val="18"/>
          <w:lang w:val="en-US"/>
        </w:rPr>
        <w:t xml:space="preserve">(e.g. </w:t>
      </w:r>
      <w:r w:rsidRPr="00BE567E">
        <w:rPr>
          <w:rFonts w:ascii="Courier New" w:hAnsi="Courier New" w:cs="Courier New"/>
          <w:sz w:val="18"/>
          <w:szCs w:val="18"/>
          <w:lang w:val="en-US"/>
        </w:rPr>
        <w:t>“Brenda was the best programmer amongst us”</w:t>
      </w:r>
      <w:r w:rsidRPr="00BE567E">
        <w:rPr>
          <w:sz w:val="18"/>
          <w:szCs w:val="18"/>
          <w:lang w:val="en-US"/>
        </w:rPr>
        <w:t xml:space="preserve"> would be “lexed” as : </w:t>
      </w:r>
      <w:r w:rsidRPr="00BE567E">
        <w:rPr>
          <w:rFonts w:ascii="Courier New" w:hAnsi="Courier New" w:cs="Courier New"/>
          <w:sz w:val="18"/>
          <w:szCs w:val="18"/>
          <w:lang w:val="en-US"/>
        </w:rPr>
        <w:t>[“Brenda”, “was”, “the”, “best”, “programmer”, “amongst”, “us”]</w:t>
      </w:r>
      <w:r w:rsidRPr="00BE567E">
        <w:rPr>
          <w:sz w:val="18"/>
          <w:szCs w:val="18"/>
          <w:lang w:val="en-US"/>
        </w:rPr>
        <w:t xml:space="preserve">). </w:t>
      </w:r>
      <w:r w:rsidRPr="00BE567E">
        <w:rPr>
          <w:i/>
          <w:iCs/>
          <w:sz w:val="18"/>
          <w:szCs w:val="18"/>
          <w:lang w:val="en-US"/>
        </w:rPr>
        <w:t xml:space="preserve">Parsing </w:t>
      </w:r>
      <w:r w:rsidRPr="00BE567E">
        <w:rPr>
          <w:sz w:val="18"/>
          <w:szCs w:val="18"/>
          <w:lang w:val="en-US"/>
        </w:rPr>
        <w:t xml:space="preserve">then takes this tokenized text and applies syntactic rules to </w:t>
      </w:r>
      <w:r w:rsidR="007D3117">
        <w:rPr>
          <w:sz w:val="18"/>
          <w:szCs w:val="18"/>
          <w:lang w:val="en-US"/>
        </w:rPr>
        <w:t xml:space="preserve">it to develop a </w:t>
      </w:r>
      <w:r w:rsidR="007D3117">
        <w:rPr>
          <w:i/>
          <w:iCs/>
          <w:sz w:val="18"/>
          <w:szCs w:val="18"/>
          <w:lang w:val="en-US"/>
        </w:rPr>
        <w:t xml:space="preserve">parse tree </w:t>
      </w:r>
      <w:r w:rsidRPr="00BE567E">
        <w:rPr>
          <w:sz w:val="18"/>
          <w:szCs w:val="18"/>
          <w:lang w:val="en-US"/>
        </w:rPr>
        <w:t>(i.e. identifying “Brenda” as the subject of the sentence and “was” as the verb).</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401BA"/>
    <w:multiLevelType w:val="multilevel"/>
    <w:tmpl w:val="B592382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AA63BB3"/>
    <w:multiLevelType w:val="multilevel"/>
    <w:tmpl w:val="00E6B676"/>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C9F6104"/>
    <w:multiLevelType w:val="hybridMultilevel"/>
    <w:tmpl w:val="4E42D3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5C83DB4"/>
    <w:multiLevelType w:val="hybridMultilevel"/>
    <w:tmpl w:val="378ECE44"/>
    <w:lvl w:ilvl="0" w:tplc="7F1614C6">
      <w:numFmt w:val="bullet"/>
      <w:lvlText w:val=""/>
      <w:lvlJc w:val="left"/>
      <w:pPr>
        <w:ind w:left="720" w:hanging="360"/>
      </w:pPr>
      <w:rPr>
        <w:rFonts w:ascii="Symbol" w:eastAsia="Arial" w:hAnsi="Symbo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88B48AC"/>
    <w:multiLevelType w:val="hybridMultilevel"/>
    <w:tmpl w:val="56CAEB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73C521C"/>
    <w:multiLevelType w:val="multilevel"/>
    <w:tmpl w:val="8E70D59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36B742F8"/>
    <w:multiLevelType w:val="multilevel"/>
    <w:tmpl w:val="BF546CE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371C70B9"/>
    <w:multiLevelType w:val="multilevel"/>
    <w:tmpl w:val="97E016F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4FDC7F55"/>
    <w:multiLevelType w:val="multilevel"/>
    <w:tmpl w:val="7730D75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57826104"/>
    <w:multiLevelType w:val="hybridMultilevel"/>
    <w:tmpl w:val="A10CB6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1624546"/>
    <w:multiLevelType w:val="multilevel"/>
    <w:tmpl w:val="81B0DB68"/>
    <w:lvl w:ilvl="0">
      <w:start w:val="1"/>
      <w:numFmt w:val="decimal"/>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1" w15:restartNumberingAfterBreak="0">
    <w:nsid w:val="64D625FB"/>
    <w:multiLevelType w:val="multilevel"/>
    <w:tmpl w:val="F4921BF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2" w15:restartNumberingAfterBreak="0">
    <w:nsid w:val="6B003515"/>
    <w:multiLevelType w:val="multilevel"/>
    <w:tmpl w:val="664E260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764E4CF0"/>
    <w:multiLevelType w:val="hybridMultilevel"/>
    <w:tmpl w:val="D4EE5A78"/>
    <w:lvl w:ilvl="0" w:tplc="552E34CC">
      <w:numFmt w:val="bullet"/>
      <w:lvlText w:val=""/>
      <w:lvlJc w:val="left"/>
      <w:pPr>
        <w:ind w:left="720" w:hanging="360"/>
      </w:pPr>
      <w:rPr>
        <w:rFonts w:ascii="Symbol" w:eastAsia="Arial" w:hAnsi="Symbol" w:cs="Aria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23659480">
    <w:abstractNumId w:val="11"/>
  </w:num>
  <w:num w:numId="2" w16cid:durableId="1403943416">
    <w:abstractNumId w:val="10"/>
  </w:num>
  <w:num w:numId="3" w16cid:durableId="1773236115">
    <w:abstractNumId w:val="12"/>
  </w:num>
  <w:num w:numId="4" w16cid:durableId="1238704721">
    <w:abstractNumId w:val="0"/>
  </w:num>
  <w:num w:numId="5" w16cid:durableId="1941133572">
    <w:abstractNumId w:val="6"/>
  </w:num>
  <w:num w:numId="6" w16cid:durableId="455293798">
    <w:abstractNumId w:val="5"/>
  </w:num>
  <w:num w:numId="7" w16cid:durableId="351998595">
    <w:abstractNumId w:val="1"/>
  </w:num>
  <w:num w:numId="8" w16cid:durableId="28146458">
    <w:abstractNumId w:val="8"/>
  </w:num>
  <w:num w:numId="9" w16cid:durableId="1734307518">
    <w:abstractNumId w:val="7"/>
  </w:num>
  <w:num w:numId="10" w16cid:durableId="1317219074">
    <w:abstractNumId w:val="13"/>
  </w:num>
  <w:num w:numId="11" w16cid:durableId="388695762">
    <w:abstractNumId w:val="9"/>
  </w:num>
  <w:num w:numId="12" w16cid:durableId="385569504">
    <w:abstractNumId w:val="2"/>
  </w:num>
  <w:num w:numId="13" w16cid:durableId="511409727">
    <w:abstractNumId w:val="4"/>
  </w:num>
  <w:num w:numId="14" w16cid:durableId="68224582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2786"/>
    <w:rsid w:val="000303B0"/>
    <w:rsid w:val="00032006"/>
    <w:rsid w:val="0004045C"/>
    <w:rsid w:val="00054E66"/>
    <w:rsid w:val="000A2FC6"/>
    <w:rsid w:val="000B5064"/>
    <w:rsid w:val="000F214D"/>
    <w:rsid w:val="0011120F"/>
    <w:rsid w:val="001369F6"/>
    <w:rsid w:val="001410C5"/>
    <w:rsid w:val="001713AA"/>
    <w:rsid w:val="00180B30"/>
    <w:rsid w:val="00194B59"/>
    <w:rsid w:val="00197D67"/>
    <w:rsid w:val="001A2E15"/>
    <w:rsid w:val="00213202"/>
    <w:rsid w:val="00217A8E"/>
    <w:rsid w:val="00231EB7"/>
    <w:rsid w:val="00272427"/>
    <w:rsid w:val="00274E7C"/>
    <w:rsid w:val="00283CA6"/>
    <w:rsid w:val="002B142E"/>
    <w:rsid w:val="002C60A1"/>
    <w:rsid w:val="002D4B97"/>
    <w:rsid w:val="002D524E"/>
    <w:rsid w:val="003413DD"/>
    <w:rsid w:val="0039139A"/>
    <w:rsid w:val="003D05D7"/>
    <w:rsid w:val="003D27F8"/>
    <w:rsid w:val="00401F54"/>
    <w:rsid w:val="00421041"/>
    <w:rsid w:val="00423252"/>
    <w:rsid w:val="00425580"/>
    <w:rsid w:val="00446F61"/>
    <w:rsid w:val="00450730"/>
    <w:rsid w:val="004917B8"/>
    <w:rsid w:val="00494AE7"/>
    <w:rsid w:val="004E2786"/>
    <w:rsid w:val="005451A2"/>
    <w:rsid w:val="00556CF0"/>
    <w:rsid w:val="00570772"/>
    <w:rsid w:val="005713A6"/>
    <w:rsid w:val="00572267"/>
    <w:rsid w:val="005D0AEC"/>
    <w:rsid w:val="005F76E9"/>
    <w:rsid w:val="006324E6"/>
    <w:rsid w:val="00653B00"/>
    <w:rsid w:val="00657A61"/>
    <w:rsid w:val="00663B9B"/>
    <w:rsid w:val="006975FD"/>
    <w:rsid w:val="006A073E"/>
    <w:rsid w:val="006F1708"/>
    <w:rsid w:val="007279A6"/>
    <w:rsid w:val="0073256C"/>
    <w:rsid w:val="00772040"/>
    <w:rsid w:val="00780F09"/>
    <w:rsid w:val="00787294"/>
    <w:rsid w:val="007C0885"/>
    <w:rsid w:val="007C42E3"/>
    <w:rsid w:val="007D3117"/>
    <w:rsid w:val="007D3D32"/>
    <w:rsid w:val="007E164B"/>
    <w:rsid w:val="007E7698"/>
    <w:rsid w:val="007F3390"/>
    <w:rsid w:val="00804933"/>
    <w:rsid w:val="008065C5"/>
    <w:rsid w:val="008608D0"/>
    <w:rsid w:val="0086437C"/>
    <w:rsid w:val="00884FF6"/>
    <w:rsid w:val="008A506B"/>
    <w:rsid w:val="008A5E3D"/>
    <w:rsid w:val="008B2F0B"/>
    <w:rsid w:val="008B50D4"/>
    <w:rsid w:val="008F6C00"/>
    <w:rsid w:val="009011E8"/>
    <w:rsid w:val="0091181E"/>
    <w:rsid w:val="00934EAE"/>
    <w:rsid w:val="009A79F9"/>
    <w:rsid w:val="009E4999"/>
    <w:rsid w:val="00A22327"/>
    <w:rsid w:val="00A24DC3"/>
    <w:rsid w:val="00A27590"/>
    <w:rsid w:val="00A37411"/>
    <w:rsid w:val="00A81360"/>
    <w:rsid w:val="00AB6D6D"/>
    <w:rsid w:val="00AB7BDB"/>
    <w:rsid w:val="00B14489"/>
    <w:rsid w:val="00B31888"/>
    <w:rsid w:val="00B40364"/>
    <w:rsid w:val="00B41458"/>
    <w:rsid w:val="00B91DF1"/>
    <w:rsid w:val="00BC0D6A"/>
    <w:rsid w:val="00BD2735"/>
    <w:rsid w:val="00BE567E"/>
    <w:rsid w:val="00C129D4"/>
    <w:rsid w:val="00C20441"/>
    <w:rsid w:val="00C90ED4"/>
    <w:rsid w:val="00CA2D8D"/>
    <w:rsid w:val="00CA2FDD"/>
    <w:rsid w:val="00CA78FE"/>
    <w:rsid w:val="00CD69CB"/>
    <w:rsid w:val="00CE3BBA"/>
    <w:rsid w:val="00CF6E3F"/>
    <w:rsid w:val="00D108E8"/>
    <w:rsid w:val="00D21BEF"/>
    <w:rsid w:val="00D51B49"/>
    <w:rsid w:val="00D8028F"/>
    <w:rsid w:val="00DB5B90"/>
    <w:rsid w:val="00DF0451"/>
    <w:rsid w:val="00E01A1F"/>
    <w:rsid w:val="00E02CA1"/>
    <w:rsid w:val="00E206A8"/>
    <w:rsid w:val="00E33B4E"/>
    <w:rsid w:val="00E36D8F"/>
    <w:rsid w:val="00E51D22"/>
    <w:rsid w:val="00E94881"/>
    <w:rsid w:val="00EB213E"/>
    <w:rsid w:val="00EC1F75"/>
    <w:rsid w:val="00EC59DB"/>
    <w:rsid w:val="00EC64B7"/>
    <w:rsid w:val="00EF1280"/>
    <w:rsid w:val="00F12928"/>
    <w:rsid w:val="00F37EF2"/>
    <w:rsid w:val="00F466B3"/>
    <w:rsid w:val="00F47C60"/>
    <w:rsid w:val="00F53AE9"/>
    <w:rsid w:val="00FB0AF3"/>
    <w:rsid w:val="00FC26B9"/>
    <w:rsid w:val="00FE54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2C4769"/>
  <w15:docId w15:val="{8CE77155-436E-41C3-A217-29C9A52403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18"/>
        <w:szCs w:val="18"/>
        <w:lang w:val="en" w:eastAsia="en-US" w:bidi="ar-SA"/>
      </w:rPr>
    </w:rPrDefault>
    <w:pPrDefault>
      <w:pPr>
        <w:widowControl w:val="0"/>
        <w:spacing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240"/>
      <w:outlineLvl w:val="0"/>
    </w:pPr>
    <w:rPr>
      <w:b/>
      <w:bCs/>
      <w:smallCaps/>
      <w:color w:val="548DD4"/>
      <w:sz w:val="24"/>
      <w:szCs w:val="24"/>
    </w:rPr>
  </w:style>
  <w:style w:type="paragraph" w:styleId="Heading2">
    <w:name w:val="heading 2"/>
    <w:basedOn w:val="Normal"/>
    <w:next w:val="Normal"/>
    <w:uiPriority w:val="9"/>
    <w:unhideWhenUsed/>
    <w:qFormat/>
    <w:pPr>
      <w:spacing w:before="180"/>
      <w:outlineLvl w:val="1"/>
    </w:pPr>
    <w:rPr>
      <w:b/>
      <w:bCs/>
      <w:smallCaps/>
      <w:sz w:val="22"/>
      <w:szCs w:val="22"/>
    </w:rPr>
  </w:style>
  <w:style w:type="paragraph" w:styleId="Heading3">
    <w:name w:val="heading 3"/>
    <w:basedOn w:val="Normal"/>
    <w:next w:val="Normal"/>
    <w:uiPriority w:val="9"/>
    <w:unhideWhenUsed/>
    <w:qFormat/>
    <w:pPr>
      <w:keepNext/>
      <w:spacing w:before="180"/>
      <w:outlineLvl w:val="2"/>
    </w:pPr>
    <w:rPr>
      <w:b/>
      <w:bCs/>
      <w:sz w:val="22"/>
      <w:szCs w:val="22"/>
    </w:rPr>
  </w:style>
  <w:style w:type="paragraph" w:styleId="Heading4">
    <w:name w:val="heading 4"/>
    <w:basedOn w:val="Normal"/>
    <w:next w:val="Normal"/>
    <w:uiPriority w:val="9"/>
    <w:unhideWhenUsed/>
    <w:qFormat/>
    <w:pPr>
      <w:keepNext/>
      <w:spacing w:before="120"/>
      <w:outlineLvl w:val="3"/>
    </w:pPr>
    <w:rPr>
      <w:b/>
      <w:bCs/>
      <w:i/>
      <w:iCs/>
      <w:sz w:val="22"/>
      <w:szCs w:val="22"/>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character" w:styleId="Hyperlink">
    <w:name w:val="Hyperlink"/>
    <w:basedOn w:val="DefaultParagraphFont"/>
    <w:uiPriority w:val="99"/>
    <w:unhideWhenUsed/>
    <w:rsid w:val="0011120F"/>
    <w:rPr>
      <w:color w:val="0000FF" w:themeColor="hyperlink"/>
      <w:u w:val="single"/>
    </w:rPr>
  </w:style>
  <w:style w:type="character" w:styleId="UnresolvedMention">
    <w:name w:val="Unresolved Mention"/>
    <w:basedOn w:val="DefaultParagraphFont"/>
    <w:uiPriority w:val="99"/>
    <w:semiHidden/>
    <w:unhideWhenUsed/>
    <w:rsid w:val="0011120F"/>
    <w:rPr>
      <w:color w:val="605E5C"/>
      <w:shd w:val="clear" w:color="auto" w:fill="E1DFDD"/>
    </w:rPr>
  </w:style>
  <w:style w:type="paragraph" w:styleId="ListParagraph">
    <w:name w:val="List Paragraph"/>
    <w:basedOn w:val="Normal"/>
    <w:uiPriority w:val="34"/>
    <w:qFormat/>
    <w:rsid w:val="00272427"/>
    <w:pPr>
      <w:ind w:left="720"/>
      <w:contextualSpacing/>
    </w:pPr>
  </w:style>
  <w:style w:type="paragraph" w:styleId="FootnoteText">
    <w:name w:val="footnote text"/>
    <w:basedOn w:val="Normal"/>
    <w:link w:val="FootnoteTextChar"/>
    <w:uiPriority w:val="99"/>
    <w:semiHidden/>
    <w:unhideWhenUsed/>
    <w:rsid w:val="00D51B49"/>
    <w:pPr>
      <w:spacing w:after="0"/>
    </w:pPr>
    <w:rPr>
      <w:sz w:val="20"/>
      <w:szCs w:val="20"/>
    </w:rPr>
  </w:style>
  <w:style w:type="character" w:customStyle="1" w:styleId="FootnoteTextChar">
    <w:name w:val="Footnote Text Char"/>
    <w:basedOn w:val="DefaultParagraphFont"/>
    <w:link w:val="FootnoteText"/>
    <w:uiPriority w:val="99"/>
    <w:semiHidden/>
    <w:rsid w:val="00D51B49"/>
    <w:rPr>
      <w:sz w:val="20"/>
      <w:szCs w:val="20"/>
    </w:rPr>
  </w:style>
  <w:style w:type="character" w:styleId="FootnoteReference">
    <w:name w:val="footnote reference"/>
    <w:basedOn w:val="DefaultParagraphFont"/>
    <w:uiPriority w:val="99"/>
    <w:semiHidden/>
    <w:unhideWhenUsed/>
    <w:rsid w:val="00D51B49"/>
    <w:rPr>
      <w:vertAlign w:val="superscript"/>
    </w:rPr>
  </w:style>
  <w:style w:type="paragraph" w:styleId="Caption">
    <w:name w:val="caption"/>
    <w:basedOn w:val="Normal"/>
    <w:next w:val="Normal"/>
    <w:uiPriority w:val="35"/>
    <w:unhideWhenUsed/>
    <w:qFormat/>
    <w:rsid w:val="00054E66"/>
    <w:pPr>
      <w:spacing w:after="200"/>
    </w:pPr>
    <w:rPr>
      <w:i/>
      <w:iCs/>
      <w:color w:val="1F497D" w:themeColor="text2"/>
    </w:rPr>
  </w:style>
  <w:style w:type="table" w:styleId="TableGrid">
    <w:name w:val="Table Grid"/>
    <w:basedOn w:val="TableNormal"/>
    <w:uiPriority w:val="39"/>
    <w:rsid w:val="007E7698"/>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degreedays.net/" TargetMode="External"/><Relationship Id="rId18" Type="http://schemas.openxmlformats.org/officeDocument/2006/relationships/footer" Target="footer1.xml"/><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hyperlink" Target="https://www.eia.gov/electricity/" TargetMode="External"/><Relationship Id="rId17" Type="http://schemas.openxmlformats.org/officeDocument/2006/relationships/hyperlink" Target="https://www.linkedin.com/in/daniel-berleant-4938451/" TargetMode="External"/><Relationship Id="rId2" Type="http://schemas.openxmlformats.org/officeDocument/2006/relationships/customXml" Target="../customXml/item2.xml"/><Relationship Id="rId16" Type="http://schemas.openxmlformats.org/officeDocument/2006/relationships/hyperlink" Target="mailto:jdberleant@ualr.edu" TargetMode="Externa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portal.spp.org/groups/integrated-marketplace" TargetMode="External"/><Relationship Id="rId5" Type="http://schemas.openxmlformats.org/officeDocument/2006/relationships/settings" Target="settings.xml"/><Relationship Id="rId15" Type="http://schemas.openxmlformats.org/officeDocument/2006/relationships/hyperlink" Target="https://linkedin.com/in/echarlesgrasby" TargetMode="External"/><Relationship Id="rId10" Type="http://schemas.openxmlformats.org/officeDocument/2006/relationships/hyperlink" Target="https://www.cardiff.ac.uk/__data/assets/pdf_file/0010/1164961/how_to_conduct_a_delphistudy.pdf" TargetMode="External"/><Relationship Id="rId19" Type="http://schemas.openxmlformats.org/officeDocument/2006/relationships/footer" Target="footer2.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mailto:ecgrasby@ualr.edu" TargetMode="External"/><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notes.xml.rels><?xml version="1.0" encoding="UTF-8" standalone="yes"?>
<Relationships xmlns="http://schemas.openxmlformats.org/package/2006/relationships"><Relationship Id="rId2" Type="http://schemas.openxmlformats.org/officeDocument/2006/relationships/hyperlink" Target="https://github.com/echarlesgrasby/dissertation/tree/master/ext" TargetMode="External"/><Relationship Id="rId1" Type="http://schemas.openxmlformats.org/officeDocument/2006/relationships/hyperlink" Target="https://github.com/echarlesgrasby/dissertation/tree/master/ex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ET/+2Hr6+71DSXwqWa9yDy7fTQ==">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</go:docsCustomData>
</go:gDocsCustomXmlDataStorage>
</file>

<file path=customXml/itemProps1.xml><?xml version="1.0" encoding="utf-8"?>
<ds:datastoreItem xmlns:ds="http://schemas.openxmlformats.org/officeDocument/2006/customXml" ds:itemID="{37BA38DD-3339-4337-B129-D669332D8C7F}">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Metadata/LabelInfo.xml><?xml version="1.0" encoding="utf-8"?>
<clbl:labelList xmlns:clbl="http://schemas.microsoft.com/office/2020/mipLabelMetadata">
  <clbl:label id="{e9692091-66b8-45b5-9087-387cbcef98ca}" enabled="1" method="Privileged" siteId="{3230926a-71b7-4370-a137-197badc066a2}" contentBits="0" removed="0"/>
</clbl:labelList>
</file>

<file path=docProps/app.xml><?xml version="1.0" encoding="utf-8"?>
<Properties xmlns="http://schemas.openxmlformats.org/officeDocument/2006/extended-properties" xmlns:vt="http://schemas.openxmlformats.org/officeDocument/2006/docPropsVTypes">
  <Template>Normal.dotm</Template>
  <TotalTime>589</TotalTime>
  <Pages>5</Pages>
  <Words>1579</Words>
  <Characters>9398</Characters>
  <Application>Microsoft Office Word</Application>
  <DocSecurity>0</DocSecurity>
  <Lines>180</Lines>
  <Paragraphs>114</Paragraphs>
  <ScaleCrop>false</ScaleCrop>
  <HeadingPairs>
    <vt:vector size="2" baseType="variant">
      <vt:variant>
        <vt:lpstr>Title</vt:lpstr>
      </vt:variant>
      <vt:variant>
        <vt:i4>1</vt:i4>
      </vt:variant>
    </vt:vector>
  </HeadingPairs>
  <TitlesOfParts>
    <vt:vector size="1" baseType="lpstr">
      <vt:lpstr/>
    </vt:vector>
  </TitlesOfParts>
  <Company>Southwest Power Pool</Company>
  <LinksUpToDate>false</LinksUpToDate>
  <CharactersWithSpaces>10863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Eric Grasby</cp:lastModifiedBy>
  <cp:revision>159</cp:revision>
  <dcterms:created xsi:type="dcterms:W3CDTF">2026-05-26T17:29:00Z</dcterms:created>
  <dcterms:modified xsi:type="dcterms:W3CDTF">2026-05-29T20:44:00Z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0x010100A5347FA7F93F3C40B17393C6B2C5210B</vt:lpwstr>
  </property>
</Properties>
</file>