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7D34F" w14:textId="77777777" w:rsidR="004E2786" w:rsidRDefault="00000000">
      <w:pPr>
        <w:keepNext/>
        <w:pBdr>
          <w:top w:val="nil"/>
          <w:left w:val="nil"/>
          <w:bottom w:val="nil"/>
          <w:right w:val="nil"/>
          <w:between w:val="nil"/>
        </w:pBdr>
        <w:spacing w:after="60"/>
        <w:jc w:val="center"/>
        <w:rPr>
          <w:b/>
          <w:bCs/>
          <w:color w:val="000000"/>
          <w:sz w:val="20"/>
          <w:szCs w:val="20"/>
        </w:rPr>
      </w:pPr>
      <w:r>
        <w:rPr>
          <w:b/>
          <w:bCs/>
          <w:color w:val="000000"/>
          <w:sz w:val="20"/>
          <w:szCs w:val="20"/>
        </w:rPr>
        <w:t>SEASUG Paper ###-2026</w:t>
      </w:r>
    </w:p>
    <w:p w14:paraId="7C326506" w14:textId="3867F064" w:rsidR="004E2786" w:rsidRDefault="00CF6E3F">
      <w:pPr>
        <w:keepNext/>
        <w:pBdr>
          <w:top w:val="nil"/>
          <w:left w:val="nil"/>
          <w:bottom w:val="nil"/>
          <w:right w:val="nil"/>
          <w:between w:val="nil"/>
        </w:pBdr>
        <w:spacing w:before="100" w:after="60"/>
        <w:jc w:val="center"/>
        <w:rPr>
          <w:b/>
          <w:bCs/>
          <w:color w:val="000000"/>
          <w:sz w:val="26"/>
          <w:szCs w:val="26"/>
        </w:rPr>
      </w:pPr>
      <w:r>
        <w:rPr>
          <w:b/>
          <w:bCs/>
          <w:color w:val="000000"/>
          <w:sz w:val="26"/>
          <w:szCs w:val="26"/>
        </w:rPr>
        <w:t>A Domain-Specific Computer Language for Market Monitoring</w:t>
      </w:r>
      <w:r w:rsidR="001009F8">
        <w:rPr>
          <w:b/>
          <w:bCs/>
          <w:color w:val="000000"/>
          <w:sz w:val="26"/>
          <w:szCs w:val="26"/>
        </w:rPr>
        <w:t xml:space="preserve">: </w:t>
      </w:r>
      <w:r w:rsidR="000F6EFC">
        <w:rPr>
          <w:b/>
          <w:bCs/>
          <w:color w:val="000000"/>
          <w:sz w:val="26"/>
          <w:szCs w:val="26"/>
        </w:rPr>
        <w:t>From</w:t>
      </w:r>
      <w:r w:rsidR="001009F8">
        <w:rPr>
          <w:b/>
          <w:bCs/>
          <w:color w:val="000000"/>
          <w:sz w:val="26"/>
          <w:szCs w:val="26"/>
        </w:rPr>
        <w:t xml:space="preserve"> Domain Logic to SAS Code</w:t>
      </w:r>
    </w:p>
    <w:p w14:paraId="345A8387" w14:textId="2AE5720E" w:rsidR="004E2786" w:rsidRDefault="00000000">
      <w:pPr>
        <w:pBdr>
          <w:top w:val="nil"/>
          <w:left w:val="nil"/>
          <w:bottom w:val="nil"/>
          <w:right w:val="nil"/>
          <w:between w:val="nil"/>
        </w:pBdr>
        <w:spacing w:before="20"/>
        <w:jc w:val="center"/>
      </w:pPr>
      <w:r>
        <w:rPr>
          <w:color w:val="000000"/>
          <w:sz w:val="22"/>
          <w:szCs w:val="22"/>
        </w:rPr>
        <w:t>Eric Grasby; Daniel Berleant</w:t>
      </w:r>
      <w:r w:rsidR="003D1B82">
        <w:rPr>
          <w:color w:val="000000"/>
          <w:sz w:val="22"/>
          <w:szCs w:val="22"/>
        </w:rPr>
        <w:t>;</w:t>
      </w:r>
      <w:r w:rsidR="00200024">
        <w:rPr>
          <w:color w:val="000000"/>
          <w:sz w:val="22"/>
          <w:szCs w:val="22"/>
        </w:rPr>
        <w:t xml:space="preserve"> Maria CB Gingras</w:t>
      </w:r>
    </w:p>
    <w:p w14:paraId="0F749EB3" w14:textId="233D5DF2" w:rsidR="004E2786" w:rsidRPr="00272427" w:rsidRDefault="00CA78FE" w:rsidP="00272427">
      <w:pPr>
        <w:pStyle w:val="Heading1"/>
      </w:pPr>
      <w:r>
        <w:t>ABSTRACT</w:t>
      </w:r>
    </w:p>
    <w:p w14:paraId="19203CF0" w14:textId="77777777" w:rsidR="00F23743" w:rsidRPr="00F23743" w:rsidRDefault="00F23743" w:rsidP="00F23743">
      <w:pPr>
        <w:rPr>
          <w:lang w:val="en-US"/>
        </w:rPr>
      </w:pPr>
      <w:r w:rsidRPr="00F23743">
        <w:t>This paper presents a proof-of-concept design of a domain-specific language (DSL) for use in wholesale electric market monitoring and applies the DSL to an industry use case. Wholesale electric markets competitively dispatch power plants, while respecting the constraints of the electric grid, to minimize the cost of electricity production. Market monitors are charged with analyzing data from these markets to screen for prohibited behavior among market participants to protect consumers from unduly high prices and to maintain the reliability of the electric grid. </w:t>
      </w:r>
    </w:p>
    <w:p w14:paraId="04CE93AA" w14:textId="7B5B0CAE" w:rsidR="00F23743" w:rsidRPr="00F23743" w:rsidRDefault="00F23743" w:rsidP="00F23743">
      <w:pPr>
        <w:rPr>
          <w:lang w:val="en-US"/>
        </w:rPr>
      </w:pPr>
      <w:r w:rsidRPr="00F23743">
        <w:t>To fulfill their duties, market monitors must extract, transform, and analyze data from multiple sources, often without sophisticated programming skills. Additionally, electric market data is complex and often fragmented, leading to issues that transcend simple programming problems. Together, these issues create a barrier for market monitors to efficiently and accurately complete their duties. This paper presents one viable solution to both problems: a DSL that allows a market monitor to declare the metrics that they wish to analyze and a transpiler that translates their input into valid code. This DSL leverages SAS</w:t>
      </w:r>
      <w:r w:rsidR="00E01A15">
        <w:t>®</w:t>
      </w:r>
      <w:r w:rsidRPr="00F23743">
        <w:t xml:space="preserve"> data sets for data management and SAS procedures, DATA step programming, and SAS macros to perform transformations. </w:t>
      </w:r>
    </w:p>
    <w:p w14:paraId="04039762" w14:textId="77777777" w:rsidR="00F23743" w:rsidRPr="00F23743" w:rsidRDefault="00F23743" w:rsidP="00F23743">
      <w:pPr>
        <w:rPr>
          <w:lang w:val="en-US"/>
        </w:rPr>
      </w:pPr>
      <w:r w:rsidRPr="00F23743">
        <w:t>Finally, this paper illustrates this proposed design by demonstrating how a user can generate SAS code to fulfill common and critical market monitoring tasks.</w:t>
      </w:r>
    </w:p>
    <w:p w14:paraId="01450761" w14:textId="0B0A68DD" w:rsidR="008A506B" w:rsidRPr="000B5064" w:rsidRDefault="008A506B" w:rsidP="00D21BEF">
      <w:pPr>
        <w:rPr>
          <w:i/>
          <w:iCs/>
        </w:rPr>
      </w:pPr>
      <w:r w:rsidRPr="000B5064">
        <w:rPr>
          <w:b/>
          <w:bCs/>
          <w:i/>
          <w:iCs/>
        </w:rPr>
        <w:t>Keywords</w:t>
      </w:r>
      <w:r w:rsidRPr="000B5064">
        <w:rPr>
          <w:i/>
          <w:iCs/>
        </w:rPr>
        <w:t>: domain-specific language, analyst abstraction, energy market, market monitoring, transpiler</w:t>
      </w:r>
    </w:p>
    <w:p w14:paraId="49E70DB3" w14:textId="5F0B5581" w:rsidR="004E2786" w:rsidRDefault="00CA78FE" w:rsidP="00272427">
      <w:pPr>
        <w:pStyle w:val="Heading1"/>
      </w:pPr>
      <w:bookmarkStart w:id="0" w:name="_heading=h.m8l0puddzh9t" w:colFirst="0" w:colLast="0"/>
      <w:bookmarkEnd w:id="0"/>
      <w:r>
        <w:t>INTRODUCTION</w:t>
      </w:r>
    </w:p>
    <w:p w14:paraId="6519935E" w14:textId="1BA78C57" w:rsidR="00316EE2" w:rsidRDefault="00316EE2" w:rsidP="00316EE2">
      <w:r>
        <w:t xml:space="preserve">Energy is a ubiquitous commodity; its generation, transmission, and use is present in </w:t>
      </w:r>
      <w:r w:rsidR="007F2B07">
        <w:t>almost</w:t>
      </w:r>
      <w:r>
        <w:t xml:space="preserve"> every aspect of modern society. Commonly recognized as the “world’s largest machine”</w:t>
      </w:r>
      <w:r w:rsidR="007F2B07">
        <w:t xml:space="preserve"> [1], the North American Bulk Electric System (BES) is one of the most important systems to the lives of virtually every resident of the United States, Canada, and a portion of Mexico. Organized energy markets, which use the BES to transmit electricity, are constructs that allow </w:t>
      </w:r>
      <w:r w:rsidR="00E4112C">
        <w:t>a region</w:t>
      </w:r>
      <w:r w:rsidR="007F2B07">
        <w:t xml:space="preserve"> to </w:t>
      </w:r>
      <w:r w:rsidR="00E4112C">
        <w:t xml:space="preserve">pool electric generating resources across many market participants and centrally commit and dispatch these resources to </w:t>
      </w:r>
      <w:r w:rsidR="007F2B07">
        <w:t>reliably and economically deliver energy to consumers.</w:t>
      </w:r>
    </w:p>
    <w:p w14:paraId="4334A4C3" w14:textId="488D5281" w:rsidR="007F2B07" w:rsidRDefault="00D30B43" w:rsidP="00316EE2">
      <w:r>
        <w:t xml:space="preserve">Like any market, electric markets are subject to bad actors. However, when market participants engage in manipulative or fraudulent behavior in the electric market, such behaviors can not only impact prices but threaten the physical security of the electric grid and disrupt electric supply to end consumers. One such example is the fraud perpetrated by the </w:t>
      </w:r>
      <w:r w:rsidRPr="001E3178">
        <w:rPr>
          <w:i/>
          <w:iCs/>
        </w:rPr>
        <w:t>Enron Corporation</w:t>
      </w:r>
      <w:r>
        <w:t xml:space="preserve"> in the early 2000s. </w:t>
      </w:r>
      <w:r w:rsidR="00CA746F">
        <w:t>In the aftermath of the Enron scandal</w:t>
      </w:r>
      <w:r w:rsidR="00103304">
        <w:t xml:space="preserve"> [2]</w:t>
      </w:r>
      <w:r w:rsidR="00CA746F">
        <w:t>,</w:t>
      </w:r>
      <w:r w:rsidR="007F2B07">
        <w:t xml:space="preserve"> the Federal Energy Regulatory Commission (FERC) mandated that all organized energy markets in the United States be independently </w:t>
      </w:r>
      <w:r w:rsidR="00FC10B1">
        <w:t>monitored</w:t>
      </w:r>
      <w:r w:rsidR="007F2B07">
        <w:t xml:space="preserve"> by an energy market monitoring authority.</w:t>
      </w:r>
    </w:p>
    <w:p w14:paraId="255851D3" w14:textId="1715FF18" w:rsidR="00D30B43" w:rsidRDefault="00D30B43" w:rsidP="00316EE2">
      <w:r>
        <w:t>By analyzing the detailed data generated by electricity markets, market monitors can scrutinize market transactions and identify malfeasance in physical and virtual power trades as well as opportunities for improvement to market design.</w:t>
      </w:r>
    </w:p>
    <w:p w14:paraId="3E55B4A3" w14:textId="2BDB9523" w:rsidR="0047763A" w:rsidRPr="00316EE2" w:rsidRDefault="00D30B43" w:rsidP="00316EE2">
      <w:r>
        <w:t xml:space="preserve">Each market monitoring authority consists of market monitors who are tasked with fulfilling the mandate in </w:t>
      </w:r>
      <w:r w:rsidRPr="001E3178">
        <w:rPr>
          <w:i/>
          <w:iCs/>
        </w:rPr>
        <w:t>CFR 18 35.41 B</w:t>
      </w:r>
      <w:r>
        <w:rPr>
          <w:rStyle w:val="FootnoteReference"/>
        </w:rPr>
        <w:footnoteReference w:id="1"/>
      </w:r>
      <w:r>
        <w:t xml:space="preserve">. are the group of professionals that work to ensure that these markets remain fair, efficient, and open access. </w:t>
      </w:r>
      <w:r w:rsidR="00AE6606">
        <w:t>Ideally market monitors should be well versed in energy and market policy concepts. However, the nature of the current job landscape also dictates that they possess technical skills in programming and data analysis. The design outlined in this paper intends to put power back in the hands of market monitors. Rather than requiring them to maintain a technical programming skillset, we present a foundation for a domain-specific language (DSL) that allows market monitors to express their analytics in notations better suited to energy data. The language then translates these notations into valid SAS code which can process the energy market data on behalf of the analyst.</w:t>
      </w:r>
    </w:p>
    <w:p w14:paraId="503128FE" w14:textId="568D9888" w:rsidR="004E2786" w:rsidRDefault="00CA78FE">
      <w:pPr>
        <w:pStyle w:val="Heading1"/>
      </w:pPr>
      <w:bookmarkStart w:id="1" w:name="_heading=h.y2zz5yuofigo" w:colFirst="0" w:colLast="0"/>
      <w:bookmarkEnd w:id="1"/>
      <w:r>
        <w:t>BACKGROUND</w:t>
      </w:r>
    </w:p>
    <w:p w14:paraId="5C8F5606" w14:textId="70C497DF" w:rsidR="0011120F" w:rsidRDefault="0011120F" w:rsidP="00272427">
      <w:pPr>
        <w:pStyle w:val="Heading3"/>
      </w:pPr>
      <w:bookmarkStart w:id="2" w:name="_heading=h.wc0ucybh4nlh" w:colFirst="0" w:colLast="0"/>
      <w:bookmarkEnd w:id="2"/>
      <w:r>
        <w:lastRenderedPageBreak/>
        <w:t xml:space="preserve">The business problem: why a </w:t>
      </w:r>
      <w:r w:rsidR="00B31888">
        <w:t>d</w:t>
      </w:r>
      <w:r>
        <w:t>omain-</w:t>
      </w:r>
      <w:r w:rsidR="00B31888">
        <w:t>s</w:t>
      </w:r>
      <w:r>
        <w:t xml:space="preserve">pecific </w:t>
      </w:r>
      <w:r w:rsidR="00B31888">
        <w:t>l</w:t>
      </w:r>
      <w:r>
        <w:t>anguage?</w:t>
      </w:r>
    </w:p>
    <w:p w14:paraId="082D1A71" w14:textId="29D1FD6C" w:rsidR="000A2FC6" w:rsidRDefault="000A2FC6" w:rsidP="000A2FC6">
      <w:r>
        <w:t xml:space="preserve">Systems such as SAS already provide an abstraction layer for data processing – why propose to build a DSL on top of SAS at all? The answer to this question lies in the energy data landscape itself. Although the BES is operationally complex, the surrounding data infrastructure is even more fragmented. Market monitors routinely interact with disparate systems, siloed databases, undocumented schemas, and numerous other information quality issues that </w:t>
      </w:r>
      <w:r w:rsidR="000F67E8">
        <w:t xml:space="preserve">can </w:t>
      </w:r>
      <w:r>
        <w:t xml:space="preserve">impede their analysis. </w:t>
      </w:r>
    </w:p>
    <w:p w14:paraId="5D417F40" w14:textId="22047511" w:rsidR="000A2FC6" w:rsidRDefault="000A2FC6" w:rsidP="000A2FC6">
      <w:r>
        <w:t xml:space="preserve">Many of these issues are </w:t>
      </w:r>
      <w:r w:rsidRPr="000A2FC6">
        <w:rPr>
          <w:i/>
          <w:iCs/>
        </w:rPr>
        <w:t>semantic problems</w:t>
      </w:r>
      <w:r>
        <w:t xml:space="preserve">, requiring an individual to encode their domain expertise into SAS or SQL scripts. </w:t>
      </w:r>
      <w:r w:rsidR="000C4D95">
        <w:t xml:space="preserve">Specialized analytical methods for electricity market analysis continue to be an active area of research [4]. </w:t>
      </w:r>
      <w:r>
        <w:t xml:space="preserve">A prevalent example in energy markets involves how timestamps are interpreted across time zones. Because energy market transactions </w:t>
      </w:r>
      <w:r w:rsidR="00BD5420">
        <w:t xml:space="preserve">can </w:t>
      </w:r>
      <w:r>
        <w:t xml:space="preserve">span across time zones, timestamps on these transactions may be recorded in local time, adjacent market time, or Coordinated Universal Time (UTC/GMT). If the time zone metadata is not readily apparent, analytical queries may produce </w:t>
      </w:r>
      <w:r w:rsidRPr="000A2FC6">
        <w:rPr>
          <w:i/>
          <w:iCs/>
        </w:rPr>
        <w:t>fundamentally incorrect results</w:t>
      </w:r>
      <w:r>
        <w:t xml:space="preserve">, despite being written as </w:t>
      </w:r>
      <w:r w:rsidRPr="000A2FC6">
        <w:rPr>
          <w:i/>
          <w:iCs/>
        </w:rPr>
        <w:t>syntactically valid</w:t>
      </w:r>
      <w:r>
        <w:t>.</w:t>
      </w:r>
    </w:p>
    <w:p w14:paraId="6FA13D40" w14:textId="1C9C28D3" w:rsidR="00934EAE" w:rsidRDefault="00934EAE" w:rsidP="000A2FC6">
      <w:r>
        <w:t xml:space="preserve">Modern analytics platforms provide mechanisms for performing these conversions, but they tend to rely on the user understanding and correctly applying the domain-level semantics associated with the data (using the appropriate time zone, for example). By leveraging metadata and domain-aware rules, </w:t>
      </w:r>
      <w:r w:rsidR="0035633C">
        <w:t>a</w:t>
      </w:r>
      <w:r>
        <w:t xml:space="preserve"> DSL can transparently handle these operations without requiring the user to manually account for such details.</w:t>
      </w:r>
    </w:p>
    <w:p w14:paraId="3D5BA253" w14:textId="1EC02897" w:rsidR="00934EAE" w:rsidRPr="000A2FC6" w:rsidRDefault="00934EAE" w:rsidP="000A2FC6">
      <w:r>
        <w:t xml:space="preserve">The proposed DSL is not intended to replace existing analytics platforms, like SAS, but instead </w:t>
      </w:r>
      <w:r w:rsidR="00446F61">
        <w:t>provides</w:t>
      </w:r>
      <w:r>
        <w:t xml:space="preserve"> a semantic layer that mitigates these information quality risks.</w:t>
      </w:r>
    </w:p>
    <w:p w14:paraId="0571E4A0" w14:textId="255A8CF9" w:rsidR="0011120F" w:rsidRDefault="0011120F" w:rsidP="00272427">
      <w:pPr>
        <w:pStyle w:val="Heading3"/>
      </w:pPr>
      <w:r>
        <w:t>Why SAS</w:t>
      </w:r>
      <w:r w:rsidR="001A2E15">
        <w:t>®</w:t>
      </w:r>
      <w:r>
        <w:t>?</w:t>
      </w:r>
    </w:p>
    <w:p w14:paraId="09C14A2D" w14:textId="003AD0E1" w:rsidR="00EC1F75" w:rsidRDefault="00EC1F75" w:rsidP="00EC1F75">
      <w:r>
        <w:t xml:space="preserve">Using SAS as the target language for this DSL comes with several advantages. </w:t>
      </w:r>
      <w:r w:rsidR="002D4B97">
        <w:t xml:space="preserve">While the design and implementation of this language </w:t>
      </w:r>
      <w:r w:rsidR="00D21BEF">
        <w:t>provide</w:t>
      </w:r>
      <w:r w:rsidR="002D4B97">
        <w:t xml:space="preserve"> a parser and language transpiler </w:t>
      </w:r>
      <w:r w:rsidR="00D21BEF">
        <w:t>to effectuate</w:t>
      </w:r>
      <w:r w:rsidR="00450730">
        <w:t xml:space="preserve"> the</w:t>
      </w:r>
      <w:r w:rsidR="00D21BEF">
        <w:t xml:space="preserve"> execution of the language, there are other components that are required to provide users with a functional analysis system. These main components include a data processing engine, a reliable data typing scheme, and ca</w:t>
      </w:r>
      <w:r w:rsidR="00E36D8F">
        <w:t>p</w:t>
      </w:r>
      <w:r w:rsidR="00D21BEF">
        <w:t>abilities for data visualization and basic cartography.</w:t>
      </w:r>
    </w:p>
    <w:p w14:paraId="0E7D9744" w14:textId="1F1013F6" w:rsidR="00194B59" w:rsidRDefault="00194B59" w:rsidP="00EC1F75">
      <w:r>
        <w:t>The SAS ecosystem satisfies each of these system requirements. B</w:t>
      </w:r>
      <w:r w:rsidR="005D0DB1">
        <w:t>ase</w:t>
      </w:r>
      <w:r>
        <w:t xml:space="preserve"> SAS and SAS/ACCESS provide mechanisms for </w:t>
      </w:r>
      <w:r w:rsidR="00663B9B">
        <w:t>processing data, as well as importing and</w:t>
      </w:r>
      <w:r>
        <w:t xml:space="preserve"> exporting </w:t>
      </w:r>
      <w:r w:rsidR="00663B9B">
        <w:t xml:space="preserve">that </w:t>
      </w:r>
      <w:r>
        <w:t xml:space="preserve">data from a variety of </w:t>
      </w:r>
      <w:r w:rsidR="00663B9B">
        <w:t xml:space="preserve">external </w:t>
      </w:r>
      <w:r>
        <w:t>systems (including relational databases). When data is loaded from a source system</w:t>
      </w:r>
      <w:r w:rsidR="00663B9B">
        <w:t>,</w:t>
      </w:r>
      <w:r>
        <w:t xml:space="preserve"> SAS </w:t>
      </w:r>
      <w:r w:rsidR="00663B9B">
        <w:t>houses</w:t>
      </w:r>
      <w:r>
        <w:t xml:space="preserve"> that data in SAS datasets</w:t>
      </w:r>
      <w:r w:rsidR="00663B9B">
        <w:t>. These datasets, in turn,</w:t>
      </w:r>
      <w:r>
        <w:t xml:space="preserve"> </w:t>
      </w:r>
      <w:r w:rsidR="00663B9B">
        <w:t>provide a r</w:t>
      </w:r>
      <w:r>
        <w:t xml:space="preserve">eliable </w:t>
      </w:r>
      <w:r w:rsidR="00663B9B">
        <w:t xml:space="preserve">and universal </w:t>
      </w:r>
      <w:r>
        <w:t xml:space="preserve">API for data processing across all </w:t>
      </w:r>
      <w:r w:rsidR="00663B9B">
        <w:t xml:space="preserve">other </w:t>
      </w:r>
      <w:r>
        <w:t xml:space="preserve">SAS components. </w:t>
      </w:r>
      <w:r w:rsidR="00F862FC">
        <w:t>Base</w:t>
      </w:r>
      <w:r>
        <w:t xml:space="preserve"> SAS also ships with a data typing system, so the upstream DSL does not have to enforce strict typing as part of the syntax (which translates to less cognitive burden on the user). </w:t>
      </w:r>
    </w:p>
    <w:p w14:paraId="5AAF1EBA" w14:textId="536DB4C0" w:rsidR="00194B59" w:rsidRDefault="00194B59" w:rsidP="00EC1F75">
      <w:r>
        <w:t xml:space="preserve">Additionally, the Output Delivery System (ODS) that ships with SAS provides first-class citizens for generating and formatting both data visualization graphs and spatial maps. The ODS principally provides this functionality through the </w:t>
      </w:r>
      <w:r w:rsidR="005257AC">
        <w:t>SGPLOT</w:t>
      </w:r>
      <w:r>
        <w:t xml:space="preserve"> and SG</w:t>
      </w:r>
      <w:r w:rsidR="005257AC">
        <w:t>MAP</w:t>
      </w:r>
      <w:r>
        <w:t xml:space="preserve"> procedures, respectively.</w:t>
      </w:r>
    </w:p>
    <w:p w14:paraId="14D82BC3" w14:textId="1BC6087C" w:rsidR="009011E8" w:rsidRPr="00EC1F75" w:rsidRDefault="009011E8" w:rsidP="00EC1F75">
      <w:r>
        <w:t xml:space="preserve">With each of these infrastructural components available within one platform, </w:t>
      </w:r>
      <w:r w:rsidR="00053B8E">
        <w:t>a</w:t>
      </w:r>
      <w:r w:rsidR="005713A6">
        <w:t xml:space="preserve"> DSL</w:t>
      </w:r>
      <w:r>
        <w:t xml:space="preserve"> can remain focused on allowing the user to write intuitive data logic. </w:t>
      </w:r>
      <w:r w:rsidR="00D3625F">
        <w:t>It</w:t>
      </w:r>
      <w:r w:rsidR="00C93C4C">
        <w:t xml:space="preserve"> then offloads</w:t>
      </w:r>
      <w:r>
        <w:t xml:space="preserve"> any </w:t>
      </w:r>
      <w:r w:rsidR="00053B8E">
        <w:t>technical</w:t>
      </w:r>
      <w:r>
        <w:t xml:space="preserve"> complexity to SAS and </w:t>
      </w:r>
      <w:r w:rsidR="0099643B">
        <w:t>returns</w:t>
      </w:r>
      <w:r>
        <w:t xml:space="preserve"> results and error messages back to the user.</w:t>
      </w:r>
    </w:p>
    <w:p w14:paraId="0B52D380" w14:textId="62B1CF01" w:rsidR="004E2786" w:rsidRDefault="00F12F7C">
      <w:pPr>
        <w:pStyle w:val="Heading1"/>
      </w:pPr>
      <w:r>
        <w:t>DELPHI STUDY</w:t>
      </w:r>
    </w:p>
    <w:p w14:paraId="1B18A159" w14:textId="49CE421C" w:rsidR="00D51B49" w:rsidRPr="00A37411" w:rsidRDefault="00D51B49" w:rsidP="00A37411">
      <w:bookmarkStart w:id="3" w:name="_heading=h.v04ytp5vmndc" w:colFirst="0" w:colLast="0"/>
      <w:bookmarkEnd w:id="3"/>
      <w:r w:rsidRPr="00A37411">
        <w:t>To identify relevant use cases during the implementation of this DSL, the researchers chose to proctor a Delphi study</w:t>
      </w:r>
      <w:r w:rsidR="00FC26B9">
        <w:rPr>
          <w:rStyle w:val="FootnoteReference"/>
        </w:rPr>
        <w:footnoteReference w:id="2"/>
      </w:r>
      <w:r w:rsidRPr="00A37411">
        <w:t xml:space="preserve">. Eligibility to participate in this study was determined by only two (2) requirements: </w:t>
      </w:r>
    </w:p>
    <w:p w14:paraId="638075C2" w14:textId="77777777" w:rsidR="00A37411" w:rsidRDefault="00D51B49" w:rsidP="00A37411">
      <w:pPr>
        <w:pStyle w:val="ListParagraph"/>
        <w:numPr>
          <w:ilvl w:val="0"/>
          <w:numId w:val="13"/>
        </w:numPr>
      </w:pPr>
      <w:r w:rsidRPr="00A37411">
        <w:t>The participant must be over the age of 18</w:t>
      </w:r>
    </w:p>
    <w:p w14:paraId="02A201DB" w14:textId="3CCB6F7A" w:rsidR="00D51B49" w:rsidRPr="00A37411" w:rsidRDefault="00D51B49" w:rsidP="00A37411">
      <w:pPr>
        <w:pStyle w:val="ListParagraph"/>
        <w:numPr>
          <w:ilvl w:val="0"/>
          <w:numId w:val="13"/>
        </w:numPr>
      </w:pPr>
      <w:r w:rsidRPr="00A37411">
        <w:t>The participant must be a member of the Energy Intermarket Surveillance Group (EISG)</w:t>
      </w:r>
      <w:r w:rsidRPr="00A37411">
        <w:rPr>
          <w:vertAlign w:val="superscript"/>
        </w:rPr>
        <w:footnoteReference w:id="3"/>
      </w:r>
    </w:p>
    <w:p w14:paraId="774CE026" w14:textId="58B7F5B9" w:rsidR="00D51B49" w:rsidRPr="00A37411" w:rsidRDefault="00D51B49" w:rsidP="00A37411">
      <w:r w:rsidRPr="00A37411">
        <w:t>These eligibility requirements were introduced to both adhere to responsible research ethics</w:t>
      </w:r>
      <w:r w:rsidRPr="00A37411">
        <w:rPr>
          <w:vertAlign w:val="superscript"/>
        </w:rPr>
        <w:footnoteReference w:id="4"/>
      </w:r>
      <w:r w:rsidRPr="00A37411">
        <w:t xml:space="preserve"> and to establish a definition of “expert opinion” provided by each participant. Plainly, this ensured that the survey questions posed in this study were answered by the same individuals that </w:t>
      </w:r>
      <w:r w:rsidR="00804933" w:rsidRPr="00A37411">
        <w:t>may</w:t>
      </w:r>
      <w:r w:rsidRPr="00A37411">
        <w:t xml:space="preserve"> use a purpose-made DSL for energy market analytics. The </w:t>
      </w:r>
      <w:r w:rsidRPr="00A37411">
        <w:lastRenderedPageBreak/>
        <w:t>study was conducted in two (2) rounds, where a round corresponds to a group of survey questions that were provided to the participants. These included a list of free-form text responses, multiple choice questions, and questions provided in a Likert format.</w:t>
      </w:r>
    </w:p>
    <w:p w14:paraId="0D34A1F3" w14:textId="3DCDF253" w:rsidR="008B50D4" w:rsidRDefault="008B50D4" w:rsidP="008B50D4">
      <w:pPr>
        <w:pStyle w:val="Heading4"/>
      </w:pPr>
      <w:r>
        <w:t>Panel Composition</w:t>
      </w:r>
    </w:p>
    <w:p w14:paraId="533C7877" w14:textId="6D932BA0" w:rsidR="003D1B82" w:rsidRDefault="008B50D4" w:rsidP="00A37411">
      <w:r w:rsidRPr="00A37411">
        <w:t xml:space="preserve">At the time of administering this study, the EISG held a roster of 131 active members. </w:t>
      </w:r>
      <w:r w:rsidR="0039139A" w:rsidRPr="00A37411">
        <w:t xml:space="preserve">Round #1 yielded a roughly 15% response rate (19 confirmed individuals participated in the first round). Only 11 of the original 19 participants elected to respond to round #2 (roughly a 58% retention rate of the original participants). Of the panelists, 16 of the EISG members were US-based market monitors. The remaining 3 worked for an internationally based market monitoring unit. </w:t>
      </w:r>
      <w:r w:rsidR="007E7698">
        <w:fldChar w:fldCharType="begin"/>
      </w:r>
      <w:r w:rsidR="007E7698">
        <w:instrText xml:space="preserve"> REF _Ref230939531 \h </w:instrText>
      </w:r>
      <w:r w:rsidR="007E7698">
        <w:fldChar w:fldCharType="separate"/>
      </w:r>
      <w:r w:rsidR="007E7698">
        <w:t xml:space="preserve">Table </w:t>
      </w:r>
      <w:r w:rsidR="007E7698">
        <w:rPr>
          <w:noProof/>
        </w:rPr>
        <w:t>1</w:t>
      </w:r>
      <w:r w:rsidR="007E7698">
        <w:fldChar w:fldCharType="end"/>
      </w:r>
      <w:r w:rsidR="007E7698">
        <w:t xml:space="preserve"> displays the </w:t>
      </w:r>
      <w:r w:rsidR="00054E66" w:rsidRPr="00A37411">
        <w:t>professional role mix of the panelists, indicating that market monitoring analysts make up the largest portion of the panelists, with a mix of other roles including management, economists, data scientists, and a developer.</w:t>
      </w:r>
    </w:p>
    <w:p w14:paraId="07EB6BCC" w14:textId="54499597" w:rsidR="008B50D4" w:rsidRDefault="008B50D4" w:rsidP="00A37411"/>
    <w:tbl>
      <w:tblPr>
        <w:tblStyle w:val="TableGrid"/>
        <w:tblW w:w="0" w:type="auto"/>
        <w:jc w:val="center"/>
        <w:tblLook w:val="04A0" w:firstRow="1" w:lastRow="0" w:firstColumn="1" w:lastColumn="0" w:noHBand="0" w:noVBand="1"/>
      </w:tblPr>
      <w:tblGrid>
        <w:gridCol w:w="2337"/>
        <w:gridCol w:w="2337"/>
        <w:gridCol w:w="2337"/>
      </w:tblGrid>
      <w:tr w:rsidR="001713AA" w14:paraId="4A4FAC17" w14:textId="66E4E7DF" w:rsidTr="003B48CF">
        <w:trPr>
          <w:jc w:val="center"/>
        </w:trPr>
        <w:tc>
          <w:tcPr>
            <w:tcW w:w="2337" w:type="dxa"/>
          </w:tcPr>
          <w:p w14:paraId="043C1D4F" w14:textId="352ADA63" w:rsidR="001713AA" w:rsidRPr="007E7698" w:rsidRDefault="001713AA" w:rsidP="00C90ED4">
            <w:pPr>
              <w:jc w:val="center"/>
              <w:rPr>
                <w:b/>
                <w:bCs/>
              </w:rPr>
            </w:pPr>
            <w:r w:rsidRPr="007E7698">
              <w:rPr>
                <w:b/>
                <w:bCs/>
              </w:rPr>
              <w:t>Role</w:t>
            </w:r>
          </w:p>
        </w:tc>
        <w:tc>
          <w:tcPr>
            <w:tcW w:w="2337" w:type="dxa"/>
          </w:tcPr>
          <w:p w14:paraId="113D0491" w14:textId="1F77417C" w:rsidR="001713AA" w:rsidRPr="007E7698" w:rsidRDefault="001713AA" w:rsidP="00C90ED4">
            <w:pPr>
              <w:jc w:val="center"/>
              <w:rPr>
                <w:b/>
                <w:bCs/>
              </w:rPr>
            </w:pPr>
            <w:r w:rsidRPr="007E7698">
              <w:rPr>
                <w:b/>
                <w:bCs/>
              </w:rPr>
              <w:t>Count of Role in Panel</w:t>
            </w:r>
          </w:p>
        </w:tc>
        <w:tc>
          <w:tcPr>
            <w:tcW w:w="2337" w:type="dxa"/>
          </w:tcPr>
          <w:p w14:paraId="76A037A4" w14:textId="710AD4E2" w:rsidR="001713AA" w:rsidRPr="007E7698" w:rsidRDefault="001713AA" w:rsidP="00C90ED4">
            <w:pPr>
              <w:jc w:val="center"/>
              <w:rPr>
                <w:b/>
                <w:bCs/>
              </w:rPr>
            </w:pPr>
            <w:r>
              <w:rPr>
                <w:b/>
                <w:bCs/>
              </w:rPr>
              <w:t>Percentage (%)</w:t>
            </w:r>
          </w:p>
        </w:tc>
      </w:tr>
      <w:tr w:rsidR="001713AA" w14:paraId="62F30E3B" w14:textId="7B83826A" w:rsidTr="003B48CF">
        <w:trPr>
          <w:jc w:val="center"/>
        </w:trPr>
        <w:tc>
          <w:tcPr>
            <w:tcW w:w="2337" w:type="dxa"/>
          </w:tcPr>
          <w:p w14:paraId="4FCAE659" w14:textId="38D73DB2" w:rsidR="001713AA" w:rsidRDefault="001713AA" w:rsidP="00C90ED4">
            <w:pPr>
              <w:jc w:val="center"/>
            </w:pPr>
            <w:r>
              <w:t>Market Monitor (Analyst)</w:t>
            </w:r>
          </w:p>
        </w:tc>
        <w:tc>
          <w:tcPr>
            <w:tcW w:w="2337" w:type="dxa"/>
          </w:tcPr>
          <w:p w14:paraId="35F3BEFF" w14:textId="5FC1580E" w:rsidR="001713AA" w:rsidRDefault="001713AA" w:rsidP="00C90ED4">
            <w:pPr>
              <w:jc w:val="center"/>
            </w:pPr>
            <w:r>
              <w:t>13</w:t>
            </w:r>
          </w:p>
        </w:tc>
        <w:tc>
          <w:tcPr>
            <w:tcW w:w="2337" w:type="dxa"/>
          </w:tcPr>
          <w:p w14:paraId="7F2F15D0" w14:textId="32C37053" w:rsidR="001713AA" w:rsidRDefault="001713AA" w:rsidP="00C90ED4">
            <w:pPr>
              <w:jc w:val="center"/>
            </w:pPr>
            <w:r>
              <w:t>68%</w:t>
            </w:r>
          </w:p>
        </w:tc>
      </w:tr>
      <w:tr w:rsidR="001713AA" w14:paraId="3B56D764" w14:textId="4C64CFC3" w:rsidTr="003B48CF">
        <w:trPr>
          <w:jc w:val="center"/>
        </w:trPr>
        <w:tc>
          <w:tcPr>
            <w:tcW w:w="2337" w:type="dxa"/>
          </w:tcPr>
          <w:p w14:paraId="651FF2EE" w14:textId="4C84E6E2" w:rsidR="001713AA" w:rsidRDefault="001713AA" w:rsidP="00C90ED4">
            <w:pPr>
              <w:jc w:val="center"/>
            </w:pPr>
            <w:r>
              <w:t>Management</w:t>
            </w:r>
          </w:p>
        </w:tc>
        <w:tc>
          <w:tcPr>
            <w:tcW w:w="2337" w:type="dxa"/>
          </w:tcPr>
          <w:p w14:paraId="15B77D83" w14:textId="219A5C0C" w:rsidR="001713AA" w:rsidRDefault="001713AA" w:rsidP="00C90ED4">
            <w:pPr>
              <w:jc w:val="center"/>
            </w:pPr>
            <w:r>
              <w:t>4</w:t>
            </w:r>
          </w:p>
        </w:tc>
        <w:tc>
          <w:tcPr>
            <w:tcW w:w="2337" w:type="dxa"/>
          </w:tcPr>
          <w:p w14:paraId="528347C7" w14:textId="3786282B" w:rsidR="001713AA" w:rsidRDefault="001713AA" w:rsidP="00C90ED4">
            <w:pPr>
              <w:jc w:val="center"/>
            </w:pPr>
            <w:r>
              <w:t>21%</w:t>
            </w:r>
          </w:p>
        </w:tc>
      </w:tr>
      <w:tr w:rsidR="001713AA" w14:paraId="635181F9" w14:textId="11657244" w:rsidTr="003B48CF">
        <w:trPr>
          <w:jc w:val="center"/>
        </w:trPr>
        <w:tc>
          <w:tcPr>
            <w:tcW w:w="2337" w:type="dxa"/>
          </w:tcPr>
          <w:p w14:paraId="2B7D9665" w14:textId="6F4BFCC3" w:rsidR="001713AA" w:rsidRDefault="001713AA" w:rsidP="00C90ED4">
            <w:pPr>
              <w:jc w:val="center"/>
            </w:pPr>
            <w:r>
              <w:t>Economist</w:t>
            </w:r>
          </w:p>
        </w:tc>
        <w:tc>
          <w:tcPr>
            <w:tcW w:w="2337" w:type="dxa"/>
          </w:tcPr>
          <w:p w14:paraId="0BFF7C55" w14:textId="512CC09F" w:rsidR="001713AA" w:rsidRDefault="001713AA" w:rsidP="00C90ED4">
            <w:pPr>
              <w:jc w:val="center"/>
            </w:pPr>
            <w:r>
              <w:t>3</w:t>
            </w:r>
          </w:p>
        </w:tc>
        <w:tc>
          <w:tcPr>
            <w:tcW w:w="2337" w:type="dxa"/>
          </w:tcPr>
          <w:p w14:paraId="7BDD4D6D" w14:textId="1560EDDB" w:rsidR="001713AA" w:rsidRDefault="001713AA" w:rsidP="00C90ED4">
            <w:pPr>
              <w:jc w:val="center"/>
            </w:pPr>
            <w:r>
              <w:t>16%</w:t>
            </w:r>
          </w:p>
        </w:tc>
      </w:tr>
      <w:tr w:rsidR="001713AA" w14:paraId="6D6DE894" w14:textId="73F04DAC" w:rsidTr="003B48CF">
        <w:trPr>
          <w:jc w:val="center"/>
        </w:trPr>
        <w:tc>
          <w:tcPr>
            <w:tcW w:w="2337" w:type="dxa"/>
          </w:tcPr>
          <w:p w14:paraId="0F7830DB" w14:textId="38007639" w:rsidR="001713AA" w:rsidRDefault="001713AA" w:rsidP="00C90ED4">
            <w:pPr>
              <w:jc w:val="center"/>
            </w:pPr>
            <w:r>
              <w:t>Data Scientist</w:t>
            </w:r>
          </w:p>
        </w:tc>
        <w:tc>
          <w:tcPr>
            <w:tcW w:w="2337" w:type="dxa"/>
          </w:tcPr>
          <w:p w14:paraId="10F6F6FC" w14:textId="04C448C5" w:rsidR="001713AA" w:rsidRDefault="001713AA" w:rsidP="00C90ED4">
            <w:pPr>
              <w:jc w:val="center"/>
            </w:pPr>
            <w:r>
              <w:t>2</w:t>
            </w:r>
          </w:p>
        </w:tc>
        <w:tc>
          <w:tcPr>
            <w:tcW w:w="2337" w:type="dxa"/>
          </w:tcPr>
          <w:p w14:paraId="64E0C215" w14:textId="4ECF528A" w:rsidR="001713AA" w:rsidRDefault="001713AA" w:rsidP="00C90ED4">
            <w:pPr>
              <w:jc w:val="center"/>
            </w:pPr>
            <w:r>
              <w:t>11%</w:t>
            </w:r>
          </w:p>
        </w:tc>
      </w:tr>
      <w:tr w:rsidR="001713AA" w14:paraId="283C11DA" w14:textId="1D82908C" w:rsidTr="003B48CF">
        <w:trPr>
          <w:jc w:val="center"/>
        </w:trPr>
        <w:tc>
          <w:tcPr>
            <w:tcW w:w="2337" w:type="dxa"/>
          </w:tcPr>
          <w:p w14:paraId="3D21E92A" w14:textId="4D570627" w:rsidR="001713AA" w:rsidRDefault="001713AA" w:rsidP="00C90ED4">
            <w:pPr>
              <w:jc w:val="center"/>
            </w:pPr>
            <w:r>
              <w:t>Developer/IT</w:t>
            </w:r>
          </w:p>
        </w:tc>
        <w:tc>
          <w:tcPr>
            <w:tcW w:w="2337" w:type="dxa"/>
          </w:tcPr>
          <w:p w14:paraId="58FACA9F" w14:textId="1E93F7D6" w:rsidR="001713AA" w:rsidRDefault="001713AA" w:rsidP="00C90ED4">
            <w:pPr>
              <w:keepNext/>
              <w:jc w:val="center"/>
            </w:pPr>
            <w:r>
              <w:t>1</w:t>
            </w:r>
          </w:p>
        </w:tc>
        <w:tc>
          <w:tcPr>
            <w:tcW w:w="2337" w:type="dxa"/>
          </w:tcPr>
          <w:p w14:paraId="34F01A6F" w14:textId="0FAA2466" w:rsidR="001713AA" w:rsidRDefault="001713AA" w:rsidP="00C90ED4">
            <w:pPr>
              <w:keepNext/>
              <w:jc w:val="center"/>
            </w:pPr>
            <w:r>
              <w:t>5%</w:t>
            </w:r>
          </w:p>
        </w:tc>
      </w:tr>
    </w:tbl>
    <w:p w14:paraId="0EA15319" w14:textId="2F08DFB3" w:rsidR="007E7698" w:rsidRDefault="007E7698" w:rsidP="007E7698">
      <w:pPr>
        <w:pStyle w:val="Caption"/>
        <w:jc w:val="center"/>
        <w:rPr>
          <w:i w:val="0"/>
          <w:iCs w:val="0"/>
          <w:color w:val="auto"/>
        </w:rPr>
      </w:pPr>
      <w:bookmarkStart w:id="4" w:name="_Ref230939531"/>
      <w:r w:rsidRPr="00CD69CB">
        <w:rPr>
          <w:i w:val="0"/>
          <w:iCs w:val="0"/>
          <w:color w:val="auto"/>
        </w:rPr>
        <w:t xml:space="preserve">Table </w:t>
      </w:r>
      <w:r w:rsidR="00494A08">
        <w:rPr>
          <w:i w:val="0"/>
          <w:iCs w:val="0"/>
          <w:color w:val="auto"/>
        </w:rPr>
        <w:fldChar w:fldCharType="begin"/>
      </w:r>
      <w:r w:rsidR="00494A08">
        <w:rPr>
          <w:i w:val="0"/>
          <w:iCs w:val="0"/>
          <w:color w:val="auto"/>
        </w:rPr>
        <w:instrText xml:space="preserve"> SEQ Table \* ARABIC </w:instrText>
      </w:r>
      <w:r w:rsidR="00494A08">
        <w:rPr>
          <w:i w:val="0"/>
          <w:iCs w:val="0"/>
          <w:color w:val="auto"/>
        </w:rPr>
        <w:fldChar w:fldCharType="separate"/>
      </w:r>
      <w:r w:rsidR="00494A08">
        <w:rPr>
          <w:i w:val="0"/>
          <w:iCs w:val="0"/>
          <w:noProof/>
          <w:color w:val="auto"/>
        </w:rPr>
        <w:t>1</w:t>
      </w:r>
      <w:r w:rsidR="00494A08">
        <w:rPr>
          <w:i w:val="0"/>
          <w:iCs w:val="0"/>
          <w:color w:val="auto"/>
        </w:rPr>
        <w:fldChar w:fldCharType="end"/>
      </w:r>
      <w:bookmarkEnd w:id="4"/>
      <w:r w:rsidRPr="00CD69CB">
        <w:rPr>
          <w:i w:val="0"/>
          <w:iCs w:val="0"/>
          <w:color w:val="auto"/>
        </w:rPr>
        <w:t>. Professional Role Mix of Delphi Panel</w:t>
      </w:r>
      <w:r w:rsidR="001713AA" w:rsidRPr="00CD69CB">
        <w:rPr>
          <w:i w:val="0"/>
          <w:iCs w:val="0"/>
          <w:color w:val="auto"/>
          <w:vertAlign w:val="superscript"/>
        </w:rPr>
        <w:footnoteReference w:id="5"/>
      </w:r>
    </w:p>
    <w:p w14:paraId="436D100C" w14:textId="448CA2A9" w:rsidR="00C26B71" w:rsidRDefault="00C226E8" w:rsidP="006059CA">
      <w:r>
        <w:t xml:space="preserve">In addition to a varied representational mix of professional market monitors, the Delphi participants also varied in their “length of tenure” at a market monitoring position. </w:t>
      </w:r>
      <w:r>
        <w:fldChar w:fldCharType="begin"/>
      </w:r>
      <w:r>
        <w:instrText xml:space="preserve"> REF _Ref232862163 \h </w:instrText>
      </w:r>
      <w:r>
        <w:fldChar w:fldCharType="separate"/>
      </w:r>
      <w:r w:rsidRPr="006059CA">
        <w:t>Table 2</w:t>
      </w:r>
      <w:r>
        <w:fldChar w:fldCharType="end"/>
      </w:r>
      <w:r>
        <w:t xml:space="preserve"> identifies the tenure ranges of the participants. Panelists ranged in experience from fresh analysts (0-2 years, 16% of the initial panel) to a full career in energy market monitoring (greater than 20 years of experience, 11% of the initial panel). This panelist cross-section helps to ensure that the requirements developed for the DSL are applicable to a wider range of users.</w:t>
      </w:r>
    </w:p>
    <w:tbl>
      <w:tblPr>
        <w:tblStyle w:val="TableGrid"/>
        <w:tblW w:w="0" w:type="auto"/>
        <w:tblInd w:w="1165" w:type="dxa"/>
        <w:tblLook w:val="04A0" w:firstRow="1" w:lastRow="0" w:firstColumn="1" w:lastColumn="0" w:noHBand="0" w:noVBand="1"/>
      </w:tblPr>
      <w:tblGrid>
        <w:gridCol w:w="2340"/>
        <w:gridCol w:w="2340"/>
        <w:gridCol w:w="2320"/>
      </w:tblGrid>
      <w:tr w:rsidR="001713AA" w14:paraId="6BFD1273" w14:textId="77777777" w:rsidTr="00B14489">
        <w:trPr>
          <w:trHeight w:val="241"/>
        </w:trPr>
        <w:tc>
          <w:tcPr>
            <w:tcW w:w="2340" w:type="dxa"/>
          </w:tcPr>
          <w:p w14:paraId="19806DC0" w14:textId="54A98CB9" w:rsidR="001713AA" w:rsidRPr="00B14489" w:rsidRDefault="001713AA" w:rsidP="006834BA">
            <w:pPr>
              <w:jc w:val="center"/>
              <w:rPr>
                <w:b/>
                <w:bCs/>
              </w:rPr>
            </w:pPr>
            <w:r w:rsidRPr="00B14489">
              <w:rPr>
                <w:b/>
                <w:bCs/>
              </w:rPr>
              <w:t>Tenure Range</w:t>
            </w:r>
          </w:p>
        </w:tc>
        <w:tc>
          <w:tcPr>
            <w:tcW w:w="2340" w:type="dxa"/>
          </w:tcPr>
          <w:p w14:paraId="6EFF1D2A" w14:textId="19441DF3" w:rsidR="001713AA" w:rsidRPr="00B14489" w:rsidRDefault="001713AA" w:rsidP="006834BA">
            <w:pPr>
              <w:jc w:val="center"/>
              <w:rPr>
                <w:b/>
                <w:bCs/>
              </w:rPr>
            </w:pPr>
            <w:r w:rsidRPr="00B14489">
              <w:rPr>
                <w:b/>
                <w:bCs/>
              </w:rPr>
              <w:t>Participant Count</w:t>
            </w:r>
          </w:p>
        </w:tc>
        <w:tc>
          <w:tcPr>
            <w:tcW w:w="2320" w:type="dxa"/>
          </w:tcPr>
          <w:p w14:paraId="4C0EB9DC" w14:textId="51CE8BCA" w:rsidR="001713AA" w:rsidRPr="00B14489" w:rsidRDefault="001713AA" w:rsidP="006834BA">
            <w:pPr>
              <w:jc w:val="center"/>
              <w:rPr>
                <w:b/>
                <w:bCs/>
              </w:rPr>
            </w:pPr>
            <w:r w:rsidRPr="00B14489">
              <w:rPr>
                <w:b/>
                <w:bCs/>
              </w:rPr>
              <w:t>Percentage (%)</w:t>
            </w:r>
          </w:p>
        </w:tc>
      </w:tr>
      <w:tr w:rsidR="00B14489" w14:paraId="798B09E6" w14:textId="77777777" w:rsidTr="00B14489">
        <w:trPr>
          <w:trHeight w:val="260"/>
        </w:trPr>
        <w:tc>
          <w:tcPr>
            <w:tcW w:w="2340" w:type="dxa"/>
          </w:tcPr>
          <w:p w14:paraId="1D5921C7" w14:textId="567B58FC" w:rsidR="00B14489" w:rsidRDefault="002D08FC" w:rsidP="006834BA">
            <w:pPr>
              <w:jc w:val="center"/>
            </w:pPr>
            <w:r>
              <w:t>0-2 years</w:t>
            </w:r>
          </w:p>
        </w:tc>
        <w:tc>
          <w:tcPr>
            <w:tcW w:w="2340" w:type="dxa"/>
          </w:tcPr>
          <w:p w14:paraId="7F719665" w14:textId="55118D4B" w:rsidR="00B14489" w:rsidRDefault="002D08FC" w:rsidP="006834BA">
            <w:pPr>
              <w:jc w:val="center"/>
            </w:pPr>
            <w:r>
              <w:t>3</w:t>
            </w:r>
          </w:p>
        </w:tc>
        <w:tc>
          <w:tcPr>
            <w:tcW w:w="2320" w:type="dxa"/>
          </w:tcPr>
          <w:p w14:paraId="43A3AF5B" w14:textId="3D34A41C" w:rsidR="00B14489" w:rsidRDefault="002D08FC" w:rsidP="006834BA">
            <w:pPr>
              <w:jc w:val="center"/>
            </w:pPr>
            <w:r>
              <w:t>16%</w:t>
            </w:r>
          </w:p>
        </w:tc>
      </w:tr>
      <w:tr w:rsidR="002D08FC" w14:paraId="4914277A" w14:textId="77777777" w:rsidTr="00B14489">
        <w:trPr>
          <w:trHeight w:val="260"/>
        </w:trPr>
        <w:tc>
          <w:tcPr>
            <w:tcW w:w="2340" w:type="dxa"/>
          </w:tcPr>
          <w:p w14:paraId="2764D8F4" w14:textId="72394C8B" w:rsidR="002D08FC" w:rsidRDefault="002D08FC" w:rsidP="006834BA">
            <w:pPr>
              <w:jc w:val="center"/>
            </w:pPr>
            <w:r>
              <w:t>5-10 years</w:t>
            </w:r>
          </w:p>
        </w:tc>
        <w:tc>
          <w:tcPr>
            <w:tcW w:w="2340" w:type="dxa"/>
          </w:tcPr>
          <w:p w14:paraId="62E3DF08" w14:textId="1B3A744C" w:rsidR="002D08FC" w:rsidRDefault="002D08FC" w:rsidP="006834BA">
            <w:pPr>
              <w:jc w:val="center"/>
            </w:pPr>
            <w:r>
              <w:t>6</w:t>
            </w:r>
          </w:p>
        </w:tc>
        <w:tc>
          <w:tcPr>
            <w:tcW w:w="2320" w:type="dxa"/>
          </w:tcPr>
          <w:p w14:paraId="5AF0204E" w14:textId="5A7BBAB8" w:rsidR="002D08FC" w:rsidRDefault="002D08FC" w:rsidP="006834BA">
            <w:pPr>
              <w:jc w:val="center"/>
            </w:pPr>
            <w:r>
              <w:t>32%</w:t>
            </w:r>
          </w:p>
        </w:tc>
      </w:tr>
      <w:tr w:rsidR="002D08FC" w14:paraId="5D59EA06" w14:textId="77777777" w:rsidTr="00B14489">
        <w:trPr>
          <w:trHeight w:val="260"/>
        </w:trPr>
        <w:tc>
          <w:tcPr>
            <w:tcW w:w="2340" w:type="dxa"/>
          </w:tcPr>
          <w:p w14:paraId="3107D58E" w14:textId="351F0F00" w:rsidR="002D08FC" w:rsidRDefault="002D08FC" w:rsidP="006834BA">
            <w:pPr>
              <w:jc w:val="center"/>
            </w:pPr>
            <w:r>
              <w:t>10-15 years</w:t>
            </w:r>
          </w:p>
        </w:tc>
        <w:tc>
          <w:tcPr>
            <w:tcW w:w="2340" w:type="dxa"/>
          </w:tcPr>
          <w:p w14:paraId="14987038" w14:textId="038F4F51" w:rsidR="002D08FC" w:rsidRDefault="002D08FC" w:rsidP="006834BA">
            <w:pPr>
              <w:jc w:val="center"/>
            </w:pPr>
            <w:r>
              <w:t>7</w:t>
            </w:r>
          </w:p>
        </w:tc>
        <w:tc>
          <w:tcPr>
            <w:tcW w:w="2320" w:type="dxa"/>
          </w:tcPr>
          <w:p w14:paraId="3715E0B2" w14:textId="320D0A7E" w:rsidR="002D08FC" w:rsidRDefault="002D08FC" w:rsidP="006834BA">
            <w:pPr>
              <w:jc w:val="center"/>
            </w:pPr>
            <w:r>
              <w:t>37%</w:t>
            </w:r>
          </w:p>
        </w:tc>
      </w:tr>
      <w:tr w:rsidR="002D08FC" w14:paraId="36A05D4C" w14:textId="77777777" w:rsidTr="00B14489">
        <w:trPr>
          <w:trHeight w:val="260"/>
        </w:trPr>
        <w:tc>
          <w:tcPr>
            <w:tcW w:w="2340" w:type="dxa"/>
          </w:tcPr>
          <w:p w14:paraId="64ED1E81" w14:textId="396EA0D4" w:rsidR="002D08FC" w:rsidRDefault="002D08FC" w:rsidP="006834BA">
            <w:pPr>
              <w:jc w:val="center"/>
            </w:pPr>
            <w:r>
              <w:t>15-20 years</w:t>
            </w:r>
          </w:p>
        </w:tc>
        <w:tc>
          <w:tcPr>
            <w:tcW w:w="2340" w:type="dxa"/>
          </w:tcPr>
          <w:p w14:paraId="77B81EF7" w14:textId="641CC140" w:rsidR="002D08FC" w:rsidRDefault="002D08FC" w:rsidP="006834BA">
            <w:pPr>
              <w:jc w:val="center"/>
            </w:pPr>
            <w:r>
              <w:t>1</w:t>
            </w:r>
          </w:p>
        </w:tc>
        <w:tc>
          <w:tcPr>
            <w:tcW w:w="2320" w:type="dxa"/>
          </w:tcPr>
          <w:p w14:paraId="6D88DD58" w14:textId="1E805254" w:rsidR="002D08FC" w:rsidRDefault="002D08FC" w:rsidP="006834BA">
            <w:pPr>
              <w:jc w:val="center"/>
            </w:pPr>
            <w:r>
              <w:t>5%</w:t>
            </w:r>
          </w:p>
        </w:tc>
      </w:tr>
      <w:tr w:rsidR="002D08FC" w14:paraId="379C1CD3" w14:textId="77777777" w:rsidTr="00B14489">
        <w:trPr>
          <w:trHeight w:val="260"/>
        </w:trPr>
        <w:tc>
          <w:tcPr>
            <w:tcW w:w="2340" w:type="dxa"/>
          </w:tcPr>
          <w:p w14:paraId="5C12A093" w14:textId="6971B711" w:rsidR="002D08FC" w:rsidRDefault="002D08FC" w:rsidP="006834BA">
            <w:r>
              <w:t>Greater than 20 years</w:t>
            </w:r>
          </w:p>
        </w:tc>
        <w:tc>
          <w:tcPr>
            <w:tcW w:w="2340" w:type="dxa"/>
          </w:tcPr>
          <w:p w14:paraId="51A707E9" w14:textId="4A89086D" w:rsidR="002D08FC" w:rsidRDefault="002D08FC" w:rsidP="006834BA">
            <w:pPr>
              <w:jc w:val="center"/>
            </w:pPr>
            <w:r>
              <w:t>2</w:t>
            </w:r>
          </w:p>
        </w:tc>
        <w:tc>
          <w:tcPr>
            <w:tcW w:w="2320" w:type="dxa"/>
          </w:tcPr>
          <w:p w14:paraId="0FE74DB0" w14:textId="27BD8B56" w:rsidR="002D08FC" w:rsidRDefault="002D08FC" w:rsidP="006834BA">
            <w:pPr>
              <w:keepNext/>
              <w:jc w:val="center"/>
            </w:pPr>
            <w:r>
              <w:t>11%</w:t>
            </w:r>
          </w:p>
        </w:tc>
      </w:tr>
    </w:tbl>
    <w:p w14:paraId="208606FD" w14:textId="21FBF002" w:rsidR="006059CA" w:rsidRDefault="006059CA" w:rsidP="006059CA">
      <w:pPr>
        <w:pStyle w:val="Caption"/>
        <w:jc w:val="center"/>
        <w:rPr>
          <w:i w:val="0"/>
          <w:iCs w:val="0"/>
          <w:color w:val="auto"/>
        </w:rPr>
      </w:pPr>
      <w:bookmarkStart w:id="5" w:name="_heading=h.xw4c9cml9ir2" w:colFirst="0" w:colLast="0"/>
      <w:bookmarkStart w:id="6" w:name="_Ref232862163"/>
      <w:bookmarkEnd w:id="5"/>
      <w:r w:rsidRPr="006059CA">
        <w:rPr>
          <w:i w:val="0"/>
          <w:iCs w:val="0"/>
          <w:color w:val="auto"/>
        </w:rPr>
        <w:t xml:space="preserve">Table </w:t>
      </w:r>
      <w:r w:rsidR="00494A08">
        <w:rPr>
          <w:i w:val="0"/>
          <w:iCs w:val="0"/>
          <w:color w:val="auto"/>
        </w:rPr>
        <w:fldChar w:fldCharType="begin"/>
      </w:r>
      <w:r w:rsidR="00494A08">
        <w:rPr>
          <w:i w:val="0"/>
          <w:iCs w:val="0"/>
          <w:color w:val="auto"/>
        </w:rPr>
        <w:instrText xml:space="preserve"> SEQ Table \* ARABIC </w:instrText>
      </w:r>
      <w:r w:rsidR="00494A08">
        <w:rPr>
          <w:i w:val="0"/>
          <w:iCs w:val="0"/>
          <w:color w:val="auto"/>
        </w:rPr>
        <w:fldChar w:fldCharType="separate"/>
      </w:r>
      <w:r w:rsidR="00494A08">
        <w:rPr>
          <w:i w:val="0"/>
          <w:iCs w:val="0"/>
          <w:noProof/>
          <w:color w:val="auto"/>
        </w:rPr>
        <w:t>2</w:t>
      </w:r>
      <w:r w:rsidR="00494A08">
        <w:rPr>
          <w:i w:val="0"/>
          <w:iCs w:val="0"/>
          <w:color w:val="auto"/>
        </w:rPr>
        <w:fldChar w:fldCharType="end"/>
      </w:r>
      <w:bookmarkEnd w:id="6"/>
      <w:r w:rsidRPr="006059CA">
        <w:rPr>
          <w:i w:val="0"/>
          <w:iCs w:val="0"/>
          <w:color w:val="auto"/>
        </w:rPr>
        <w:t>. Tenure range of Delphi Panel</w:t>
      </w:r>
    </w:p>
    <w:p w14:paraId="32909F67" w14:textId="646081AC" w:rsidR="00AD193D" w:rsidRDefault="00AD193D" w:rsidP="00AD193D">
      <w:pPr>
        <w:pStyle w:val="Heading3"/>
      </w:pPr>
      <w:r>
        <w:t>Thematic Coding</w:t>
      </w:r>
    </w:p>
    <w:p w14:paraId="40FDB354" w14:textId="607FEB6E" w:rsidR="00AD193D" w:rsidRDefault="00AD193D" w:rsidP="00AD193D">
      <w:r>
        <w:t xml:space="preserve">Of the questions posed during the Delphi study, the following are most applicable to determining the features of the language: </w:t>
      </w:r>
    </w:p>
    <w:p w14:paraId="5A3D442F" w14:textId="375E017D" w:rsidR="00AD193D" w:rsidRDefault="00FA5E8B" w:rsidP="00AD193D">
      <w:pPr>
        <w:pStyle w:val="ListParagraph"/>
        <w:numPr>
          <w:ilvl w:val="0"/>
          <w:numId w:val="17"/>
        </w:numPr>
      </w:pPr>
      <w:r w:rsidRPr="00FA5E8B">
        <w:rPr>
          <w:u w:val="single"/>
        </w:rPr>
        <w:t>Q5:</w:t>
      </w:r>
      <w:r>
        <w:t xml:space="preserve"> </w:t>
      </w:r>
      <w:r w:rsidR="00670EED">
        <w:t>“</w:t>
      </w:r>
      <w:r w:rsidR="00927928">
        <w:t>What are the primary data challenges that you face in market monitoring?</w:t>
      </w:r>
      <w:r w:rsidR="00670EED">
        <w:t>”</w:t>
      </w:r>
    </w:p>
    <w:p w14:paraId="2AA78078" w14:textId="187CCCC0" w:rsidR="00ED55FF" w:rsidRDefault="00FA5E8B" w:rsidP="00AD193D">
      <w:pPr>
        <w:pStyle w:val="ListParagraph"/>
        <w:numPr>
          <w:ilvl w:val="0"/>
          <w:numId w:val="17"/>
        </w:numPr>
      </w:pPr>
      <w:r w:rsidRPr="00FA5E8B">
        <w:rPr>
          <w:u w:val="single"/>
        </w:rPr>
        <w:t>Q7:</w:t>
      </w:r>
      <w:r>
        <w:t xml:space="preserve"> </w:t>
      </w:r>
      <w:r w:rsidR="00670EED">
        <w:t>“</w:t>
      </w:r>
      <w:r w:rsidR="00ED55FF">
        <w:t>Explain the data sources that you read from and write to in the course of your normal work</w:t>
      </w:r>
      <w:r w:rsidR="00670EED">
        <w:t>.”</w:t>
      </w:r>
    </w:p>
    <w:p w14:paraId="02891E04" w14:textId="31C510D7" w:rsidR="000E0BDC" w:rsidRDefault="00FA5E8B" w:rsidP="00AD193D">
      <w:pPr>
        <w:pStyle w:val="ListParagraph"/>
        <w:numPr>
          <w:ilvl w:val="0"/>
          <w:numId w:val="17"/>
        </w:numPr>
      </w:pPr>
      <w:r w:rsidRPr="00FA5E8B">
        <w:rPr>
          <w:u w:val="single"/>
        </w:rPr>
        <w:t>Q41:</w:t>
      </w:r>
      <w:r>
        <w:t xml:space="preserve"> </w:t>
      </w:r>
      <w:r w:rsidR="00670EED">
        <w:t>“</w:t>
      </w:r>
      <w:r w:rsidR="000E0BDC">
        <w:t>If you had a set of commands at your disposal that could perform often tedious tasks that you have to do in your role, what commands would you want?</w:t>
      </w:r>
      <w:r w:rsidR="00670EED">
        <w:t>”</w:t>
      </w:r>
    </w:p>
    <w:p w14:paraId="7B00C4FE" w14:textId="3D6FF4CF" w:rsidR="00670EED" w:rsidRDefault="00670EED" w:rsidP="00670EED">
      <w:r>
        <w:t xml:space="preserve">The participant responses were processed using </w:t>
      </w:r>
      <w:r>
        <w:rPr>
          <w:i/>
          <w:iCs/>
        </w:rPr>
        <w:t xml:space="preserve">thematic coding </w:t>
      </w:r>
      <w:r>
        <w:t>to identify the common data needs across the market monitoring discipline. The researchers analyzed individual responses for each question (49 total responses for the three questions discussed in this paper) and assigned initial codes</w:t>
      </w:r>
      <w:r>
        <w:rPr>
          <w:rStyle w:val="FootnoteReference"/>
        </w:rPr>
        <w:footnoteReference w:id="6"/>
      </w:r>
      <w:r>
        <w:t xml:space="preserve"> to each response. The initial codes were then grouped into overarching themes, from which the language requirements are derived.</w:t>
      </w:r>
      <w:r w:rsidR="005F3580">
        <w:t xml:space="preserve"> </w:t>
      </w:r>
      <w:r w:rsidR="00E25AE7">
        <w:fldChar w:fldCharType="begin"/>
      </w:r>
      <w:r w:rsidR="00E25AE7">
        <w:instrText xml:space="preserve"> REF _Ref233894644 \h  \* MERGEFORMAT </w:instrText>
      </w:r>
      <w:r w:rsidR="00E25AE7">
        <w:fldChar w:fldCharType="separate"/>
      </w:r>
      <w:r w:rsidR="00E25AE7" w:rsidRPr="00E25AE7">
        <w:t>Table 3</w:t>
      </w:r>
      <w:r w:rsidR="00E25AE7">
        <w:fldChar w:fldCharType="end"/>
      </w:r>
      <w:r w:rsidR="00E25AE7">
        <w:t xml:space="preserve">, </w:t>
      </w:r>
      <w:r w:rsidR="00E25AE7">
        <w:fldChar w:fldCharType="begin"/>
      </w:r>
      <w:r w:rsidR="00E25AE7">
        <w:instrText xml:space="preserve"> REF _Ref233894664 \h  \* MERGEFORMAT </w:instrText>
      </w:r>
      <w:r w:rsidR="00E25AE7">
        <w:fldChar w:fldCharType="separate"/>
      </w:r>
      <w:r w:rsidR="00E25AE7" w:rsidRPr="00E25AE7">
        <w:t>Table 4</w:t>
      </w:r>
      <w:r w:rsidR="00E25AE7">
        <w:fldChar w:fldCharType="end"/>
      </w:r>
      <w:r w:rsidR="00E25AE7">
        <w:t xml:space="preserve">, and </w:t>
      </w:r>
      <w:r w:rsidR="00E25AE7">
        <w:fldChar w:fldCharType="begin"/>
      </w:r>
      <w:r w:rsidR="00E25AE7">
        <w:instrText xml:space="preserve"> REF _Ref233894691 \h  \* MERGEFORMAT </w:instrText>
      </w:r>
      <w:r w:rsidR="00E25AE7">
        <w:fldChar w:fldCharType="separate"/>
      </w:r>
      <w:r w:rsidR="00E25AE7" w:rsidRPr="00E25AE7">
        <w:t>Table 5</w:t>
      </w:r>
      <w:r w:rsidR="00E25AE7">
        <w:fldChar w:fldCharType="end"/>
      </w:r>
      <w:r w:rsidR="00E25AE7">
        <w:t xml:space="preserve"> </w:t>
      </w:r>
      <w:r w:rsidR="005F3580">
        <w:t>show the final themes identified in each question, including the mention frequency from the participants</w:t>
      </w:r>
      <w:r w:rsidR="00556BEE">
        <w:t>, for Delphi study questions 5, 7, and 41, respectively</w:t>
      </w:r>
      <w:r w:rsidR="005F3580">
        <w:t xml:space="preserve">. </w:t>
      </w:r>
    </w:p>
    <w:tbl>
      <w:tblPr>
        <w:tblStyle w:val="TableGrid"/>
        <w:tblW w:w="0" w:type="auto"/>
        <w:jc w:val="center"/>
        <w:tblLook w:val="04A0" w:firstRow="1" w:lastRow="0" w:firstColumn="1" w:lastColumn="0" w:noHBand="0" w:noVBand="1"/>
      </w:tblPr>
      <w:tblGrid>
        <w:gridCol w:w="4495"/>
        <w:gridCol w:w="2165"/>
      </w:tblGrid>
      <w:tr w:rsidR="00B320A9" w14:paraId="1C792CB9" w14:textId="77777777" w:rsidTr="00B320A9">
        <w:trPr>
          <w:jc w:val="center"/>
        </w:trPr>
        <w:tc>
          <w:tcPr>
            <w:tcW w:w="4495" w:type="dxa"/>
          </w:tcPr>
          <w:p w14:paraId="59610190" w14:textId="4719ABF6" w:rsidR="00B320A9" w:rsidRPr="00B320A9" w:rsidRDefault="00B320A9" w:rsidP="00B320A9">
            <w:pPr>
              <w:jc w:val="center"/>
              <w:rPr>
                <w:b/>
                <w:bCs/>
              </w:rPr>
            </w:pPr>
            <w:r w:rsidRPr="00B320A9">
              <w:rPr>
                <w:b/>
                <w:bCs/>
              </w:rPr>
              <w:t>Theme</w:t>
            </w:r>
          </w:p>
        </w:tc>
        <w:tc>
          <w:tcPr>
            <w:tcW w:w="2165" w:type="dxa"/>
          </w:tcPr>
          <w:p w14:paraId="7985C8E7" w14:textId="36B261A8" w:rsidR="00B320A9" w:rsidRPr="00B320A9" w:rsidRDefault="00B320A9" w:rsidP="00B320A9">
            <w:pPr>
              <w:jc w:val="center"/>
              <w:rPr>
                <w:b/>
                <w:bCs/>
              </w:rPr>
            </w:pPr>
            <w:r>
              <w:rPr>
                <w:b/>
                <w:bCs/>
              </w:rPr>
              <w:t>Number of Mentions</w:t>
            </w:r>
          </w:p>
        </w:tc>
      </w:tr>
      <w:tr w:rsidR="00B320A9" w14:paraId="0C19D52B" w14:textId="77777777" w:rsidTr="00B320A9">
        <w:trPr>
          <w:jc w:val="center"/>
        </w:trPr>
        <w:tc>
          <w:tcPr>
            <w:tcW w:w="4495" w:type="dxa"/>
          </w:tcPr>
          <w:p w14:paraId="5DD8C67A" w14:textId="03F98DD1" w:rsidR="00B320A9" w:rsidRDefault="00B320A9" w:rsidP="00B320A9">
            <w:pPr>
              <w:jc w:val="center"/>
            </w:pPr>
            <w:r>
              <w:t>Data Quality and Literacy</w:t>
            </w:r>
          </w:p>
        </w:tc>
        <w:tc>
          <w:tcPr>
            <w:tcW w:w="2165" w:type="dxa"/>
          </w:tcPr>
          <w:p w14:paraId="60432CC8" w14:textId="254B39F4" w:rsidR="00B320A9" w:rsidRDefault="00B320A9" w:rsidP="00B320A9">
            <w:pPr>
              <w:jc w:val="center"/>
            </w:pPr>
            <w:r>
              <w:t>6</w:t>
            </w:r>
          </w:p>
        </w:tc>
      </w:tr>
      <w:tr w:rsidR="00B320A9" w14:paraId="04D29D9F" w14:textId="77777777" w:rsidTr="00B320A9">
        <w:trPr>
          <w:jc w:val="center"/>
        </w:trPr>
        <w:tc>
          <w:tcPr>
            <w:tcW w:w="4495" w:type="dxa"/>
          </w:tcPr>
          <w:p w14:paraId="6FB570C6" w14:textId="792CD5B6" w:rsidR="00B320A9" w:rsidRDefault="00B320A9" w:rsidP="00B320A9">
            <w:pPr>
              <w:jc w:val="center"/>
            </w:pPr>
            <w:r>
              <w:t>Data Integration</w:t>
            </w:r>
          </w:p>
        </w:tc>
        <w:tc>
          <w:tcPr>
            <w:tcW w:w="2165" w:type="dxa"/>
          </w:tcPr>
          <w:p w14:paraId="1EB44548" w14:textId="002CEC3C" w:rsidR="00B320A9" w:rsidRDefault="00B320A9" w:rsidP="00B320A9">
            <w:pPr>
              <w:jc w:val="center"/>
            </w:pPr>
            <w:r>
              <w:t>4</w:t>
            </w:r>
          </w:p>
        </w:tc>
      </w:tr>
      <w:tr w:rsidR="00B320A9" w14:paraId="28DD3D52" w14:textId="77777777" w:rsidTr="00B320A9">
        <w:trPr>
          <w:jc w:val="center"/>
        </w:trPr>
        <w:tc>
          <w:tcPr>
            <w:tcW w:w="4495" w:type="dxa"/>
          </w:tcPr>
          <w:p w14:paraId="1EF594A9" w14:textId="6ACF44A6" w:rsidR="00B320A9" w:rsidRDefault="00B320A9" w:rsidP="00B320A9">
            <w:pPr>
              <w:jc w:val="center"/>
            </w:pPr>
            <w:r>
              <w:lastRenderedPageBreak/>
              <w:t>Data Volume and Scalability</w:t>
            </w:r>
          </w:p>
        </w:tc>
        <w:tc>
          <w:tcPr>
            <w:tcW w:w="2165" w:type="dxa"/>
          </w:tcPr>
          <w:p w14:paraId="4E54DE34" w14:textId="51FAF9B7" w:rsidR="00B320A9" w:rsidRDefault="00B320A9" w:rsidP="00B320A9">
            <w:pPr>
              <w:jc w:val="center"/>
            </w:pPr>
            <w:r>
              <w:t>4</w:t>
            </w:r>
          </w:p>
        </w:tc>
      </w:tr>
      <w:tr w:rsidR="00B320A9" w14:paraId="24B87713" w14:textId="77777777" w:rsidTr="00B320A9">
        <w:trPr>
          <w:jc w:val="center"/>
        </w:trPr>
        <w:tc>
          <w:tcPr>
            <w:tcW w:w="4495" w:type="dxa"/>
          </w:tcPr>
          <w:p w14:paraId="5987BD65" w14:textId="4461B4E4" w:rsidR="00B320A9" w:rsidRDefault="00B320A9" w:rsidP="00B320A9">
            <w:pPr>
              <w:jc w:val="center"/>
            </w:pPr>
            <w:r>
              <w:t>Metadata, Discovery, and Documentation</w:t>
            </w:r>
          </w:p>
        </w:tc>
        <w:tc>
          <w:tcPr>
            <w:tcW w:w="2165" w:type="dxa"/>
          </w:tcPr>
          <w:p w14:paraId="4779BF9B" w14:textId="244AC48A" w:rsidR="00B320A9" w:rsidRDefault="00B320A9" w:rsidP="00B320A9">
            <w:pPr>
              <w:jc w:val="center"/>
            </w:pPr>
            <w:r>
              <w:t>4</w:t>
            </w:r>
          </w:p>
        </w:tc>
      </w:tr>
      <w:tr w:rsidR="00B320A9" w14:paraId="2E7E27D2" w14:textId="77777777" w:rsidTr="00B320A9">
        <w:trPr>
          <w:jc w:val="center"/>
        </w:trPr>
        <w:tc>
          <w:tcPr>
            <w:tcW w:w="4495" w:type="dxa"/>
          </w:tcPr>
          <w:p w14:paraId="23F8C679" w14:textId="32FAF02E" w:rsidR="00B320A9" w:rsidRDefault="00B320A9" w:rsidP="00B320A9">
            <w:pPr>
              <w:jc w:val="center"/>
            </w:pPr>
            <w:r>
              <w:t>Infrastructure and Computing Resources</w:t>
            </w:r>
          </w:p>
        </w:tc>
        <w:tc>
          <w:tcPr>
            <w:tcW w:w="2165" w:type="dxa"/>
          </w:tcPr>
          <w:p w14:paraId="19E2D7D1" w14:textId="63629A8D" w:rsidR="00B320A9" w:rsidRDefault="00B320A9" w:rsidP="00B320A9">
            <w:pPr>
              <w:jc w:val="center"/>
            </w:pPr>
            <w:r>
              <w:t>2</w:t>
            </w:r>
          </w:p>
        </w:tc>
      </w:tr>
      <w:tr w:rsidR="00B320A9" w14:paraId="0F711703" w14:textId="77777777" w:rsidTr="00B320A9">
        <w:trPr>
          <w:jc w:val="center"/>
        </w:trPr>
        <w:tc>
          <w:tcPr>
            <w:tcW w:w="4495" w:type="dxa"/>
          </w:tcPr>
          <w:p w14:paraId="14F238BA" w14:textId="25A496A2" w:rsidR="00B320A9" w:rsidRDefault="00B320A9" w:rsidP="00B320A9">
            <w:pPr>
              <w:jc w:val="center"/>
            </w:pPr>
            <w:r>
              <w:t>Analytics Lifecycle Management</w:t>
            </w:r>
          </w:p>
        </w:tc>
        <w:tc>
          <w:tcPr>
            <w:tcW w:w="2165" w:type="dxa"/>
          </w:tcPr>
          <w:p w14:paraId="2B770114" w14:textId="403B7D24" w:rsidR="00B320A9" w:rsidRDefault="00B320A9" w:rsidP="00B320A9">
            <w:pPr>
              <w:jc w:val="center"/>
            </w:pPr>
            <w:r>
              <w:t>1</w:t>
            </w:r>
          </w:p>
        </w:tc>
      </w:tr>
      <w:tr w:rsidR="00B320A9" w14:paraId="44D7FF19" w14:textId="77777777" w:rsidTr="00B320A9">
        <w:trPr>
          <w:jc w:val="center"/>
        </w:trPr>
        <w:tc>
          <w:tcPr>
            <w:tcW w:w="4495" w:type="dxa"/>
          </w:tcPr>
          <w:p w14:paraId="1D28781D" w14:textId="15DA3226" w:rsidR="00B320A9" w:rsidRDefault="00B320A9" w:rsidP="00B320A9">
            <w:pPr>
              <w:jc w:val="center"/>
            </w:pPr>
            <w:r>
              <w:t>Visualization Creation and Reporting</w:t>
            </w:r>
          </w:p>
        </w:tc>
        <w:tc>
          <w:tcPr>
            <w:tcW w:w="2165" w:type="dxa"/>
          </w:tcPr>
          <w:p w14:paraId="3494A057" w14:textId="44F9BD69" w:rsidR="00B320A9" w:rsidRDefault="00B320A9" w:rsidP="00B320A9">
            <w:pPr>
              <w:jc w:val="center"/>
            </w:pPr>
            <w:r>
              <w:t>1</w:t>
            </w:r>
          </w:p>
        </w:tc>
      </w:tr>
      <w:tr w:rsidR="00B320A9" w14:paraId="10DAF4D4" w14:textId="77777777" w:rsidTr="00B320A9">
        <w:trPr>
          <w:jc w:val="center"/>
        </w:trPr>
        <w:tc>
          <w:tcPr>
            <w:tcW w:w="4495" w:type="dxa"/>
          </w:tcPr>
          <w:p w14:paraId="71C275CA" w14:textId="494D5478" w:rsidR="00B320A9" w:rsidRDefault="00B320A9" w:rsidP="00B320A9">
            <w:pPr>
              <w:jc w:val="center"/>
            </w:pPr>
            <w:r>
              <w:t>Data Governance</w:t>
            </w:r>
          </w:p>
        </w:tc>
        <w:tc>
          <w:tcPr>
            <w:tcW w:w="2165" w:type="dxa"/>
          </w:tcPr>
          <w:p w14:paraId="4C2DB739" w14:textId="3F67EEAD" w:rsidR="00B320A9" w:rsidRDefault="00B320A9" w:rsidP="00A028CF">
            <w:pPr>
              <w:keepNext/>
              <w:jc w:val="center"/>
            </w:pPr>
            <w:r>
              <w:t>1</w:t>
            </w:r>
          </w:p>
        </w:tc>
      </w:tr>
    </w:tbl>
    <w:p w14:paraId="6D9F8959" w14:textId="0793D553" w:rsidR="00556BEE" w:rsidRPr="00A028CF" w:rsidRDefault="00A028CF" w:rsidP="00A028CF">
      <w:pPr>
        <w:pStyle w:val="Caption"/>
        <w:jc w:val="center"/>
        <w:rPr>
          <w:i w:val="0"/>
          <w:iCs w:val="0"/>
          <w:color w:val="auto"/>
        </w:rPr>
      </w:pPr>
      <w:bookmarkStart w:id="7" w:name="_Ref233894644"/>
      <w:r w:rsidRPr="00A028CF">
        <w:rPr>
          <w:i w:val="0"/>
          <w:iCs w:val="0"/>
          <w:color w:val="auto"/>
        </w:rPr>
        <w:t xml:space="preserve">Table </w:t>
      </w:r>
      <w:r w:rsidR="00494A08">
        <w:rPr>
          <w:i w:val="0"/>
          <w:iCs w:val="0"/>
          <w:color w:val="auto"/>
        </w:rPr>
        <w:fldChar w:fldCharType="begin"/>
      </w:r>
      <w:r w:rsidR="00494A08">
        <w:rPr>
          <w:i w:val="0"/>
          <w:iCs w:val="0"/>
          <w:color w:val="auto"/>
        </w:rPr>
        <w:instrText xml:space="preserve"> SEQ Table \* ARABIC </w:instrText>
      </w:r>
      <w:r w:rsidR="00494A08">
        <w:rPr>
          <w:i w:val="0"/>
          <w:iCs w:val="0"/>
          <w:color w:val="auto"/>
        </w:rPr>
        <w:fldChar w:fldCharType="separate"/>
      </w:r>
      <w:r w:rsidR="00494A08">
        <w:rPr>
          <w:i w:val="0"/>
          <w:iCs w:val="0"/>
          <w:noProof/>
          <w:color w:val="auto"/>
        </w:rPr>
        <w:t>3</w:t>
      </w:r>
      <w:r w:rsidR="00494A08">
        <w:rPr>
          <w:i w:val="0"/>
          <w:iCs w:val="0"/>
          <w:color w:val="auto"/>
        </w:rPr>
        <w:fldChar w:fldCharType="end"/>
      </w:r>
      <w:bookmarkEnd w:id="7"/>
      <w:r>
        <w:rPr>
          <w:i w:val="0"/>
          <w:iCs w:val="0"/>
          <w:color w:val="auto"/>
        </w:rPr>
        <w:t xml:space="preserve">. </w:t>
      </w:r>
      <w:r w:rsidRPr="00A028CF">
        <w:rPr>
          <w:i w:val="0"/>
          <w:iCs w:val="0"/>
          <w:color w:val="auto"/>
        </w:rPr>
        <w:t>Coded Themes from Question 5</w:t>
      </w:r>
    </w:p>
    <w:tbl>
      <w:tblPr>
        <w:tblStyle w:val="TableGrid"/>
        <w:tblW w:w="0" w:type="auto"/>
        <w:jc w:val="center"/>
        <w:tblLook w:val="04A0" w:firstRow="1" w:lastRow="0" w:firstColumn="1" w:lastColumn="0" w:noHBand="0" w:noVBand="1"/>
      </w:tblPr>
      <w:tblGrid>
        <w:gridCol w:w="4495"/>
        <w:gridCol w:w="2165"/>
      </w:tblGrid>
      <w:tr w:rsidR="005B1A13" w14:paraId="52C792CB" w14:textId="77777777" w:rsidTr="005D43D7">
        <w:trPr>
          <w:jc w:val="center"/>
        </w:trPr>
        <w:tc>
          <w:tcPr>
            <w:tcW w:w="4495" w:type="dxa"/>
          </w:tcPr>
          <w:p w14:paraId="735BA6D9" w14:textId="77777777" w:rsidR="005B1A13" w:rsidRPr="00B320A9" w:rsidRDefault="005B1A13" w:rsidP="005D43D7">
            <w:pPr>
              <w:jc w:val="center"/>
              <w:rPr>
                <w:b/>
                <w:bCs/>
              </w:rPr>
            </w:pPr>
            <w:r w:rsidRPr="00B320A9">
              <w:rPr>
                <w:b/>
                <w:bCs/>
              </w:rPr>
              <w:t>Theme</w:t>
            </w:r>
          </w:p>
        </w:tc>
        <w:tc>
          <w:tcPr>
            <w:tcW w:w="2165" w:type="dxa"/>
          </w:tcPr>
          <w:p w14:paraId="1E1CD296" w14:textId="77777777" w:rsidR="005B1A13" w:rsidRPr="00B320A9" w:rsidRDefault="005B1A13" w:rsidP="005D43D7">
            <w:pPr>
              <w:jc w:val="center"/>
              <w:rPr>
                <w:b/>
                <w:bCs/>
              </w:rPr>
            </w:pPr>
            <w:r>
              <w:rPr>
                <w:b/>
                <w:bCs/>
              </w:rPr>
              <w:t>Number of Mentions</w:t>
            </w:r>
          </w:p>
        </w:tc>
      </w:tr>
      <w:tr w:rsidR="005B1A13" w14:paraId="0674B28D" w14:textId="77777777" w:rsidTr="005D43D7">
        <w:trPr>
          <w:jc w:val="center"/>
        </w:trPr>
        <w:tc>
          <w:tcPr>
            <w:tcW w:w="4495" w:type="dxa"/>
          </w:tcPr>
          <w:p w14:paraId="14397853" w14:textId="1178899E" w:rsidR="005B1A13" w:rsidRDefault="00CD7526" w:rsidP="005D43D7">
            <w:pPr>
              <w:jc w:val="center"/>
            </w:pPr>
            <w:r>
              <w:t>Database</w:t>
            </w:r>
          </w:p>
        </w:tc>
        <w:tc>
          <w:tcPr>
            <w:tcW w:w="2165" w:type="dxa"/>
          </w:tcPr>
          <w:p w14:paraId="7BC9C417" w14:textId="49093893" w:rsidR="005B1A13" w:rsidRDefault="00CD7526" w:rsidP="005D43D7">
            <w:pPr>
              <w:jc w:val="center"/>
            </w:pPr>
            <w:r>
              <w:t>15</w:t>
            </w:r>
          </w:p>
        </w:tc>
      </w:tr>
      <w:tr w:rsidR="00CD7526" w14:paraId="063CEE04" w14:textId="77777777" w:rsidTr="005D43D7">
        <w:trPr>
          <w:jc w:val="center"/>
        </w:trPr>
        <w:tc>
          <w:tcPr>
            <w:tcW w:w="4495" w:type="dxa"/>
          </w:tcPr>
          <w:p w14:paraId="5F36E8A9" w14:textId="325724B2" w:rsidR="00CD7526" w:rsidRDefault="00CD7526" w:rsidP="005D43D7">
            <w:pPr>
              <w:jc w:val="center"/>
            </w:pPr>
            <w:r>
              <w:t>CSV</w:t>
            </w:r>
          </w:p>
        </w:tc>
        <w:tc>
          <w:tcPr>
            <w:tcW w:w="2165" w:type="dxa"/>
          </w:tcPr>
          <w:p w14:paraId="588876A8" w14:textId="542784C6" w:rsidR="00CD7526" w:rsidRDefault="00CD7526" w:rsidP="005D43D7">
            <w:pPr>
              <w:jc w:val="center"/>
            </w:pPr>
            <w:r>
              <w:t>9</w:t>
            </w:r>
          </w:p>
        </w:tc>
      </w:tr>
      <w:tr w:rsidR="00CD7526" w14:paraId="1C52EF91" w14:textId="77777777" w:rsidTr="005D43D7">
        <w:trPr>
          <w:jc w:val="center"/>
        </w:trPr>
        <w:tc>
          <w:tcPr>
            <w:tcW w:w="4495" w:type="dxa"/>
          </w:tcPr>
          <w:p w14:paraId="13882D52" w14:textId="03F748F9" w:rsidR="00CD7526" w:rsidRDefault="00CD7526" w:rsidP="005D43D7">
            <w:pPr>
              <w:jc w:val="center"/>
            </w:pPr>
            <w:r>
              <w:t>Excel</w:t>
            </w:r>
          </w:p>
        </w:tc>
        <w:tc>
          <w:tcPr>
            <w:tcW w:w="2165" w:type="dxa"/>
          </w:tcPr>
          <w:p w14:paraId="6A3F6001" w14:textId="40B723FE" w:rsidR="00CD7526" w:rsidRDefault="00CD7526" w:rsidP="005D43D7">
            <w:pPr>
              <w:jc w:val="center"/>
            </w:pPr>
            <w:r>
              <w:t>4</w:t>
            </w:r>
          </w:p>
        </w:tc>
      </w:tr>
      <w:tr w:rsidR="00CD7526" w14:paraId="5C4D712F" w14:textId="77777777" w:rsidTr="005D43D7">
        <w:trPr>
          <w:jc w:val="center"/>
        </w:trPr>
        <w:tc>
          <w:tcPr>
            <w:tcW w:w="4495" w:type="dxa"/>
          </w:tcPr>
          <w:p w14:paraId="407799C6" w14:textId="1E200537" w:rsidR="00CD7526" w:rsidRDefault="00CD7526" w:rsidP="005D43D7">
            <w:pPr>
              <w:jc w:val="center"/>
            </w:pPr>
            <w:r>
              <w:t>Vendor Data</w:t>
            </w:r>
          </w:p>
        </w:tc>
        <w:tc>
          <w:tcPr>
            <w:tcW w:w="2165" w:type="dxa"/>
          </w:tcPr>
          <w:p w14:paraId="475328B5" w14:textId="4D74E17A" w:rsidR="00CD7526" w:rsidRDefault="00CD7526" w:rsidP="005D43D7">
            <w:pPr>
              <w:jc w:val="center"/>
            </w:pPr>
            <w:r>
              <w:t>4</w:t>
            </w:r>
          </w:p>
        </w:tc>
      </w:tr>
      <w:tr w:rsidR="00CD7526" w14:paraId="47281A96" w14:textId="77777777" w:rsidTr="005D43D7">
        <w:trPr>
          <w:jc w:val="center"/>
        </w:trPr>
        <w:tc>
          <w:tcPr>
            <w:tcW w:w="4495" w:type="dxa"/>
          </w:tcPr>
          <w:p w14:paraId="293923D5" w14:textId="7BEBEEB0" w:rsidR="00CD7526" w:rsidRDefault="00CD7526" w:rsidP="005D43D7">
            <w:pPr>
              <w:jc w:val="center"/>
            </w:pPr>
            <w:r>
              <w:t>Public Data</w:t>
            </w:r>
          </w:p>
        </w:tc>
        <w:tc>
          <w:tcPr>
            <w:tcW w:w="2165" w:type="dxa"/>
          </w:tcPr>
          <w:p w14:paraId="10206DFC" w14:textId="2530CF40" w:rsidR="00CD7526" w:rsidRDefault="00CD7526" w:rsidP="005D43D7">
            <w:pPr>
              <w:jc w:val="center"/>
            </w:pPr>
            <w:r>
              <w:t>4</w:t>
            </w:r>
          </w:p>
        </w:tc>
      </w:tr>
      <w:tr w:rsidR="00CD7526" w14:paraId="5B30502E" w14:textId="77777777" w:rsidTr="005D43D7">
        <w:trPr>
          <w:jc w:val="center"/>
        </w:trPr>
        <w:tc>
          <w:tcPr>
            <w:tcW w:w="4495" w:type="dxa"/>
          </w:tcPr>
          <w:p w14:paraId="25F3218B" w14:textId="62CBDBAA" w:rsidR="00CD7526" w:rsidRDefault="00CD7526" w:rsidP="005D43D7">
            <w:pPr>
              <w:jc w:val="center"/>
            </w:pPr>
            <w:r>
              <w:t>API</w:t>
            </w:r>
          </w:p>
        </w:tc>
        <w:tc>
          <w:tcPr>
            <w:tcW w:w="2165" w:type="dxa"/>
          </w:tcPr>
          <w:p w14:paraId="7B5A886A" w14:textId="41B6FF4B" w:rsidR="00CD7526" w:rsidRDefault="00CD7526" w:rsidP="005D43D7">
            <w:pPr>
              <w:jc w:val="center"/>
            </w:pPr>
            <w:r>
              <w:t>4</w:t>
            </w:r>
          </w:p>
        </w:tc>
      </w:tr>
      <w:tr w:rsidR="00CD7526" w14:paraId="301311B0" w14:textId="77777777" w:rsidTr="005D43D7">
        <w:trPr>
          <w:jc w:val="center"/>
        </w:trPr>
        <w:tc>
          <w:tcPr>
            <w:tcW w:w="4495" w:type="dxa"/>
          </w:tcPr>
          <w:p w14:paraId="5F0E2E3F" w14:textId="590E0295" w:rsidR="00CD7526" w:rsidRDefault="00CD7526" w:rsidP="005D43D7">
            <w:pPr>
              <w:jc w:val="center"/>
            </w:pPr>
            <w:r>
              <w:t>SAS</w:t>
            </w:r>
          </w:p>
        </w:tc>
        <w:tc>
          <w:tcPr>
            <w:tcW w:w="2165" w:type="dxa"/>
          </w:tcPr>
          <w:p w14:paraId="3E111302" w14:textId="0985FE60" w:rsidR="00CD7526" w:rsidRDefault="00CD7526" w:rsidP="005D43D7">
            <w:pPr>
              <w:jc w:val="center"/>
            </w:pPr>
            <w:r>
              <w:t>2</w:t>
            </w:r>
          </w:p>
        </w:tc>
      </w:tr>
      <w:tr w:rsidR="00CD7526" w14:paraId="36ADFAA0" w14:textId="77777777" w:rsidTr="005D43D7">
        <w:trPr>
          <w:jc w:val="center"/>
        </w:trPr>
        <w:tc>
          <w:tcPr>
            <w:tcW w:w="4495" w:type="dxa"/>
          </w:tcPr>
          <w:p w14:paraId="4E8E3012" w14:textId="08B34CF3" w:rsidR="00CD7526" w:rsidRDefault="00CD7526" w:rsidP="005D43D7">
            <w:pPr>
              <w:jc w:val="center"/>
            </w:pPr>
            <w:r>
              <w:t>XML</w:t>
            </w:r>
          </w:p>
        </w:tc>
        <w:tc>
          <w:tcPr>
            <w:tcW w:w="2165" w:type="dxa"/>
          </w:tcPr>
          <w:p w14:paraId="3FD7037F" w14:textId="619BAAEA" w:rsidR="00CD7526" w:rsidRDefault="00CD7526" w:rsidP="00FA7121">
            <w:pPr>
              <w:keepNext/>
              <w:jc w:val="center"/>
            </w:pPr>
            <w:r>
              <w:t>1</w:t>
            </w:r>
          </w:p>
        </w:tc>
      </w:tr>
    </w:tbl>
    <w:p w14:paraId="58E8BB05" w14:textId="194EBC77" w:rsidR="005B1A13" w:rsidRPr="00FA7121" w:rsidRDefault="00FA7121" w:rsidP="00FA7121">
      <w:pPr>
        <w:pStyle w:val="Caption"/>
        <w:jc w:val="center"/>
        <w:rPr>
          <w:i w:val="0"/>
          <w:iCs w:val="0"/>
          <w:color w:val="auto"/>
        </w:rPr>
      </w:pPr>
      <w:bookmarkStart w:id="8" w:name="_Ref233894664"/>
      <w:r w:rsidRPr="00FA7121">
        <w:rPr>
          <w:i w:val="0"/>
          <w:iCs w:val="0"/>
          <w:color w:val="auto"/>
        </w:rPr>
        <w:t xml:space="preserve">Table </w:t>
      </w:r>
      <w:r w:rsidR="00494A08">
        <w:rPr>
          <w:i w:val="0"/>
          <w:iCs w:val="0"/>
          <w:color w:val="auto"/>
        </w:rPr>
        <w:fldChar w:fldCharType="begin"/>
      </w:r>
      <w:r w:rsidR="00494A08">
        <w:rPr>
          <w:i w:val="0"/>
          <w:iCs w:val="0"/>
          <w:color w:val="auto"/>
        </w:rPr>
        <w:instrText xml:space="preserve"> SEQ Table \* ARABIC </w:instrText>
      </w:r>
      <w:r w:rsidR="00494A08">
        <w:rPr>
          <w:i w:val="0"/>
          <w:iCs w:val="0"/>
          <w:color w:val="auto"/>
        </w:rPr>
        <w:fldChar w:fldCharType="separate"/>
      </w:r>
      <w:r w:rsidR="00494A08">
        <w:rPr>
          <w:i w:val="0"/>
          <w:iCs w:val="0"/>
          <w:noProof/>
          <w:color w:val="auto"/>
        </w:rPr>
        <w:t>4</w:t>
      </w:r>
      <w:r w:rsidR="00494A08">
        <w:rPr>
          <w:i w:val="0"/>
          <w:iCs w:val="0"/>
          <w:color w:val="auto"/>
        </w:rPr>
        <w:fldChar w:fldCharType="end"/>
      </w:r>
      <w:bookmarkEnd w:id="8"/>
      <w:r w:rsidRPr="00FA7121">
        <w:rPr>
          <w:i w:val="0"/>
          <w:iCs w:val="0"/>
          <w:color w:val="auto"/>
        </w:rPr>
        <w:t>. Coded Themes from Question 7</w:t>
      </w:r>
    </w:p>
    <w:tbl>
      <w:tblPr>
        <w:tblStyle w:val="TableGrid"/>
        <w:tblW w:w="0" w:type="auto"/>
        <w:jc w:val="center"/>
        <w:tblLook w:val="04A0" w:firstRow="1" w:lastRow="0" w:firstColumn="1" w:lastColumn="0" w:noHBand="0" w:noVBand="1"/>
      </w:tblPr>
      <w:tblGrid>
        <w:gridCol w:w="1885"/>
        <w:gridCol w:w="5490"/>
        <w:gridCol w:w="1975"/>
      </w:tblGrid>
      <w:tr w:rsidR="00CD7526" w14:paraId="5A070034" w14:textId="77777777" w:rsidTr="00AC6F55">
        <w:trPr>
          <w:trHeight w:val="287"/>
          <w:jc w:val="center"/>
        </w:trPr>
        <w:tc>
          <w:tcPr>
            <w:tcW w:w="1885" w:type="dxa"/>
          </w:tcPr>
          <w:p w14:paraId="00639C3A" w14:textId="77777777" w:rsidR="00CD7526" w:rsidRPr="00B320A9" w:rsidRDefault="00CD7526" w:rsidP="005D43D7">
            <w:pPr>
              <w:jc w:val="center"/>
              <w:rPr>
                <w:b/>
                <w:bCs/>
              </w:rPr>
            </w:pPr>
            <w:r w:rsidRPr="00B320A9">
              <w:rPr>
                <w:b/>
                <w:bCs/>
              </w:rPr>
              <w:t>Theme</w:t>
            </w:r>
          </w:p>
        </w:tc>
        <w:tc>
          <w:tcPr>
            <w:tcW w:w="5490" w:type="dxa"/>
          </w:tcPr>
          <w:p w14:paraId="46A03F29" w14:textId="16C4F758" w:rsidR="00CD7526" w:rsidRDefault="00CD7526" w:rsidP="005D43D7">
            <w:pPr>
              <w:jc w:val="center"/>
              <w:rPr>
                <w:b/>
                <w:bCs/>
              </w:rPr>
            </w:pPr>
            <w:r>
              <w:rPr>
                <w:b/>
                <w:bCs/>
              </w:rPr>
              <w:t>Initial Thematic Codes</w:t>
            </w:r>
          </w:p>
        </w:tc>
        <w:tc>
          <w:tcPr>
            <w:tcW w:w="1975" w:type="dxa"/>
          </w:tcPr>
          <w:p w14:paraId="086D0936" w14:textId="1F4574D8" w:rsidR="00CD7526" w:rsidRPr="00B320A9" w:rsidRDefault="00CD7526" w:rsidP="005D43D7">
            <w:pPr>
              <w:jc w:val="center"/>
              <w:rPr>
                <w:b/>
                <w:bCs/>
              </w:rPr>
            </w:pPr>
            <w:r>
              <w:rPr>
                <w:b/>
                <w:bCs/>
              </w:rPr>
              <w:t>Number of Mentions</w:t>
            </w:r>
          </w:p>
        </w:tc>
      </w:tr>
      <w:tr w:rsidR="00CD7526" w14:paraId="4CBF37FA" w14:textId="77777777" w:rsidTr="00AC6F55">
        <w:trPr>
          <w:jc w:val="center"/>
        </w:trPr>
        <w:tc>
          <w:tcPr>
            <w:tcW w:w="1885" w:type="dxa"/>
          </w:tcPr>
          <w:p w14:paraId="599F9F31" w14:textId="027966F1" w:rsidR="00CD7526" w:rsidRDefault="00CD7526" w:rsidP="005D43D7">
            <w:pPr>
              <w:jc w:val="center"/>
            </w:pPr>
            <w:r>
              <w:t>Market Surveillance and Monitoring</w:t>
            </w:r>
          </w:p>
        </w:tc>
        <w:tc>
          <w:tcPr>
            <w:tcW w:w="5490" w:type="dxa"/>
          </w:tcPr>
          <w:p w14:paraId="088EAE9F" w14:textId="22DADD33" w:rsidR="00CD7526" w:rsidRDefault="00CD7526" w:rsidP="005D43D7">
            <w:pPr>
              <w:jc w:val="center"/>
            </w:pPr>
            <w:r>
              <w:t>Display units that impact system constraints, show outages, identify data that correlates with outages, analyze profit and loss, analyze virtual transactions, identify demand response resources, shadow calculations</w:t>
            </w:r>
          </w:p>
        </w:tc>
        <w:tc>
          <w:tcPr>
            <w:tcW w:w="1975" w:type="dxa"/>
          </w:tcPr>
          <w:p w14:paraId="5BAB1130" w14:textId="50554AD9" w:rsidR="00CD7526" w:rsidRDefault="00CD7526" w:rsidP="005D43D7">
            <w:pPr>
              <w:jc w:val="center"/>
            </w:pPr>
            <w:r>
              <w:t>7</w:t>
            </w:r>
          </w:p>
        </w:tc>
      </w:tr>
      <w:tr w:rsidR="00CD7526" w14:paraId="63348C2D" w14:textId="77777777" w:rsidTr="00AC6F55">
        <w:trPr>
          <w:jc w:val="center"/>
        </w:trPr>
        <w:tc>
          <w:tcPr>
            <w:tcW w:w="1885" w:type="dxa"/>
          </w:tcPr>
          <w:p w14:paraId="5ED34DFB" w14:textId="2ABB72D1" w:rsidR="00CD7526" w:rsidRDefault="00CD7526" w:rsidP="005D43D7">
            <w:pPr>
              <w:jc w:val="center"/>
            </w:pPr>
            <w:r>
              <w:t>Data Exploration and Querying</w:t>
            </w:r>
          </w:p>
        </w:tc>
        <w:tc>
          <w:tcPr>
            <w:tcW w:w="5490" w:type="dxa"/>
          </w:tcPr>
          <w:p w14:paraId="46C17DB9" w14:textId="49EDA7B8" w:rsidR="00CD7526" w:rsidRDefault="00CD7526" w:rsidP="005D43D7">
            <w:pPr>
              <w:jc w:val="center"/>
            </w:pPr>
            <w:r>
              <w:t>Show congested flowgates, “Display X For Period Y”, Perform “drill downs”</w:t>
            </w:r>
          </w:p>
        </w:tc>
        <w:tc>
          <w:tcPr>
            <w:tcW w:w="1975" w:type="dxa"/>
          </w:tcPr>
          <w:p w14:paraId="6B63800E" w14:textId="73253B46" w:rsidR="00CD7526" w:rsidRDefault="00CD7526" w:rsidP="005D43D7">
            <w:pPr>
              <w:jc w:val="center"/>
            </w:pPr>
            <w:r>
              <w:t>4</w:t>
            </w:r>
          </w:p>
        </w:tc>
      </w:tr>
      <w:tr w:rsidR="00CD7526" w14:paraId="6CC936B5" w14:textId="77777777" w:rsidTr="00AC6F55">
        <w:trPr>
          <w:jc w:val="center"/>
        </w:trPr>
        <w:tc>
          <w:tcPr>
            <w:tcW w:w="1885" w:type="dxa"/>
          </w:tcPr>
          <w:p w14:paraId="71F2742F" w14:textId="6D6563A4" w:rsidR="00CD7526" w:rsidRDefault="00CD7526" w:rsidP="005D43D7">
            <w:pPr>
              <w:jc w:val="center"/>
            </w:pPr>
            <w:r>
              <w:t>Validation and Quality Assurance</w:t>
            </w:r>
          </w:p>
        </w:tc>
        <w:tc>
          <w:tcPr>
            <w:tcW w:w="5490" w:type="dxa"/>
          </w:tcPr>
          <w:p w14:paraId="2BA0C9B4" w14:textId="19EAC231" w:rsidR="00CD7526" w:rsidRDefault="00CD7526" w:rsidP="005D43D7">
            <w:pPr>
              <w:jc w:val="center"/>
            </w:pPr>
            <w:r>
              <w:t xml:space="preserve">Validate mitigated energy offers, validate meter data submissions, </w:t>
            </w:r>
          </w:p>
        </w:tc>
        <w:tc>
          <w:tcPr>
            <w:tcW w:w="1975" w:type="dxa"/>
          </w:tcPr>
          <w:p w14:paraId="7D60271B" w14:textId="765FE177" w:rsidR="00CD7526" w:rsidRDefault="00CD7526" w:rsidP="005D43D7">
            <w:pPr>
              <w:jc w:val="center"/>
            </w:pPr>
            <w:r>
              <w:t>2</w:t>
            </w:r>
          </w:p>
        </w:tc>
      </w:tr>
      <w:tr w:rsidR="00CD7526" w14:paraId="05A6AFB0" w14:textId="77777777" w:rsidTr="00AC6F55">
        <w:trPr>
          <w:jc w:val="center"/>
        </w:trPr>
        <w:tc>
          <w:tcPr>
            <w:tcW w:w="1885" w:type="dxa"/>
          </w:tcPr>
          <w:p w14:paraId="7E44C05A" w14:textId="51BA8ADC" w:rsidR="00CD7526" w:rsidRDefault="00CD7526" w:rsidP="005D43D7">
            <w:pPr>
              <w:jc w:val="center"/>
            </w:pPr>
            <w:r>
              <w:t>Portfolio and Resource Analysis</w:t>
            </w:r>
          </w:p>
        </w:tc>
        <w:tc>
          <w:tcPr>
            <w:tcW w:w="5490" w:type="dxa"/>
          </w:tcPr>
          <w:p w14:paraId="4985DA87" w14:textId="2051B56E" w:rsidR="00CD7526" w:rsidRDefault="00CD7526" w:rsidP="005D43D7">
            <w:pPr>
              <w:jc w:val="center"/>
            </w:pPr>
            <w:r>
              <w:t>Analyze resources by various dimensions (fuel type, time-period, zone, affiliate entity)</w:t>
            </w:r>
          </w:p>
        </w:tc>
        <w:tc>
          <w:tcPr>
            <w:tcW w:w="1975" w:type="dxa"/>
          </w:tcPr>
          <w:p w14:paraId="2E942D9D" w14:textId="575987F1" w:rsidR="00CD7526" w:rsidRDefault="00CD7526" w:rsidP="005D43D7">
            <w:pPr>
              <w:jc w:val="center"/>
            </w:pPr>
            <w:r>
              <w:t>2</w:t>
            </w:r>
          </w:p>
        </w:tc>
      </w:tr>
      <w:tr w:rsidR="00CD7526" w14:paraId="26BB4167" w14:textId="77777777" w:rsidTr="00AC6F55">
        <w:trPr>
          <w:jc w:val="center"/>
        </w:trPr>
        <w:tc>
          <w:tcPr>
            <w:tcW w:w="1885" w:type="dxa"/>
          </w:tcPr>
          <w:p w14:paraId="66AEA9A2" w14:textId="0ECF21CB" w:rsidR="00CD7526" w:rsidRDefault="00CD7526" w:rsidP="005D43D7">
            <w:pPr>
              <w:jc w:val="center"/>
            </w:pPr>
            <w:r>
              <w:t>Metadata and Domain Knowledge</w:t>
            </w:r>
          </w:p>
        </w:tc>
        <w:tc>
          <w:tcPr>
            <w:tcW w:w="5490" w:type="dxa"/>
          </w:tcPr>
          <w:p w14:paraId="0F6372BA" w14:textId="0446FDE2" w:rsidR="00CD7526" w:rsidRDefault="00CD7526" w:rsidP="005D43D7">
            <w:pPr>
              <w:jc w:val="center"/>
            </w:pPr>
            <w:r>
              <w:t>Metadata management, governance</w:t>
            </w:r>
          </w:p>
        </w:tc>
        <w:tc>
          <w:tcPr>
            <w:tcW w:w="1975" w:type="dxa"/>
          </w:tcPr>
          <w:p w14:paraId="55AE9C9E" w14:textId="20C1102E" w:rsidR="00CD7526" w:rsidRDefault="00CD7526" w:rsidP="005D43D7">
            <w:pPr>
              <w:jc w:val="center"/>
            </w:pPr>
            <w:r>
              <w:t>1</w:t>
            </w:r>
          </w:p>
        </w:tc>
      </w:tr>
      <w:tr w:rsidR="00CD7526" w14:paraId="5E7B1A43" w14:textId="77777777" w:rsidTr="00AC6F55">
        <w:trPr>
          <w:jc w:val="center"/>
        </w:trPr>
        <w:tc>
          <w:tcPr>
            <w:tcW w:w="1885" w:type="dxa"/>
          </w:tcPr>
          <w:p w14:paraId="78C8C463" w14:textId="55178803" w:rsidR="00CD7526" w:rsidRDefault="00CD7526" w:rsidP="005D43D7">
            <w:pPr>
              <w:jc w:val="center"/>
            </w:pPr>
            <w:r>
              <w:t>Reporting and Automation</w:t>
            </w:r>
          </w:p>
        </w:tc>
        <w:tc>
          <w:tcPr>
            <w:tcW w:w="5490" w:type="dxa"/>
          </w:tcPr>
          <w:p w14:paraId="0F1B6D2B" w14:textId="57B6019D" w:rsidR="00CD7526" w:rsidRDefault="00CD7526" w:rsidP="005D43D7">
            <w:pPr>
              <w:jc w:val="center"/>
            </w:pPr>
            <w:r>
              <w:t>Generate automated reports</w:t>
            </w:r>
          </w:p>
        </w:tc>
        <w:tc>
          <w:tcPr>
            <w:tcW w:w="1975" w:type="dxa"/>
          </w:tcPr>
          <w:p w14:paraId="4922FE1A" w14:textId="29967035" w:rsidR="00CD7526" w:rsidRDefault="00CD7526" w:rsidP="00FA7121">
            <w:pPr>
              <w:keepNext/>
              <w:jc w:val="center"/>
            </w:pPr>
            <w:r>
              <w:t>1</w:t>
            </w:r>
          </w:p>
        </w:tc>
      </w:tr>
    </w:tbl>
    <w:p w14:paraId="02C5FC10" w14:textId="7B3E69DC" w:rsidR="00CD7526" w:rsidRPr="00FA7121" w:rsidRDefault="00FA7121" w:rsidP="00FA7121">
      <w:pPr>
        <w:pStyle w:val="Caption"/>
        <w:jc w:val="center"/>
        <w:rPr>
          <w:i w:val="0"/>
          <w:iCs w:val="0"/>
          <w:color w:val="auto"/>
        </w:rPr>
      </w:pPr>
      <w:bookmarkStart w:id="9" w:name="_Ref233894691"/>
      <w:r w:rsidRPr="00FA7121">
        <w:rPr>
          <w:i w:val="0"/>
          <w:iCs w:val="0"/>
          <w:color w:val="auto"/>
        </w:rPr>
        <w:t xml:space="preserve">Table </w:t>
      </w:r>
      <w:r w:rsidR="00494A08">
        <w:rPr>
          <w:i w:val="0"/>
          <w:iCs w:val="0"/>
          <w:color w:val="auto"/>
        </w:rPr>
        <w:fldChar w:fldCharType="begin"/>
      </w:r>
      <w:r w:rsidR="00494A08">
        <w:rPr>
          <w:i w:val="0"/>
          <w:iCs w:val="0"/>
          <w:color w:val="auto"/>
        </w:rPr>
        <w:instrText xml:space="preserve"> SEQ Table \* ARABIC </w:instrText>
      </w:r>
      <w:r w:rsidR="00494A08">
        <w:rPr>
          <w:i w:val="0"/>
          <w:iCs w:val="0"/>
          <w:color w:val="auto"/>
        </w:rPr>
        <w:fldChar w:fldCharType="separate"/>
      </w:r>
      <w:r w:rsidR="00494A08">
        <w:rPr>
          <w:i w:val="0"/>
          <w:iCs w:val="0"/>
          <w:noProof/>
          <w:color w:val="auto"/>
        </w:rPr>
        <w:t>5</w:t>
      </w:r>
      <w:r w:rsidR="00494A08">
        <w:rPr>
          <w:i w:val="0"/>
          <w:iCs w:val="0"/>
          <w:color w:val="auto"/>
        </w:rPr>
        <w:fldChar w:fldCharType="end"/>
      </w:r>
      <w:bookmarkEnd w:id="9"/>
      <w:r w:rsidRPr="00FA7121">
        <w:rPr>
          <w:i w:val="0"/>
          <w:iCs w:val="0"/>
          <w:color w:val="auto"/>
        </w:rPr>
        <w:t>. Coded Themes from Question 41</w:t>
      </w:r>
    </w:p>
    <w:p w14:paraId="735B63E3" w14:textId="63D82D04" w:rsidR="00E51D22" w:rsidRDefault="006A073E" w:rsidP="00BC0D6A">
      <w:pPr>
        <w:pStyle w:val="Heading3"/>
      </w:pPr>
      <w:r w:rsidRPr="006A073E">
        <w:t>Derived requirements and use cases</w:t>
      </w:r>
    </w:p>
    <w:p w14:paraId="5A604241" w14:textId="64143FC5" w:rsidR="00C27602" w:rsidRDefault="00C27602" w:rsidP="00C27602">
      <w:r>
        <w:t xml:space="preserve">Once thematic coding was completed, the researchers used the resultant themes to derive basic requirements and possible use cases for the language proof-of-concept and implementation. These requirements are intentionally broad, as much of the functionality of this system is also determined by what a specific user base (set of market monitors) would request. </w:t>
      </w:r>
      <w:r w:rsidR="00AD74CA">
        <w:fldChar w:fldCharType="begin"/>
      </w:r>
      <w:r w:rsidR="00AD74CA">
        <w:instrText xml:space="preserve"> REF _Ref236815979 \h </w:instrText>
      </w:r>
      <w:r w:rsidR="00AD74CA">
        <w:fldChar w:fldCharType="separate"/>
      </w:r>
      <w:r w:rsidR="00AD74CA" w:rsidRPr="00494A08">
        <w:t>Table 6</w:t>
      </w:r>
      <w:r w:rsidR="00AD74CA">
        <w:fldChar w:fldCharType="end"/>
      </w:r>
      <w:r w:rsidR="00AD74CA">
        <w:t xml:space="preserve"> </w:t>
      </w:r>
      <w:r>
        <w:t>displays the derived requirements.</w:t>
      </w:r>
    </w:p>
    <w:tbl>
      <w:tblPr>
        <w:tblStyle w:val="TableGrid"/>
        <w:tblW w:w="0" w:type="auto"/>
        <w:tblLook w:val="04A0" w:firstRow="1" w:lastRow="0" w:firstColumn="1" w:lastColumn="0" w:noHBand="0" w:noVBand="1"/>
      </w:tblPr>
      <w:tblGrid>
        <w:gridCol w:w="535"/>
        <w:gridCol w:w="5698"/>
        <w:gridCol w:w="3117"/>
      </w:tblGrid>
      <w:tr w:rsidR="00161086" w14:paraId="5DBA0235" w14:textId="77777777" w:rsidTr="00494A08">
        <w:tc>
          <w:tcPr>
            <w:tcW w:w="535" w:type="dxa"/>
          </w:tcPr>
          <w:p w14:paraId="15B43DBD" w14:textId="76FA70E8" w:rsidR="00161086" w:rsidRPr="00161086" w:rsidRDefault="00494A08" w:rsidP="00C27602">
            <w:pPr>
              <w:rPr>
                <w:b/>
                <w:bCs/>
              </w:rPr>
            </w:pPr>
            <w:r>
              <w:rPr>
                <w:b/>
                <w:bCs/>
              </w:rPr>
              <w:t>ID</w:t>
            </w:r>
          </w:p>
        </w:tc>
        <w:tc>
          <w:tcPr>
            <w:tcW w:w="5698" w:type="dxa"/>
          </w:tcPr>
          <w:p w14:paraId="3EB1452A" w14:textId="6FCC745F" w:rsidR="00161086" w:rsidRPr="00161086" w:rsidRDefault="00161086" w:rsidP="00C27602">
            <w:pPr>
              <w:rPr>
                <w:b/>
                <w:bCs/>
              </w:rPr>
            </w:pPr>
            <w:r w:rsidRPr="00161086">
              <w:rPr>
                <w:b/>
                <w:bCs/>
              </w:rPr>
              <w:t>Requirement</w:t>
            </w:r>
          </w:p>
        </w:tc>
        <w:tc>
          <w:tcPr>
            <w:tcW w:w="3117" w:type="dxa"/>
          </w:tcPr>
          <w:p w14:paraId="31B73D5E" w14:textId="13C9DE8C" w:rsidR="00161086" w:rsidRPr="00161086" w:rsidRDefault="00161086" w:rsidP="00C27602">
            <w:pPr>
              <w:rPr>
                <w:b/>
                <w:bCs/>
              </w:rPr>
            </w:pPr>
            <w:r>
              <w:rPr>
                <w:b/>
                <w:bCs/>
              </w:rPr>
              <w:t>Passing Criteria</w:t>
            </w:r>
          </w:p>
        </w:tc>
      </w:tr>
      <w:tr w:rsidR="00161086" w14:paraId="6AE03E8A" w14:textId="77777777" w:rsidTr="00494A08">
        <w:tc>
          <w:tcPr>
            <w:tcW w:w="535" w:type="dxa"/>
          </w:tcPr>
          <w:p w14:paraId="30359FB6" w14:textId="2B6A2AB3" w:rsidR="00161086" w:rsidRDefault="00161086" w:rsidP="00C27602">
            <w:r>
              <w:t>1</w:t>
            </w:r>
          </w:p>
        </w:tc>
        <w:tc>
          <w:tcPr>
            <w:tcW w:w="5698" w:type="dxa"/>
          </w:tcPr>
          <w:p w14:paraId="143CD3AD" w14:textId="08351472" w:rsidR="00161086" w:rsidRDefault="00161086" w:rsidP="00C27602">
            <w:r>
              <w:t>The language shall be declarative. A user can define what they want the analysis and/or output to be, and the transpiler generates code in the target language to accomplish the task</w:t>
            </w:r>
            <w:r w:rsidR="006E666C">
              <w:t>.</w:t>
            </w:r>
          </w:p>
        </w:tc>
        <w:tc>
          <w:tcPr>
            <w:tcW w:w="3117" w:type="dxa"/>
          </w:tcPr>
          <w:p w14:paraId="7C913D0E" w14:textId="692F5540" w:rsidR="00161086" w:rsidRDefault="00161086" w:rsidP="00C27602">
            <w:r>
              <w:t xml:space="preserve">The user can write a script in the language’s declarative grammar and </w:t>
            </w:r>
            <w:r w:rsidR="00494A08">
              <w:t>receives transpiled code in the target language.</w:t>
            </w:r>
          </w:p>
        </w:tc>
      </w:tr>
      <w:tr w:rsidR="00494A08" w14:paraId="020237BA" w14:textId="77777777" w:rsidTr="00494A08">
        <w:tc>
          <w:tcPr>
            <w:tcW w:w="535" w:type="dxa"/>
          </w:tcPr>
          <w:p w14:paraId="29EFCBB6" w14:textId="2A2097B7" w:rsidR="00494A08" w:rsidRDefault="00494A08" w:rsidP="00C27602">
            <w:r>
              <w:t>2</w:t>
            </w:r>
          </w:p>
        </w:tc>
        <w:tc>
          <w:tcPr>
            <w:tcW w:w="5698" w:type="dxa"/>
          </w:tcPr>
          <w:p w14:paraId="6F66CACC" w14:textId="2001E437" w:rsidR="00494A08" w:rsidRDefault="006E666C" w:rsidP="00C27602">
            <w:r>
              <w:t>The language, where possible, should infer metadata needed for data selection, transformations, and filter criteria from a metadata repository.</w:t>
            </w:r>
          </w:p>
        </w:tc>
        <w:tc>
          <w:tcPr>
            <w:tcW w:w="3117" w:type="dxa"/>
          </w:tcPr>
          <w:p w14:paraId="557EF177" w14:textId="5B93CDAD" w:rsidR="00494A08" w:rsidRDefault="006E666C" w:rsidP="00494A08">
            <w:pPr>
              <w:keepNext/>
            </w:pPr>
            <w:r>
              <w:t>The user can</w:t>
            </w:r>
            <w:r w:rsidR="00AD74CA">
              <w:t xml:space="preserve"> use </w:t>
            </w:r>
            <w:r>
              <w:t xml:space="preserve">the language to </w:t>
            </w:r>
            <w:r w:rsidR="00AD74CA">
              <w:t>define</w:t>
            </w:r>
            <w:r>
              <w:t xml:space="preserve"> metadata (e.g. </w:t>
            </w:r>
            <w:r w:rsidR="00AD74CA">
              <w:t>tags</w:t>
            </w:r>
            <w:r>
              <w:t xml:space="preserve">) </w:t>
            </w:r>
            <w:r w:rsidR="00AD74CA">
              <w:t>and associate it with a data set.</w:t>
            </w:r>
          </w:p>
        </w:tc>
      </w:tr>
      <w:tr w:rsidR="006E666C" w14:paraId="695836F5" w14:textId="77777777" w:rsidTr="00494A08">
        <w:tc>
          <w:tcPr>
            <w:tcW w:w="535" w:type="dxa"/>
          </w:tcPr>
          <w:p w14:paraId="516EDC0C" w14:textId="78414A1D" w:rsidR="006E666C" w:rsidRDefault="006E666C" w:rsidP="00C27602">
            <w:r>
              <w:t>3</w:t>
            </w:r>
          </w:p>
        </w:tc>
        <w:tc>
          <w:tcPr>
            <w:tcW w:w="5698" w:type="dxa"/>
          </w:tcPr>
          <w:p w14:paraId="24FC8AA2" w14:textId="6199166F" w:rsidR="006E666C" w:rsidRDefault="006E666C" w:rsidP="00C27602">
            <w:r>
              <w:t xml:space="preserve">The language shall, at a minimum, support database queries and CSV files as both read and write targets. </w:t>
            </w:r>
            <w:r w:rsidRPr="006E666C">
              <w:rPr>
                <w:i/>
                <w:iCs/>
              </w:rPr>
              <w:t>The leading 2 data sources mentioned by Delphi participants.</w:t>
            </w:r>
            <w:r>
              <w:t xml:space="preserve"> </w:t>
            </w:r>
          </w:p>
        </w:tc>
        <w:tc>
          <w:tcPr>
            <w:tcW w:w="3117" w:type="dxa"/>
          </w:tcPr>
          <w:p w14:paraId="075F2D44" w14:textId="69898A6D" w:rsidR="006E666C" w:rsidRDefault="006E666C" w:rsidP="00494A08">
            <w:pPr>
              <w:keepNext/>
            </w:pPr>
            <w:r>
              <w:t>A user can specify a database connection, CSV file paths, or both, and use these as sources and destinations for sourcing and sinking data.</w:t>
            </w:r>
          </w:p>
        </w:tc>
      </w:tr>
      <w:tr w:rsidR="006E666C" w14:paraId="568D049B" w14:textId="77777777" w:rsidTr="00494A08">
        <w:tc>
          <w:tcPr>
            <w:tcW w:w="535" w:type="dxa"/>
          </w:tcPr>
          <w:p w14:paraId="26AB6B79" w14:textId="7AF69961" w:rsidR="006E666C" w:rsidRDefault="006E666C" w:rsidP="00C27602">
            <w:r>
              <w:t>4</w:t>
            </w:r>
          </w:p>
        </w:tc>
        <w:tc>
          <w:tcPr>
            <w:tcW w:w="5698" w:type="dxa"/>
          </w:tcPr>
          <w:p w14:paraId="1946BA34" w14:textId="7107616F" w:rsidR="006E666C" w:rsidRDefault="006E666C" w:rsidP="00C27602">
            <w:r>
              <w:t xml:space="preserve">The language shall allow the user to generate textual reports of pre-defined metrics. These metrics are included as first-class citizens in the language. </w:t>
            </w:r>
            <w:r w:rsidRPr="006E666C">
              <w:rPr>
                <w:i/>
                <w:iCs/>
              </w:rPr>
              <w:t xml:space="preserve">Examples include: </w:t>
            </w:r>
            <w:r>
              <w:rPr>
                <w:i/>
                <w:iCs/>
              </w:rPr>
              <w:t xml:space="preserve">calculating the Herfindahl-Hirschmann Index (HHI) </w:t>
            </w:r>
            <w:r w:rsidR="001B09FA">
              <w:rPr>
                <w:i/>
                <w:iCs/>
              </w:rPr>
              <w:t>for an operating period of an energy market.</w:t>
            </w:r>
          </w:p>
        </w:tc>
        <w:tc>
          <w:tcPr>
            <w:tcW w:w="3117" w:type="dxa"/>
          </w:tcPr>
          <w:p w14:paraId="49622E0A" w14:textId="32B6D260" w:rsidR="006E666C" w:rsidRDefault="001B09FA" w:rsidP="00494A08">
            <w:pPr>
              <w:keepNext/>
            </w:pPr>
            <w:r>
              <w:t>The user can calculate the HHI for an operating period and retrieve this value from a report.</w:t>
            </w:r>
          </w:p>
        </w:tc>
      </w:tr>
      <w:tr w:rsidR="001B09FA" w14:paraId="2C25FA3E" w14:textId="77777777" w:rsidTr="00494A08">
        <w:tc>
          <w:tcPr>
            <w:tcW w:w="535" w:type="dxa"/>
          </w:tcPr>
          <w:p w14:paraId="79189D6A" w14:textId="47FDDDF0" w:rsidR="001B09FA" w:rsidRDefault="001B09FA" w:rsidP="00C27602">
            <w:r>
              <w:lastRenderedPageBreak/>
              <w:t>5</w:t>
            </w:r>
          </w:p>
        </w:tc>
        <w:tc>
          <w:tcPr>
            <w:tcW w:w="5698" w:type="dxa"/>
          </w:tcPr>
          <w:p w14:paraId="405BDB73" w14:textId="357B24B8" w:rsidR="001B09FA" w:rsidRDefault="00400DBB" w:rsidP="00C27602">
            <w:r>
              <w:t>The language shall allow the user to generate simple visualizations of pre-defined metrics to support market reporting. Examples include: generating fleet fuel-mix or capacity of generation on outage, or locating generating facilities or constraints on a cartographic map.</w:t>
            </w:r>
          </w:p>
        </w:tc>
        <w:tc>
          <w:tcPr>
            <w:tcW w:w="3117" w:type="dxa"/>
          </w:tcPr>
          <w:p w14:paraId="1EFEB301" w14:textId="5D3AB308" w:rsidR="001B09FA" w:rsidRDefault="00400DBB" w:rsidP="00494A08">
            <w:pPr>
              <w:keepNext/>
            </w:pPr>
            <w:r>
              <w:t>The user can create some pre-defined visualizations that provide metrics for market reporting.</w:t>
            </w:r>
          </w:p>
        </w:tc>
      </w:tr>
    </w:tbl>
    <w:p w14:paraId="6565B54C" w14:textId="153FDEC1" w:rsidR="00C27602" w:rsidRPr="00494A08" w:rsidRDefault="00494A08" w:rsidP="00494A08">
      <w:pPr>
        <w:pStyle w:val="Caption"/>
        <w:jc w:val="center"/>
        <w:rPr>
          <w:i w:val="0"/>
          <w:iCs w:val="0"/>
          <w:color w:val="auto"/>
        </w:rPr>
      </w:pPr>
      <w:bookmarkStart w:id="10" w:name="_Ref236815979"/>
      <w:r w:rsidRPr="00494A08">
        <w:rPr>
          <w:i w:val="0"/>
          <w:iCs w:val="0"/>
          <w:color w:val="auto"/>
        </w:rPr>
        <w:t xml:space="preserve">Table </w:t>
      </w:r>
      <w:r w:rsidRPr="00494A08">
        <w:rPr>
          <w:i w:val="0"/>
          <w:iCs w:val="0"/>
          <w:color w:val="auto"/>
        </w:rPr>
        <w:fldChar w:fldCharType="begin"/>
      </w:r>
      <w:r w:rsidRPr="00494A08">
        <w:rPr>
          <w:i w:val="0"/>
          <w:iCs w:val="0"/>
          <w:color w:val="auto"/>
        </w:rPr>
        <w:instrText xml:space="preserve"> SEQ Table \* ARABIC </w:instrText>
      </w:r>
      <w:r w:rsidRPr="00494A08">
        <w:rPr>
          <w:i w:val="0"/>
          <w:iCs w:val="0"/>
          <w:color w:val="auto"/>
        </w:rPr>
        <w:fldChar w:fldCharType="separate"/>
      </w:r>
      <w:r w:rsidRPr="00494A08">
        <w:rPr>
          <w:i w:val="0"/>
          <w:iCs w:val="0"/>
          <w:color w:val="auto"/>
        </w:rPr>
        <w:t>6</w:t>
      </w:r>
      <w:r w:rsidRPr="00494A08">
        <w:rPr>
          <w:i w:val="0"/>
          <w:iCs w:val="0"/>
          <w:color w:val="auto"/>
        </w:rPr>
        <w:fldChar w:fldCharType="end"/>
      </w:r>
      <w:bookmarkEnd w:id="10"/>
      <w:r w:rsidRPr="00494A08">
        <w:rPr>
          <w:i w:val="0"/>
          <w:iCs w:val="0"/>
          <w:color w:val="auto"/>
        </w:rPr>
        <w:t>. Derived DSL Requirements</w:t>
      </w:r>
    </w:p>
    <w:p w14:paraId="4DF16B5C" w14:textId="0E31E6A6" w:rsidR="00C27602" w:rsidRPr="00C27602" w:rsidRDefault="00C27602" w:rsidP="00C27602">
      <w:r>
        <w:t>From these requirements, the following use cases were selected. These</w:t>
      </w:r>
      <w:r w:rsidR="00161086">
        <w:t xml:space="preserve"> are intended to display that the derived requirements are met by the prototype:</w:t>
      </w:r>
    </w:p>
    <w:p w14:paraId="51D7F70B" w14:textId="77777777" w:rsidR="000E6AAF" w:rsidRDefault="000E6AAF" w:rsidP="00340E59">
      <w:pPr>
        <w:pStyle w:val="ListParagraph"/>
        <w:numPr>
          <w:ilvl w:val="0"/>
          <w:numId w:val="15"/>
        </w:numPr>
      </w:pPr>
      <w:r>
        <w:t>Data loading and exporting</w:t>
      </w:r>
    </w:p>
    <w:p w14:paraId="3093B212" w14:textId="7F759335" w:rsidR="000E6AAF" w:rsidRDefault="000E6AAF" w:rsidP="00340E59">
      <w:pPr>
        <w:pStyle w:val="ListParagraph"/>
        <w:numPr>
          <w:ilvl w:val="0"/>
          <w:numId w:val="15"/>
        </w:numPr>
      </w:pPr>
      <w:r>
        <w:t xml:space="preserve">Beginner-friendly data </w:t>
      </w:r>
      <w:r w:rsidRPr="00161086">
        <w:t>traceability</w:t>
      </w:r>
    </w:p>
    <w:p w14:paraId="26947B8A" w14:textId="5AE9EC18" w:rsidR="00340E59" w:rsidRPr="00161086" w:rsidRDefault="000E6AAF" w:rsidP="00340E59">
      <w:pPr>
        <w:pStyle w:val="ListParagraph"/>
        <w:numPr>
          <w:ilvl w:val="0"/>
          <w:numId w:val="15"/>
        </w:numPr>
      </w:pPr>
      <w:r>
        <w:t>Basic data visualization and calculation of metrics</w:t>
      </w:r>
    </w:p>
    <w:p w14:paraId="31009238" w14:textId="425754FB" w:rsidR="00782DC7" w:rsidRDefault="00782DC7" w:rsidP="00782DC7">
      <w:pPr>
        <w:pStyle w:val="Heading3"/>
      </w:pPr>
      <w:r w:rsidRPr="00782DC7">
        <w:t>Test Data</w:t>
      </w:r>
    </w:p>
    <w:p w14:paraId="1DC817AC" w14:textId="6E8160FE" w:rsidR="002D5DD6" w:rsidRPr="002D5DD6" w:rsidRDefault="002D5DD6" w:rsidP="002D5DD6">
      <w:r w:rsidRPr="002D5DD6">
        <w:rPr>
          <w:highlight w:val="yellow"/>
        </w:rPr>
        <w:t>Briefly discuss the test data that will be used to satisfy the use cases.</w:t>
      </w:r>
    </w:p>
    <w:p w14:paraId="2C93677F" w14:textId="793E0187" w:rsidR="00E51D22" w:rsidRPr="002D5DD6" w:rsidRDefault="00CA78FE" w:rsidP="002D5DD6">
      <w:pPr>
        <w:pStyle w:val="Heading1"/>
      </w:pPr>
      <w:bookmarkStart w:id="11" w:name="_heading=h.3n1hn86yzluu" w:colFirst="0" w:colLast="0"/>
      <w:bookmarkEnd w:id="11"/>
      <w:r>
        <w:t>DOMAIN-SPECIFIC LANGUAGE DESIGN</w:t>
      </w:r>
    </w:p>
    <w:p w14:paraId="1AEB86BF" w14:textId="7370DD9A" w:rsidR="00924578" w:rsidRDefault="00924578" w:rsidP="00494A08">
      <w:pPr>
        <w:pStyle w:val="Heading3"/>
      </w:pPr>
      <w:r>
        <w:t>Limitations / Constraints</w:t>
      </w:r>
    </w:p>
    <w:p w14:paraId="762B4DCE" w14:textId="46F9696B" w:rsidR="00924578" w:rsidRPr="00494A08" w:rsidRDefault="00924578" w:rsidP="00924578">
      <w:pPr>
        <w:pStyle w:val="ListParagraph"/>
        <w:numPr>
          <w:ilvl w:val="0"/>
          <w:numId w:val="15"/>
        </w:numPr>
        <w:rPr>
          <w:highlight w:val="yellow"/>
        </w:rPr>
      </w:pPr>
      <w:r w:rsidRPr="00494A08">
        <w:rPr>
          <w:highlight w:val="yellow"/>
        </w:rPr>
        <w:t>Use of the resultant SAS code requires manual intervention (the user manually uploads the code to SODA)</w:t>
      </w:r>
    </w:p>
    <w:p w14:paraId="57B18132" w14:textId="4D60CAC5" w:rsidR="00924578" w:rsidRPr="00494A08" w:rsidRDefault="00924578" w:rsidP="00924578">
      <w:pPr>
        <w:pStyle w:val="ListParagraph"/>
        <w:numPr>
          <w:ilvl w:val="0"/>
          <w:numId w:val="15"/>
        </w:numPr>
        <w:rPr>
          <w:highlight w:val="yellow"/>
        </w:rPr>
      </w:pPr>
      <w:r w:rsidRPr="00494A08">
        <w:rPr>
          <w:highlight w:val="yellow"/>
        </w:rPr>
        <w:t>Execution model is currently solely preprocessor directives</w:t>
      </w:r>
    </w:p>
    <w:p w14:paraId="70B7017C" w14:textId="719A02BD" w:rsidR="00272427" w:rsidRDefault="00272427" w:rsidP="00272427">
      <w:pPr>
        <w:pStyle w:val="Heading3"/>
      </w:pPr>
      <w:r>
        <w:t>Grammar specification</w:t>
      </w:r>
    </w:p>
    <w:p w14:paraId="176ADF98" w14:textId="12CE1080" w:rsidR="00340E59" w:rsidRDefault="00340E59" w:rsidP="002D5DD6">
      <w:r w:rsidRPr="006A18D6">
        <w:rPr>
          <w:highlight w:val="yellow"/>
        </w:rPr>
        <w:t>Discuss Lark grammar and provide an example of what you have so far…</w:t>
      </w:r>
    </w:p>
    <w:p w14:paraId="7D97597A" w14:textId="20AA88E9" w:rsidR="00272427" w:rsidRDefault="00272427" w:rsidP="00272427">
      <w:pPr>
        <w:pStyle w:val="Heading3"/>
      </w:pPr>
      <w:r>
        <w:t xml:space="preserve">Example DSL </w:t>
      </w:r>
      <w:r w:rsidR="002D5DD6">
        <w:t>scripts</w:t>
      </w:r>
    </w:p>
    <w:p w14:paraId="763C6E02" w14:textId="77777777" w:rsidR="00AE04C5" w:rsidRDefault="00AE04C5" w:rsidP="006E5054">
      <w:pPr>
        <w:keepNext/>
        <w:jc w:val="center"/>
      </w:pPr>
      <w:r>
        <w:rPr>
          <w:noProof/>
        </w:rPr>
        <w:drawing>
          <wp:inline distT="0" distB="0" distL="0" distR="0" wp14:anchorId="157D81CE" wp14:editId="41BF6938">
            <wp:extent cx="4924852" cy="2641588"/>
            <wp:effectExtent l="19050" t="19050" r="9525" b="26035"/>
            <wp:docPr id="162104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32365" cy="2645618"/>
                    </a:xfrm>
                    <a:prstGeom prst="rect">
                      <a:avLst/>
                    </a:prstGeom>
                    <a:noFill/>
                    <a:ln>
                      <a:solidFill>
                        <a:schemeClr val="tx1"/>
                      </a:solidFill>
                    </a:ln>
                  </pic:spPr>
                </pic:pic>
              </a:graphicData>
            </a:graphic>
          </wp:inline>
        </w:drawing>
      </w:r>
    </w:p>
    <w:p w14:paraId="089D2496" w14:textId="7F697795" w:rsidR="00AE04C5" w:rsidRPr="00AE04C5" w:rsidRDefault="00AE04C5" w:rsidP="00AE04C5">
      <w:pPr>
        <w:pStyle w:val="Caption"/>
        <w:jc w:val="center"/>
        <w:rPr>
          <w:i w:val="0"/>
          <w:iCs w:val="0"/>
          <w:color w:val="auto"/>
        </w:rPr>
      </w:pPr>
      <w:r w:rsidRPr="00AE04C5">
        <w:rPr>
          <w:i w:val="0"/>
          <w:iCs w:val="0"/>
          <w:color w:val="auto"/>
        </w:rPr>
        <w:t xml:space="preserve">Figure </w:t>
      </w:r>
      <w:r w:rsidR="006E5054">
        <w:rPr>
          <w:i w:val="0"/>
          <w:iCs w:val="0"/>
          <w:color w:val="auto"/>
        </w:rPr>
        <w:t>1.</w:t>
      </w:r>
      <w:r w:rsidRPr="00AE04C5">
        <w:rPr>
          <w:i w:val="0"/>
          <w:iCs w:val="0"/>
          <w:color w:val="auto"/>
        </w:rPr>
        <w:t xml:space="preserve"> DSL program for importing and tagging market data</w:t>
      </w:r>
    </w:p>
    <w:p w14:paraId="06ECF3D1" w14:textId="0C4D713E" w:rsidR="002D5DD6" w:rsidRPr="002D5DD6" w:rsidRDefault="002D5DD6" w:rsidP="002D5DD6">
      <w:r w:rsidRPr="002D5DD6">
        <w:rPr>
          <w:highlight w:val="yellow"/>
        </w:rPr>
        <w:t>Include sample DSL scripts here that satisfy the use cases, or reference them in the Appendix</w:t>
      </w:r>
    </w:p>
    <w:p w14:paraId="4DA5C183" w14:textId="6EB86FEC" w:rsidR="00E51D22" w:rsidRDefault="00CA78FE" w:rsidP="00E51D22">
      <w:pPr>
        <w:pStyle w:val="Heading1"/>
      </w:pPr>
      <w:r>
        <w:t>TRANSPILER IMPLEMENTATION</w:t>
      </w:r>
    </w:p>
    <w:p w14:paraId="237C244E" w14:textId="39B829A0" w:rsidR="00197D67" w:rsidRPr="00197D67" w:rsidRDefault="00197D67" w:rsidP="00197D67">
      <w:r>
        <w:t>To implement this domain-specific language, the researchers used two (2) main technologies: Python (including the Lark parser framework</w:t>
      </w:r>
      <w:r w:rsidR="00B3571A">
        <w:t xml:space="preserve"> [</w:t>
      </w:r>
      <w:r w:rsidR="000C4D95">
        <w:t>6</w:t>
      </w:r>
      <w:r w:rsidR="00B3571A">
        <w:t>]</w:t>
      </w:r>
      <w:r>
        <w:t xml:space="preserve">) and the SAS® OnDemand for Academics (SODA) </w:t>
      </w:r>
      <w:r w:rsidR="00B3571A">
        <w:t>[</w:t>
      </w:r>
      <w:r w:rsidR="000C4D95">
        <w:t>7</w:t>
      </w:r>
      <w:r w:rsidR="00B3571A">
        <w:t xml:space="preserve">] </w:t>
      </w:r>
      <w:r>
        <w:t xml:space="preserve">environment. </w:t>
      </w:r>
      <w:r w:rsidR="00213202">
        <w:t>The authors created a Python library that defines the grammar of the DSL, builds the lexer</w:t>
      </w:r>
      <w:r w:rsidR="00DE7CC9">
        <w:rPr>
          <w:rStyle w:val="FootnoteReference"/>
        </w:rPr>
        <w:footnoteReference w:id="7"/>
      </w:r>
      <w:r w:rsidR="00213202">
        <w:t xml:space="preserve">, parser, and transpiler, and then outputs valid </w:t>
      </w:r>
      <w:r w:rsidR="00213202">
        <w:lastRenderedPageBreak/>
        <w:t>SAS code. The code is then uploaded to SODA to check for execution errors and to retrieve any results.</w:t>
      </w:r>
    </w:p>
    <w:p w14:paraId="77C3A803" w14:textId="3596B5AB" w:rsidR="00272427" w:rsidRDefault="00272427" w:rsidP="00272427">
      <w:pPr>
        <w:pStyle w:val="Heading3"/>
      </w:pPr>
      <w:r>
        <w:t>Parser and transpiler architecture</w:t>
      </w:r>
    </w:p>
    <w:p w14:paraId="2AFEDE45" w14:textId="116E850C" w:rsidR="008A5E3D" w:rsidRDefault="008A5E3D" w:rsidP="008A5E3D">
      <w:r w:rsidRPr="006A18D6">
        <w:rPr>
          <w:highlight w:val="yellow"/>
        </w:rPr>
        <w:t>Transpiler process flow shown below:</w:t>
      </w:r>
      <w:r>
        <w:t xml:space="preserve"> </w:t>
      </w:r>
    </w:p>
    <w:p w14:paraId="67BCE4DD" w14:textId="77777777" w:rsidR="000303B0" w:rsidRDefault="007D3D32" w:rsidP="000303B0">
      <w:pPr>
        <w:keepNext/>
      </w:pPr>
      <w:r>
        <w:rPr>
          <w:noProof/>
        </w:rPr>
        <w:drawing>
          <wp:inline distT="0" distB="0" distL="0" distR="0" wp14:anchorId="5B372CEB" wp14:editId="6578EE15">
            <wp:extent cx="5934075" cy="2028825"/>
            <wp:effectExtent l="19050" t="19050" r="28575" b="28575"/>
            <wp:docPr id="159405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2028825"/>
                    </a:xfrm>
                    <a:prstGeom prst="rect">
                      <a:avLst/>
                    </a:prstGeom>
                    <a:noFill/>
                    <a:ln w="12700">
                      <a:solidFill>
                        <a:schemeClr val="tx1"/>
                      </a:solidFill>
                    </a:ln>
                  </pic:spPr>
                </pic:pic>
              </a:graphicData>
            </a:graphic>
          </wp:inline>
        </w:drawing>
      </w:r>
    </w:p>
    <w:p w14:paraId="18457ECC" w14:textId="27EE1C34" w:rsidR="008A5E3D" w:rsidRPr="000303B0" w:rsidRDefault="000303B0" w:rsidP="000303B0">
      <w:pPr>
        <w:pStyle w:val="Caption"/>
        <w:jc w:val="center"/>
        <w:rPr>
          <w:i w:val="0"/>
          <w:iCs w:val="0"/>
          <w:color w:val="auto"/>
        </w:rPr>
      </w:pPr>
      <w:r w:rsidRPr="000303B0">
        <w:rPr>
          <w:i w:val="0"/>
          <w:iCs w:val="0"/>
          <w:color w:val="auto"/>
        </w:rPr>
        <w:t xml:space="preserve">Figure </w:t>
      </w:r>
      <w:r w:rsidRPr="000303B0">
        <w:rPr>
          <w:i w:val="0"/>
          <w:iCs w:val="0"/>
          <w:color w:val="auto"/>
        </w:rPr>
        <w:fldChar w:fldCharType="begin"/>
      </w:r>
      <w:r w:rsidRPr="000303B0">
        <w:rPr>
          <w:i w:val="0"/>
          <w:iCs w:val="0"/>
          <w:color w:val="auto"/>
        </w:rPr>
        <w:instrText xml:space="preserve"> SEQ Figure \* ARABIC </w:instrText>
      </w:r>
      <w:r w:rsidRPr="000303B0">
        <w:rPr>
          <w:i w:val="0"/>
          <w:iCs w:val="0"/>
          <w:color w:val="auto"/>
        </w:rPr>
        <w:fldChar w:fldCharType="separate"/>
      </w:r>
      <w:r w:rsidR="00AE04C5">
        <w:rPr>
          <w:i w:val="0"/>
          <w:iCs w:val="0"/>
          <w:noProof/>
          <w:color w:val="auto"/>
        </w:rPr>
        <w:t>2</w:t>
      </w:r>
      <w:r w:rsidRPr="000303B0">
        <w:rPr>
          <w:i w:val="0"/>
          <w:iCs w:val="0"/>
          <w:color w:val="auto"/>
        </w:rPr>
        <w:fldChar w:fldCharType="end"/>
      </w:r>
      <w:r w:rsidRPr="000303B0">
        <w:rPr>
          <w:i w:val="0"/>
          <w:iCs w:val="0"/>
          <w:color w:val="auto"/>
        </w:rPr>
        <w:t>. Source DSL to SAS code transpiler process</w:t>
      </w:r>
    </w:p>
    <w:p w14:paraId="0F9AEA84" w14:textId="05E39A9F" w:rsidR="00F93176" w:rsidRPr="00F93176" w:rsidRDefault="00217A8E" w:rsidP="00BD5F41">
      <w:pPr>
        <w:pStyle w:val="Heading3"/>
      </w:pPr>
      <w:r>
        <w:t>Transpiler</w:t>
      </w:r>
      <w:r w:rsidR="00272427">
        <w:t xml:space="preserve"> strategy</w:t>
      </w:r>
    </w:p>
    <w:p w14:paraId="52C65CF6" w14:textId="1B57CDA1" w:rsidR="00272427" w:rsidRPr="00272427" w:rsidRDefault="00494A08" w:rsidP="00272427">
      <w:pPr>
        <w:pStyle w:val="Heading3"/>
      </w:pPr>
      <w:r>
        <w:t>Offloading procedural functionality to SAS</w:t>
      </w:r>
    </w:p>
    <w:p w14:paraId="4E6752D1" w14:textId="5EACB04F" w:rsidR="004E2786" w:rsidRDefault="005451A2">
      <w:pPr>
        <w:pStyle w:val="Heading1"/>
      </w:pPr>
      <w:r>
        <w:t>CONCLUSION</w:t>
      </w:r>
    </w:p>
    <w:p w14:paraId="63149368" w14:textId="330D1AC1" w:rsidR="006F1708" w:rsidRPr="006F1708" w:rsidRDefault="006F1708" w:rsidP="006F1708">
      <w:r w:rsidRPr="006F1708">
        <w:rPr>
          <w:highlight w:val="yellow"/>
        </w:rPr>
        <w:t>Conclusions…</w:t>
      </w:r>
    </w:p>
    <w:p w14:paraId="46E102CA" w14:textId="464F27C9" w:rsidR="0011120F" w:rsidRDefault="0011120F" w:rsidP="00272427">
      <w:pPr>
        <w:pStyle w:val="Heading3"/>
      </w:pPr>
      <w:r>
        <w:t>Limitations</w:t>
      </w:r>
    </w:p>
    <w:p w14:paraId="50A88358" w14:textId="53997447" w:rsidR="00FE5494" w:rsidRDefault="00FE5494" w:rsidP="00FE5494">
      <w:r>
        <w:t xml:space="preserve">Given that this paper provides </w:t>
      </w:r>
      <w:r w:rsidR="00572267">
        <w:t>proof</w:t>
      </w:r>
      <w:r>
        <w:t xml:space="preserve">-of-concept for this DSL, there are several limitations with the </w:t>
      </w:r>
      <w:r w:rsidR="00180B30">
        <w:t xml:space="preserve">current </w:t>
      </w:r>
      <w:r>
        <w:t xml:space="preserve">implementation of this solution, namely: </w:t>
      </w:r>
    </w:p>
    <w:p w14:paraId="56520D66" w14:textId="78D28804" w:rsidR="00FE5494" w:rsidRDefault="00FE5494" w:rsidP="00FE5494">
      <w:pPr>
        <w:pStyle w:val="ListParagraph"/>
        <w:numPr>
          <w:ilvl w:val="0"/>
          <w:numId w:val="12"/>
        </w:numPr>
      </w:pPr>
      <w:r>
        <w:t>The execution model of this DSL exists solely as preprocessor directives</w:t>
      </w:r>
    </w:p>
    <w:p w14:paraId="377E7BFC" w14:textId="16BB559F" w:rsidR="00FE5494" w:rsidRDefault="00FE5494" w:rsidP="00FE5494">
      <w:pPr>
        <w:pStyle w:val="ListParagraph"/>
        <w:numPr>
          <w:ilvl w:val="0"/>
          <w:numId w:val="12"/>
        </w:numPr>
      </w:pPr>
      <w:r>
        <w:t>Use of the resultant SAS code requires manual intervention</w:t>
      </w:r>
    </w:p>
    <w:p w14:paraId="0F2ACA9D" w14:textId="08B373B7" w:rsidR="007279A6" w:rsidRDefault="00AB3006" w:rsidP="007279A6">
      <w:pPr>
        <w:pStyle w:val="Heading3"/>
      </w:pPr>
      <w:r>
        <w:t>Future Work</w:t>
      </w:r>
    </w:p>
    <w:p w14:paraId="02A061B6" w14:textId="066C16CB" w:rsidR="00655DBB" w:rsidRDefault="00655DBB" w:rsidP="00655DBB">
      <w:r>
        <w:t>This paper presents a practical foundation for translating a custom domain-specific language into valid SAS code. Given the identified limitations of this current approach, the authors believe that the following areas are possible opportunities for future work on this system</w:t>
      </w:r>
      <w:r w:rsidR="006F3785">
        <w:t xml:space="preserve">. </w:t>
      </w:r>
      <w:r w:rsidR="001F3A36">
        <w:t>Such</w:t>
      </w:r>
      <w:r w:rsidR="006F3785">
        <w:t xml:space="preserve"> future work topics include</w:t>
      </w:r>
      <w:r w:rsidR="001F3A36">
        <w:t xml:space="preserve"> (but are not limited to): </w:t>
      </w:r>
      <w:r w:rsidR="006F3785">
        <w:t>integrating language server protocol support, enhancing the current error handling feedback from the transpiler layer, and integrating the generated SAS output with a SAS runtime environment.</w:t>
      </w:r>
    </w:p>
    <w:p w14:paraId="51F09339" w14:textId="201EC222" w:rsidR="006F3785" w:rsidRDefault="006F3785" w:rsidP="00655DBB">
      <w:bookmarkStart w:id="12" w:name="_heading=h.cb9bfkp3n0ty" w:colFirst="0" w:colLast="0"/>
      <w:bookmarkEnd w:id="12"/>
    </w:p>
    <w:p w14:paraId="4B73A539" w14:textId="761E7766" w:rsidR="004E2786" w:rsidRDefault="00A41BBE">
      <w:pPr>
        <w:pStyle w:val="Heading1"/>
      </w:pPr>
      <w:r>
        <w:t>REFERENCES</w:t>
      </w:r>
    </w:p>
    <w:p w14:paraId="4FD31E73" w14:textId="60BC6698" w:rsidR="00316EE2" w:rsidRDefault="00316EE2" w:rsidP="00316EE2">
      <w:pPr>
        <w:rPr>
          <w:lang w:val="en-US"/>
        </w:rPr>
      </w:pPr>
      <w:r w:rsidRPr="00251110">
        <w:t xml:space="preserve">[1] </w:t>
      </w:r>
      <w:r w:rsidRPr="00251110">
        <w:rPr>
          <w:lang w:val="en-US"/>
        </w:rPr>
        <w:t xml:space="preserve">Oak Ridge National Laboratory, “Nils Stenvig: Exploring the world’s largest machine |ORNL.” </w:t>
      </w:r>
      <w:hyperlink r:id="rId11" w:history="1">
        <w:r w:rsidR="00D30B43" w:rsidRPr="00251110">
          <w:rPr>
            <w:rStyle w:val="Hyperlink"/>
            <w:lang w:val="en-US"/>
          </w:rPr>
          <w:t>https://www.ornl.gov/blog/nils-stenvig-exploring-worlds-largest-machine</w:t>
        </w:r>
      </w:hyperlink>
      <w:r w:rsidRPr="00251110">
        <w:rPr>
          <w:lang w:val="en-US"/>
        </w:rPr>
        <w:t>.</w:t>
      </w:r>
    </w:p>
    <w:p w14:paraId="3712043A" w14:textId="66717382" w:rsidR="00103304" w:rsidRDefault="00103304" w:rsidP="00316EE2">
      <w:r>
        <w:rPr>
          <w:lang w:val="en-US"/>
        </w:rPr>
        <w:t xml:space="preserve">[2] </w:t>
      </w:r>
      <w:r w:rsidRPr="00103304">
        <w:t xml:space="preserve">P. Bondarenko, “Enron Scandal - Downfall and Bankruptcy,” Nov. 2024. Accessed: July 20, 2026. [Online]. Available: </w:t>
      </w:r>
      <w:hyperlink r:id="rId12" w:history="1">
        <w:r w:rsidRPr="003C4C17">
          <w:rPr>
            <w:rStyle w:val="Hyperlink"/>
          </w:rPr>
          <w:t>https://www.britannica.com/event/Enron-scandal/Downfall-and-bankruptcy</w:t>
        </w:r>
      </w:hyperlink>
    </w:p>
    <w:p w14:paraId="4CBEAD27" w14:textId="5BF4C62A" w:rsidR="00D30B43" w:rsidRDefault="00D30B43" w:rsidP="00316EE2">
      <w:r w:rsidRPr="00251110">
        <w:rPr>
          <w:lang w:val="en-US"/>
        </w:rPr>
        <w:lastRenderedPageBreak/>
        <w:t>[</w:t>
      </w:r>
      <w:r w:rsidR="00103304">
        <w:rPr>
          <w:lang w:val="en-US"/>
        </w:rPr>
        <w:t>3</w:t>
      </w:r>
      <w:r w:rsidRPr="00251110">
        <w:rPr>
          <w:lang w:val="en-US"/>
        </w:rPr>
        <w:t xml:space="preserve">] </w:t>
      </w:r>
      <w:r w:rsidR="00E73638" w:rsidRPr="00251110">
        <w:rPr>
          <w:lang w:val="en-US"/>
        </w:rPr>
        <w:t xml:space="preserve">Market behavior rules, 18 CFR § 35.41 B (2007). [Online] Available: </w:t>
      </w:r>
      <w:hyperlink r:id="rId13" w:history="1">
        <w:r w:rsidR="00E73638" w:rsidRPr="00251110">
          <w:rPr>
            <w:rStyle w:val="Hyperlink"/>
            <w:lang w:val="en-US"/>
          </w:rPr>
          <w:t>https://www.ecfr.gov/current/title-18/chapter-I/subchapter-B/part-35/subpart-H/section-35.41</w:t>
        </w:r>
      </w:hyperlink>
    </w:p>
    <w:p w14:paraId="6B5B4DCF" w14:textId="49189B70" w:rsidR="000C4D95" w:rsidRPr="000C4D95" w:rsidRDefault="000C4D95" w:rsidP="00316EE2">
      <w:r>
        <w:t>[4] M.-P. Cheong, D. Berleant, and G. Shebl</w:t>
      </w:r>
      <w:r w:rsidRPr="000C4D95">
        <w:t>é</w:t>
      </w:r>
      <w:r>
        <w:t>, “Information Gap Decision Theory as a tool for strategic bidding in competitive electricity markets,” Proceedings, 8</w:t>
      </w:r>
      <w:r w:rsidRPr="000C4D95">
        <w:rPr>
          <w:vertAlign w:val="superscript"/>
        </w:rPr>
        <w:t>th</w:t>
      </w:r>
      <w:r>
        <w:t xml:space="preserve"> Int. Conf. on Probabilistic Methods Applied to Power Systems, Sept. 12-16, 2004, Ames, Iowa. [Online] Available: </w:t>
      </w:r>
      <w:hyperlink r:id="rId14" w:history="1">
        <w:r w:rsidRPr="000C4D95">
          <w:rPr>
            <w:rStyle w:val="Hyperlink"/>
          </w:rPr>
          <w:t>https://dberleant.github.io/papers/Mei_PMAPS04a.pdf</w:t>
        </w:r>
      </w:hyperlink>
    </w:p>
    <w:p w14:paraId="7D18269C" w14:textId="3576DD8C" w:rsidR="00780F09" w:rsidRDefault="007E164B" w:rsidP="00780F09">
      <w:r w:rsidRPr="00251110">
        <w:t>[</w:t>
      </w:r>
      <w:r w:rsidR="000C4D95">
        <w:t>5</w:t>
      </w:r>
      <w:r w:rsidRPr="00251110">
        <w:t xml:space="preserve">] </w:t>
      </w:r>
      <w:r w:rsidR="00780F09" w:rsidRPr="00251110">
        <w:t>S. Chuenjitwongsa, “How to: Conduct a Delphi Study,” </w:t>
      </w:r>
      <w:r w:rsidR="00780F09" w:rsidRPr="00251110">
        <w:rPr>
          <w:i/>
          <w:iCs/>
        </w:rPr>
        <w:t>Cardiff University</w:t>
      </w:r>
      <w:r w:rsidR="00780F09" w:rsidRPr="00251110">
        <w:t xml:space="preserve">, 2017. </w:t>
      </w:r>
      <w:hyperlink r:id="rId15" w:history="1">
        <w:r w:rsidR="00780F09" w:rsidRPr="00251110">
          <w:rPr>
            <w:rStyle w:val="Hyperlink"/>
          </w:rPr>
          <w:t>https://www.cardiff.ac.uk/__data/assets/pdf_file/0010/1164961/how_to_conduct_a_delphistudy.pdf</w:t>
        </w:r>
      </w:hyperlink>
    </w:p>
    <w:p w14:paraId="04EBE0FD" w14:textId="1666DBBE" w:rsidR="001B7B04" w:rsidRDefault="001B7B04" w:rsidP="00780F09">
      <w:r w:rsidRPr="001B7B04">
        <w:t>[</w:t>
      </w:r>
      <w:r w:rsidR="000C4D95">
        <w:t>6</w:t>
      </w:r>
      <w:r w:rsidRPr="001B7B04">
        <w:t xml:space="preserve">] </w:t>
      </w:r>
      <w:r w:rsidR="00B3571A">
        <w:t>E. Shinan</w:t>
      </w:r>
      <w:r w:rsidRPr="001B7B04">
        <w:t xml:space="preserve"> and Contributors, “Lark: A parsing toolkit for Python,” GitHub. [Online]. Ava</w:t>
      </w:r>
      <w:r>
        <w:t xml:space="preserve">ilable: </w:t>
      </w:r>
      <w:hyperlink r:id="rId16" w:history="1">
        <w:r w:rsidR="00B3571A" w:rsidRPr="003C4C17">
          <w:rPr>
            <w:rStyle w:val="Hyperlink"/>
          </w:rPr>
          <w:t>https://github.com/lark-parser/lark</w:t>
        </w:r>
      </w:hyperlink>
    </w:p>
    <w:p w14:paraId="002DF418" w14:textId="02611FEA" w:rsidR="00B3571A" w:rsidRDefault="00B3571A" w:rsidP="00780F09">
      <w:r>
        <w:t>[</w:t>
      </w:r>
      <w:r w:rsidR="000C4D95">
        <w:t>7</w:t>
      </w:r>
      <w:r>
        <w:t xml:space="preserve">] SAS Institute Inc., </w:t>
      </w:r>
      <w:r>
        <w:rPr>
          <w:i/>
          <w:iCs/>
        </w:rPr>
        <w:t xml:space="preserve">SAS® Studio: OnDemand for Academics. </w:t>
      </w:r>
      <w:r>
        <w:t xml:space="preserve">Cary, NC: SAS Institute Inc. [Online]. Available: </w:t>
      </w:r>
      <w:hyperlink r:id="rId17" w:history="1">
        <w:r w:rsidRPr="003C4C17">
          <w:rPr>
            <w:rStyle w:val="Hyperlink"/>
          </w:rPr>
          <w:t>https://www.sas.com/en_us/software/on-demand-for-academics.html</w:t>
        </w:r>
      </w:hyperlink>
    </w:p>
    <w:p w14:paraId="2C60C7E6" w14:textId="59B1EFD2" w:rsidR="004E2786" w:rsidRDefault="00A41BBE">
      <w:pPr>
        <w:pStyle w:val="Heading1"/>
      </w:pPr>
      <w:bookmarkStart w:id="13" w:name="_heading=h.hb5jtu4yn1aq" w:colFirst="0" w:colLast="0"/>
      <w:bookmarkEnd w:id="13"/>
      <w:r>
        <w:t>ACKNOWLEDGMENTS</w:t>
      </w:r>
    </w:p>
    <w:p w14:paraId="445C4A52" w14:textId="2176DCF6" w:rsidR="004E2786" w:rsidRPr="00A37411" w:rsidRDefault="00000000" w:rsidP="00A37411">
      <w:pPr>
        <w:widowControl/>
        <w:pBdr>
          <w:top w:val="nil"/>
          <w:left w:val="nil"/>
          <w:bottom w:val="nil"/>
          <w:right w:val="nil"/>
          <w:between w:val="nil"/>
        </w:pBdr>
        <w:spacing w:line="276" w:lineRule="auto"/>
      </w:pPr>
      <w:r w:rsidRPr="00A37411">
        <w:t>We would like to acknowledge SPP</w:t>
      </w:r>
      <w:r w:rsidR="00991100">
        <w:t xml:space="preserve"> and </w:t>
      </w:r>
      <w:r w:rsidR="00272427" w:rsidRPr="00A37411">
        <w:t>the Energy Information Authority (EIA</w:t>
      </w:r>
      <w:r w:rsidR="00991100">
        <w:t>)</w:t>
      </w:r>
      <w:r w:rsidR="00272427" w:rsidRPr="00A37411">
        <w:t xml:space="preserve"> </w:t>
      </w:r>
      <w:r w:rsidRPr="00A37411">
        <w:t xml:space="preserve">for providing </w:t>
      </w:r>
      <w:r w:rsidR="00272427" w:rsidRPr="00A37411">
        <w:t>sources</w:t>
      </w:r>
      <w:r w:rsidRPr="00A37411">
        <w:t xml:space="preserve"> of publicly available </w:t>
      </w:r>
      <w:r w:rsidR="00272427" w:rsidRPr="00A37411">
        <w:t xml:space="preserve">data </w:t>
      </w:r>
      <w:r w:rsidRPr="00A37411">
        <w:t xml:space="preserve">which made </w:t>
      </w:r>
      <w:r w:rsidR="00272427" w:rsidRPr="00A37411">
        <w:t>the construction and evaluation of this</w:t>
      </w:r>
      <w:r w:rsidRPr="00A37411">
        <w:t xml:space="preserve"> project possible.</w:t>
      </w:r>
      <w:r w:rsidR="00272427" w:rsidRPr="00A37411">
        <w:t xml:space="preserve"> Readers are encouraged to visit </w:t>
      </w:r>
      <w:r w:rsidR="00DF0451">
        <w:t>the</w:t>
      </w:r>
      <w:r w:rsidR="007C42E3">
        <w:t xml:space="preserve"> </w:t>
      </w:r>
      <w:r w:rsidR="009C3810">
        <w:t>following organizations’ websites</w:t>
      </w:r>
      <w:r w:rsidR="00272427" w:rsidRPr="00A37411">
        <w:t xml:space="preserve"> for more information</w:t>
      </w:r>
      <w:r w:rsidR="008F6C00" w:rsidRPr="00A37411">
        <w:t xml:space="preserve"> on </w:t>
      </w:r>
      <w:r w:rsidR="00EC1F75" w:rsidRPr="00A37411">
        <w:t xml:space="preserve">sources of </w:t>
      </w:r>
      <w:r w:rsidR="008F6C00" w:rsidRPr="00A37411">
        <w:t>energy data</w:t>
      </w:r>
      <w:r w:rsidR="00272427" w:rsidRPr="00A37411">
        <w:t>:</w:t>
      </w:r>
    </w:p>
    <w:p w14:paraId="69E0D1B8" w14:textId="77777777" w:rsidR="000001F4" w:rsidRDefault="00272427" w:rsidP="00D51B49">
      <w:pPr>
        <w:pStyle w:val="ListParagraph"/>
        <w:widowControl/>
        <w:numPr>
          <w:ilvl w:val="0"/>
          <w:numId w:val="10"/>
        </w:numPr>
        <w:pBdr>
          <w:top w:val="nil"/>
          <w:left w:val="nil"/>
          <w:bottom w:val="nil"/>
          <w:right w:val="nil"/>
          <w:between w:val="nil"/>
        </w:pBdr>
        <w:spacing w:line="276" w:lineRule="auto"/>
      </w:pPr>
      <w:r w:rsidRPr="00A37411">
        <w:t>SPP (</w:t>
      </w:r>
      <w:r w:rsidR="002037F5">
        <w:t>formerly</w:t>
      </w:r>
      <w:r w:rsidRPr="00A37411">
        <w:t xml:space="preserve"> Southwest Power Pool)</w:t>
      </w:r>
    </w:p>
    <w:p w14:paraId="68EB3525" w14:textId="798ABEBB" w:rsidR="00272427" w:rsidRPr="00A37411" w:rsidRDefault="000001F4" w:rsidP="000001F4">
      <w:pPr>
        <w:pStyle w:val="ListParagraph"/>
        <w:widowControl/>
        <w:numPr>
          <w:ilvl w:val="1"/>
          <w:numId w:val="10"/>
        </w:numPr>
        <w:pBdr>
          <w:top w:val="nil"/>
          <w:left w:val="nil"/>
          <w:bottom w:val="nil"/>
          <w:right w:val="nil"/>
          <w:between w:val="nil"/>
        </w:pBdr>
        <w:spacing w:line="276" w:lineRule="auto"/>
      </w:pPr>
      <w:hyperlink r:id="rId18" w:history="1">
        <w:r w:rsidRPr="00D0308B">
          <w:rPr>
            <w:rStyle w:val="Hyperlink"/>
          </w:rPr>
          <w:t>https://portal.spp.org/groups/integrated-marketplace</w:t>
        </w:r>
      </w:hyperlink>
    </w:p>
    <w:p w14:paraId="76B32FCF" w14:textId="77777777" w:rsidR="000001F4" w:rsidRDefault="00272427" w:rsidP="00F87451">
      <w:pPr>
        <w:pStyle w:val="ListParagraph"/>
        <w:widowControl/>
        <w:numPr>
          <w:ilvl w:val="0"/>
          <w:numId w:val="10"/>
        </w:numPr>
        <w:pBdr>
          <w:top w:val="nil"/>
          <w:left w:val="nil"/>
          <w:bottom w:val="nil"/>
          <w:right w:val="nil"/>
          <w:between w:val="nil"/>
        </w:pBdr>
        <w:spacing w:line="276" w:lineRule="auto"/>
      </w:pPr>
      <w:r w:rsidRPr="00A37411">
        <w:t xml:space="preserve">EIA </w:t>
      </w:r>
      <w:r w:rsidR="00F87451">
        <w:t>– The Energy Information Authority</w:t>
      </w:r>
    </w:p>
    <w:p w14:paraId="48136B6C" w14:textId="4E6C46D0" w:rsidR="00272427" w:rsidRPr="00A37411" w:rsidRDefault="00E71328" w:rsidP="000001F4">
      <w:pPr>
        <w:pStyle w:val="ListParagraph"/>
        <w:widowControl/>
        <w:numPr>
          <w:ilvl w:val="1"/>
          <w:numId w:val="10"/>
        </w:numPr>
        <w:pBdr>
          <w:top w:val="nil"/>
          <w:left w:val="nil"/>
          <w:bottom w:val="nil"/>
          <w:right w:val="nil"/>
          <w:between w:val="nil"/>
        </w:pBdr>
        <w:spacing w:line="276" w:lineRule="auto"/>
      </w:pPr>
      <w:hyperlink r:id="rId19" w:history="1">
        <w:r w:rsidRPr="00D0308B">
          <w:rPr>
            <w:rStyle w:val="Hyperlink"/>
          </w:rPr>
          <w:t>https://www.eia.gov/electricity/</w:t>
        </w:r>
      </w:hyperlink>
    </w:p>
    <w:p w14:paraId="03DFDCE3" w14:textId="07BE91CF" w:rsidR="00CE3BBA" w:rsidRPr="00A37411" w:rsidRDefault="00746334" w:rsidP="00CE3BBA">
      <w:pPr>
        <w:widowControl/>
        <w:pBdr>
          <w:top w:val="nil"/>
          <w:left w:val="nil"/>
          <w:bottom w:val="nil"/>
          <w:right w:val="nil"/>
          <w:between w:val="nil"/>
        </w:pBdr>
        <w:spacing w:line="276" w:lineRule="auto"/>
      </w:pPr>
      <w:r>
        <w:rPr>
          <w:rStyle w:val="Hyperlink"/>
          <w:color w:val="auto"/>
          <w:u w:val="none"/>
        </w:rPr>
        <w:t xml:space="preserve">We would also like to acknowledge the members of the EISG that volunteered to participate in the Delphi study. Their responses were instrumental in influencing the design of this language and its tooling. </w:t>
      </w:r>
      <w:r w:rsidR="00CE3BBA">
        <w:t>Additionally, Eric would like to acknowledge both Mark Rouse and Bartosz</w:t>
      </w:r>
      <w:r w:rsidR="00E206A8">
        <w:t xml:space="preserve"> “Bart”</w:t>
      </w:r>
      <w:r w:rsidR="00CE3BBA">
        <w:t xml:space="preserve"> </w:t>
      </w:r>
      <w:r w:rsidR="00CA2D8D" w:rsidRPr="00CA2D8D">
        <w:t>Jabłoński</w:t>
      </w:r>
      <w:r w:rsidR="00CA2D8D">
        <w:t xml:space="preserve"> </w:t>
      </w:r>
      <w:r w:rsidR="00CE3BBA">
        <w:t xml:space="preserve">for inspiring excitement within him </w:t>
      </w:r>
      <w:r w:rsidR="00EC64B7">
        <w:t>for</w:t>
      </w:r>
      <w:r w:rsidR="00CE3BBA">
        <w:t xml:space="preserve"> </w:t>
      </w:r>
      <w:r w:rsidR="00EC64B7">
        <w:t xml:space="preserve">learning </w:t>
      </w:r>
      <w:r w:rsidR="00CE3BBA">
        <w:t>SAS.</w:t>
      </w:r>
    </w:p>
    <w:p w14:paraId="3A7E299D" w14:textId="738857A7" w:rsidR="004E2786" w:rsidRDefault="00A41BBE">
      <w:pPr>
        <w:pStyle w:val="Heading1"/>
      </w:pPr>
      <w:bookmarkStart w:id="14" w:name="_heading=h.hs7c92y1og9i" w:colFirst="0" w:colLast="0"/>
      <w:bookmarkStart w:id="15" w:name="_heading=h.w80t7yem59fv" w:colFirst="0" w:colLast="0"/>
      <w:bookmarkEnd w:id="14"/>
      <w:bookmarkEnd w:id="15"/>
      <w:r>
        <w:t>CONTACT INFORMATION</w:t>
      </w:r>
    </w:p>
    <w:p w14:paraId="3F01C1E9" w14:textId="34A10101" w:rsidR="00B31888" w:rsidRPr="00A37411" w:rsidRDefault="00000000" w:rsidP="00A37411">
      <w:pPr>
        <w:widowControl/>
        <w:pBdr>
          <w:top w:val="nil"/>
          <w:left w:val="nil"/>
          <w:bottom w:val="nil"/>
          <w:right w:val="nil"/>
          <w:between w:val="nil"/>
        </w:pBdr>
        <w:spacing w:line="276" w:lineRule="auto"/>
      </w:pPr>
      <w:r w:rsidRPr="00A37411">
        <w:t>Your comments and questions are valued and encouraged. Contact the author(s) at:</w:t>
      </w:r>
    </w:p>
    <w:p w14:paraId="39A69478" w14:textId="1BDA45C3" w:rsidR="004E2786" w:rsidRPr="00A37411" w:rsidRDefault="00000000" w:rsidP="00274E7C">
      <w:pPr>
        <w:widowControl/>
        <w:pBdr>
          <w:top w:val="nil"/>
          <w:left w:val="nil"/>
          <w:bottom w:val="nil"/>
          <w:right w:val="nil"/>
          <w:between w:val="nil"/>
        </w:pBdr>
        <w:spacing w:line="276" w:lineRule="auto"/>
        <w:ind w:left="720"/>
      </w:pPr>
      <w:r w:rsidRPr="00A37411">
        <w:rPr>
          <w:b/>
          <w:bCs/>
        </w:rPr>
        <w:t>Eric Grasby</w:t>
      </w:r>
      <w:r w:rsidRPr="00A37411">
        <w:t xml:space="preserve"> </w:t>
      </w:r>
      <w:r w:rsidR="00A37411">
        <w:br/>
      </w:r>
      <w:r w:rsidRPr="00A37411">
        <w:t xml:space="preserve">Senior Market Monitor, </w:t>
      </w:r>
      <w:r w:rsidR="00200024">
        <w:t>SPP</w:t>
      </w:r>
      <w:r w:rsidRPr="00A37411">
        <w:t xml:space="preserve">, Inc. </w:t>
      </w:r>
      <w:r w:rsidR="00A37411">
        <w:br/>
      </w:r>
      <w:r w:rsidRPr="00A37411">
        <w:t>Doctoral Candidate, UA Little Rock, Department of Information Science</w:t>
      </w:r>
      <w:r w:rsidR="00A37411">
        <w:br/>
      </w:r>
      <w:hyperlink r:id="rId20" w:history="1">
        <w:r w:rsidR="00A37411" w:rsidRPr="004744C7">
          <w:rPr>
            <w:rStyle w:val="Hyperlink"/>
          </w:rPr>
          <w:t>ecgrasby@ualr.edu</w:t>
        </w:r>
      </w:hyperlink>
      <w:r w:rsidR="00A37411">
        <w:br/>
      </w:r>
      <w:hyperlink r:id="rId21" w:history="1">
        <w:r w:rsidR="00A37411" w:rsidRPr="004744C7">
          <w:rPr>
            <w:rStyle w:val="Hyperlink"/>
          </w:rPr>
          <w:t>https://linkedin.com/in/echarlesgrasby</w:t>
        </w:r>
      </w:hyperlink>
    </w:p>
    <w:p w14:paraId="720C0EEA" w14:textId="5A353338" w:rsidR="001369F6" w:rsidRDefault="00000000" w:rsidP="00274E7C">
      <w:pPr>
        <w:widowControl/>
        <w:pBdr>
          <w:top w:val="nil"/>
          <w:left w:val="nil"/>
          <w:bottom w:val="nil"/>
          <w:right w:val="nil"/>
          <w:between w:val="nil"/>
        </w:pBdr>
        <w:spacing w:line="276" w:lineRule="auto"/>
        <w:ind w:left="720"/>
      </w:pPr>
      <w:r w:rsidRPr="00A37411">
        <w:rPr>
          <w:b/>
          <w:bCs/>
        </w:rPr>
        <w:t>Daniel Berleant</w:t>
      </w:r>
      <w:r w:rsidR="006D607A">
        <w:rPr>
          <w:b/>
          <w:bCs/>
        </w:rPr>
        <w:t>, PhD</w:t>
      </w:r>
      <w:r w:rsidR="00A37411">
        <w:br/>
      </w:r>
      <w:r w:rsidRPr="00A37411">
        <w:t xml:space="preserve">Professor, </w:t>
      </w:r>
      <w:r w:rsidR="006D607A">
        <w:t>School of Computer and Information Science, UA Little Rock</w:t>
      </w:r>
      <w:r w:rsidR="00A37411">
        <w:br/>
      </w:r>
      <w:hyperlink r:id="rId22" w:history="1">
        <w:r w:rsidR="00A37411" w:rsidRPr="004744C7">
          <w:rPr>
            <w:rStyle w:val="Hyperlink"/>
          </w:rPr>
          <w:t>jdberleant@ualr.edu</w:t>
        </w:r>
      </w:hyperlink>
      <w:r w:rsidR="00A37411">
        <w:br/>
      </w:r>
      <w:hyperlink r:id="rId23" w:history="1">
        <w:r w:rsidR="00A37411" w:rsidRPr="004744C7">
          <w:rPr>
            <w:rStyle w:val="Hyperlink"/>
          </w:rPr>
          <w:t>https://www.linkedin.com/in/daniel-berleant-4938451/</w:t>
        </w:r>
      </w:hyperlink>
    </w:p>
    <w:p w14:paraId="7985CA43" w14:textId="7C3AB405" w:rsidR="00200024" w:rsidRDefault="00200024" w:rsidP="00200024">
      <w:pPr>
        <w:widowControl/>
        <w:pBdr>
          <w:top w:val="nil"/>
          <w:left w:val="nil"/>
          <w:bottom w:val="nil"/>
          <w:right w:val="nil"/>
          <w:between w:val="nil"/>
        </w:pBdr>
        <w:spacing w:line="276" w:lineRule="auto"/>
        <w:ind w:left="720"/>
      </w:pPr>
      <w:r>
        <w:rPr>
          <w:b/>
          <w:bCs/>
        </w:rPr>
        <w:t>Maria CB Gingras</w:t>
      </w:r>
      <w:r w:rsidR="006D607A">
        <w:rPr>
          <w:b/>
          <w:bCs/>
        </w:rPr>
        <w:t>, PhD</w:t>
      </w:r>
      <w:r>
        <w:br/>
      </w:r>
      <w:hyperlink r:id="rId24" w:history="1">
        <w:r w:rsidRPr="00A23572">
          <w:rPr>
            <w:rStyle w:val="Hyperlink"/>
          </w:rPr>
          <w:t>https://www.linkedin.com/in/mariacbrun/</w:t>
        </w:r>
      </w:hyperlink>
    </w:p>
    <w:p w14:paraId="08D99433" w14:textId="336A337D" w:rsidR="004E2786" w:rsidRDefault="00B354CE" w:rsidP="00B354CE">
      <w:pPr>
        <w:pStyle w:val="Heading1"/>
      </w:pPr>
      <w:bookmarkStart w:id="16" w:name="bookmark=id.a6vnkmwz2k3y" w:colFirst="0" w:colLast="0"/>
      <w:bookmarkStart w:id="17" w:name="_heading=h.ianfiendd7gt" w:colFirst="0" w:colLast="0"/>
      <w:bookmarkEnd w:id="16"/>
      <w:bookmarkEnd w:id="17"/>
      <w:r>
        <w:t>Appendix</w:t>
      </w:r>
    </w:p>
    <w:p w14:paraId="568C725B" w14:textId="610128A8" w:rsidR="00B354CE" w:rsidRDefault="00B354CE" w:rsidP="00B354CE">
      <w:r>
        <w:t>See</w:t>
      </w:r>
      <w:r w:rsidR="003751DD">
        <w:t xml:space="preserve"> </w:t>
      </w:r>
      <w:hyperlink r:id="rId25" w:history="1">
        <w:r w:rsidR="003751DD" w:rsidRPr="001419E7">
          <w:rPr>
            <w:rStyle w:val="Hyperlink"/>
          </w:rPr>
          <w:t>https://github.com/echarlesgrasby/seasug-2026-paper</w:t>
        </w:r>
      </w:hyperlink>
      <w:r w:rsidR="003751DD">
        <w:t xml:space="preserve"> </w:t>
      </w:r>
      <w:r>
        <w:t xml:space="preserve">for version-controlled copies </w:t>
      </w:r>
      <w:r w:rsidR="003751DD">
        <w:t>and examples of the DSL presented in this paper.</w:t>
      </w:r>
    </w:p>
    <w:p w14:paraId="2D788C30" w14:textId="0121ED27" w:rsidR="00B354CE" w:rsidRPr="00B354CE" w:rsidRDefault="00B354CE" w:rsidP="00B354CE"/>
    <w:sectPr w:rsidR="00B354CE" w:rsidRPr="00B354CE">
      <w:footerReference w:type="even" r:id="rId26"/>
      <w:footerReference w:type="default" r:id="rId27"/>
      <w:footerReference w:type="first" r:id="rId2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819BD" w14:textId="77777777" w:rsidR="001E7358" w:rsidRDefault="001E7358">
      <w:pPr>
        <w:spacing w:after="0"/>
      </w:pPr>
      <w:r>
        <w:separator/>
      </w:r>
    </w:p>
  </w:endnote>
  <w:endnote w:type="continuationSeparator" w:id="0">
    <w:p w14:paraId="7238D1EF" w14:textId="77777777" w:rsidR="001E7358" w:rsidRDefault="001E735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B9975FD7-8A48-4D92-AD6D-8AFDA936F5F6}"/>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FFAF147F-F3A7-4FEE-B3EB-BD739B53DFD1}"/>
  </w:font>
  <w:font w:name="Calibri">
    <w:panose1 w:val="020F0502020204030204"/>
    <w:charset w:val="00"/>
    <w:family w:val="swiss"/>
    <w:pitch w:val="variable"/>
    <w:sig w:usb0="E4002EFF" w:usb1="C200247B" w:usb2="00000009" w:usb3="00000000" w:csb0="000001FF" w:csb1="00000000"/>
    <w:embedRegular r:id="rId3" w:fontKey="{699767A4-287A-47E1-9DCA-AB08E281377E}"/>
  </w:font>
  <w:font w:name="Cambria">
    <w:panose1 w:val="02040503050406030204"/>
    <w:charset w:val="00"/>
    <w:family w:val="roman"/>
    <w:pitch w:val="variable"/>
    <w:sig w:usb0="E00006FF" w:usb1="420024FF" w:usb2="02000000" w:usb3="00000000" w:csb0="0000019F" w:csb1="00000000"/>
    <w:embedRegular r:id="rId4" w:fontKey="{B8154A3F-29EC-47FC-9D03-58BC5B78D2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B51FA" w14:textId="288A79D8" w:rsidR="004E2786" w:rsidRDefault="004E2786">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1C6B7" w14:textId="29186940" w:rsidR="004E2786" w:rsidRDefault="00000000">
    <w:pPr>
      <w:widowControl/>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CF6E3F">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ABF17" w14:textId="323EAA4F" w:rsidR="004E2786"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CF6E3F">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5150D" w14:textId="77777777" w:rsidR="001E7358" w:rsidRDefault="001E7358">
      <w:pPr>
        <w:spacing w:after="0"/>
      </w:pPr>
      <w:r>
        <w:separator/>
      </w:r>
    </w:p>
  </w:footnote>
  <w:footnote w:type="continuationSeparator" w:id="0">
    <w:p w14:paraId="52A8829B" w14:textId="77777777" w:rsidR="001E7358" w:rsidRDefault="001E7358">
      <w:pPr>
        <w:spacing w:after="0"/>
      </w:pPr>
      <w:r>
        <w:continuationSeparator/>
      </w:r>
    </w:p>
  </w:footnote>
  <w:footnote w:id="1">
    <w:p w14:paraId="21F534B0" w14:textId="6F363157" w:rsidR="00D30B43" w:rsidRPr="00D30B43" w:rsidRDefault="00D30B43">
      <w:pPr>
        <w:pStyle w:val="FootnoteText"/>
        <w:rPr>
          <w:lang w:val="en-US"/>
        </w:rPr>
      </w:pPr>
      <w:r>
        <w:rPr>
          <w:rStyle w:val="FootnoteReference"/>
        </w:rPr>
        <w:footnoteRef/>
      </w:r>
      <w:r>
        <w:t xml:space="preserve"> </w:t>
      </w:r>
      <w:r w:rsidRPr="00E73638">
        <w:rPr>
          <w:sz w:val="18"/>
          <w:szCs w:val="18"/>
        </w:rPr>
        <w:t xml:space="preserve">According to CFR 18 35.41 B. a </w:t>
      </w:r>
      <w:r w:rsidRPr="00E73638">
        <w:rPr>
          <w:i/>
          <w:iCs/>
          <w:sz w:val="18"/>
          <w:szCs w:val="18"/>
        </w:rPr>
        <w:t>seller</w:t>
      </w:r>
      <w:r w:rsidRPr="00E73638">
        <w:rPr>
          <w:sz w:val="18"/>
          <w:szCs w:val="18"/>
        </w:rPr>
        <w:t xml:space="preserve"> (market participant) “must provide accurate and factual information and not submit false or misleading </w:t>
      </w:r>
      <w:r w:rsidR="00E73638" w:rsidRPr="00E73638">
        <w:rPr>
          <w:sz w:val="18"/>
          <w:szCs w:val="18"/>
        </w:rPr>
        <w:t>information or</w:t>
      </w:r>
      <w:r w:rsidRPr="00E73638">
        <w:rPr>
          <w:sz w:val="18"/>
          <w:szCs w:val="18"/>
        </w:rPr>
        <w:t xml:space="preserve"> omit material information”</w:t>
      </w:r>
      <w:r w:rsidR="00E73638" w:rsidRPr="00E73638">
        <w:rPr>
          <w:sz w:val="18"/>
          <w:szCs w:val="18"/>
        </w:rPr>
        <w:t xml:space="preserve"> [</w:t>
      </w:r>
      <w:r w:rsidR="00103304">
        <w:rPr>
          <w:sz w:val="18"/>
          <w:szCs w:val="18"/>
        </w:rPr>
        <w:t>3</w:t>
      </w:r>
      <w:r w:rsidR="00E73638" w:rsidRPr="00E73638">
        <w:rPr>
          <w:sz w:val="18"/>
          <w:szCs w:val="18"/>
        </w:rPr>
        <w:t xml:space="preserve">] </w:t>
      </w:r>
      <w:r w:rsidRPr="00E73638">
        <w:rPr>
          <w:sz w:val="18"/>
          <w:szCs w:val="18"/>
        </w:rPr>
        <w:t>when communicating with either FERC or a market monitoring authority.</w:t>
      </w:r>
    </w:p>
  </w:footnote>
  <w:footnote w:id="2">
    <w:p w14:paraId="16195E7F" w14:textId="11609ACF" w:rsidR="00FC26B9" w:rsidRPr="00FC26B9" w:rsidRDefault="00FC26B9">
      <w:pPr>
        <w:pStyle w:val="FootnoteText"/>
        <w:rPr>
          <w:lang w:val="en-US"/>
        </w:rPr>
      </w:pPr>
      <w:r w:rsidRPr="008B2F0B">
        <w:rPr>
          <w:sz w:val="18"/>
          <w:szCs w:val="18"/>
          <w:vertAlign w:val="superscript"/>
        </w:rPr>
        <w:footnoteRef/>
      </w:r>
      <w:r w:rsidRPr="008B2F0B">
        <w:rPr>
          <w:sz w:val="18"/>
          <w:szCs w:val="18"/>
          <w:vertAlign w:val="superscript"/>
        </w:rPr>
        <w:t xml:space="preserve"> </w:t>
      </w:r>
      <w:r w:rsidR="00421041">
        <w:rPr>
          <w:sz w:val="18"/>
          <w:szCs w:val="18"/>
        </w:rPr>
        <w:t>A Delphi study</w:t>
      </w:r>
      <w:r w:rsidRPr="008B2F0B">
        <w:rPr>
          <w:sz w:val="18"/>
          <w:szCs w:val="18"/>
        </w:rPr>
        <w:t xml:space="preserve"> “is a research survey technique used as a way of collecting data from respondents within their domain of expertise.” </w:t>
      </w:r>
      <w:r w:rsidR="00B40364">
        <w:rPr>
          <w:sz w:val="18"/>
          <w:szCs w:val="18"/>
        </w:rPr>
        <w:t xml:space="preserve">Put plainly, it is a panel of experts that anonymously respond to survey questions. A researcher then analyzes their results to arrive at a consensus that serves as the solution to a problem. </w:t>
      </w:r>
      <w:r w:rsidRPr="008B2F0B">
        <w:rPr>
          <w:sz w:val="18"/>
          <w:szCs w:val="18"/>
        </w:rPr>
        <w:t>[</w:t>
      </w:r>
      <w:r w:rsidR="000C4D95">
        <w:rPr>
          <w:sz w:val="18"/>
          <w:szCs w:val="18"/>
        </w:rPr>
        <w:t>5</w:t>
      </w:r>
      <w:r w:rsidRPr="008B2F0B">
        <w:rPr>
          <w:sz w:val="18"/>
          <w:szCs w:val="18"/>
        </w:rPr>
        <w:t>]</w:t>
      </w:r>
    </w:p>
  </w:footnote>
  <w:footnote w:id="3">
    <w:p w14:paraId="01165BAB" w14:textId="1D1BD8DF" w:rsidR="00D51B49" w:rsidRPr="00D51B49" w:rsidRDefault="00D51B49">
      <w:pPr>
        <w:pStyle w:val="FootnoteText"/>
        <w:rPr>
          <w:lang w:val="en-US"/>
        </w:rPr>
      </w:pPr>
      <w:r w:rsidRPr="008B2F0B">
        <w:rPr>
          <w:sz w:val="18"/>
          <w:szCs w:val="18"/>
          <w:vertAlign w:val="superscript"/>
        </w:rPr>
        <w:footnoteRef/>
      </w:r>
      <w:r w:rsidRPr="00A37411">
        <w:rPr>
          <w:sz w:val="18"/>
          <w:szCs w:val="18"/>
        </w:rPr>
        <w:t xml:space="preserve"> The Energy Intermarket Surveillance Group (EISG) is the international, professional, conference of energy market monitors. Any given professional is a member of the EISG by virtue of working for an MMU that is an organizational member of the EISG.</w:t>
      </w:r>
    </w:p>
  </w:footnote>
  <w:footnote w:id="4">
    <w:p w14:paraId="45FD7435" w14:textId="467B6BC6" w:rsidR="00D51B49" w:rsidRPr="00D51B49" w:rsidRDefault="00D51B49">
      <w:pPr>
        <w:pStyle w:val="FootnoteText"/>
        <w:rPr>
          <w:lang w:val="en-US"/>
        </w:rPr>
      </w:pPr>
      <w:r w:rsidRPr="008B2F0B">
        <w:rPr>
          <w:sz w:val="18"/>
          <w:szCs w:val="18"/>
          <w:vertAlign w:val="superscript"/>
        </w:rPr>
        <w:footnoteRef/>
      </w:r>
      <w:r w:rsidRPr="00A37411">
        <w:rPr>
          <w:sz w:val="18"/>
          <w:szCs w:val="18"/>
        </w:rPr>
        <w:t xml:space="preserve"> The research protocol for this Delphi study was approved by the UA Little Rock Institutional Review Board. The research protocol and copy of the waiver of informed consent can be found in </w:t>
      </w:r>
      <w:hyperlink r:id="rId1" w:history="1">
        <w:r w:rsidRPr="00A37411">
          <w:rPr>
            <w:sz w:val="18"/>
            <w:szCs w:val="18"/>
          </w:rPr>
          <w:t>this</w:t>
        </w:r>
      </w:hyperlink>
      <w:r w:rsidRPr="00A37411">
        <w:rPr>
          <w:sz w:val="18"/>
          <w:szCs w:val="18"/>
        </w:rPr>
        <w:t xml:space="preserve"> GitHub repository: </w:t>
      </w:r>
      <w:hyperlink r:id="rId2" w:history="1">
        <w:r w:rsidRPr="005D0AEC">
          <w:rPr>
            <w:rStyle w:val="Hyperlink"/>
            <w:sz w:val="18"/>
            <w:szCs w:val="18"/>
          </w:rPr>
          <w:t>https://github.com/echarlesgrasby/dissertation/tree/master/ext</w:t>
        </w:r>
      </w:hyperlink>
      <w:r w:rsidRPr="005D0AEC">
        <w:rPr>
          <w:rStyle w:val="Hyperlink"/>
          <w:sz w:val="18"/>
          <w:szCs w:val="18"/>
        </w:rPr>
        <w:t>.</w:t>
      </w:r>
    </w:p>
  </w:footnote>
  <w:footnote w:id="5">
    <w:p w14:paraId="6148754B" w14:textId="7CA72CFE" w:rsidR="001713AA" w:rsidRPr="001713AA" w:rsidRDefault="001713AA">
      <w:pPr>
        <w:pStyle w:val="FootnoteText"/>
        <w:rPr>
          <w:lang w:val="en-US"/>
        </w:rPr>
      </w:pPr>
      <w:r w:rsidRPr="00732E47">
        <w:rPr>
          <w:sz w:val="18"/>
          <w:szCs w:val="18"/>
          <w:vertAlign w:val="superscript"/>
        </w:rPr>
        <w:footnoteRef/>
      </w:r>
      <w:r w:rsidRPr="001713AA">
        <w:rPr>
          <w:sz w:val="18"/>
          <w:szCs w:val="18"/>
        </w:rPr>
        <w:t xml:space="preserve"> Participants were allowed to select more than one role that applied to them (in </w:t>
      </w:r>
      <w:r w:rsidRPr="001713AA">
        <w:rPr>
          <w:sz w:val="18"/>
          <w:szCs w:val="18"/>
        </w:rPr>
        <w:fldChar w:fldCharType="begin"/>
      </w:r>
      <w:r w:rsidRPr="001713AA">
        <w:rPr>
          <w:sz w:val="18"/>
          <w:szCs w:val="18"/>
        </w:rPr>
        <w:instrText xml:space="preserve"> REF _Ref230939531 \h </w:instrText>
      </w:r>
      <w:r>
        <w:rPr>
          <w:sz w:val="18"/>
          <w:szCs w:val="18"/>
        </w:rPr>
        <w:instrText xml:space="preserve"> \* MERGEFORMAT </w:instrText>
      </w:r>
      <w:r w:rsidRPr="001713AA">
        <w:rPr>
          <w:sz w:val="18"/>
          <w:szCs w:val="18"/>
        </w:rPr>
      </w:r>
      <w:r w:rsidRPr="001713AA">
        <w:rPr>
          <w:sz w:val="18"/>
          <w:szCs w:val="18"/>
        </w:rPr>
        <w:fldChar w:fldCharType="separate"/>
      </w:r>
      <w:r w:rsidRPr="001713AA">
        <w:rPr>
          <w:sz w:val="18"/>
          <w:szCs w:val="18"/>
        </w:rPr>
        <w:t>Table 1</w:t>
      </w:r>
      <w:r w:rsidRPr="001713AA">
        <w:rPr>
          <w:sz w:val="18"/>
          <w:szCs w:val="18"/>
        </w:rPr>
        <w:fldChar w:fldCharType="end"/>
      </w:r>
      <w:r w:rsidRPr="001713AA">
        <w:rPr>
          <w:sz w:val="18"/>
          <w:szCs w:val="18"/>
        </w:rPr>
        <w:t>), so those that chose (Management) are also represented by other roles that they once performed.</w:t>
      </w:r>
    </w:p>
  </w:footnote>
  <w:footnote w:id="6">
    <w:p w14:paraId="13977EF1" w14:textId="2FBD25EB" w:rsidR="00670EED" w:rsidRPr="00670EED" w:rsidRDefault="00670EED">
      <w:pPr>
        <w:pStyle w:val="FootnoteText"/>
        <w:rPr>
          <w:lang w:val="en-US"/>
        </w:rPr>
      </w:pPr>
      <w:r>
        <w:rPr>
          <w:rStyle w:val="FootnoteReference"/>
        </w:rPr>
        <w:footnoteRef/>
      </w:r>
      <w:r>
        <w:t xml:space="preserve"> </w:t>
      </w:r>
      <w:r w:rsidRPr="00670EED">
        <w:rPr>
          <w:i/>
          <w:iCs/>
          <w:sz w:val="18"/>
          <w:szCs w:val="18"/>
        </w:rPr>
        <w:t>Thematic codes</w:t>
      </w:r>
      <w:r w:rsidRPr="00670EED">
        <w:rPr>
          <w:sz w:val="18"/>
          <w:szCs w:val="18"/>
        </w:rPr>
        <w:t xml:space="preserve"> are short descriptors attached to qualitative data that are used to identify the meaning of a phrase or response.</w:t>
      </w:r>
    </w:p>
  </w:footnote>
  <w:footnote w:id="7">
    <w:p w14:paraId="4EE2D8DB" w14:textId="346AE596" w:rsidR="00DE7CC9" w:rsidRPr="002D524E" w:rsidRDefault="00DE7CC9" w:rsidP="00DE7CC9">
      <w:pPr>
        <w:pStyle w:val="FootnoteText"/>
        <w:rPr>
          <w:lang w:val="en-US"/>
        </w:rPr>
      </w:pPr>
      <w:r w:rsidRPr="00BE567E">
        <w:rPr>
          <w:rStyle w:val="FootnoteReference"/>
          <w:sz w:val="18"/>
          <w:szCs w:val="18"/>
        </w:rPr>
        <w:footnoteRef/>
      </w:r>
      <w:r w:rsidRPr="00BE567E">
        <w:rPr>
          <w:sz w:val="18"/>
          <w:szCs w:val="18"/>
        </w:rPr>
        <w:t xml:space="preserve"> </w:t>
      </w:r>
      <w:r w:rsidRPr="00BE567E">
        <w:rPr>
          <w:sz w:val="18"/>
          <w:szCs w:val="18"/>
          <w:lang w:val="en-US"/>
        </w:rPr>
        <w:t xml:space="preserve">The terms </w:t>
      </w:r>
      <w:r w:rsidRPr="00BE567E">
        <w:rPr>
          <w:i/>
          <w:iCs/>
          <w:sz w:val="18"/>
          <w:szCs w:val="18"/>
          <w:lang w:val="en-US"/>
        </w:rPr>
        <w:t xml:space="preserve">lexing </w:t>
      </w:r>
      <w:r w:rsidRPr="00BE567E">
        <w:rPr>
          <w:sz w:val="18"/>
          <w:szCs w:val="18"/>
          <w:lang w:val="en-US"/>
        </w:rPr>
        <w:t xml:space="preserve">(tokenization) and </w:t>
      </w:r>
      <w:r w:rsidRPr="00BE567E">
        <w:rPr>
          <w:i/>
          <w:iCs/>
          <w:sz w:val="18"/>
          <w:szCs w:val="18"/>
          <w:lang w:val="en-US"/>
        </w:rPr>
        <w:t xml:space="preserve">parsing </w:t>
      </w:r>
      <w:r w:rsidRPr="00BE567E">
        <w:rPr>
          <w:sz w:val="18"/>
          <w:szCs w:val="18"/>
          <w:lang w:val="en-US"/>
        </w:rPr>
        <w:t xml:space="preserve">refer to distinct operations in computer science for working with text. A lexer takes an input string and </w:t>
      </w:r>
      <w:r w:rsidR="00056A63">
        <w:rPr>
          <w:sz w:val="18"/>
          <w:szCs w:val="18"/>
          <w:lang w:val="en-US"/>
        </w:rPr>
        <w:t>splits it</w:t>
      </w:r>
      <w:r>
        <w:rPr>
          <w:sz w:val="18"/>
          <w:szCs w:val="18"/>
          <w:lang w:val="en-US"/>
        </w:rPr>
        <w:t xml:space="preserve"> based up</w:t>
      </w:r>
      <w:r w:rsidRPr="00BE567E">
        <w:rPr>
          <w:sz w:val="18"/>
          <w:szCs w:val="18"/>
          <w:lang w:val="en-US"/>
        </w:rPr>
        <w:t xml:space="preserve">on a delimiter (usually a whitespace character) into atomic </w:t>
      </w:r>
      <w:r w:rsidRPr="00BE567E">
        <w:rPr>
          <w:i/>
          <w:iCs/>
          <w:sz w:val="18"/>
          <w:szCs w:val="18"/>
          <w:lang w:val="en-US"/>
        </w:rPr>
        <w:t xml:space="preserve">lexemes </w:t>
      </w:r>
      <w:r w:rsidRPr="00BE567E">
        <w:rPr>
          <w:sz w:val="18"/>
          <w:szCs w:val="18"/>
          <w:lang w:val="en-US"/>
        </w:rPr>
        <w:t xml:space="preserve">(e.g. </w:t>
      </w:r>
      <w:r w:rsidRPr="00BE567E">
        <w:rPr>
          <w:rFonts w:ascii="Courier New" w:hAnsi="Courier New" w:cs="Courier New"/>
          <w:sz w:val="18"/>
          <w:szCs w:val="18"/>
          <w:lang w:val="en-US"/>
        </w:rPr>
        <w:t>“Brenda was the best programmer amongst us”</w:t>
      </w:r>
      <w:r w:rsidRPr="00BE567E">
        <w:rPr>
          <w:sz w:val="18"/>
          <w:szCs w:val="18"/>
          <w:lang w:val="en-US"/>
        </w:rPr>
        <w:t xml:space="preserve"> would be “lexed” as : </w:t>
      </w:r>
      <w:r w:rsidRPr="00BE567E">
        <w:rPr>
          <w:rFonts w:ascii="Courier New" w:hAnsi="Courier New" w:cs="Courier New"/>
          <w:sz w:val="18"/>
          <w:szCs w:val="18"/>
          <w:lang w:val="en-US"/>
        </w:rPr>
        <w:t>[“Brenda”, “was”, “the”, “best”, “programmer”, “amongst”, “us”]</w:t>
      </w:r>
      <w:r w:rsidRPr="00BE567E">
        <w:rPr>
          <w:sz w:val="18"/>
          <w:szCs w:val="18"/>
          <w:lang w:val="en-US"/>
        </w:rPr>
        <w:t xml:space="preserve">). </w:t>
      </w:r>
      <w:r w:rsidRPr="00BE567E">
        <w:rPr>
          <w:i/>
          <w:iCs/>
          <w:sz w:val="18"/>
          <w:szCs w:val="18"/>
          <w:lang w:val="en-US"/>
        </w:rPr>
        <w:t xml:space="preserve">Parsing </w:t>
      </w:r>
      <w:r w:rsidRPr="00BE567E">
        <w:rPr>
          <w:sz w:val="18"/>
          <w:szCs w:val="18"/>
          <w:lang w:val="en-US"/>
        </w:rPr>
        <w:t xml:space="preserve">then takes this tokenized text and applies syntactic rules to </w:t>
      </w:r>
      <w:r>
        <w:rPr>
          <w:sz w:val="18"/>
          <w:szCs w:val="18"/>
          <w:lang w:val="en-US"/>
        </w:rPr>
        <w:t xml:space="preserve">it to develop a </w:t>
      </w:r>
      <w:r>
        <w:rPr>
          <w:i/>
          <w:iCs/>
          <w:sz w:val="18"/>
          <w:szCs w:val="18"/>
          <w:lang w:val="en-US"/>
        </w:rPr>
        <w:t xml:space="preserve">parse tree </w:t>
      </w:r>
      <w:r w:rsidRPr="00BE567E">
        <w:rPr>
          <w:sz w:val="18"/>
          <w:szCs w:val="18"/>
          <w:lang w:val="en-US"/>
        </w:rPr>
        <w:t>(i.e. identifying “Brenda” as the subject of the sentence</w:t>
      </w:r>
      <w:r w:rsidR="00056A63">
        <w:rPr>
          <w:sz w:val="18"/>
          <w:szCs w:val="18"/>
          <w:lang w:val="en-US"/>
        </w:rPr>
        <w:t>, “</w:t>
      </w:r>
      <w:r w:rsidRPr="00BE567E">
        <w:rPr>
          <w:sz w:val="18"/>
          <w:szCs w:val="18"/>
          <w:lang w:val="en-US"/>
        </w:rPr>
        <w:t>was” as the verb</w:t>
      </w:r>
      <w:r w:rsidR="00056A63">
        <w:rPr>
          <w:sz w:val="18"/>
          <w:szCs w:val="18"/>
          <w:lang w:val="en-US"/>
        </w:rPr>
        <w:t>, “programmer” as the direct object, etc.</w:t>
      </w:r>
      <w:r w:rsidRPr="00BE567E">
        <w:rPr>
          <w:sz w:val="18"/>
          <w:szCs w:val="18"/>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01BA"/>
    <w:multiLevelType w:val="multilevel"/>
    <w:tmpl w:val="B59238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A63BB3"/>
    <w:multiLevelType w:val="multilevel"/>
    <w:tmpl w:val="00E6B67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C9F6104"/>
    <w:multiLevelType w:val="hybridMultilevel"/>
    <w:tmpl w:val="4E42D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C83DB4"/>
    <w:multiLevelType w:val="hybridMultilevel"/>
    <w:tmpl w:val="378ECE44"/>
    <w:lvl w:ilvl="0" w:tplc="7F1614C6">
      <w:numFmt w:val="bullet"/>
      <w:lvlText w:val=""/>
      <w:lvlJc w:val="left"/>
      <w:pPr>
        <w:ind w:left="720" w:hanging="360"/>
      </w:pPr>
      <w:rPr>
        <w:rFonts w:ascii="Symbol" w:eastAsia="Arial"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8B48AC"/>
    <w:multiLevelType w:val="hybridMultilevel"/>
    <w:tmpl w:val="56CAE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BB7DE8"/>
    <w:multiLevelType w:val="hybridMultilevel"/>
    <w:tmpl w:val="F162F888"/>
    <w:lvl w:ilvl="0" w:tplc="CEA4063E">
      <w:start w:val="15"/>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3C521C"/>
    <w:multiLevelType w:val="multilevel"/>
    <w:tmpl w:val="8E70D5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6B742F8"/>
    <w:multiLevelType w:val="multilevel"/>
    <w:tmpl w:val="BF546C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71C70B9"/>
    <w:multiLevelType w:val="multilevel"/>
    <w:tmpl w:val="97E016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C7B73F5"/>
    <w:multiLevelType w:val="hybridMultilevel"/>
    <w:tmpl w:val="88942E30"/>
    <w:lvl w:ilvl="0" w:tplc="55587032">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DC7F55"/>
    <w:multiLevelType w:val="multilevel"/>
    <w:tmpl w:val="7730D7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7826104"/>
    <w:multiLevelType w:val="hybridMultilevel"/>
    <w:tmpl w:val="A10CB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624546"/>
    <w:multiLevelType w:val="multilevel"/>
    <w:tmpl w:val="81B0DB6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64D625FB"/>
    <w:multiLevelType w:val="multilevel"/>
    <w:tmpl w:val="F4921BF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6B003515"/>
    <w:multiLevelType w:val="multilevel"/>
    <w:tmpl w:val="664E26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D80218A"/>
    <w:multiLevelType w:val="hybridMultilevel"/>
    <w:tmpl w:val="61D6D1CC"/>
    <w:lvl w:ilvl="0" w:tplc="409E82DA">
      <w:start w:val="1"/>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4E4CF0"/>
    <w:multiLevelType w:val="hybridMultilevel"/>
    <w:tmpl w:val="D4EE5A78"/>
    <w:lvl w:ilvl="0" w:tplc="552E34CC">
      <w:numFmt w:val="bullet"/>
      <w:lvlText w:val=""/>
      <w:lvlJc w:val="left"/>
      <w:pPr>
        <w:ind w:left="720" w:hanging="360"/>
      </w:pPr>
      <w:rPr>
        <w:rFonts w:ascii="Symbol" w:eastAsia="Arial" w:hAnsi="Symbo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3659480">
    <w:abstractNumId w:val="13"/>
  </w:num>
  <w:num w:numId="2" w16cid:durableId="1403943416">
    <w:abstractNumId w:val="12"/>
  </w:num>
  <w:num w:numId="3" w16cid:durableId="1773236115">
    <w:abstractNumId w:val="14"/>
  </w:num>
  <w:num w:numId="4" w16cid:durableId="1238704721">
    <w:abstractNumId w:val="0"/>
  </w:num>
  <w:num w:numId="5" w16cid:durableId="1941133572">
    <w:abstractNumId w:val="7"/>
  </w:num>
  <w:num w:numId="6" w16cid:durableId="455293798">
    <w:abstractNumId w:val="6"/>
  </w:num>
  <w:num w:numId="7" w16cid:durableId="351998595">
    <w:abstractNumId w:val="1"/>
  </w:num>
  <w:num w:numId="8" w16cid:durableId="28146458">
    <w:abstractNumId w:val="10"/>
  </w:num>
  <w:num w:numId="9" w16cid:durableId="1734307518">
    <w:abstractNumId w:val="8"/>
  </w:num>
  <w:num w:numId="10" w16cid:durableId="1317219074">
    <w:abstractNumId w:val="16"/>
  </w:num>
  <w:num w:numId="11" w16cid:durableId="388695762">
    <w:abstractNumId w:val="11"/>
  </w:num>
  <w:num w:numId="12" w16cid:durableId="385569504">
    <w:abstractNumId w:val="2"/>
  </w:num>
  <w:num w:numId="13" w16cid:durableId="511409727">
    <w:abstractNumId w:val="4"/>
  </w:num>
  <w:num w:numId="14" w16cid:durableId="682245822">
    <w:abstractNumId w:val="3"/>
  </w:num>
  <w:num w:numId="15" w16cid:durableId="1163468922">
    <w:abstractNumId w:val="15"/>
  </w:num>
  <w:num w:numId="16" w16cid:durableId="629365131">
    <w:abstractNumId w:val="5"/>
  </w:num>
  <w:num w:numId="17" w16cid:durableId="18327934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786"/>
    <w:rsid w:val="000001F4"/>
    <w:rsid w:val="000303B0"/>
    <w:rsid w:val="00032006"/>
    <w:rsid w:val="0004045C"/>
    <w:rsid w:val="00053B8E"/>
    <w:rsid w:val="00054E66"/>
    <w:rsid w:val="00056A63"/>
    <w:rsid w:val="00062403"/>
    <w:rsid w:val="000A2FC6"/>
    <w:rsid w:val="000B5064"/>
    <w:rsid w:val="000C4D95"/>
    <w:rsid w:val="000D6BB7"/>
    <w:rsid w:val="000E0BDC"/>
    <w:rsid w:val="000E6AAF"/>
    <w:rsid w:val="000F214D"/>
    <w:rsid w:val="000F67E8"/>
    <w:rsid w:val="000F6EFC"/>
    <w:rsid w:val="001009F8"/>
    <w:rsid w:val="00101AC4"/>
    <w:rsid w:val="00103304"/>
    <w:rsid w:val="00104B48"/>
    <w:rsid w:val="0011120F"/>
    <w:rsid w:val="001369F6"/>
    <w:rsid w:val="001410C5"/>
    <w:rsid w:val="00141ABB"/>
    <w:rsid w:val="00142251"/>
    <w:rsid w:val="00161086"/>
    <w:rsid w:val="001713AA"/>
    <w:rsid w:val="00180B30"/>
    <w:rsid w:val="00183A63"/>
    <w:rsid w:val="0019374B"/>
    <w:rsid w:val="00194B59"/>
    <w:rsid w:val="00197D67"/>
    <w:rsid w:val="001A2E15"/>
    <w:rsid w:val="001A57BD"/>
    <w:rsid w:val="001A77EA"/>
    <w:rsid w:val="001B09FA"/>
    <w:rsid w:val="001B7B04"/>
    <w:rsid w:val="001E3178"/>
    <w:rsid w:val="001E7358"/>
    <w:rsid w:val="001F3A36"/>
    <w:rsid w:val="00200024"/>
    <w:rsid w:val="002037F5"/>
    <w:rsid w:val="00213202"/>
    <w:rsid w:val="00217A8E"/>
    <w:rsid w:val="00231EB7"/>
    <w:rsid w:val="00251110"/>
    <w:rsid w:val="002642C4"/>
    <w:rsid w:val="00272427"/>
    <w:rsid w:val="00274E7C"/>
    <w:rsid w:val="00283CA6"/>
    <w:rsid w:val="002A49BD"/>
    <w:rsid w:val="002B142E"/>
    <w:rsid w:val="002B78ED"/>
    <w:rsid w:val="002C60A1"/>
    <w:rsid w:val="002D08FC"/>
    <w:rsid w:val="002D4B97"/>
    <w:rsid w:val="002D524E"/>
    <w:rsid w:val="002D5DD6"/>
    <w:rsid w:val="002E0A71"/>
    <w:rsid w:val="00302CEF"/>
    <w:rsid w:val="0030657A"/>
    <w:rsid w:val="00316EE2"/>
    <w:rsid w:val="00321E9E"/>
    <w:rsid w:val="00340E59"/>
    <w:rsid w:val="003413DD"/>
    <w:rsid w:val="0035633C"/>
    <w:rsid w:val="003619D3"/>
    <w:rsid w:val="003751DD"/>
    <w:rsid w:val="0037596C"/>
    <w:rsid w:val="00383DBA"/>
    <w:rsid w:val="0039139A"/>
    <w:rsid w:val="003A6BF4"/>
    <w:rsid w:val="003B218D"/>
    <w:rsid w:val="003C2B06"/>
    <w:rsid w:val="003D05D7"/>
    <w:rsid w:val="003D1B82"/>
    <w:rsid w:val="003D27F8"/>
    <w:rsid w:val="003D2E09"/>
    <w:rsid w:val="00400DBB"/>
    <w:rsid w:val="00401F54"/>
    <w:rsid w:val="00421041"/>
    <w:rsid w:val="00423252"/>
    <w:rsid w:val="00425580"/>
    <w:rsid w:val="00434815"/>
    <w:rsid w:val="00446F61"/>
    <w:rsid w:val="00450730"/>
    <w:rsid w:val="0047763A"/>
    <w:rsid w:val="004917B8"/>
    <w:rsid w:val="00494A08"/>
    <w:rsid w:val="00494AE7"/>
    <w:rsid w:val="004E2786"/>
    <w:rsid w:val="00506905"/>
    <w:rsid w:val="005257AC"/>
    <w:rsid w:val="005451A2"/>
    <w:rsid w:val="005531C6"/>
    <w:rsid w:val="00556BEE"/>
    <w:rsid w:val="00556CF0"/>
    <w:rsid w:val="00570772"/>
    <w:rsid w:val="005713A6"/>
    <w:rsid w:val="00572267"/>
    <w:rsid w:val="005B1A13"/>
    <w:rsid w:val="005D0AEC"/>
    <w:rsid w:val="005D0DB1"/>
    <w:rsid w:val="005D3138"/>
    <w:rsid w:val="005D3F00"/>
    <w:rsid w:val="005E51FF"/>
    <w:rsid w:val="005F3580"/>
    <w:rsid w:val="005F76E9"/>
    <w:rsid w:val="006059CA"/>
    <w:rsid w:val="00620207"/>
    <w:rsid w:val="006324E6"/>
    <w:rsid w:val="00635BBB"/>
    <w:rsid w:val="00653B00"/>
    <w:rsid w:val="00655DBB"/>
    <w:rsid w:val="00657A61"/>
    <w:rsid w:val="00663B9B"/>
    <w:rsid w:val="00670EED"/>
    <w:rsid w:val="006834BA"/>
    <w:rsid w:val="006975FD"/>
    <w:rsid w:val="006A073E"/>
    <w:rsid w:val="006A18D6"/>
    <w:rsid w:val="006B7181"/>
    <w:rsid w:val="006C39F2"/>
    <w:rsid w:val="006C7854"/>
    <w:rsid w:val="006D607A"/>
    <w:rsid w:val="006E048C"/>
    <w:rsid w:val="006E5054"/>
    <w:rsid w:val="006E666C"/>
    <w:rsid w:val="006F1708"/>
    <w:rsid w:val="006F3785"/>
    <w:rsid w:val="00704659"/>
    <w:rsid w:val="00712D0D"/>
    <w:rsid w:val="007279A6"/>
    <w:rsid w:val="0073256C"/>
    <w:rsid w:val="00732E47"/>
    <w:rsid w:val="00746334"/>
    <w:rsid w:val="00772040"/>
    <w:rsid w:val="00780F09"/>
    <w:rsid w:val="00782DC7"/>
    <w:rsid w:val="00787294"/>
    <w:rsid w:val="00791A5C"/>
    <w:rsid w:val="007C0885"/>
    <w:rsid w:val="007C42E3"/>
    <w:rsid w:val="007D3117"/>
    <w:rsid w:val="007D3D32"/>
    <w:rsid w:val="007D5FCF"/>
    <w:rsid w:val="007E164B"/>
    <w:rsid w:val="007E7698"/>
    <w:rsid w:val="007F2B07"/>
    <w:rsid w:val="007F3390"/>
    <w:rsid w:val="00804933"/>
    <w:rsid w:val="008065C5"/>
    <w:rsid w:val="008608D0"/>
    <w:rsid w:val="0086437C"/>
    <w:rsid w:val="00884FF6"/>
    <w:rsid w:val="008A506B"/>
    <w:rsid w:val="008A5E3D"/>
    <w:rsid w:val="008B1EBE"/>
    <w:rsid w:val="008B2F0B"/>
    <w:rsid w:val="008B50D4"/>
    <w:rsid w:val="008F6539"/>
    <w:rsid w:val="008F6C00"/>
    <w:rsid w:val="009011E8"/>
    <w:rsid w:val="0090652A"/>
    <w:rsid w:val="0091181E"/>
    <w:rsid w:val="00924578"/>
    <w:rsid w:val="00927928"/>
    <w:rsid w:val="00934EAE"/>
    <w:rsid w:val="00945870"/>
    <w:rsid w:val="00946025"/>
    <w:rsid w:val="0096532F"/>
    <w:rsid w:val="00991100"/>
    <w:rsid w:val="0099643B"/>
    <w:rsid w:val="009A79F9"/>
    <w:rsid w:val="009C3810"/>
    <w:rsid w:val="009E4999"/>
    <w:rsid w:val="00A028CF"/>
    <w:rsid w:val="00A2176B"/>
    <w:rsid w:val="00A22327"/>
    <w:rsid w:val="00A24DC3"/>
    <w:rsid w:val="00A25726"/>
    <w:rsid w:val="00A27590"/>
    <w:rsid w:val="00A37411"/>
    <w:rsid w:val="00A41BBE"/>
    <w:rsid w:val="00A81360"/>
    <w:rsid w:val="00AB10CB"/>
    <w:rsid w:val="00AB3006"/>
    <w:rsid w:val="00AB6D6D"/>
    <w:rsid w:val="00AB7BDB"/>
    <w:rsid w:val="00AC6F55"/>
    <w:rsid w:val="00AD13C3"/>
    <w:rsid w:val="00AD193D"/>
    <w:rsid w:val="00AD74CA"/>
    <w:rsid w:val="00AE04C5"/>
    <w:rsid w:val="00AE6606"/>
    <w:rsid w:val="00B14128"/>
    <w:rsid w:val="00B14489"/>
    <w:rsid w:val="00B2634F"/>
    <w:rsid w:val="00B31888"/>
    <w:rsid w:val="00B320A9"/>
    <w:rsid w:val="00B354CE"/>
    <w:rsid w:val="00B3571A"/>
    <w:rsid w:val="00B40364"/>
    <w:rsid w:val="00B41458"/>
    <w:rsid w:val="00B52BBD"/>
    <w:rsid w:val="00B91DF1"/>
    <w:rsid w:val="00B926E3"/>
    <w:rsid w:val="00BC0833"/>
    <w:rsid w:val="00BC0D6A"/>
    <w:rsid w:val="00BD2735"/>
    <w:rsid w:val="00BD5420"/>
    <w:rsid w:val="00BD5F41"/>
    <w:rsid w:val="00BE567E"/>
    <w:rsid w:val="00C129D4"/>
    <w:rsid w:val="00C20441"/>
    <w:rsid w:val="00C226E8"/>
    <w:rsid w:val="00C26B71"/>
    <w:rsid w:val="00C27602"/>
    <w:rsid w:val="00C3445C"/>
    <w:rsid w:val="00C452D2"/>
    <w:rsid w:val="00C52410"/>
    <w:rsid w:val="00C5310A"/>
    <w:rsid w:val="00C5619F"/>
    <w:rsid w:val="00C64205"/>
    <w:rsid w:val="00C72A96"/>
    <w:rsid w:val="00C90ED4"/>
    <w:rsid w:val="00C93C4C"/>
    <w:rsid w:val="00C96758"/>
    <w:rsid w:val="00CA2D8D"/>
    <w:rsid w:val="00CA2FDD"/>
    <w:rsid w:val="00CA746F"/>
    <w:rsid w:val="00CA78FE"/>
    <w:rsid w:val="00CB20A7"/>
    <w:rsid w:val="00CD1E5D"/>
    <w:rsid w:val="00CD69CB"/>
    <w:rsid w:val="00CD7526"/>
    <w:rsid w:val="00CE3BBA"/>
    <w:rsid w:val="00CF6E3F"/>
    <w:rsid w:val="00D0051A"/>
    <w:rsid w:val="00D108E8"/>
    <w:rsid w:val="00D21BEF"/>
    <w:rsid w:val="00D21D2E"/>
    <w:rsid w:val="00D30B43"/>
    <w:rsid w:val="00D3625F"/>
    <w:rsid w:val="00D51B49"/>
    <w:rsid w:val="00D626DA"/>
    <w:rsid w:val="00D8028F"/>
    <w:rsid w:val="00DB5B90"/>
    <w:rsid w:val="00DE7CC9"/>
    <w:rsid w:val="00DF0451"/>
    <w:rsid w:val="00DF20E4"/>
    <w:rsid w:val="00E01A15"/>
    <w:rsid w:val="00E01A1F"/>
    <w:rsid w:val="00E02CA1"/>
    <w:rsid w:val="00E12D67"/>
    <w:rsid w:val="00E206A8"/>
    <w:rsid w:val="00E25AE7"/>
    <w:rsid w:val="00E33B4E"/>
    <w:rsid w:val="00E36D8F"/>
    <w:rsid w:val="00E4112C"/>
    <w:rsid w:val="00E51D22"/>
    <w:rsid w:val="00E71328"/>
    <w:rsid w:val="00E73638"/>
    <w:rsid w:val="00E94881"/>
    <w:rsid w:val="00EB213E"/>
    <w:rsid w:val="00EB7512"/>
    <w:rsid w:val="00EC1F75"/>
    <w:rsid w:val="00EC59DB"/>
    <w:rsid w:val="00EC64B7"/>
    <w:rsid w:val="00ED55FF"/>
    <w:rsid w:val="00EE64B0"/>
    <w:rsid w:val="00EF1280"/>
    <w:rsid w:val="00EF1BDA"/>
    <w:rsid w:val="00F01DD6"/>
    <w:rsid w:val="00F12928"/>
    <w:rsid w:val="00F12F7C"/>
    <w:rsid w:val="00F23743"/>
    <w:rsid w:val="00F37869"/>
    <w:rsid w:val="00F37EF2"/>
    <w:rsid w:val="00F466B3"/>
    <w:rsid w:val="00F478A2"/>
    <w:rsid w:val="00F47C60"/>
    <w:rsid w:val="00F53AE9"/>
    <w:rsid w:val="00F710AF"/>
    <w:rsid w:val="00F862FC"/>
    <w:rsid w:val="00F87451"/>
    <w:rsid w:val="00F93176"/>
    <w:rsid w:val="00FA5E8B"/>
    <w:rsid w:val="00FA7121"/>
    <w:rsid w:val="00FB0AF3"/>
    <w:rsid w:val="00FB0CD0"/>
    <w:rsid w:val="00FC10B1"/>
    <w:rsid w:val="00FC26B9"/>
    <w:rsid w:val="00FD368B"/>
    <w:rsid w:val="00FD7A45"/>
    <w:rsid w:val="00FE5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C4769"/>
  <w15:docId w15:val="{8CE77155-436E-41C3-A217-29C9A524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 w:eastAsia="en-US" w:bidi="ar-SA"/>
      </w:rPr>
    </w:rPrDefault>
    <w:pPrDefault>
      <w:pPr>
        <w:widowControl w:val="0"/>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526"/>
  </w:style>
  <w:style w:type="paragraph" w:styleId="Heading1">
    <w:name w:val="heading 1"/>
    <w:basedOn w:val="Normal"/>
    <w:next w:val="Normal"/>
    <w:uiPriority w:val="9"/>
    <w:qFormat/>
    <w:pPr>
      <w:spacing w:before="240"/>
      <w:outlineLvl w:val="0"/>
    </w:pPr>
    <w:rPr>
      <w:b/>
      <w:bCs/>
      <w:smallCaps/>
      <w:color w:val="548DD4"/>
      <w:sz w:val="24"/>
      <w:szCs w:val="24"/>
    </w:rPr>
  </w:style>
  <w:style w:type="paragraph" w:styleId="Heading2">
    <w:name w:val="heading 2"/>
    <w:basedOn w:val="Normal"/>
    <w:next w:val="Normal"/>
    <w:uiPriority w:val="9"/>
    <w:unhideWhenUsed/>
    <w:qFormat/>
    <w:pPr>
      <w:spacing w:before="180"/>
      <w:outlineLvl w:val="1"/>
    </w:pPr>
    <w:rPr>
      <w:b/>
      <w:bCs/>
      <w:smallCaps/>
      <w:sz w:val="22"/>
      <w:szCs w:val="22"/>
    </w:rPr>
  </w:style>
  <w:style w:type="paragraph" w:styleId="Heading3">
    <w:name w:val="heading 3"/>
    <w:basedOn w:val="Normal"/>
    <w:next w:val="Normal"/>
    <w:uiPriority w:val="9"/>
    <w:unhideWhenUsed/>
    <w:qFormat/>
    <w:pPr>
      <w:keepNext/>
      <w:spacing w:before="180"/>
      <w:outlineLvl w:val="2"/>
    </w:pPr>
    <w:rPr>
      <w:b/>
      <w:bCs/>
      <w:sz w:val="22"/>
      <w:szCs w:val="22"/>
    </w:rPr>
  </w:style>
  <w:style w:type="paragraph" w:styleId="Heading4">
    <w:name w:val="heading 4"/>
    <w:basedOn w:val="Normal"/>
    <w:next w:val="Normal"/>
    <w:uiPriority w:val="9"/>
    <w:unhideWhenUsed/>
    <w:qFormat/>
    <w:pPr>
      <w:keepNext/>
      <w:spacing w:before="120"/>
      <w:outlineLvl w:val="3"/>
    </w:pPr>
    <w:rPr>
      <w:b/>
      <w:bCs/>
      <w:i/>
      <w:iCs/>
      <w:sz w:val="22"/>
      <w:szCs w:val="22"/>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11120F"/>
    <w:rPr>
      <w:color w:val="0000FF" w:themeColor="hyperlink"/>
      <w:u w:val="single"/>
    </w:rPr>
  </w:style>
  <w:style w:type="character" w:styleId="UnresolvedMention">
    <w:name w:val="Unresolved Mention"/>
    <w:basedOn w:val="DefaultParagraphFont"/>
    <w:uiPriority w:val="99"/>
    <w:semiHidden/>
    <w:unhideWhenUsed/>
    <w:rsid w:val="0011120F"/>
    <w:rPr>
      <w:color w:val="605E5C"/>
      <w:shd w:val="clear" w:color="auto" w:fill="E1DFDD"/>
    </w:rPr>
  </w:style>
  <w:style w:type="paragraph" w:styleId="ListParagraph">
    <w:name w:val="List Paragraph"/>
    <w:basedOn w:val="Normal"/>
    <w:uiPriority w:val="34"/>
    <w:qFormat/>
    <w:rsid w:val="00272427"/>
    <w:pPr>
      <w:ind w:left="720"/>
      <w:contextualSpacing/>
    </w:pPr>
  </w:style>
  <w:style w:type="paragraph" w:styleId="FootnoteText">
    <w:name w:val="footnote text"/>
    <w:basedOn w:val="Normal"/>
    <w:link w:val="FootnoteTextChar"/>
    <w:uiPriority w:val="99"/>
    <w:semiHidden/>
    <w:unhideWhenUsed/>
    <w:rsid w:val="00D51B49"/>
    <w:pPr>
      <w:spacing w:after="0"/>
    </w:pPr>
    <w:rPr>
      <w:sz w:val="20"/>
      <w:szCs w:val="20"/>
    </w:rPr>
  </w:style>
  <w:style w:type="character" w:customStyle="1" w:styleId="FootnoteTextChar">
    <w:name w:val="Footnote Text Char"/>
    <w:basedOn w:val="DefaultParagraphFont"/>
    <w:link w:val="FootnoteText"/>
    <w:uiPriority w:val="99"/>
    <w:semiHidden/>
    <w:rsid w:val="00D51B49"/>
    <w:rPr>
      <w:sz w:val="20"/>
      <w:szCs w:val="20"/>
    </w:rPr>
  </w:style>
  <w:style w:type="character" w:styleId="FootnoteReference">
    <w:name w:val="footnote reference"/>
    <w:basedOn w:val="DefaultParagraphFont"/>
    <w:uiPriority w:val="99"/>
    <w:semiHidden/>
    <w:unhideWhenUsed/>
    <w:rsid w:val="00D51B49"/>
    <w:rPr>
      <w:vertAlign w:val="superscript"/>
    </w:rPr>
  </w:style>
  <w:style w:type="paragraph" w:styleId="Caption">
    <w:name w:val="caption"/>
    <w:basedOn w:val="Normal"/>
    <w:next w:val="Normal"/>
    <w:uiPriority w:val="35"/>
    <w:unhideWhenUsed/>
    <w:qFormat/>
    <w:rsid w:val="00054E66"/>
    <w:pPr>
      <w:spacing w:after="200"/>
    </w:pPr>
    <w:rPr>
      <w:i/>
      <w:iCs/>
      <w:color w:val="1F497D" w:themeColor="text2"/>
    </w:rPr>
  </w:style>
  <w:style w:type="table" w:styleId="TableGrid">
    <w:name w:val="Table Grid"/>
    <w:basedOn w:val="TableNormal"/>
    <w:uiPriority w:val="39"/>
    <w:rsid w:val="007E769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D1B82"/>
    <w:pPr>
      <w:tabs>
        <w:tab w:val="center" w:pos="4680"/>
        <w:tab w:val="right" w:pos="9360"/>
      </w:tabs>
      <w:spacing w:after="0"/>
    </w:pPr>
  </w:style>
  <w:style w:type="character" w:customStyle="1" w:styleId="HeaderChar">
    <w:name w:val="Header Char"/>
    <w:basedOn w:val="DefaultParagraphFont"/>
    <w:link w:val="Header"/>
    <w:uiPriority w:val="99"/>
    <w:rsid w:val="003D1B82"/>
  </w:style>
  <w:style w:type="character" w:styleId="FollowedHyperlink">
    <w:name w:val="FollowedHyperlink"/>
    <w:basedOn w:val="DefaultParagraphFont"/>
    <w:uiPriority w:val="99"/>
    <w:semiHidden/>
    <w:unhideWhenUsed/>
    <w:rsid w:val="003751D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ecfr.gov/current/title-18/chapter-I/subchapter-B/part-35/subpart-H/section-35.41" TargetMode="External"/><Relationship Id="rId18" Type="http://schemas.openxmlformats.org/officeDocument/2006/relationships/hyperlink" Target="https://portal.spp.org/groups/integrated-marketplace" TargetMode="External"/><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hyperlink" Target="https://linkedin.com/in/echarlesgrasby" TargetMode="External"/><Relationship Id="rId7" Type="http://schemas.openxmlformats.org/officeDocument/2006/relationships/footnotes" Target="footnotes.xml"/><Relationship Id="rId12" Type="http://schemas.openxmlformats.org/officeDocument/2006/relationships/hyperlink" Target="https://www.britannica.com/event/Enron-scandal/Downfall-and-bankruptcy" TargetMode="External"/><Relationship Id="rId17" Type="http://schemas.openxmlformats.org/officeDocument/2006/relationships/hyperlink" Target="https://www.sas.com/en_us/software/on-demand-for-academics.html" TargetMode="External"/><Relationship Id="rId25" Type="http://schemas.openxmlformats.org/officeDocument/2006/relationships/hyperlink" Target="https://github.com/echarlesgrasby/seasug-2026-paper" TargetMode="External"/><Relationship Id="rId2" Type="http://schemas.openxmlformats.org/officeDocument/2006/relationships/customXml" Target="../customXml/item2.xml"/><Relationship Id="rId16" Type="http://schemas.openxmlformats.org/officeDocument/2006/relationships/hyperlink" Target="https://github.com/lark-parser/lark" TargetMode="External"/><Relationship Id="rId20" Type="http://schemas.openxmlformats.org/officeDocument/2006/relationships/hyperlink" Target="mailto:ecgrasby@ualr.edu"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ornl.gov/blog/nils-stenvig-exploring-worlds-largest-machine" TargetMode="External"/><Relationship Id="rId24" Type="http://schemas.openxmlformats.org/officeDocument/2006/relationships/hyperlink" Target="https://www.linkedin.com/in/mariacbrun/" TargetMode="External"/><Relationship Id="rId5" Type="http://schemas.openxmlformats.org/officeDocument/2006/relationships/settings" Target="settings.xml"/><Relationship Id="rId15" Type="http://schemas.openxmlformats.org/officeDocument/2006/relationships/hyperlink" Target="https://www.cardiff.ac.uk/__data/assets/pdf_file/0010/1164961/how_to_conduct_a_delphistudy.pdf" TargetMode="External"/><Relationship Id="rId23" Type="http://schemas.openxmlformats.org/officeDocument/2006/relationships/hyperlink" Target="https://www.linkedin.com/in/daniel-berleant-4938451/" TargetMode="External"/><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yperlink" Target="https://www.eia.gov/electricity/"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berleant.github.io/papers/Mei_PMAPS04a.pdf" TargetMode="External"/><Relationship Id="rId22" Type="http://schemas.openxmlformats.org/officeDocument/2006/relationships/hyperlink" Target="mailto:jdberleant@ualr.edu" TargetMode="External"/><Relationship Id="rId27" Type="http://schemas.openxmlformats.org/officeDocument/2006/relationships/footer" Target="footer2.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2" Type="http://schemas.openxmlformats.org/officeDocument/2006/relationships/hyperlink" Target="https://github.com/echarlesgrasby/dissertation/tree/master/ext" TargetMode="External"/><Relationship Id="rId1" Type="http://schemas.openxmlformats.org/officeDocument/2006/relationships/hyperlink" Target="https://github.com/echarlesgrasby/dissertation/tree/master/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ET/+2Hr6+71DSXwqWa9yDy7fTQ==">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</go:docsCustomData>
</go:gDocsCustomXmlDataStorage>
</file>

<file path=customXml/itemProps1.xml><?xml version="1.0" encoding="utf-8"?>
<ds:datastoreItem xmlns:ds="http://schemas.openxmlformats.org/officeDocument/2006/customXml" ds:itemID="{37BA38DD-3339-4337-B129-D669332D8C7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e9692091-66b8-45b5-9087-387cbcef98ca}" enabled="1" method="Privileged" siteId="{3230926a-71b7-4370-a137-197badc066a2}" contentBits="0" removed="0"/>
</clbl:labelList>
</file>

<file path=docProps/app.xml><?xml version="1.0" encoding="utf-8"?>
<Properties xmlns="http://schemas.openxmlformats.org/officeDocument/2006/extended-properties" xmlns:vt="http://schemas.openxmlformats.org/officeDocument/2006/docPropsVTypes">
  <Template>Normal.dotm</Template>
  <TotalTime>1748</TotalTime>
  <Pages>7</Pages>
  <Words>3112</Words>
  <Characters>18180</Characters>
  <Application>Microsoft Office Word</Application>
  <DocSecurity>0</DocSecurity>
  <Lines>404</Lines>
  <Paragraphs>266</Paragraphs>
  <ScaleCrop>false</ScaleCrop>
  <HeadingPairs>
    <vt:vector size="2" baseType="variant">
      <vt:variant>
        <vt:lpstr>Title</vt:lpstr>
      </vt:variant>
      <vt:variant>
        <vt:i4>1</vt:i4>
      </vt:variant>
    </vt:vector>
  </HeadingPairs>
  <TitlesOfParts>
    <vt:vector size="1" baseType="lpstr">
      <vt:lpstr/>
    </vt:vector>
  </TitlesOfParts>
  <Company>Southwest Power Pool</Company>
  <LinksUpToDate>false</LinksUpToDate>
  <CharactersWithSpaces>21026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Eric Grasby</cp:lastModifiedBy>
  <cp:revision>323</cp:revision>
  <cp:lastPrinted>2026-06-29T20:51:00Z</cp:lastPrinted>
  <dcterms:created xsi:type="dcterms:W3CDTF">2026-05-26T17:29:00Z</dcterms:created>
  <dcterms:modified xsi:type="dcterms:W3CDTF">2026-08-05T22:53:00Z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0x010100A5347FA7F93F3C40B17393C6B2C5210B</vt:lpwstr>
  </property>
</Properties>
</file>