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eastAsia="Calibri"/>
          <w:b/>
          <w:i w:val="0"/>
          <w:color w:val="1A2332"/>
          <w:sz w:val="40"/>
        </w:rPr>
        <w:t>Roads ↔ Onyx ↔ Master Column Crosswalk</w:t>
      </w:r>
    </w:p>
    <w:p>
      <w:pPr>
        <w:spacing w:after="320"/>
      </w:pPr>
      <w:r>
        <w:rPr>
          <w:rFonts w:ascii="Calibri" w:hAnsi="Calibri" w:eastAsia="Calibri"/>
          <w:b w:val="0"/>
          <w:i/>
          <w:color w:val="5A6577"/>
          <w:sz w:val="22"/>
        </w:rPr>
        <w:t>Guide to the Excel file: Roads_Onyx_Master_Column_Crosswalk.xlsx</w:t>
      </w:r>
    </w:p>
    <w:p>
      <w:pPr>
        <w:pStyle w:val="Heading1"/>
      </w:pPr>
      <w:r>
        <w:rPr>
          <w:rFonts w:ascii="Calibri" w:hAnsi="Calibri" w:eastAsia="Calibri"/>
          <w:b/>
          <w:i w:val="0"/>
          <w:color w:val="0D6E6E"/>
          <w:sz w:val="32"/>
        </w:rPr>
        <w:t>1. Purpose</w:t>
      </w:r>
    </w:p>
    <w:p>
      <w:pPr>
        <w:spacing w:after="160" w:before="0"/>
      </w:pPr>
      <w:r>
        <w:rPr>
          <w:rFonts w:ascii="Calibri" w:hAnsi="Calibri" w:eastAsia="Calibri"/>
          <w:b w:val="0"/>
          <w:i w:val="0"/>
          <w:color w:val="1A2332"/>
          <w:sz w:val="22"/>
        </w:rPr>
        <w:t>This Excel workbook maps how the same operational data appears across three views that all pull from one master dispatch program. It shows which column in one view corresponds to which column in the others, and notes the formula or rule for each field.</w:t>
      </w:r>
    </w:p>
    <w:p>
      <w:pPr>
        <w:spacing w:after="80" w:before="0"/>
      </w:pPr>
      <w:r>
        <w:rPr>
          <w:rFonts w:ascii="Calibri" w:hAnsi="Calibri" w:eastAsia="Calibri"/>
          <w:b w:val="0"/>
          <w:i w:val="0"/>
          <w:color w:val="1A2332"/>
          <w:sz w:val="22"/>
        </w:rPr>
        <w:t>The three views are:</w:t>
      </w:r>
    </w:p>
    <w:p>
      <w:pPr>
        <w:pStyle w:val="ListBullet"/>
      </w:pPr>
      <w:r>
        <w:rPr>
          <w:rFonts w:ascii="Calibri" w:hAnsi="Calibri" w:eastAsia="Calibri"/>
          <w:b/>
          <w:i w:val="0"/>
          <w:sz w:val="22"/>
        </w:rPr>
        <w:t xml:space="preserve">Roads — </w:t>
      </w:r>
      <w:r>
        <w:rPr>
          <w:rFonts w:ascii="Calibri" w:hAnsi="Calibri" w:eastAsia="Calibri"/>
          <w:b w:val="0"/>
          <w:i w:val="0"/>
          <w:sz w:val="22"/>
        </w:rPr>
        <w:t>GSF Utilization Report (office-level rollup: utilization %, crews, sets, jobs, people saved).</w:t>
      </w:r>
    </w:p>
    <w:p>
      <w:pPr>
        <w:pStyle w:val="ListBullet"/>
      </w:pPr>
      <w:r>
        <w:rPr>
          <w:rFonts w:ascii="Calibri" w:hAnsi="Calibri" w:eastAsia="Calibri"/>
          <w:b/>
          <w:i w:val="0"/>
          <w:sz w:val="22"/>
        </w:rPr>
        <w:t xml:space="preserve">Onyx — </w:t>
      </w:r>
      <w:r>
        <w:rPr>
          <w:rFonts w:ascii="Calibri" w:hAnsi="Calibri" w:eastAsia="Calibri"/>
          <w:b w:val="0"/>
          <w:i w:val="0"/>
          <w:sz w:val="22"/>
        </w:rPr>
        <w:t>Daily dispatch extract (one row per ticket: client, staff requested/sent, saved, AFAD sent, etc.).</w:t>
      </w:r>
    </w:p>
    <w:p>
      <w:pPr>
        <w:pStyle w:val="ListBullet"/>
      </w:pPr>
      <w:r>
        <w:rPr>
          <w:rFonts w:ascii="Calibri" w:hAnsi="Calibri" w:eastAsia="Calibri"/>
          <w:b/>
          <w:i w:val="0"/>
          <w:sz w:val="22"/>
        </w:rPr>
        <w:t xml:space="preserve">Master — </w:t>
      </w:r>
      <w:r>
        <w:rPr>
          <w:rFonts w:ascii="Calibri" w:hAnsi="Calibri" w:eastAsia="Calibri"/>
          <w:b w:val="0"/>
          <w:i w:val="0"/>
          <w:sz w:val="22"/>
        </w:rPr>
        <w:t>Dispatch dashboard (job-level source: customer, job number, required, assignments, unfilled, GSF flag, etc.).</w:t>
      </w:r>
    </w:p>
    <w:p>
      <w:pPr>
        <w:pStyle w:val="Heading1"/>
      </w:pPr>
      <w:r>
        <w:rPr>
          <w:rFonts w:ascii="Calibri" w:hAnsi="Calibri" w:eastAsia="Calibri"/>
          <w:b/>
          <w:i w:val="0"/>
          <w:color w:val="0D6E6E"/>
          <w:sz w:val="32"/>
        </w:rPr>
        <w:t>2. How to read the Excel file</w:t>
      </w:r>
    </w:p>
    <w:p>
      <w:pPr>
        <w:spacing w:after="160" w:before="0"/>
      </w:pPr>
      <w:r>
        <w:rPr>
          <w:rFonts w:ascii="Calibri" w:hAnsi="Calibri" w:eastAsia="Calibri"/>
          <w:b w:val="0"/>
          <w:i w:val="0"/>
          <w:color w:val="1A2332"/>
          <w:sz w:val="22"/>
        </w:rPr>
        <w:t>On the “Column Crosswalk” sheet, each vertical column is one matched field group. Within each group the three views are stacked top to bottom:</w:t>
      </w:r>
    </w:p>
    <w:p>
      <w:pPr>
        <w:pStyle w:val="ListBullet"/>
      </w:pPr>
      <w:r>
        <w:rPr>
          <w:rFonts w:ascii="Calibri" w:hAnsi="Calibri" w:eastAsia="Calibri"/>
          <w:b/>
          <w:i w:val="0"/>
          <w:sz w:val="22"/>
        </w:rPr>
        <w:t>Roads column</w:t>
      </w:r>
      <w:r>
        <w:rPr>
          <w:rFonts w:ascii="Calibri" w:hAnsi="Calibri" w:eastAsia="Calibri"/>
          <w:b w:val="0"/>
          <w:i w:val="0"/>
          <w:sz w:val="22"/>
        </w:rPr>
        <w:t xml:space="preserve"> — column heading in bold; formula/rule in italic underneath</w:t>
      </w:r>
    </w:p>
    <w:p>
      <w:pPr>
        <w:pStyle w:val="ListBullet"/>
      </w:pPr>
      <w:r>
        <w:rPr>
          <w:rFonts w:ascii="Calibri" w:hAnsi="Calibri" w:eastAsia="Calibri"/>
          <w:b/>
          <w:i w:val="0"/>
          <w:sz w:val="22"/>
        </w:rPr>
        <w:t>cooresponding Onyx Column</w:t>
      </w:r>
      <w:r>
        <w:rPr>
          <w:rFonts w:ascii="Calibri" w:hAnsi="Calibri" w:eastAsia="Calibri"/>
          <w:b w:val="0"/>
          <w:i w:val="0"/>
          <w:sz w:val="22"/>
        </w:rPr>
        <w:t xml:space="preserve"> — column heading in bold; formula/rule in italic underneath</w:t>
      </w:r>
    </w:p>
    <w:p>
      <w:pPr>
        <w:pStyle w:val="ListBullet"/>
      </w:pPr>
      <w:r>
        <w:rPr>
          <w:rFonts w:ascii="Calibri" w:hAnsi="Calibri" w:eastAsia="Calibri"/>
          <w:b/>
          <w:i w:val="0"/>
          <w:sz w:val="22"/>
        </w:rPr>
        <w:t>Cooresponding Master Column</w:t>
      </w:r>
      <w:r>
        <w:rPr>
          <w:rFonts w:ascii="Calibri" w:hAnsi="Calibri" w:eastAsia="Calibri"/>
          <w:b w:val="0"/>
          <w:i w:val="0"/>
          <w:sz w:val="22"/>
        </w:rPr>
        <w:t xml:space="preserve"> — column heading in bold; formula/rule in italic underneath</w:t>
      </w:r>
    </w:p>
    <w:p>
      <w:pPr>
        <w:spacing w:after="160" w:before="0"/>
      </w:pPr>
      <w:r>
        <w:rPr>
          <w:rFonts w:ascii="Calibri" w:hAnsi="Calibri" w:eastAsia="Calibri"/>
          <w:b w:val="0"/>
          <w:i w:val="0"/>
          <w:color w:val="1A2332"/>
          <w:sz w:val="22"/>
        </w:rPr>
        <w:t>If a view has no matching field for that concept, that cell is left blank. That does not mean the data is missing from the business process — only that that particular report does not show it as its own column.</w:t>
      </w:r>
    </w:p>
    <w:p>
      <w:pPr>
        <w:spacing w:after="160" w:before="0"/>
      </w:pPr>
      <w:r>
        <w:rPr>
          <w:rFonts w:ascii="Calibri" w:hAnsi="Calibri" w:eastAsia="Calibri"/>
          <w:b w:val="0"/>
          <w:i w:val="0"/>
          <w:color w:val="1A2332"/>
          <w:sz w:val="22"/>
        </w:rPr>
        <w:t>There is also a “Legend &amp; Notes” sheet and a “Stacked List (vertical)” sheet with the same mappings in a taller, print-friendly layout.</w:t>
      </w:r>
    </w:p>
    <w:p>
      <w:pPr>
        <w:pStyle w:val="Heading1"/>
      </w:pPr>
      <w:r>
        <w:rPr>
          <w:rFonts w:ascii="Calibri" w:hAnsi="Calibri" w:eastAsia="Calibri"/>
          <w:b/>
          <w:i w:val="0"/>
          <w:color w:val="0D6E6E"/>
          <w:sz w:val="32"/>
        </w:rPr>
        <w:t>3. Key column correspondences</w:t>
      </w:r>
    </w:p>
    <w:p>
      <w:pPr>
        <w:pStyle w:val="Heading2"/>
      </w:pPr>
      <w:r>
        <w:rPr>
          <w:rFonts w:ascii="Calibri" w:hAnsi="Calibri" w:eastAsia="Calibri"/>
          <w:b/>
          <w:i w:val="0"/>
          <w:color w:val="0D6E6E"/>
          <w:sz w:val="26"/>
        </w:rPr>
        <w:t>Identity and location</w:t>
      </w:r>
    </w:p>
    <w:p>
      <w:pPr>
        <w:spacing w:after="80" w:before="0"/>
      </w:pPr>
      <w:r>
        <w:rPr>
          <w:rFonts w:ascii="Calibri" w:hAnsi="Calibri" w:eastAsia="Calibri"/>
          <w:b w:val="0"/>
          <w:i w:val="0"/>
          <w:color w:val="1A2332"/>
          <w:sz w:val="22"/>
        </w:rPr>
        <w:t>These fields identify the same job or place across systems: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sz w:val="20"/>
              </w:rPr>
              <w:t>Roads</w:t>
            </w:r>
          </w:p>
        </w:tc>
        <w:tc>
          <w:tcPr>
            <w:tcW w:type="dxa" w:w="3120"/>
          </w:tcPr>
          <w:p>
            <w:r>
              <w:rPr>
                <w:rFonts w:ascii="Calibri" w:hAnsi="Calibri" w:eastAsia="Calibri"/>
                <w:b/>
                <w:i w:val="0"/>
                <w:sz w:val="20"/>
              </w:rPr>
              <w:t>Onyx</w:t>
            </w:r>
          </w:p>
        </w:tc>
        <w:tc>
          <w:tcPr>
            <w:tcW w:type="dxa" w:w="3120"/>
          </w:tcPr>
          <w:p>
            <w:r>
              <w:rPr>
                <w:rFonts w:ascii="Calibri" w:hAnsi="Calibri" w:eastAsia="Calibri"/>
                <w:b/>
                <w:i w:val="0"/>
                <w:sz w:val="20"/>
              </w:rPr>
              <w:t>Master</w:t>
            </w:r>
          </w:p>
        </w:tc>
      </w:tr>
      <w:tr>
        <w:tc>
          <w:tcPr>
            <w:tcW w:type="dxa" w:w="3120"/>
          </w:tcPr>
          <w:p>
            <w:r>
              <w:rPr>
                <w:rFonts w:ascii="Calibri" w:hAnsi="Calibri" w:eastAsia="Calibri"/>
                <w:b w:val="0"/>
                <w:i w:val="0"/>
                <w:sz w:val="20"/>
              </w:rPr>
              <w:t>Offices</w:t>
            </w:r>
          </w:p>
        </w:tc>
        <w:tc>
          <w:tcPr>
            <w:tcW w:type="dxa" w:w="3120"/>
          </w:tcPr>
          <w:p>
            <w:r>
              <w:rPr>
                <w:rFonts w:ascii="Calibri" w:hAnsi="Calibri" w:eastAsia="Calibri"/>
                <w:b w:val="0"/>
                <w:i w:val="0"/>
                <w:sz w:val="20"/>
              </w:rPr>
              <w:t>Branch</w:t>
            </w:r>
          </w:p>
        </w:tc>
        <w:tc>
          <w:tcPr>
            <w:tcW w:type="dxa" w:w="3120"/>
          </w:tcPr>
          <w:p>
            <w:r>
              <w:rPr>
                <w:rFonts w:ascii="Calibri" w:hAnsi="Calibri" w:eastAsia="Calibri"/>
                <w:b w:val="0"/>
                <w:i w:val="0"/>
                <w:sz w:val="20"/>
              </w:rPr>
              <w:t>Dispatching</w:t>
            </w:r>
          </w:p>
        </w:tc>
      </w:tr>
      <w:tr>
        <w:tc>
          <w:tcPr>
            <w:tcW w:type="dxa" w:w="3120"/>
          </w:tcPr>
          <w:p>
            <w:r>
              <w:rPr>
                <w:rFonts w:ascii="Calibri" w:hAnsi="Calibri" w:eastAsia="Calibri"/>
                <w:b w:val="0"/>
                <w:i w:val="0"/>
                <w:sz w:val="20"/>
              </w:rPr>
              <w:t>(no ticket-level ID)</w:t>
            </w:r>
          </w:p>
        </w:tc>
        <w:tc>
          <w:tcPr>
            <w:tcW w:type="dxa" w:w="3120"/>
          </w:tcPr>
          <w:p>
            <w:r>
              <w:rPr>
                <w:rFonts w:ascii="Calibri" w:hAnsi="Calibri" w:eastAsia="Calibri"/>
                <w:b w:val="0"/>
                <w:i w:val="0"/>
                <w:sz w:val="20"/>
              </w:rPr>
              <w:t>Ticket #</w:t>
            </w:r>
          </w:p>
        </w:tc>
        <w:tc>
          <w:tcPr>
            <w:tcW w:type="dxa" w:w="3120"/>
          </w:tcPr>
          <w:p>
            <w:r>
              <w:rPr>
                <w:rFonts w:ascii="Calibri" w:hAnsi="Calibri" w:eastAsia="Calibri"/>
                <w:b w:val="0"/>
                <w:i w:val="0"/>
                <w:sz w:val="20"/>
              </w:rPr>
              <w:t>Job Number</w:t>
            </w:r>
          </w:p>
        </w:tc>
      </w:tr>
      <w:tr>
        <w:tc>
          <w:tcPr>
            <w:tcW w:type="dxa" w:w="3120"/>
          </w:tcPr>
          <w:p>
            <w:r>
              <w:rPr>
                <w:rFonts w:ascii="Calibri" w:hAnsi="Calibri" w:eastAsia="Calibri"/>
                <w:b w:val="0"/>
                <w:i w:val="0"/>
                <w:sz w:val="20"/>
              </w:rPr>
              <w:t>(blank)</w:t>
            </w:r>
          </w:p>
        </w:tc>
        <w:tc>
          <w:tcPr>
            <w:tcW w:type="dxa" w:w="3120"/>
          </w:tcPr>
          <w:p>
            <w:r>
              <w:rPr>
                <w:rFonts w:ascii="Calibri" w:hAnsi="Calibri" w:eastAsia="Calibri"/>
                <w:b w:val="0"/>
                <w:i w:val="0"/>
                <w:sz w:val="20"/>
              </w:rPr>
              <w:t>Client</w:t>
            </w:r>
          </w:p>
        </w:tc>
        <w:tc>
          <w:tcPr>
            <w:tcW w:type="dxa" w:w="3120"/>
          </w:tcPr>
          <w:p>
            <w:r>
              <w:rPr>
                <w:rFonts w:ascii="Calibri" w:hAnsi="Calibri" w:eastAsia="Calibri"/>
                <w:b w:val="0"/>
                <w:i w:val="0"/>
                <w:sz w:val="20"/>
              </w:rPr>
              <w:t>Customer</w:t>
            </w:r>
          </w:p>
        </w:tc>
      </w:tr>
      <w:tr>
        <w:tc>
          <w:tcPr>
            <w:tcW w:type="dxa" w:w="3120"/>
          </w:tcPr>
          <w:p>
            <w:r>
              <w:rPr>
                <w:rFonts w:ascii="Calibri" w:hAnsi="Calibri" w:eastAsia="Calibri"/>
                <w:b w:val="0"/>
                <w:i w:val="0"/>
                <w:sz w:val="20"/>
              </w:rPr>
              <w:t>(blank)</w:t>
            </w:r>
          </w:p>
        </w:tc>
        <w:tc>
          <w:tcPr>
            <w:tcW w:type="dxa" w:w="3120"/>
          </w:tcPr>
          <w:p>
            <w:r>
              <w:rPr>
                <w:rFonts w:ascii="Calibri" w:hAnsi="Calibri" w:eastAsia="Calibri"/>
                <w:b w:val="0"/>
                <w:i w:val="0"/>
                <w:sz w:val="20"/>
              </w:rPr>
              <w:t>Job Type</w:t>
            </w:r>
          </w:p>
        </w:tc>
        <w:tc>
          <w:tcPr>
            <w:tcW w:type="dxa" w:w="3120"/>
          </w:tcPr>
          <w:p>
            <w:r>
              <w:rPr>
                <w:rFonts w:ascii="Calibri" w:hAnsi="Calibri" w:eastAsia="Calibri"/>
                <w:b w:val="0"/>
                <w:i w:val="0"/>
                <w:sz w:val="20"/>
              </w:rPr>
              <w:t>Job Type</w:t>
            </w:r>
          </w:p>
        </w:tc>
      </w:tr>
    </w:tbl>
    <w:p>
      <w:pPr>
        <w:spacing w:after="160" w:before="0"/>
      </w:pPr>
      <w:r>
        <w:rPr>
          <w:rFonts w:ascii="Calibri" w:hAnsi="Calibri" w:eastAsia="Calibri"/>
          <w:b w:val="0"/>
          <w:i w:val="0"/>
          <w:color w:val="1A2332"/>
          <w:sz w:val="22"/>
        </w:rPr>
      </w:r>
    </w:p>
    <w:p>
      <w:pPr>
        <w:spacing w:after="160"/>
      </w:pPr>
      <w:r>
        <w:rPr>
          <w:rFonts w:ascii="Calibri" w:hAnsi="Calibri" w:eastAsia="Calibri"/>
          <w:b/>
          <w:i w:val="0"/>
          <w:color w:val="1A2332"/>
          <w:sz w:val="22"/>
        </w:rPr>
        <w:t xml:space="preserve">Important: </w:t>
      </w:r>
      <w:r>
        <w:rPr>
          <w:rFonts w:ascii="Calibri" w:hAnsi="Calibri" w:eastAsia="Calibri"/>
          <w:b w:val="0"/>
          <w:i w:val="0"/>
          <w:color w:val="1A2332"/>
          <w:sz w:val="22"/>
        </w:rPr>
        <w:t xml:space="preserve">Job Number (Master) and Ticket # (Onyx) are the same identifier. </w:t>
      </w:r>
      <w:r>
        <w:rPr>
          <w:rFonts w:ascii="Calibri" w:hAnsi="Calibri" w:eastAsia="Calibri"/>
          <w:b/>
          <w:i w:val="0"/>
          <w:color w:val="1A2332"/>
          <w:sz w:val="22"/>
        </w:rPr>
        <w:t>WO Number (Master) is different</w:t>
      </w:r>
      <w:r>
        <w:rPr>
          <w:rFonts w:ascii="Calibri" w:hAnsi="Calibri" w:eastAsia="Calibri"/>
          <w:b w:val="0"/>
          <w:i w:val="0"/>
          <w:color w:val="1A2332"/>
          <w:sz w:val="22"/>
        </w:rPr>
        <w:t xml:space="preserve"> — it is the customer work-order / EWO reference, not the internal job ID.</w:t>
      </w:r>
    </w:p>
    <w:p>
      <w:pPr>
        <w:pStyle w:val="Heading2"/>
      </w:pPr>
      <w:r>
        <w:rPr>
          <w:rFonts w:ascii="Calibri" w:hAnsi="Calibri" w:eastAsia="Calibri"/>
          <w:b/>
          <w:i w:val="0"/>
          <w:color w:val="0D6E6E"/>
          <w:sz w:val="26"/>
        </w:rPr>
        <w:t>Staffing</w:t>
      </w:r>
    </w:p>
    <w:p>
      <w:pPr>
        <w:spacing w:after="160" w:before="0"/>
      </w:pPr>
      <w:r>
        <w:rPr>
          <w:rFonts w:ascii="Calibri" w:hAnsi="Calibri" w:eastAsia="Calibri"/>
          <w:b w:val="0"/>
          <w:i w:val="0"/>
          <w:color w:val="1A2332"/>
          <w:sz w:val="22"/>
        </w:rPr>
        <w:t>Master Required lines up with Onyx Total Staff Requested. Master Assignments lines up with Onyx Total Staff Sent conceptually, but they do not always match numerically (Onyx sometimes includes shadows or extras). Roads Total Crews and Flagging Crews are rollups of sent/assigned staff for an office and period.</w:t>
      </w:r>
    </w:p>
    <w:p>
      <w:pPr>
        <w:spacing w:after="160"/>
      </w:pPr>
      <w:r>
        <w:rPr>
          <w:rFonts w:ascii="Calibri" w:hAnsi="Calibri" w:eastAsia="Calibri"/>
          <w:b w:val="0"/>
          <w:i w:val="0"/>
          <w:color w:val="1A2332"/>
          <w:sz w:val="22"/>
        </w:rPr>
        <w:t xml:space="preserve">Do not equate </w:t>
      </w:r>
      <w:r>
        <w:rPr>
          <w:rFonts w:ascii="Calibri" w:hAnsi="Calibri" w:eastAsia="Calibri"/>
          <w:b/>
          <w:i w:val="0"/>
          <w:color w:val="1A2332"/>
          <w:sz w:val="22"/>
        </w:rPr>
        <w:t>Master Unfilled</w:t>
      </w:r>
      <w:r>
        <w:rPr>
          <w:rFonts w:ascii="Calibri" w:hAnsi="Calibri" w:eastAsia="Calibri"/>
          <w:b w:val="0"/>
          <w:i w:val="0"/>
          <w:color w:val="1A2332"/>
          <w:sz w:val="22"/>
        </w:rPr>
        <w:t xml:space="preserve"> with </w:t>
      </w:r>
      <w:r>
        <w:rPr>
          <w:rFonts w:ascii="Calibri" w:hAnsi="Calibri" w:eastAsia="Calibri"/>
          <w:b/>
          <w:i w:val="0"/>
          <w:color w:val="1A2332"/>
          <w:sz w:val="22"/>
        </w:rPr>
        <w:t>Onyx Total Saved</w:t>
      </w:r>
      <w:r>
        <w:rPr>
          <w:rFonts w:ascii="Calibri" w:hAnsi="Calibri" w:eastAsia="Calibri"/>
          <w:b w:val="0"/>
          <w:i w:val="0"/>
          <w:color w:val="1A2332"/>
          <w:sz w:val="22"/>
        </w:rPr>
        <w:t xml:space="preserve">. Unfilled is about open assignment slots; Total Saved is </w:t>
      </w:r>
      <w:r>
        <w:rPr>
          <w:rFonts w:ascii="Calibri" w:hAnsi="Calibri" w:eastAsia="Calibri"/>
          <w:b w:val="0"/>
          <w:i/>
          <w:color w:val="1A2332"/>
          <w:sz w:val="22"/>
        </w:rPr>
        <w:t>max(0, Requested − Sent)</w:t>
      </w:r>
      <w:r>
        <w:rPr>
          <w:rFonts w:ascii="Calibri" w:hAnsi="Calibri" w:eastAsia="Calibri"/>
          <w:b w:val="0"/>
          <w:i w:val="0"/>
          <w:color w:val="1A2332"/>
          <w:sz w:val="22"/>
        </w:rPr>
        <w:t>.</w:t>
      </w:r>
    </w:p>
    <w:p>
      <w:pPr>
        <w:pStyle w:val="Heading2"/>
      </w:pPr>
      <w:r>
        <w:rPr>
          <w:rFonts w:ascii="Calibri" w:hAnsi="Calibri" w:eastAsia="Calibri"/>
          <w:b/>
          <w:i w:val="0"/>
          <w:color w:val="0D6E6E"/>
          <w:sz w:val="26"/>
        </w:rPr>
        <w:t>GSF / AFAD</w:t>
      </w:r>
    </w:p>
    <w:p>
      <w:pPr>
        <w:spacing w:after="160" w:before="0"/>
      </w:pPr>
      <w:r>
        <w:rPr>
          <w:rFonts w:ascii="Calibri" w:hAnsi="Calibri" w:eastAsia="Calibri"/>
          <w:b w:val="0"/>
          <w:i w:val="0"/>
          <w:color w:val="1A2332"/>
          <w:sz w:val="22"/>
        </w:rPr>
        <w:t>Master GSF Yes/No corresponds to Onyx Ticket Type = GSF. Roads GSF Jobs is a count of those GSF tickets; Total Jobs is a count of all tickets. Onyx AFAD Sent feeds Roads GSF In Field Sets (summed). The Master dashboard view reviewed here does not show an AFAD count column.</w:t>
      </w:r>
    </w:p>
    <w:p>
      <w:pPr>
        <w:spacing w:after="160"/>
      </w:pPr>
      <w:r>
        <w:rPr>
          <w:rFonts w:ascii="Calibri" w:hAnsi="Calibri" w:eastAsia="Calibri"/>
          <w:b/>
          <w:i w:val="0"/>
          <w:color w:val="1A2332"/>
          <w:sz w:val="22"/>
        </w:rPr>
        <w:t>Roads People Saved equals GSF In Field Sets</w:t>
      </w:r>
      <w:r>
        <w:rPr>
          <w:rFonts w:ascii="Calibri" w:hAnsi="Calibri" w:eastAsia="Calibri"/>
          <w:b w:val="0"/>
          <w:i w:val="0"/>
          <w:color w:val="1A2332"/>
          <w:sz w:val="22"/>
        </w:rPr>
        <w:t xml:space="preserve"> — it is not the sum of Onyx Total Saved.</w:t>
      </w:r>
    </w:p>
    <w:p>
      <w:pPr>
        <w:pStyle w:val="Heading1"/>
      </w:pPr>
      <w:r>
        <w:rPr>
          <w:rFonts w:ascii="Calibri" w:hAnsi="Calibri" w:eastAsia="Calibri"/>
          <w:b/>
          <w:i w:val="0"/>
          <w:color w:val="0D6E6E"/>
          <w:sz w:val="32"/>
        </w:rPr>
        <w:t>4. Roads-only calculated columns</w:t>
      </w:r>
    </w:p>
    <w:p>
      <w:pPr>
        <w:spacing w:after="80" w:before="0"/>
      </w:pPr>
      <w:r>
        <w:rPr>
          <w:rFonts w:ascii="Calibri" w:hAnsi="Calibri" w:eastAsia="Calibri"/>
          <w:b w:val="0"/>
          <w:i w:val="0"/>
          <w:color w:val="1A2332"/>
          <w:sz w:val="22"/>
        </w:rPr>
        <w:t>These percentages exist on the Roads (utilization) report only. They are computed from the rolled-up inputs:</w:t>
      </w:r>
    </w:p>
    <w:p>
      <w:pPr>
        <w:pStyle w:val="ListBullet"/>
      </w:pPr>
      <w:r>
        <w:rPr>
          <w:rFonts w:ascii="Calibri" w:hAnsi="Calibri" w:eastAsia="Calibri"/>
          <w:b/>
          <w:i w:val="0"/>
          <w:sz w:val="22"/>
        </w:rPr>
        <w:t xml:space="preserve">GSF Utilization %: </w:t>
      </w:r>
      <w:r>
        <w:rPr>
          <w:rFonts w:ascii="Calibri" w:hAnsi="Calibri" w:eastAsia="Calibri"/>
          <w:b w:val="0"/>
          <w:i/>
          <w:sz w:val="22"/>
        </w:rPr>
        <w:t>GSF In Field Sets ÷ GSF Sets on Hand</w:t>
      </w:r>
    </w:p>
    <w:p>
      <w:pPr>
        <w:pStyle w:val="ListBullet"/>
      </w:pPr>
      <w:r>
        <w:rPr>
          <w:rFonts w:ascii="Calibri" w:hAnsi="Calibri" w:eastAsia="Calibri"/>
          <w:b/>
          <w:i w:val="0"/>
          <w:sz w:val="22"/>
        </w:rPr>
        <w:t xml:space="preserve">GSF infield set / total jobs %: </w:t>
      </w:r>
      <w:r>
        <w:rPr>
          <w:rFonts w:ascii="Calibri" w:hAnsi="Calibri" w:eastAsia="Calibri"/>
          <w:b w:val="0"/>
          <w:i/>
          <w:sz w:val="22"/>
        </w:rPr>
        <w:t>GSF Jobs ÷ Total Jobs</w:t>
      </w:r>
    </w:p>
    <w:p>
      <w:pPr>
        <w:pStyle w:val="ListBullet"/>
      </w:pPr>
      <w:r>
        <w:rPr>
          <w:rFonts w:ascii="Calibri" w:hAnsi="Calibri" w:eastAsia="Calibri"/>
          <w:b/>
          <w:i w:val="0"/>
          <w:sz w:val="22"/>
        </w:rPr>
        <w:t xml:space="preserve">GSF Integration (Crews) %: </w:t>
      </w:r>
      <w:r>
        <w:rPr>
          <w:rFonts w:ascii="Calibri" w:hAnsi="Calibri" w:eastAsia="Calibri"/>
          <w:b w:val="0"/>
          <w:i/>
          <w:sz w:val="22"/>
        </w:rPr>
        <w:t>GSF Sets on Hand ÷ Flagging Crews</w:t>
      </w:r>
    </w:p>
    <w:p>
      <w:pPr>
        <w:pStyle w:val="ListBullet"/>
      </w:pPr>
      <w:r>
        <w:rPr>
          <w:rFonts w:ascii="Calibri" w:hAnsi="Calibri" w:eastAsia="Calibri"/>
          <w:b/>
          <w:i w:val="0"/>
          <w:sz w:val="22"/>
        </w:rPr>
        <w:t xml:space="preserve">GSF Fulfillment Crews %: </w:t>
      </w:r>
      <w:r>
        <w:rPr>
          <w:rFonts w:ascii="Calibri" w:hAnsi="Calibri" w:eastAsia="Calibri"/>
          <w:b w:val="0"/>
          <w:i/>
          <w:sz w:val="22"/>
        </w:rPr>
        <w:t>GSF In Field Sets ÷ Flagging Crews</w:t>
      </w:r>
    </w:p>
    <w:p>
      <w:pPr>
        <w:pStyle w:val="ListBullet"/>
      </w:pPr>
      <w:r>
        <w:rPr>
          <w:rFonts w:ascii="Calibri" w:hAnsi="Calibri" w:eastAsia="Calibri"/>
          <w:b/>
          <w:i w:val="0"/>
          <w:sz w:val="22"/>
        </w:rPr>
        <w:t xml:space="preserve">People Saved: </w:t>
      </w:r>
      <w:r>
        <w:rPr>
          <w:rFonts w:ascii="Calibri" w:hAnsi="Calibri" w:eastAsia="Calibri"/>
          <w:b w:val="0"/>
          <w:i/>
          <w:sz w:val="22"/>
        </w:rPr>
        <w:t>Same value as GSF In Field Sets</w:t>
      </w:r>
    </w:p>
    <w:p>
      <w:pPr>
        <w:spacing w:after="160" w:before="0"/>
      </w:pPr>
      <w:r>
        <w:rPr>
          <w:rFonts w:ascii="Calibri" w:hAnsi="Calibri" w:eastAsia="Calibri"/>
          <w:b w:val="0"/>
          <w:i w:val="0"/>
          <w:color w:val="1A2332"/>
          <w:sz w:val="22"/>
        </w:rPr>
        <w:t>Company Total rows on Roads sum the numeric inputs, then recompute these percentages from the totals (they are not averages of office percentages).</w:t>
      </w:r>
    </w:p>
    <w:p>
      <w:pPr>
        <w:pStyle w:val="Heading1"/>
      </w:pPr>
      <w:r>
        <w:rPr>
          <w:rFonts w:ascii="Calibri" w:hAnsi="Calibri" w:eastAsia="Calibri"/>
          <w:b/>
          <w:i w:val="0"/>
          <w:color w:val="0D6E6E"/>
          <w:sz w:val="32"/>
        </w:rPr>
        <w:t>5. Consistency findings (Beaver Falls, Oct 5, 2026)</w:t>
      </w:r>
    </w:p>
    <w:p>
      <w:pPr>
        <w:spacing w:after="160" w:before="0"/>
      </w:pPr>
      <w:r>
        <w:rPr>
          <w:rFonts w:ascii="Calibri" w:hAnsi="Calibri" w:eastAsia="Calibri"/>
          <w:b w:val="0"/>
          <w:i w:val="0"/>
          <w:color w:val="1A2332"/>
          <w:sz w:val="22"/>
        </w:rPr>
        <w:t>When Master and Onyx were compared ticket-by-ticket for Beaver Falls on that day:</w:t>
      </w:r>
    </w:p>
    <w:p>
      <w:pPr>
        <w:pStyle w:val="ListBullet"/>
      </w:pPr>
      <w:r>
        <w:rPr>
          <w:rFonts w:ascii="Calibri" w:hAnsi="Calibri" w:eastAsia="Calibri"/>
          <w:b w:val="0"/>
          <w:i w:val="0"/>
          <w:sz w:val="22"/>
        </w:rPr>
        <w:t>28 of 28 Master jobs appeared on Onyx by Job Number = Ticket # (plus one Onyx-only ticket: 004862-129).</w:t>
      </w:r>
    </w:p>
    <w:p>
      <w:pPr>
        <w:pStyle w:val="ListBullet"/>
      </w:pPr>
      <w:r>
        <w:rPr>
          <w:rFonts w:ascii="Calibri" w:hAnsi="Calibri" w:eastAsia="Calibri"/>
          <w:b w:val="0"/>
          <w:i w:val="0"/>
          <w:sz w:val="22"/>
        </w:rPr>
        <w:t>Customer/Client, Job Type, Branch/Dispatching, and GSF flag lined up.</w:t>
      </w:r>
    </w:p>
    <w:p>
      <w:pPr>
        <w:pStyle w:val="ListBullet"/>
      </w:pPr>
      <w:r>
        <w:rPr>
          <w:rFonts w:ascii="Calibri" w:hAnsi="Calibri" w:eastAsia="Calibri"/>
          <w:b w:val="0"/>
          <w:i w:val="0"/>
          <w:sz w:val="22"/>
        </w:rPr>
        <w:t>22 tickets matched Required/Requested and Assignments/Sent exactly; 6 differed (often shadows/extras on Onyx, and both GSF jobs had different headcounts).</w:t>
      </w:r>
    </w:p>
    <w:p>
      <w:pPr>
        <w:pStyle w:val="ListBullet"/>
      </w:pPr>
      <w:r>
        <w:rPr>
          <w:rFonts w:ascii="Calibri" w:hAnsi="Calibri" w:eastAsia="Calibri"/>
          <w:b w:val="0"/>
          <w:i w:val="0"/>
          <w:sz w:val="22"/>
        </w:rPr>
        <w:t>Master Unfilled was 0 on every row; Onyx Total Saved totaled 1 — confirming different definitions.</w:t>
      </w:r>
    </w:p>
    <w:p>
      <w:pPr>
        <w:pStyle w:val="ListBullet"/>
      </w:pPr>
      <w:r>
        <w:rPr>
          <w:rFonts w:ascii="Calibri" w:hAnsi="Calibri" w:eastAsia="Calibri"/>
          <w:b w:val="0"/>
          <w:i w:val="0"/>
          <w:sz w:val="22"/>
        </w:rPr>
        <w:t>Onyx AFAD Sent totaled 4; that column is not on the Master view that was reviewed.</w:t>
      </w:r>
    </w:p>
    <w:p>
      <w:pPr>
        <w:pStyle w:val="Heading1"/>
      </w:pPr>
      <w:r>
        <w:rPr>
          <w:rFonts w:ascii="Calibri" w:hAnsi="Calibri" w:eastAsia="Calibri"/>
          <w:b/>
          <w:i w:val="0"/>
          <w:color w:val="0D6E6E"/>
          <w:sz w:val="32"/>
        </w:rPr>
        <w:t>6. What’s in the workbook</w:t>
      </w:r>
    </w:p>
    <w:p>
      <w:pPr>
        <w:pStyle w:val="ListBullet"/>
      </w:pPr>
      <w:r>
        <w:rPr>
          <w:rFonts w:ascii="Calibri" w:hAnsi="Calibri" w:eastAsia="Calibri"/>
          <w:b/>
          <w:i w:val="0"/>
          <w:sz w:val="22"/>
        </w:rPr>
        <w:t xml:space="preserve">Column Crosswalk — </w:t>
      </w:r>
      <w:r>
        <w:rPr>
          <w:rFonts w:ascii="Calibri" w:hAnsi="Calibri" w:eastAsia="Calibri"/>
          <w:b w:val="0"/>
          <w:i w:val="0"/>
          <w:sz w:val="22"/>
        </w:rPr>
        <w:t>Main sheet: stacked Roads / Onyx / Master headings (bold) and formulas (italic).</w:t>
      </w:r>
    </w:p>
    <w:p>
      <w:pPr>
        <w:pStyle w:val="ListBullet"/>
      </w:pPr>
      <w:r>
        <w:rPr>
          <w:rFonts w:ascii="Calibri" w:hAnsi="Calibri" w:eastAsia="Calibri"/>
          <w:b/>
          <w:i w:val="0"/>
          <w:sz w:val="22"/>
        </w:rPr>
        <w:t xml:space="preserve">Legend &amp; Notes — </w:t>
      </w:r>
      <w:r>
        <w:rPr>
          <w:rFonts w:ascii="Calibri" w:hAnsi="Calibri" w:eastAsia="Calibri"/>
          <w:b w:val="0"/>
          <w:i w:val="0"/>
          <w:sz w:val="22"/>
        </w:rPr>
        <w:t>How to read the file and known caveats.</w:t>
      </w:r>
    </w:p>
    <w:p>
      <w:pPr>
        <w:pStyle w:val="ListBullet"/>
      </w:pPr>
      <w:r>
        <w:rPr>
          <w:rFonts w:ascii="Calibri" w:hAnsi="Calibri" w:eastAsia="Calibri"/>
          <w:b/>
          <w:i w:val="0"/>
          <w:sz w:val="22"/>
        </w:rPr>
        <w:t xml:space="preserve">Stacked List (vertical) — </w:t>
      </w:r>
      <w:r>
        <w:rPr>
          <w:rFonts w:ascii="Calibri" w:hAnsi="Calibri" w:eastAsia="Calibri"/>
          <w:b w:val="0"/>
          <w:i w:val="0"/>
          <w:sz w:val="22"/>
        </w:rPr>
        <w:t>Same mappings arranged down the page for easier printing.</w:t>
      </w:r>
    </w:p>
    <w:p>
      <w:pPr>
        <w:pStyle w:val="Heading1"/>
      </w:pPr>
      <w:r>
        <w:rPr>
          <w:rFonts w:ascii="Calibri" w:hAnsi="Calibri" w:eastAsia="Calibri"/>
          <w:b/>
          <w:i w:val="0"/>
          <w:color w:val="0D6E6E"/>
          <w:sz w:val="32"/>
        </w:rPr>
        <w:t>7. Related files</w:t>
      </w:r>
    </w:p>
    <w:p>
      <w:pPr>
        <w:spacing w:after="160" w:before="0"/>
      </w:pPr>
      <w:r>
        <w:rPr>
          <w:rFonts w:ascii="Calibri" w:hAnsi="Calibri" w:eastAsia="Calibri"/>
          <w:b w:val="0"/>
          <w:i w:val="0"/>
          <w:color w:val="1A2332"/>
          <w:sz w:val="22"/>
        </w:rPr>
        <w:t>Companion Excel file: Roads_Onyx_Master_Column_Crosswalk.xlsx. This Word document explains what that spreadsheet shows; it does not replace it.</w:t>
      </w:r>
    </w:p>
    <w:p>
      <w:r>
        <w:rPr>
          <w:rFonts w:ascii="Calibri" w:hAnsi="Calibri" w:eastAsia="Calibri"/>
          <w:b w:val="0"/>
          <w:i/>
          <w:color w:val="5A6577"/>
          <w:sz w:val="18"/>
        </w:rPr>
        <w:t>Prepared to accompany the Roads / Onyx / Master column mapping for GSF utilization and daily dispatch reporting.</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