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A2332"/>
          <w:sz w:val="36"/>
        </w:rPr>
        <w:t>Column Crosswalk Guide (no repeated columns)</w:t>
      </w:r>
    </w:p>
    <w:p>
      <w:r>
        <w:rPr>
          <w:rFonts w:ascii="Calibri" w:hAnsi="Calibri" w:eastAsia="Calibri"/>
          <w:b w:val="0"/>
          <w:i/>
          <w:color w:val="5A6577"/>
          <w:sz w:val="22"/>
        </w:rPr>
        <w:t>Each Roads, Onyx, and Master column name appears only once in the Excel file.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Rules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Paired stacks = real correspondences across systems.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SOLO columns = field has no twin; other rows in that stack are blank.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No column heading is reused in a second Excel column.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Staffing (deliberately not double-mapped)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Requested Resources ↔ Total Staff Requested only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Required Resources ↔ Required only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Assignment Count ↔ Total Staff Sent ↔ Assignments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Unfilled Count ↔ Unfilled only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Total Saved stands alone (different formula from Unfilled)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Other important pairs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Job Number ↔ Ticket # ↔ Job Number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GSF Job ↔ Ticket Type ↔ GSF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GSF AFAD ↔ AFAD Sent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Dispatching ↔ Branch ↔ Dispatching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Job Location Name ↔ Location ↔ Job Location (Address is Roads-only)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Timesheets ↔ Notes (Project Notes is Roads-only)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