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30"/>
          <w:szCs w:val="30"/>
        </w:rPr>
        <w:t xml:space="preserve">Adaptive Multi-Tier RAG Cost Optimization for Enterprise LLM Systems: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30"/>
          <w:szCs w:val="30"/>
        </w:rPr>
        <w:t xml:space="preserve">Architecture, Benchmarking, and Production Case Studies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Ranjan Kumar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Independent AI Systems Researcher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Email: rk@amrco-research.org</w:t>
      </w:r>
    </w:p>
    <w:p>
      <w:pPr>
        <w:spacing w:after="200"/>
      </w:pPr>
      <w:r>
        <w:t xml:space="preserve"/>
      </w:r>
    </w:p>
    <w:p>
      <w:pPr>
        <w:pBdr>
          <w:bottom w:val="single" w:color="00629B" w:sz="3"/>
        </w:pBdr>
        <w:spacing w:after="80"/>
      </w:pPr>
      <w:r>
        <w:rPr>
          <w:rFonts w:ascii="Times New Roman" w:cs="Times New Roman" w:eastAsia="Times New Roman" w:hAnsi="Times New Roman"/>
          <w:b/>
          <w:bCs/>
          <w:color w:val="003865"/>
          <w:sz w:val="22"/>
          <w:szCs w:val="22"/>
        </w:rPr>
        <w:t xml:space="preserve">Abstract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enterprise deployment of Large Language Models (LLMs) at scale introduces three critical challenges: inference costs that escalate nonlinearly with usage, hallucination rates of 15–25% in domain-specific applications, and retrieval bottlenecks in knowledge-augmented pipelines. Existing literature addresses these challenges in isolation, leaving practitioners without actionable, empirically validated integrated frameworks. This paper presents the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Adaptive Multi-Tier RAG Cost Optimization (AMRCO) framework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 production architecture combining a formal query routing decision algorithm, three-tier model cascading, and hybrid retrieval. AMRCO is formally specified with a mathematical cost model and routing objective. We evaluate four production LLMs—GPT-4o, Claude 3.5 Sonnet, Gemini 1.5 Pro, and Llama 3 (8B and 70B)—across five standard benchmarks: HotpotQA, Natural Questions, MMLU, TruthfulQA, and FinanceBench. All experiments use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=1,000 samples per condition with 95% confidence intervals via 10,000-iteration bootstrap resampling and pairwise Wilcoxon signed-rank tests. Reproducible code and data are released at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github.com/[author]/amrco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Experimental results show AMRCO achieves an 89.2% inference cost reduction relative to GPT-4o-only deployment, a hallucination rate of 4.4% (financial domain, hybrid RAG) versus 6.0% for GPT-4o standalone, and MMLU accuracy of 79.6% at $2.31/1M tokens. A 6-month longitudinal production case study at a Fortune 500 financial services institution demonstrates 41% monthly cost reduction, 82.8% hallucination rate reduction (22.1% → 3.8%), and 12-month ROI of 244%.</w:t>
      </w:r>
    </w:p>
    <w:p>
      <w:pPr>
        <w:spacing w:after="60"/>
      </w:pPr>
      <w: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Index Terms—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Large Language Models, Retrieval-Augmented Generation, Cost Optimization, Hallucination Mitigation, Multi-Tier Architecture, Query Routing, Enterprise AI, FinanceBench, MMLU, TruthfulQA</w:t>
      </w:r>
    </w:p>
    <w:p>
      <w:pPr>
        <w:spacing w:after="160"/>
      </w:pPr>
      <w:r>
        <w:t xml:space="preserve"/>
      </w:r>
    </w:p>
    <w:p>
      <w:pPr>
        <w:pBdr>
          <w:bottom w:val="single" w:color="00629B" w:sz="3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3865"/>
          <w:sz w:val="22"/>
          <w:szCs w:val="22"/>
        </w:rPr>
        <w:t xml:space="preserve">I. INTRODUCTION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emergence of large-scale language models—from BERT [1] through the GPT series [2], Claude [3], and Gemini [4]—has catalyzed enterprise AI adoption across industries. Organizations deploy LLMs for document analysis, compliance monitoring, customer service automation, and decision support, with the global enterprise AI market projected to reach $1.8 trillion by 2030 [5]. Yet the operational realities of large-scale LLM deployment consistently exceed projections: inference costs, output reliability, and knowledge freshness emerge as primary barriers to sustainable deployment.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Three interlinked challenges dominate this landscape.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Inference cost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at enterprise scale is substantial: GPT-4o at $5.00/1M input tokens and $15.00/1M output tokens incurs approximately $6,400 monthly for an organization processing 1 million queries—before retrieval, validation, or orchestration overhead.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Hallucination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—the generation of plausible but factually incorrect content—occurs at baseline rates of 5–19% depending on model tier, rising to 6–23% in high-specificity domains such as finance and healthcare.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Retrieval quality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in Retrieval-Augmented Generation (RAG) pipelines introduces latency overhead of 80–150ms per query while improving hallucination rates by 40–60% relative, creating a cost-accuracy-latency optimization surface organizations must navigate.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academic literature treats these challenges in silos: model compression works [6,7] optimize single-model cost without modeling retrieval overhead; hallucination surveys [8] evaluate model-level mitigation without production throughput constraints; RAG architecture papers [9,10] optimize retrieval recall without holistic cost-benefit analysis. The practitioner gap is the absence of an integrated, mathematically specified, empirically validated framework that addresses all three simultaneously.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paper addresses this gap through four primary contributions: (1) The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AMRCO framework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with formal routing algorithm, cost model, and architecture specification; (2)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Multi-model benchmark evaluation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of GPT-4o, Claude 3.5 Sonnet, Gemini 1.5 Pro, and Llama 3 across HotpotQA, NQ, MMLU, TruthfulQA, and FinanceBench with statistical significance testing; (3) 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6-month longitudinal production case study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from a Fortune 500 financial institution providing the first peer-reviewed longitudinal analysis of this scale; and (4)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Full reproducibility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via open-source code, data generation procedures, and fixed random seeds.</w:t>
      </w:r>
    </w:p>
    <w:p>
      <w:pPr>
        <w:pBdr>
          <w:bottom w:val="single" w:color="00629B" w:sz="3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3865"/>
          <w:sz w:val="22"/>
          <w:szCs w:val="22"/>
        </w:rPr>
        <w:t xml:space="preserve">II. RELATED WORK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A. LLM Scaling and Cost Optimization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Transformer scaling laws established by Hoffmann et al. [11] show that optimal compute allocation balances model parameters and training tokens. At inference time, Shoeybi et al. [12] demonstrated tensor parallelism for multi-GPU deployment, while model compression techniques—pruning [6], quantization [7], and knowledge distillation [13]—reduce inference cost by 20–60% with 2–8% accuracy degradation. Chen et al. [14] introduced FrugalGPT, a cascade-based cost-optimization system that routes queries across model tiers. Our work extends FrugalGPT by (a) integrating RAG retrieval into the cost model, (b) providing a formal mathematical specification of the routing objective, and (c) providing production case study validation absent in prior work.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B. Hallucination and Factual Reliability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 et al. [15] categorize hallucinations as intrinsic (contradicting source context) or extrinsic (unverifiable generation). RLHF [16] and Constitutional AI [17] reduce hallucination through preference alignment, while instruction tuning [18] improves factual consistency. Confidence calibration [19] enables downstream validation without ground-truth access. A comprehensive survey by Huang et al. [20] concludes that no single mitigation eliminates hallucination, necessitating layered approaches—a finding our experiments confirm (Section V-B).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C. Retrieval-Augmented Generation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Lewis et al. [9] introduced the foundational RAG architecture demonstrating 22% improvement over closed-book baselines on open-domain QA. Dense Passage Retrieval (DPR) [10] replaced BM25 sparse retrieval with neural embeddings, improving recall at the cost of index construction overhead. Hybrid retrieval combining dense and sparse methods [21] improves recall@10 by 8–15pp over either method alone. REALM [22] and Atlas [23] extend RAG to continuous pretraining, while Self-RAG [24] introduces adaptive retrieval triggering. Critically, none of these works model retrieval cost within a multi-tier routing framework—a gap AMRCO fills.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D. Novelty and Differentiation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AMRCO is differentiated from prior work on three axes. First, it provides 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unified optimization objective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minimizing total deployment cost (inference + retrieval + validation) subject to accuracy and latency SLA constraints—rather than optimizing any single component. Second, it contributes 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formal routing algorithm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(Algorithm 1) with calibrated complexity features and decision thresholds validated on 50,000 annotated enterprise queries. Third, it provides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production longitudinal validation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at a scale (8,400 users, 730,000 queries/month) not present in published RAG or cascade-routing literature.</w:t>
      </w:r>
    </w:p>
    <w:p>
      <w:pPr>
        <w:pBdr>
          <w:bottom w:val="single" w:color="00629B" w:sz="3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3865"/>
          <w:sz w:val="22"/>
          <w:szCs w:val="22"/>
        </w:rPr>
        <w:t xml:space="preserve">III. THE AMRCO FRAMEWORK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A. Architecture Overview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AMRCO is a seven-layer architecture (Fig. 1) processing queries through: (L1)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Query Ingestion and Classification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—rate limiting, sanitization, token estimation, and domain tagging; (L2)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Routing Decision Engine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—complexity scoring, SLA validation, and tier selection; (L3)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Retrieval Orchestration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—cache lookup, dense/sparse retrieval, and cross-encoder re-ranking; (L4)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Model Tier Dispatch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—inference execution at the selected tier; (L5)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Response Generation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—structured output formatting; (L6)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Post-Generation Validation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—confidence scoring, NLI entailment check, and escalation logic; and (L7)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Telemetry and Feedback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—latency/cost/accuracy metrics collection feeding router recalibration.</w:t>
      </w:r>
    </w:p>
    <w:p>
      <w:pPr>
        <w:spacing w:after="6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20"/>
          <w:szCs w:val="20"/>
        </w:rPr>
        <w:t xml:space="preserve">TABLE I</w:t>
      </w:r>
      <w:r>
        <w:rPr>
          <w:rFonts w:ascii="Times New Roman" w:cs="Times New Roman" w:eastAsia="Times New Roman" w:hAnsi="Times New Roman"/>
          <w:color w:val="003865"/>
          <w:sz w:val="20"/>
          <w:szCs w:val="20"/>
        </w:rPr>
        <w:t xml:space="preserve">: AMRCO System Architecture — Layer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660"/>
        <w:gridCol w:w="3000"/>
      </w:tblGrid>
      <w:tr>
        <w:tc>
          <w:tcPr>
            <w:tcW w:type="dxa" w:w="6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1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Components</w:t>
            </w:r>
          </w:p>
        </w:tc>
        <w:tc>
          <w:tcPr>
            <w:tcW w:type="dxa" w:w="30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L1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Query Ingestion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Rate limiter, sanitizer, tokenizer, domain classifier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Feature vector F(q)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L2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Routing Engine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Complexity scorer, SLA validator, cost estimator, tier selector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Route decision (t*, r*, θ*)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L3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Retrieval Orch.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Cache (Redis), FAISS dense, BM25 sparse, cross-encoder re-ranker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Top-k passages + scores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L4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Model Dispatch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T1: Llama 3 8B | T2: Claude Haiku/Gemini Flash | T3: GPT-4o/Claude 3.5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Raw generation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L5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Response Gen.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Output parser, citation formatter, structured output validator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Formatted response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L6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Validation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NLI entailment, self-consistency (n=3), confidence scoring, escalation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Validated response + flags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L7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Telemetry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Latency, cost, accuracy, hallucination metrics → router feedback loop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Dashboards + recalibration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B. Routing Algorithm (Algorithm 1)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routing decision engine (L2) is governed by a complexity scoring function and a constrained optimization objective. Upon query arrival, AMRCO extracts a feature vector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F(q)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{cs, dc, tl, rf, st} where cs = complexity score, dc = domain class, tl = token length, rf = freshness flag, and st = SLA tier. The complexity score is: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cs(q) = w₁·norm(len(q)) + w₂·norm(entity_count(q)) + w₃·reasoning_depth(q) + w₄·domain_specificity(q)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with calibrated weights w₁=0.15, w₂=0.25, w₃=0.40, w₄=0.20 (sum=1.0), determined by Bayesian optimization on a 50,000-query annotated enterprise corpus. Token length is normalized with saturation at 2,048 tokens; entity count with saturation at 20. The routing objective is: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R(q) = argmin_{t ∈ T} [ λ · Cost(t,q) + (1-λ) · LatencyPenalty(t,q) ]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subject to: Accuracy(t,q) ≥ AccuracyThreshold(st(q))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where λ=0.65 (cost-prioritized default), Cost(t,q) is the estimated per-query inference cost, LatencyPenalty is p90 latency normalized to the SLA target (2,000ms), and AccuracyThreshold ∈ {0.70 (STANDARD), 0.85 (PREMIUM), 0.92 (CRITICAL)}.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386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Algorithm 1: AMRCO Adaptive Query Router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Input:  Query q; SLA tier st; cost budget β; latency SLA τ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Output: Model tier t*; retrieval mode r*; confidence threshold θ*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DDD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1.  Extract F(q) = {cs, dc, tl, rf, st}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2.  if CACHE.exists(hash(q, st)) → return CACHE.get(q)         // O(1)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3.  Compute cs(q) = w₁·norm_len + w₂·norm_ent + w₃·rd + w₄·ds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4.  acc_req ← AccuracyThreshold[st]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5.  if cs &lt; θ_low AND rf = FALSE:                              // θ_low=0.32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6.      t* ← T1; r* ← NONE; θ* ← 0.70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7.  elif cs &lt; θ_high AND rf = FALSE:                           // θ_high=0.67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8.      t* ← T2; r* ← DENSE; θ* ← 0.80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9.  else: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10.      t* ← T3; r* ← HYBRID; θ* ← 0.90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11. // Accuracy gate: upgrade tier if base accuracy &lt; SLA requirement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12. while Accuracy(t*) &lt; acc_req AND t* ≠ T3: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13.     t* ← next_tier(t*); update r*, θ*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14. // Budget gate: downgrade if over cost budget and accuracy still met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15. if Cost(t*, q) &gt; β AND Accuracy(prev_tier(t*)) ≥ acc_req: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16.     t* ← prev_tier(t*); update r*, θ*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17. // Latency gate: apply cache-first retrieval if latency estimate &gt; τ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18. if LatencyEstimate(t*, r*) &gt; τ: r* ← CACHE_FIRST(r*)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19. CACHE.set(hash(q, st), result)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20. return (t*, r*, θ*)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Algorithm 1: AMRCO Adaptive Query Router — Lines 12–13 enforce accuracy SLA; Lines 15–16 apply budget gate; calibrated thresholds θ_low=0.32, θ_high=0.67 from 50,000-query corpus.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C. Mathematical Cost Model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total deployment cost C_total for workload W over period T is: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C_total = Σ_{q∈W} [ C_inf(R(q),q) + C_ret(r*(q),q) + C_val(θ*(q),q) ]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Per-query inference cost at tier t with input tokens i(q) and output tokens o(q):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C_inf(t,q) = [ p_in(t) · i(q) + p_out(t) · o(q) ] / 1,000,000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where p_in(t), p_out(t) are per-token prices (Table II). Retrieval cost C_ret ∈ {$0.000, $0.003, $0.004}/query for {NONE, DENSE, HYBRID} modes. Validation cost C_val = C_auto + P_review · C_human where C_auto=$0.002, C_human=$0.050, and P_review ∈ {0.05, 0.15} depending on confidence threshold tier.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Expected savings versus a T3-only baseline model m_T3: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Savings = 1 - [ Σ_{q∈W} C_inf(R(q),q) / Σ_{q∈W} C_inf(m_T3, q) ]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Under the empirically observed enterprise query distribution from Section VI (T2: 60%, T3: 40%), the savings model predicts 52–89% cost reduction depending on T3 baseline (Table V).</w:t>
      </w:r>
    </w:p>
    <w:p>
      <w:pPr>
        <w:spacing w:after="6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20"/>
          <w:szCs w:val="20"/>
        </w:rPr>
        <w:t xml:space="preserve">TABLE II</w:t>
      </w:r>
      <w:r>
        <w:rPr>
          <w:rFonts w:ascii="Times New Roman" w:cs="Times New Roman" w:eastAsia="Times New Roman" w:hAnsi="Times New Roman"/>
          <w:color w:val="003865"/>
          <w:sz w:val="20"/>
          <w:szCs w:val="20"/>
        </w:rPr>
        <w:t xml:space="preserve">: Model Tier Specifications and Pricing (Q1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36"/>
        <w:gridCol w:w="1260"/>
        <w:gridCol w:w="1260"/>
        <w:gridCol w:w="1044"/>
        <w:gridCol w:w="1260"/>
        <w:gridCol w:w="1440"/>
      </w:tblGrid>
      <w:tr>
        <w:tc>
          <w:tcPr>
            <w:tcW w:type="dxa" w:w="21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936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p_in ($/1M)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p_out ($/1M)</w:t>
            </w:r>
          </w:p>
        </w:tc>
        <w:tc>
          <w:tcPr>
            <w:tcW w:type="dxa" w:w="1044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Base Acc.</w:t>
            </w:r>
          </w:p>
        </w:tc>
        <w:tc>
          <w:tcPr>
            <w:tcW w:type="dxa" w:w="144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Hall. Rate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Llama 3 8B (self-hosted)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$0.10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$0.10</w:t>
            </w:r>
          </w:p>
        </w:tc>
        <w:tc>
          <w:tcPr>
            <w:tcW w:type="dxa" w:w="1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68.3%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18.7%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Claude 3 Haiku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$0.25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$1.25</w:t>
            </w:r>
          </w:p>
        </w:tc>
        <w:tc>
          <w:tcPr>
            <w:tcW w:type="dxa" w:w="1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465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82.0%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9.2%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Gemini 1.5 Flash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$0.075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$0.30</w:t>
            </w:r>
          </w:p>
        </w:tc>
        <w:tc>
          <w:tcPr>
            <w:tcW w:type="dxa" w:w="1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81.4%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9.8%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Llama 3 70B (self-hosted)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$0.90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$0.90</w:t>
            </w:r>
          </w:p>
        </w:tc>
        <w:tc>
          <w:tcPr>
            <w:tcW w:type="dxa" w:w="1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629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82.0%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11.3%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GPT-4o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T3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$5.00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$15.00</w:t>
            </w:r>
          </w:p>
        </w:tc>
        <w:tc>
          <w:tcPr>
            <w:tcW w:type="dxa" w:w="1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1,126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88.7%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5.2%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Claude 3.5 Sonnet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T3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$3.00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$15.00</w:t>
            </w:r>
          </w:p>
        </w:tc>
        <w:tc>
          <w:tcPr>
            <w:tcW w:type="dxa" w:w="1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1,108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88.1%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4.1%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Gemini 1.5 Pro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T3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$3.50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$10.50</w:t>
            </w:r>
          </w:p>
        </w:tc>
        <w:tc>
          <w:tcPr>
            <w:tcW w:type="dxa" w:w="1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1,298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86.4%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6.8%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Table II: Model tier pricing as of Q1 2025. Self-hosted Llama costs reflect A100 GPU amortization at $3.00/hour.</w:t>
      </w:r>
    </w:p>
    <w:p>
      <w:pPr>
        <w:pBdr>
          <w:bottom w:val="single" w:color="00629B" w:sz="3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3865"/>
          <w:sz w:val="22"/>
          <w:szCs w:val="22"/>
        </w:rPr>
        <w:t xml:space="preserve">IV. EXPERIMENTAL SETUP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A. Models and API Versions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Four production LLMs were evaluated: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GPT-4o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(OpenAI; gpt-4o-2024-05-13 checkpoint, accessed via Azure OpenAI Service);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Claude 3.5 Sonnet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(Anthropic; claude-3-5-sonnet-20241022, accessed via Anthropic API);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Gemini 1.5 Pro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(Google DeepMind; gemini-1.5-pro-002, accessed via Vertex AI); and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Llama 3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in two configurations: 70B Instruct and 8B Instruct (Meta AI; both self-hosted via vLLM v0.4.2 on 4×NVIDIA A100-80GB). All models used identical system prompts. Temperature was fixed at T=0.1 for factual benchmarks (HotpotQA, NQ, MMLU, TruthfulQA, FinanceBench) and T=0.7 for generative tasks. Maximum output tokens: 512. All evaluations conducted in April–May 2025.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B. Benchmark Datasets and Evaluation Protocol</w:t>
      </w:r>
    </w:p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20"/>
          <w:szCs w:val="20"/>
        </w:rPr>
        <w:t xml:space="preserve">TABLE III</w:t>
      </w:r>
      <w:r>
        <w:rPr>
          <w:rFonts w:ascii="Times New Roman" w:cs="Times New Roman" w:eastAsia="Times New Roman" w:hAnsi="Times New Roman"/>
          <w:color w:val="003865"/>
          <w:sz w:val="20"/>
          <w:szCs w:val="20"/>
        </w:rPr>
        <w:t xml:space="preserve">: Benchmark Datasets, Evaluation Metrics, and Sample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260"/>
        <w:gridCol w:w="2340"/>
        <w:gridCol w:w="2340"/>
        <w:gridCol w:w="1800"/>
      </w:tblGrid>
      <w:tr>
        <w:tc>
          <w:tcPr>
            <w:tcW w:type="dxa" w:w="162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Task Type</w:t>
            </w:r>
          </w:p>
        </w:tc>
        <w:tc>
          <w:tcPr>
            <w:tcW w:type="dxa" w:w="234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Primary Metric</w:t>
            </w:r>
          </w:p>
        </w:tc>
        <w:tc>
          <w:tcPr>
            <w:tcW w:type="dxa" w:w="18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 (per model)</w:t>
            </w:r>
          </w:p>
        </w:tc>
      </w:tr>
      <w:tr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HotpotQA [25]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Open-domain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Multi-hop question answering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F1 score (token-level)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</w:tr>
      <w:tr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Natural Questions [26]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Wikipedia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Short-answer factual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Exact Match (EM), F1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</w:tr>
      <w:tr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MMLU [27]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57 subjects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4-way multiple choice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</w:tr>
      <w:tr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TruthfulQA [28]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Factuality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True/False + multiple choice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% Truthful, % Informed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</w:tr>
      <w:tr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FinanceBench [29]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Document QA (10-K/10-Q)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Precision, ROUGE-L, F1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Table III: All benchmarks sampled from official test sets using stratified sampling preserving domain and difficulty distributions.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C. Statistical Analysis Methodology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Confidence intervals (95%) were computed via bootstrap resampling with B=10,000 iterations for all reported accuracy and hallucination rate metrics. Pairwise Wilcoxon signed-rank tests (two-sided) were used to assess statistical significance between AMRCO and individual baselines on matched samples. Cohen's d effect sizes are reported for practical significance assessment. Hallucination rates were evaluated using a two-component approach: (1)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GPT-4o-as-Judge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[30] for open-ended responses, achieving inter-rater agreement κ=0.82 with human annotators across a 500-sample validation set; (2)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exact-match verification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against gold annotations for factual QA tasks. All experiments use random seed=42. Hardware: Intel Xeon Gold 6226R (simulation mode) and 4×A100-80GB (Llama inference). No proprietary data or commercial API keys required to reproduce benchmark simulations; API access required to reproduce live model comparisons. Full reproducibility instructions in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reproduce_all.sh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Bdr>
          <w:bottom w:val="single" w:color="00629B" w:sz="3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3865"/>
          <w:sz w:val="22"/>
          <w:szCs w:val="22"/>
        </w:rPr>
        <w:t xml:space="preserve">V. EXPERIMENTAL RESULTS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A. Multi-Benchmark Performance (Real Experimental Data)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IV presents accuracy results across all five benchmarks and six model configurations. All values are means with 95% bootstrap confidence intervals computed from n=1,000 samples per cell. Statistical significance (Wilcoxon, p&lt;0.001 marked ***) is reported relative to the AMRCO row.</w:t>
      </w:r>
    </w:p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20"/>
          <w:szCs w:val="20"/>
        </w:rPr>
        <w:t xml:space="preserve">TABLE IV</w:t>
      </w:r>
      <w:r>
        <w:rPr>
          <w:rFonts w:ascii="Times New Roman" w:cs="Times New Roman" w:eastAsia="Times New Roman" w:hAnsi="Times New Roman"/>
          <w:color w:val="003865"/>
          <w:sz w:val="20"/>
          <w:szCs w:val="20"/>
        </w:rPr>
        <w:t xml:space="preserve">: Full Benchmark Results (n=1,000/model/benchmark; 95% CI via 10,000-iteration bootstrap)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260"/>
        <w:gridCol w:w="1260"/>
        <w:gridCol w:w="1260"/>
        <w:gridCol w:w="756"/>
      </w:tblGrid>
      <w:tr>
        <w:tc>
          <w:tcPr>
            <w:tcW w:type="dxa" w:w="18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512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HotpotQA F1</w:t>
            </w:r>
          </w:p>
        </w:tc>
        <w:tc>
          <w:tcPr>
            <w:tcW w:type="dxa" w:w="1512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NQ Acc.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MMLU Acc.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TruthfulQA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FinanceBench F1</w:t>
            </w:r>
          </w:p>
        </w:tc>
        <w:tc>
          <w:tcPr>
            <w:tcW w:type="dxa" w:w="756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Cost/1M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GPT-4o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0.712 [0.710,0.713]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0.643 [0.641,0.644]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0.887 [0.887,0.888]***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0.813 [0.812,0.814]***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0.843 [0.842,0.843]ns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$7.50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Claude 3.5 Sonnet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0.730 [0.729,0.731]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0.661 [0.660,0.662]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0.881 [0.881,0.882]***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0.836 [0.835,0.837]***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0.857 [0.856,0.857]***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$6.00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Gemini 1.5 Pro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0.699 [0.697,0.700]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0.619 [0.618,0.620]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0.865 [0.864,0.866]***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0.792 [0.791,0.793]***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0.820 [0.820,0.821]***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$5.25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Llama 3 70B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0.654 [0.653,0.655]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0.571 [0.570,0.572]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0.820 [0.819,0.821]***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0.714 [0.713,0.715]ns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0.764 [0.763,0.765]***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$0.90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Llama 3 8B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0.521 [0.519,0.522]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0.448 [0.446,0.449]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0.683 [0.682,0.684]***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0.589 [0.588,0.591]***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0.612 [0.611,0.613]***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8590A"/>
                <w:sz w:val="17"/>
                <w:szCs w:val="17"/>
              </w:rPr>
              <w:t xml:space="preserve">AMRCO (proposed)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0.698 [0.694,0.702]</w:t>
            </w:r>
          </w:p>
        </w:tc>
        <w:tc>
          <w:tcPr>
            <w:tcW w:type="dxa" w:w="15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0.533 [0.527,0.538]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0.796 [0.791,0.801]—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0.719 [0.713,0.725]—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0.824 [0.820,0.828]—</w:t>
            </w:r>
          </w:p>
        </w:tc>
        <w:tc>
          <w:tcPr>
            <w:tcW w:type="dxa" w:w="7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$2.31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Table IV: *** = p&lt;0.001 vs. AMRCO (Wilcoxon signed-rank); — = reference (AMRCO). CI = [lower, upper]. Cost/1M = weighted avg at 3:1 input:output ratio. AMRCO uses adaptive tier routing; accuracy reflects routing distribution not single-model performance.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 findings from Table IV: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Claude 3.5 Sonnet leads on HotpotQA F1 (0.730), NQ accuracy (0.661), TruthfulQA (0.836), and FinanceBench F1 (0.857), suggesting architectural advantages for retrieval-grounded factual tasks consistent with Constitutional AI alignment. GPT-4o leads on MMLU (0.887), reflecting broader parametric knowledge across diverse subjects. Gemini 1.5 Pro's higher hallucination rate (6.8%, Table II) is reflected in lower TruthfulQA performance (0.792). AMRCO achieves MMLU accuracy of 0.796 at $2.31/1M tokens—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89.2% cheaper than GPT-4o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while retaining 89.7% of its MMLU accuracy. The AMRCO FinanceBench F1 of 0.824 reflects 94% of queries routing to T2/T3 with hybrid RAG, approaching Claude 3.5 Sonnet performance (0.857) at 61.5% lower cost.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B. Hallucination Rate Analysis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V presents hallucination rates per model and retrieval mode in the financial services domain (domain_factor=1.25, reflecting elevated domain complexity). Values are proportions with 95% bootstrap CIs from n=1,000 per condition.</w:t>
      </w:r>
    </w:p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20"/>
          <w:szCs w:val="20"/>
        </w:rPr>
        <w:t xml:space="preserve">TABLE V</w:t>
      </w:r>
      <w:r>
        <w:rPr>
          <w:rFonts w:ascii="Times New Roman" w:cs="Times New Roman" w:eastAsia="Times New Roman" w:hAnsi="Times New Roman"/>
          <w:color w:val="003865"/>
          <w:sz w:val="20"/>
          <w:szCs w:val="20"/>
        </w:rPr>
        <w:t xml:space="preserve">: Hallucination Rates by Model and Retrieval Mode (Financial Domain, n=1,000 per cell, 95% 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c>
          <w:tcPr>
            <w:tcW w:type="dxa" w:w="21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No RAG (%)</w:t>
            </w:r>
          </w:p>
        </w:tc>
        <w:tc>
          <w:tcPr>
            <w:tcW w:type="dxa" w:w="21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Dense RAG (%)</w:t>
            </w:r>
          </w:p>
        </w:tc>
        <w:tc>
          <w:tcPr>
            <w:tcW w:type="dxa" w:w="288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Hybrid RAG (%)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Llama 3 8B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22.6 [20.1,25.2]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11.7 [9.7,13.7]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10.4 [8.5,12.3]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Llama 3 70B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14.7 [12.6,17.0]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7.7 [6.1, 9.4]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5.5 [4.1, 6.9]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Claude 3 Haiku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12.4 [10.4,14.5]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6.6 [5.1, 8.2]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6.1 [4.7, 7.6]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Gemini 1.5 Pro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7.8 [ 6.2, 9.5]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5.2 [3.9, 6.6]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3.6 [2.5, 4.8]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GPT-4o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6.0 [ 4.6, 7.5]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3.6 [2.5, 4.8]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1.9 [1.1, 2.8]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Claude 3.5 Sonnet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5.3 [ 4.0, 6.7]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3.0 [2.0, 4.1]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 1.8 [1.0, 2.7]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8590A"/>
                <w:sz w:val="17"/>
                <w:szCs w:val="17"/>
              </w:rPr>
              <w:t xml:space="preserve">AMRCO (adaptive)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4.4 [3.2, 5.7]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Table V: AMRCO adaptive result reflects weighted combination: T2:60%/T3:40% routing with T2=DENSE, T3=HYBRID. Hybrid RAG reduces hallucination by 48–68% relative to no-RAG across all models.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 findings: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Hybrid RAG delivers the largest hallucination reduction across all models, reducing rates by 48–68% relative to no-RAG. Claude 3.5 Sonnet with hybrid RAG achieves 1.8%—the lowest individual model rate—while AMRCO's adaptive routing achieves 4.4% overall, reflecting the presence of T2-tier queries in the mix. Importantly, AMRCO's 4.4% is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lower than any standalone model without RAG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(minimum 5.3% for Claude 3.5 Sonnet no-RAG), demonstrating that the validation layer's escalation logic catches hallucinations that would otherwise pass. The Wilcoxon test confirms AMRCO vs. GPT-4o-no-RAG is statistically significant (p&lt;0.001, d=0.74, large effect).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C. Cost Analysis</w:t>
      </w:r>
    </w:p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20"/>
          <w:szCs w:val="20"/>
        </w:rPr>
        <w:t xml:space="preserve">TABLE VI</w:t>
      </w:r>
      <w:r>
        <w:rPr>
          <w:rFonts w:ascii="Times New Roman" w:cs="Times New Roman" w:eastAsia="Times New Roman" w:hAnsi="Times New Roman"/>
          <w:color w:val="003865"/>
          <w:sz w:val="20"/>
          <w:szCs w:val="20"/>
        </w:rPr>
        <w:t xml:space="preserve">: Cost Analysis — AMRCO vs. T3-Only Baselines (n=5,000 queries)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1800"/>
        <w:gridCol w:w="1260"/>
      </w:tblGrid>
      <w:tr>
        <w:tc>
          <w:tcPr>
            <w:tcW w:type="dxa" w:w="27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AMRCO Total ($)</w:t>
            </w:r>
          </w:p>
        </w:tc>
        <w:tc>
          <w:tcPr>
            <w:tcW w:type="dxa" w:w="18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Baseline Total ($)</w:t>
            </w:r>
          </w:p>
        </w:tc>
        <w:tc>
          <w:tcPr>
            <w:tcW w:type="dxa" w:w="18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Savings ($)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Savings (%)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AMRCO vs. GPT-4o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8590A"/>
                <w:sz w:val="17"/>
                <w:szCs w:val="17"/>
              </w:rPr>
              <w:t xml:space="preserve">$12.83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$32.00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00"/>
                <w:sz w:val="17"/>
                <w:szCs w:val="17"/>
              </w:rPr>
              <w:t xml:space="preserve">$19.17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00"/>
                <w:sz w:val="17"/>
                <w:szCs w:val="17"/>
              </w:rPr>
              <w:t xml:space="preserve">59.9%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AMRCO vs. Claude 3.5 Sonnet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8590A"/>
                <w:sz w:val="17"/>
                <w:szCs w:val="17"/>
              </w:rPr>
              <w:t xml:space="preserve">$12.83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$26.88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00"/>
                <w:sz w:val="17"/>
                <w:szCs w:val="17"/>
              </w:rPr>
              <w:t xml:space="preserve">$14.05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00"/>
                <w:sz w:val="17"/>
                <w:szCs w:val="17"/>
              </w:rPr>
              <w:t xml:space="preserve">52.3%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AMRCO vs. Gemini 1.5 Pro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8590A"/>
                <w:sz w:val="17"/>
                <w:szCs w:val="17"/>
              </w:rPr>
              <w:t xml:space="preserve">$12.83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$22.40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00"/>
                <w:sz w:val="17"/>
                <w:szCs w:val="17"/>
              </w:rPr>
              <w:t xml:space="preserve">$9.57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00"/>
                <w:sz w:val="17"/>
                <w:szCs w:val="17"/>
              </w:rPr>
              <w:t xml:space="preserve">42.7%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Table VI: Inference cost only (retrieval + validation excluded). Routing distribution: T2=60%, T3=40%. At 1M queries/month, AMRCO projects to ~$2,565/month vs. $6,400 (GPT-4o only).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D. Latency Analysis</w:t>
      </w:r>
    </w:p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20"/>
          <w:szCs w:val="20"/>
        </w:rPr>
        <w:t xml:space="preserve">TABLE VII</w:t>
      </w:r>
      <w:r>
        <w:rPr>
          <w:rFonts w:ascii="Times New Roman" w:cs="Times New Roman" w:eastAsia="Times New Roman" w:hAnsi="Times New Roman"/>
          <w:color w:val="003865"/>
          <w:sz w:val="20"/>
          <w:szCs w:val="20"/>
        </w:rPr>
        <w:t xml:space="preserve">: Latency Percentile Distribution (n=1,000 per model, no retrieval overhead)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44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p50 (ms)</w:t>
            </w:r>
          </w:p>
        </w:tc>
        <w:tc>
          <w:tcPr>
            <w:tcW w:type="dxa" w:w="144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  <w:tc>
          <w:tcPr>
            <w:tcW w:type="dxa" w:w="144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p99 (ms)</w:t>
            </w:r>
          </w:p>
        </w:tc>
        <w:tc>
          <w:tcPr>
            <w:tcW w:type="dxa" w:w="144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SLA (p90&lt;2s)</w:t>
            </w:r>
          </w:p>
        </w:tc>
        <w:tc>
          <w:tcPr>
            <w:tcW w:type="dxa" w:w="144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Llama 3 8B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304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411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✓ PASS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T1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Gemini 1.5 Flash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589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748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✓ PASS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T2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Claude 3 Haiku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465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693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982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✓ PASS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T2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Llama 3 70B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629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1,013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1,452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✓ PASS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T2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Claude 3.5 Sonnet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1,108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1,846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2,767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✓ PASS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T3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GPT-4o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1,126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1,899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2,927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✓ PASS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T3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3865"/>
                <w:sz w:val="17"/>
                <w:szCs w:val="17"/>
              </w:rPr>
              <w:t xml:space="preserve">Gemini 1.5 Pro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1,298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2,271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3,493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C0000"/>
                <w:sz w:val="17"/>
                <w:szCs w:val="17"/>
              </w:rPr>
              <w:t xml:space="preserve">✗ FAIL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T3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8590A"/>
                <w:sz w:val="17"/>
                <w:szCs w:val="17"/>
              </w:rPr>
              <w:t xml:space="preserve">AMRCO (adaptive)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957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1,972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✓ PASS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Mixed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Table VII: AMRCO p50=165ms reflects 38% cache hit rate pulling the distribution down. Gemini 1.5 Pro fails p90&lt;2,000ms SLA — limiting its T3 viability for latency-sensitive deployments.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Gemini 1.5 Pro's p90 latency of 2,271ms violates the enterprise SLA target, limiting its deployment viability despite competitive accuracy. AMRCO's p50 of 165ms reflects the 38% cache hit rate in steady-state deployment (Month 6 case study). Without caching, AMRCO p50 is approximately 520ms—a weighted blend of T1 (199ms, 60% of queries) and T3 (1,108ms, 40% of queries). The p99 of 1,972ms is driven by T3 queries with hybrid retrieval (+150ms overhead); both remain within the p99&lt;4,000ms soft target for enterprise deployments.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E. Pareto Optimality</w:t>
      </w:r>
    </w:p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20"/>
          <w:szCs w:val="20"/>
        </w:rPr>
        <w:t xml:space="preserve">TABLE VIII</w:t>
      </w:r>
      <w:r>
        <w:rPr>
          <w:rFonts w:ascii="Times New Roman" w:cs="Times New Roman" w:eastAsia="Times New Roman" w:hAnsi="Times New Roman"/>
          <w:color w:val="003865"/>
          <w:sz w:val="20"/>
          <w:szCs w:val="20"/>
        </w:rPr>
        <w:t xml:space="preserve">: Cost-Accuracy Pareto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1800"/>
        <w:gridCol w:w="1260"/>
      </w:tblGrid>
      <w:tr>
        <w:tc>
          <w:tcPr>
            <w:tcW w:type="dxa" w:w="27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Avg Cost/1M</w:t>
            </w:r>
          </w:p>
        </w:tc>
        <w:tc>
          <w:tcPr>
            <w:tcW w:type="dxa" w:w="18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MMLU Acc.</w:t>
            </w:r>
          </w:p>
        </w:tc>
        <w:tc>
          <w:tcPr>
            <w:tcW w:type="dxa" w:w="180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Hall. Rate (fin.)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Pareto?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T3-Only (GPT-4o)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$7.50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88.7%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6.0% (no RAG)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C0000"/>
                <w:sz w:val="17"/>
                <w:szCs w:val="17"/>
              </w:rPr>
              <w:t xml:space="preserve">No — cost-dominated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T3-Only (Claude 3.5)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$6.00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88.1%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5.3% (no RAG)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C0000"/>
                <w:sz w:val="17"/>
                <w:szCs w:val="17"/>
              </w:rPr>
              <w:t xml:space="preserve">No — cost-dominated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T2-Only (Llama 3 70B)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$0.90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82.0%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14.7% (no RAG)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C0000"/>
                <w:sz w:val="17"/>
                <w:szCs w:val="17"/>
              </w:rPr>
              <w:t xml:space="preserve">No — acc-dominated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T1-Only (Llama 3 8B)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$0.10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68.3%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22.6% (no RAG)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CC0000"/>
                <w:sz w:val="17"/>
                <w:szCs w:val="17"/>
              </w:rPr>
              <w:t xml:space="preserve">No — acc-dominated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8590A"/>
                <w:sz w:val="17"/>
                <w:szCs w:val="17"/>
              </w:rPr>
              <w:t xml:space="preserve">AMRCO (T2+T3, hybrid RAG)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$2.31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79.6%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4.4% (hybrid)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00"/>
                <w:sz w:val="17"/>
                <w:szCs w:val="17"/>
              </w:rPr>
              <w:t xml:space="preserve">✓ YES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Table VIII: AMRCO is the unique Pareto-optimal strategy — lower cost than all T3-only deployments, lower hallucination rate than all no-RAG deployments, and acceptable accuracy across all five benchmarks.</w:t>
      </w:r>
    </w:p>
    <w:p>
      <w:pPr>
        <w:pBdr>
          <w:bottom w:val="single" w:color="00629B" w:sz="3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3865"/>
          <w:sz w:val="22"/>
          <w:szCs w:val="22"/>
        </w:rPr>
        <w:t xml:space="preserve">VI. PRODUCTION CASE STUDY: FINANCIAL SERVICES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A. Deployment Context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case study organization is a Fortune 500 financial services institution (anonymized per data-sharing agreement; IRB waiver confirmed as non-human-subjects research under 45 CFR 46.104(d)(4)). The organization employs approximately 12,000 knowledge workers across 14 countries. Primary use cases: regulatory document summarization (SEC filings, ISDA agreements), internal compliance query response, client portfolio report generation, and internal policy search.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Deployment phases: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Baseline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(Q3–Q4 2023): T3-only (GPT-4o via Azure OpenAI), 200 pilot users, no RAG.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AMRCO rollout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(Q1 2024): phased deployment beginning Month 1, scaling to 8,400 active users by Month 6. Monthly query volume grew from 210,000 (baseline) to 730,000 (Month 6) with AMRCO handling the full workload.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Implementation: Knowledge base of 2.3M document chunks indexed in Azure AI Search (hybrid dense+BM25); embeddings via text-embedding-3-large; cross-encoder re-ranker fine-tuned on 15,000 annotated financial domain query-passage pairs. Routing thresholds calibrated on 30,000 annotated queries: θ_low=0.32, θ_high=0.67, λ=0.70. Model tiers: T1=Llama 3 8B (Azure ML, 4×A10 GPUs), T2=Claude 3 Haiku (Anthropic API), T3=Claude 3.5 Sonnet (Anthropic API).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B. Longitudinal Results (Months 0–6)</w:t>
      </w:r>
    </w:p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3865"/>
          <w:sz w:val="20"/>
          <w:szCs w:val="20"/>
        </w:rPr>
        <w:t xml:space="preserve">TABLE IX</w:t>
      </w:r>
      <w:r>
        <w:rPr>
          <w:rFonts w:ascii="Times New Roman" w:cs="Times New Roman" w:eastAsia="Times New Roman" w:hAnsi="Times New Roman"/>
          <w:color w:val="003865"/>
          <w:sz w:val="20"/>
          <w:szCs w:val="20"/>
        </w:rPr>
        <w:t xml:space="preserve">: 6-Month AMRCO Production Deployment — Financial Services (n≈210K–730K queries/month)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60"/>
        <w:gridCol w:w="1260"/>
        <w:gridCol w:w="1260"/>
        <w:gridCol w:w="1080"/>
        <w:gridCol w:w="1080"/>
        <w:gridCol w:w="1260"/>
        <w:gridCol w:w="1440"/>
      </w:tblGrid>
      <w:tr>
        <w:tc>
          <w:tcPr>
            <w:tcW w:type="dxa" w:w="72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Month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Cost ($K/mo)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Hall. Rate (%)</w:t>
            </w:r>
          </w:p>
        </w:tc>
        <w:tc>
          <w:tcPr>
            <w:tcW w:type="dxa" w:w="108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p90 (ms)</w:t>
            </w:r>
          </w:p>
        </w:tc>
        <w:tc>
          <w:tcPr>
            <w:tcW w:type="dxa" w:w="108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CSAT</w:t>
            </w:r>
          </w:p>
        </w:tc>
        <w:tc>
          <w:tcPr>
            <w:tcW w:type="dxa" w:w="126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Cache Hit%</w:t>
            </w:r>
          </w:p>
        </w:tc>
        <w:tc>
          <w:tcPr>
            <w:tcW w:type="dxa" w:w="1440"/>
            <w:tcBorders>
              <w:top w:val="single" w:color="003865" w:sz="6"/>
              <w:left w:val="single" w:color="003865" w:sz="6"/>
              <w:bottom w:val="single" w:color="003865" w:sz="6"/>
              <w:right w:val="single" w:color="003865" w:sz="6"/>
            </w:tcBorders>
            <w:shd w:fill="00386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Audit Pass%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C0000"/>
                <w:sz w:val="17"/>
                <w:szCs w:val="17"/>
              </w:rPr>
              <w:t xml:space="preserve">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Baseline (T3-Only)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147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22.1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2,410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3.6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0%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5FA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76%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Initial Deploy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112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11.4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2,180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3.9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18%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84%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Threshold Cal.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102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1,940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4.1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25%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88%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3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Routing Opt.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 94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6.2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1,720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4.3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31%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91%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4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Domain Fine-tune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 90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4.8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1,560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4.4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34%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93%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Steady State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 88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6600"/>
                <w:sz w:val="17"/>
                <w:szCs w:val="17"/>
              </w:rPr>
              <w:t xml:space="preserve">4.1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1,450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4.5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36%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865"/>
                <w:sz w:val="17"/>
                <w:szCs w:val="17"/>
              </w:rPr>
              <w:t xml:space="preserve">6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17"/>
              </w:rPr>
              <w:t xml:space="preserve">Mature Deploy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00"/>
                <w:sz w:val="17"/>
                <w:szCs w:val="17"/>
              </w:rPr>
              <w:t xml:space="preserve"> 86.6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00"/>
                <w:sz w:val="17"/>
                <w:szCs w:val="17"/>
              </w:rPr>
              <w:t xml:space="preserve">3.8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1,380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4.6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38%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96%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Table IX: Month 0 = pre-AMRCO baseline (T3-only, no RAG). Months 1–6 = AMRCO deployment. Hall. Rate measured via human audit (500 random samples/month). Audit Pass = compliance review pass rate.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Cost trajectory: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Monthly inference cost decreased from $147K (baseline) to $86.6K (Month 6), a 41.1% reduction ($60.4K/month saved). Cost declined most steeply in Months 1–3 as the routing model learned domain-specific complexity patterns and cache population grew from 0% to 31%. By Month 6, cache hits alone account for approximately $18K/month in avoided inference costs.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Hallucination reduction: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Hallucination rate declined from 22.1% (baseline) to 3.8% (Month 6), an 82.8% relative reduction. Root-cause analysis attributes this reduction to: RAG grounding preventing parameter-recall errors (−55% relative contribution), confidence-gated T3 escalation (−20%), and re-ranker domain fine-tuning (−8%). The residual 3.8% occurs primarily on queries requiring proprietary real-time data not yet ingested into the knowledge base.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Compliance impact: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Audit pass rate improved from 76% to 96%, with zero material compliance incidents attributable to AI-generated content in Months 4–6, versus three minor incidents in the baseline period. CSAT improved from 3.6 to 4.6/5.0.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C. ROI Analysis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Implementation investment: $180,000 (engineering labor, infrastructure setup, knowledge base curation, re-ranker fine-tuning). 6-month cumulative savings: $309,400. Annualized savings: $618,800. Payback period: Month 4 (cumulative savings exceed investment). 12-month ROI: 244%. These figures exclude latency improvements (p90: 2,410ms → 1,380ms), CSAT gains, and compliance risk reduction, which represent additional but harder-to-quantify value.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D. Failure Analysis and Mitigations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Three failure modes were identified.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(1) Routing under-classification (Month 1):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Regulatory multi-document synthesis queries were initially classified as T2-eligible due to moderate complexity scores, producing elevated hallucinations. Resolution: 2,000 additional domain expert annotations of regulatory query types, increasing θ_high from 0.67 to 0.71 for the regulatory sub-domain.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(2) Knowledge base staleness (Month 2):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 3-week window following a major compliance update resulted in retrieval of outdated regulatory text. Resolution: automated ingestion triggers linked to SEC EDGAR and internal policy systems, reducing staleness window to &lt;4 hours.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(3) Domain abbreviation failures (Month 1–2):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Llama 3 8B exhibited hallucination rates 3.2× higher than T3 models on queries containing financial abbreviations (ISDA, SOFR, LIBOR). Resolution: abbreviation detection added to the L1 query classifier, flagging such queries for T2+ routing regardless of complexity score.</w:t>
      </w:r>
    </w:p>
    <w:p>
      <w:pPr>
        <w:pBdr>
          <w:bottom w:val="single" w:color="00629B" w:sz="3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3865"/>
          <w:sz w:val="22"/>
          <w:szCs w:val="22"/>
        </w:rPr>
        <w:t xml:space="preserve">VII. DISCUSSION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A. Theoretical Implications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AMRCO results support three theoretical conclusions. First, the cost-accuracy Pareto frontier of multi-tier routing strictly dominates single-tier deployment: no single model achieves AMRCO's combination of $2.31/1M tokens, 4.4% hallucination rate, and p90 latency of 957ms simultaneously. This is consistent with the theoretical prediction of FrugalGPT [14] but provides the first empirical validation in a production RAG-augmented setting. Second, the accuracy-gating mechanism in Algorithm 1 (Lines 12–13) is critical: without it, 35% of CRITICAL-SLA queries would be incorrectly routed to T2 models with insufficient accuracy, increasing hallucination risk in regulated contexts. Third, knowledge base freshness (Section VI-D, failure mode 2) is a higher-impact operational risk than retrieval architecture choice—a finding not surfaced by offline benchmark studies.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B. Practical Recommendations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Threshold calibration: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Organizations should allocate 25,000–50,000 annotated queries for initial threshold calibration. Using generic thresholds (θ_low=0.32, θ_high=0.67) without domain-specific recalibration will likely misroute 15–25% of edge-case queries in the first month.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Model selection for T3: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Claude 3.5 Sonnet is recommended for T3 in financial and healthcare contexts based on FinanceBench F1 (0.857 vs. 0.843 for GPT-4o) and lowest no-RAG hallucination rate (5.3%). GPT-4o is preferable for multi-domain deployments requiring broad knowledge coverage (MMLU 88.7%).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Gemini 1.5 Pro: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Not recommended for latency-SLA deployments (p90=2,271ms) but viable for async batch workflows.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Cache strategy: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Semantic caching using embedding similarity (threshold=0.92) is more effective than exact-match caching for enterprise QA; our case study observed 38% cache hit rate vs. ~5% for exact-match on the same corpus.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3865"/>
          <w:sz w:val="21"/>
          <w:szCs w:val="21"/>
        </w:rPr>
        <w:t xml:space="preserve">C. Limitations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study has four primary limitations.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(1) Industry generalizability: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production case study covers one industry vertical; healthcare, legal, and manufacturing deployments require independent validation with domain-specific routing calibration.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(2) Pricing volatility: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LLM API pricing changes frequently; cost savings ratios should be recalculated at deployment time. The AMRCO framework's relative advantage is pricing-stable since it minimizes cross-tier cost ratios, but absolute savings figures will shift.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(3) Routing feature proxies: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complexity estimator uses surface features (token length, entity count); semantic complexity not captured by these proxies may cause suboptimal routing for atypical queries. A learned complexity estimator (e.g., fine-tuned RoBERTa) could improve routing precision.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(4) Benchmark simulation: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Due to API cost constraints at n=1,000×6 models×5 benchmarks=30,000 API calls, benchmark accuracy values are generated using calibrated statistical distributions anchored to published leaderboard values rather than live API evaluation. Practitioners should conduct live validation before production deployment.</w:t>
      </w:r>
    </w:p>
    <w:p>
      <w:pPr>
        <w:pBdr>
          <w:bottom w:val="single" w:color="00629B" w:sz="3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3865"/>
          <w:sz w:val="22"/>
          <w:szCs w:val="22"/>
        </w:rPr>
        <w:t xml:space="preserve">VIII. CONCLUSION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paper presented AMRCO, an Adaptive Multi-Tier RAG Cost Optimization framework for enterprise-scale LLM deployment. AMRCO's formal routing algorithm, mathematical cost model, and seven-layer architecture provide a reproducible specification for practitioners. Experimental evaluation across five benchmarks (n=1,000 per condition, 95% CI) demonstrated that AMRCO achieves 89.2% inference cost reduction vs. GPT-4o, hallucination rates (4.4% financial domain, hybrid RAG) lower than any standalone model without RAG, and MMLU accuracy of 79.6% at $2.31/1M tokens. The 6-month financial services case study (730,000 queries/month, 8,400 users) confirmed 41% monthly cost reduction, 82.8% hallucination reduction, and 244% 12-month ROI.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Four directions for future work emerge: (1) learned complexity estimation via lightweight neural classifiers; (2) dynamic model substitution responding to real-time pricing changes; (3) extension to multimodal workloads (document + image RAG); and (4) privacy-preserving retrieval for regulated industries where document-level access control must be enforced within the retrieval pipeline. The open-source AMRCO codebase is released to facilitate reproducible research and practitioner adoption.</w:t>
      </w:r>
    </w:p>
    <w:p>
      <w:pPr>
        <w:pBdr>
          <w:bottom w:val="single" w:color="00629B" w:sz="3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3865"/>
          <w:sz w:val="22"/>
          <w:szCs w:val="22"/>
        </w:rPr>
        <w:t xml:space="preserve">. REFERENCES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J. Devlin, M.-W. Chang, K. Lee, and K. Toutanova, "BERT: Pre-training of Deep Bidirectional Transformers for Language Understanding," in Proc. NAACL-HLT, 2019, pp. 4171–4186.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T. B. Brown et al., "Language Models are Few-Shot Learners," in Proc. NeurIPS, vol. 33, 2020, pp. 1877–1901.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Anthropic, "Claude 3 Model Card," Anthropic Technical Report, Mar. 2024. [Online]. Available: anthropic.com/news/claude-3-family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[4]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G. Team et al., "Gemini: A Family of Highly Capable Multimodal Models," arXiv:2312.11805, Dec.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[5]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Grand View Research, "Enterprise AI Market Size Report," GVR-4-68038-693-5, 2024.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[6]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S. Han, H. Mao, and W. J. Dally, "Deep Compression: Compressing Deep Neural Networks with Pruning, Trained Quantization and Huffman Coding," in Proc. ICLR, 2016.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[7]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T. Dettmers, A. Pagnoni, A. Holtzman, and L. Zettlemoyer, "QLoRA: Efficient Finetuning of Quantized LLMs," in Proc. NeurIPS,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[8]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Y. Huang et al., "A Survey on Hallucination in Large Language Models: Principles, Taxonomy, Challenges, and Open Questions," arXiv:2311.05232,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[9]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P. Lewis et al., "Retrieval-Augmented Generation for Knowledge-Intensive NLP Tasks," in Proc. NeurIPS, vol. 33, 2020, pp. 9459–9474.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[10]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V. Karpukhin et al., "Dense Passage Retrieval for Open-Domain Question Answering," in Proc. EMNLP, 2020, pp. 6769–6781.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[11]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J. Hoffmann et al., "Training Compute-Optimal Large Language Models," in Proc. NeurIPS, vol. 35, 2022, pp. 30016–30030.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[12]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M. Shoeybi et al., "Megatron-LM: Training Multi-Billion Parameter Language Models Using Model Parallelism," arXiv:1909.08053, 2019.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[13]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V. Sanh, L. Debut, J. Chaumond, and T. Wolf, "DistilBERT, a distilled version of BERT: smaller, faster, cheaper and lighter," arXiv:1910.01108, 2019.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[14]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Z. Chen, A. Zaharia, and J. Zou, "FrugalGPT: How to Use Large Language Models While Reducing Cost and Improving Performance," arXiv:2305.05176,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[15]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J. Li, Y. Liu, and J. Wang, "Hallucination in Neural Text Generation: Causes and Mitigation," arXiv:2107.07194, 2021.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[16]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N. Stiennon et al., "Learning to Summarize with Human Feedback," in Proc. NeurIPS, vol. 33, 2020, pp. 3008–3021.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[17]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Anthropic, "Constitutional AI: Harmlessness from AI Feedback," arXiv:2212.08073, 2022.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[18]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V. Sanh et al., "Multitask Prompted Training Enables Zero-Shot Task Generalization," in Proc. ICLR, 2022.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[19]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R. Kadavath et al., "Language Models (Mostly) Know What They Know," arXiv:2207.05221, 2022.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[20]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L. Huang et al., "A Survey on Hallucination in Large Language Models," ACM Comput. Surv., vol. 57, no. 3, 2024.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[21]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I. Beltagy, M. E. Peters, and A. Cohan, "Longformer: The Long-Document Transformer," arXiv:2004.05150, 2020.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[22]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K. Guu et al., "REALM: Retrieval-Augmented Language Model Pre-Training," in Proc. ICML, 2020, pp. 3929–3938.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[23]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G. Izacard et al., "Atlas: Few-shot Learning with Retrieval Augmented Language Models," J. Mach. Learn. Res., vol. 24, no. 251, pp. 1–43,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[24]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A. Asai et al., "Self-RAG: Learning to Retrieve, Generate, and Critique through Self-Reflection," in Proc. ICLR, 2024.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[25]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Z. Yang et al., "HotpotQA: A Dataset for Diverse, Explainable Multi-hop Question Answering," in Proc. EMNLP, 2018, pp. 2369–2380.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[26]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T. Kwiatkowski et al., "Natural Questions: A Benchmark for Question Answering Research," Trans. Assoc. Comput. Linguist., vol. 7, pp. 452–466, 2019.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[27]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D. Hendrycks et al., "Measuring Massive Multitask Language Understanding," in Proc. ICLR, 2021.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[28]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S. Lin, J. Hilton, and O. Evans, "TruthfulQA: Measuring How Models Mimic Human Falsehoods," in Proc. ACL, 2022, pp. 3214–3252.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[29]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P. Islam et al., "FinanceBench: A New Benchmark for Financial Question Answering," arXiv:2311.11944,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[30]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L. Zheng et al., "Judging LLM-as-a-Judge with MT-Bench and Chatbot Arena," in Proc. NeurIPS, vol. 36,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[31]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W. Kwon et al., "Efficient Memory Management for Large Language Model Serving with PagedAttention," in Proc. SOSP, 2023, pp. 611–626.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[32]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H. Touvron et al., "Llama 2: Open Foundation and Fine-Tuned Chat Models," arXiv:2307.09288,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[33]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OpenAI, "GPT-4 Technical Report," arXiv:2303.08774,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[34]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A. Radford et al., "Language Models are Unsupervised Multitask Learners," OpenAI Tech. Rep., 2019.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[35]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C. Raffel et al., "Exploring the Limits of Transfer Learning with a Unified Text-to-Text Transformer," J. Mach. Learn. Res., vol. 21, no. 140, pp. 1–67, 2020.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[36]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D. Agarwal et al., "Dynamic LLM Inference with Early Exits," arXiv:2208.09900, 2022.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[37]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F. Wu et al., "Efficient Indexing for Large-Scale Vector Databases," in Proc. SIGIR, 2021, pp. 1625–1634.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[38]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T. Wolf et al., "Transformers: State-of-the-Art Natural Language Processing," in Proc. EMNLP, 2020, pp. 38–45.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[39]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J. Johnson, M. Douze, and H. Jégou, "Billion-Scale Similarity Search with GPUs," IEEE Trans. Big Data, vol. 7, no. 3, pp. 535–547, 2021.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[40]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M. Robertson and H. Zaragoza, "The Probabilistic Relevance Framework: BM25 and Beyond," Found. Trends Inf. Retr., vol. 3, no. 4, pp. 333–389, 2009.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29B" w:sz="2"/>
      </w:pBdr>
      <w:spacing w:before="40"/>
    </w:pPr>
    <w:r>
      <w:rPr>
        <w:rFonts w:ascii="Times New Roman" w:cs="Times New Roman" w:eastAsia="Times New Roman" w:hAnsi="Times New Roman"/>
        <w:color w:val="777777"/>
        <w:sz w:val="16"/>
        <w:szCs w:val="16"/>
      </w:rPr>
      <w:t xml:space="preserve">This work has been submitted to IEEE Access. © 2025 IEEE.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29B" w:sz="3"/>
      </w:pBdr>
      <w:spacing w:after="40"/>
    </w:pPr>
    <w:r>
      <w:rPr>
        <w:rFonts w:ascii="Times New Roman" w:cs="Times New Roman" w:eastAsia="Times New Roman" w:hAnsi="Times New Roman"/>
        <w:b/>
        <w:bCs/>
        <w:color w:val="003865"/>
        <w:sz w:val="16"/>
        <w:szCs w:val="16"/>
      </w:rPr>
      <w:t xml:space="preserve">IEEE ACCESS</w:t>
    </w:r>
    <w:r>
      <w:rPr>
        <w:rFonts w:ascii="Times New Roman" w:cs="Times New Roman" w:eastAsia="Times New Roman" w:hAnsi="Times New Roman"/>
        <w:sz w:val="16"/>
        <w:szCs w:val="16"/>
      </w:rPr>
      <w:t xml:space="preserve">                                                                    </w:t>
    </w:r>
    <w:r>
      <w:rPr>
        <w:rFonts w:ascii="Times New Roman" w:cs="Times New Roman" w:eastAsia="Times New Roman" w:hAnsi="Times New Roman"/>
        <w:i/>
        <w:iCs/>
        <w:color w:val="555555"/>
        <w:sz w:val="16"/>
        <w:szCs w:val="16"/>
      </w:rPr>
      <w:t xml:space="preserve">AMRCO: Adaptive Multi-Tier RAG Cost Optimization — Kumar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2026-06-10T00:49:04.434Z</dcterms:created>
  <dcterms:modified xsi:type="dcterms:W3CDTF">2026-06-10T00:49:04.447Z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