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需求功能简介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页面内容：账号、密码栏，登录、注册按钮，重置密码超链接。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注册和重置密码时，会通过邮件发送验证码。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登录后跳转个人主页。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（权限处理方式：将登录后的session信息存储到redis中，使其他系统可进行身份认证）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个人主页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主页有投资的基金收益情况：基金、投资总金额、当前持有总金额、持有份额、持有均价、当前单位净值、总收益、收益率等。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下方有个人投资查询功能。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分导航有：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基金提醒通知：设置涨跌提醒单位净值，达到后发送邮件提醒。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基金总览：查询所有（有同步的）基金的历史数据（基金选择中默认只可选择自己，可修改为全部）；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可设置网格模拟：根据填写的建仓单位净值、建仓份额（初始网数）、网格波动获取模拟数据。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手工同步基金数据：手工同步数据时为全量同步，将未插入到数据库中的数据都进行插入处理。（也可新增自己关注的基金）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设置网格任务：设置后会自动新增邮件提醒任务，且触发提醒后会修改和新增相关的任务提醒。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自动任务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数据采集。根据接口获取基金数据；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邮件提醒，根据提醒表数据进行邮件发送通知。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买入基金无当日数据时（当日购买的基金一般次日才会有数据），后台会进行跑数进行获取。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后续待处理细节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拦截器中增加对redis中session的时间戳更新及校验（如三天内有效）；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部分方法创建人未进行调整（前期做的时候还未配置好session相关数据，故均按照123456进行创建）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添加拦截器后，拦截响应代码的401，在前端未进</w:t>
      </w:r>
      <w:bookmarkStart w:id="0" w:name="_GoBack"/>
      <w:bookmarkEnd w:id="0"/>
      <w:r>
        <w:rPr>
          <w:rFonts w:hint="eastAsia"/>
          <w:lang w:val="en-US" w:eastAsia="zh-CN"/>
        </w:rPr>
        <w:t>行处理。（增加提示）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39A94"/>
    <w:multiLevelType w:val="singleLevel"/>
    <w:tmpl w:val="AFB39A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C2CDA40"/>
    <w:multiLevelType w:val="singleLevel"/>
    <w:tmpl w:val="4C2CDA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E7F485"/>
    <w:multiLevelType w:val="singleLevel"/>
    <w:tmpl w:val="77E7F4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792A"/>
    <w:rsid w:val="34D31DC3"/>
    <w:rsid w:val="35D42F37"/>
    <w:rsid w:val="7DE0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2022-07-19T05:56:00Z</dcterms:created>
  <dc:creator>A</dc:creator>
  <cp:lastModifiedBy>A</cp:lastModifiedBy>
  <dcterms:modified xsi:type="dcterms:W3CDTF">2022-08-02T11:29:39Z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