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方法</w:t>
      </w:r>
    </w:p>
    <w:p>
      <w:r>
        <w:t>本研究纳入 500 例样本，方法参照既往工作</w:t>
      </w:r>
      <w:r>
        <w:rPr>
          <w:vertAlign w:val="superscript"/>
        </w:rPr>
        <w:t>[99]</w:t>
      </w:r>
      <w:r>
        <w:t>。</w:t>
      </w:r>
    </w:p>
    <w:p>
      <w:r>
        <w:t>组间差异采用独立样本 t 检验（p&lt;0.05）。</w:t>
      </w:r>
    </w:p>
    <w:p>
      <w:r>
        <w:t>本文提出的模型在多个数据集上表现良好。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