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方法</w:t>
      </w:r>
    </w:p>
    <w:p>
      <w:r>
        <w:t>本研究依据功效分析确定样本量为 400 例，并按 7:1:2 划分为训练/验证/测试集，固定随机种子 42。</w:t>
      </w:r>
    </w:p>
    <w:p>
      <w:r>
        <w:t>组间差异采用配对 t 检验（P=0.012，95% CI 0.4–3.1），并与基线方法 ResNet-50 对比。</w:t>
      </w:r>
    </w:p>
    <w:p>
      <w:r>
        <w:t>对提出的注意力模块进行了消融实验。</w:t>
      </w:r>
    </w:p>
    <w:p>
      <w:r>
        <w:t>本文方法在单中心数据上初步有效；局限与未来工作见末节。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