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基于MRI的深度学习引导多组学发现NBPF4作为乳腺癌淋巴结转移治疗靶点</w:t>
      </w:r>
    </w:p>
    <w:p>
      <w:pPr>
        <w:pStyle w:val="Heading1"/>
      </w:pPr>
      <w:r>
        <w:t>2. 方法</w:t>
      </w:r>
    </w:p>
    <w:p>
      <w:r>
        <w:t>本研究在多中心回顾性队列中建立并验证了基于MobileNet V3 Small（MV3S）架构的深度学习模型，用术前对比增强乳腺MRI数据预测淋巴结转移（LNM）风险。随后对模型识别的高风险组开展多组学分析，优先关注与MAPK信号通路及上皮-间质转化（EMT）相关的候选基因，并聚焦NBPF4进行功能验证，从而构建了从影像表型到治疗候选的闭环研究流程。</w:t>
      </w:r>
    </w:p>
    <w:p>
      <w:r>
        <w:t>功能实验显示，过表达NBPF4可促进肿瘤细胞增殖、迁移和淋巴管生成，这一作用通过激活MAPK通路并诱导EMT实现。计算药物筛选提名MK-886，该药可抑制NBPF4相关的MAPK通路活性和肿瘤生长，显示治疗潜力。双重LASSO与因果森林双重机器学习（DML）的因果推断确认，NBPF4表达对影像定义的高风险表型有显著影响，且独立于基因组混杂因素，故NBPF4被确立为影像风险升高的独立风险因素。</w:t>
      </w:r>
    </w:p>
    <w:p>
      <w:r>
        <w:t>为开发非侵入性乳腺癌风险评估工具，研究构建了基于术前MRI图像的深度学习流程。标准化预处理包括感兴趣区（ROI）标注、重采样和偏置场校正；随后采用MV3S卷积神经网络进行特征提取和预测。在3个独立队列中，模型对高、低风险分层均表现稳健：Duke队列AUC=0.869，TCIA队列AUC=0.838，Foshan队列AUC=0.756。</w:t>
      </w:r>
    </w:p>
    <w:p>
      <w:r>
        <w:t>模型预测的风险分组与LNM阳性状态这一关键临床预后因素显著相关，各队列的χ2检验均显示P&lt;0.001。为保障关联稳健性，研究在Duke队列进行倾向性评分匹配（PSM），以平衡潜在混杂因素；匹配后模型预测准确性更高，AUC达0.895。分析还展示了匹配前后倾向评分密度图、协变量平衡图以及匹配队列的ROC曲线。</w:t>
      </w:r>
    </w:p>
    <w:p>
      <w:r>
        <w:t>放射基因组学分析将Duke、Foshan和TCIA队列的高风险影像特征与匹配的TCGA样本RNA测序数据相连接。在影像定义的高、低风险TCGA样本之间，差异高表达基因（log2倍数变化&gt;0，平均表达&gt;1.5）的热图呈现差异，主成分分析显示两组清晰分离。</w:t>
      </w:r>
    </w:p>
    <w:p>
      <w:r>
        <w:t>针对上述差异表达基因的GO和KEGG功能富集分析提示，MAPK信号通路和EMT相关通路显著激活。在自定义EMT基因集的GSEA中，样本依据EMT标记CDH2或VIM的表达分为高表达组（前30%）和低表达组（后30%）；正向标准化富集分数表明影像风险基因在高表达组显著富集，说明EMT通路激活与高风险影像表型相关。</w:t>
      </w:r>
    </w:p>
    <w:p>
      <w:r>
        <w:t>单细胞RNA测序的箱线图比较了LNM阳性与LNM阴性肿瘤中不同细胞簇的EMT和MAPK级联活性评分，LNM阳性样本的特定簇评分升高，提示这些促转移程序存在细胞类型特异性激活。注意力叠加图显示，模型预测的LNM风险位于肿瘤-间质界面和异质性肿瘤核心，其空间模式与排名靠前的SHAP归因特征（边缘不规则、瘤内异质性、瘤周强化）一致。实验至少重复3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