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面向皮肤癌诊断的图像驱动多模态深度学习：皮肤镜图像、临床数据与知识图谱的交叉注意力融合</w:t>
      </w:r>
    </w:p>
    <w:p>
      <w:pPr>
        <w:pStyle w:val="Heading1"/>
      </w:pPr>
      <w:r>
        <w:t>2. 方法</w:t>
      </w:r>
    </w:p>
    <w:p>
      <w:r>
        <w:t>本文提出的皮肤癌诊断系统整体流程如图1所示，包含五个阶段：基于YOLOv8的病灶检测、生物医学知识图谱构建、临床元数据编码，以及基于注意力的多模态融合分类。该流程以图像为驱动，涵盖基于YOLO的病灶检测、多模态传感器特征提取与注意力集成分类。</w:t>
      </w:r>
    </w:p>
    <w:p>
      <w:r>
        <w:t>实验使用公开皮肤镜图像集HAM10000，共含10,015张标注图像，覆盖七类诊断类别（见表2）。每例样本包含皮肤镜图像、临床元数据（年龄、性别、解剖部位）及组织学金标准。该数据集类别高度不平衡，与真实临床情况相符，故采用focal loss和加权采样加以应对。按分层方式划分为训练集72.2%、验证集12.8%、测试集15.0%，并报告5折交叉验证的平均性能。</w:t>
      </w:r>
    </w:p>
    <w:p>
      <w:r>
        <w:t>由于光学皮肤成像传感器采集的皮肤镜图像带有传感器特异性伪影与信号噪声，本文设计了多阶段信号增强流程。首先以形态学黑帽变换提取深色毛发结构，并以其阈值化所得二值掩膜M_hair用于Telea修复，从而去除毛发伪影。噪声方面采用混合模型：高斯噪声N(0,σ_g²)且σ_g=2.5（传感器热噪声）；泊松噪声P(λ)且λ=I_true（光子散粒噪声）；椒盐噪声概率p=0.005（传感器坏像素）。</w:t>
      </w:r>
    </w:p>
    <w:p>
      <w:r>
        <w:t>去噪环节采用非局部均值（NLM），块大小为7、搜索窗口为21、滤波强度h=10，其权重w(x,y)=exp(−‖P(x)−P(y)‖²/h²)，其中P(x)为以像素x为中心的图像块；随后以3×3中值滤波抑制椒盐噪声。为在不放大噪声的前提下增强纹理细节，使用多尺度CLAHE，参数取α=0.6、clip limit=2.0，网格尺寸为8×8与16×16，该组合经实验确定以最大化纹理可见度并控制噪声放大。</w:t>
      </w:r>
    </w:p>
    <w:p>
      <w:r>
        <w:t>CLAHE用于缓解皮肤镜图像因光照不均与病灶边界微弱而产生的对比度不足。为抑制伪影风险，采取以下措施：（i）以clip limit=2.0控制噪声放大；（ii）多尺度增强以保留纹理细节；（iii）由皮肤科医生开展临床验证，一致率为94.2%；（iv）消融实验表明引入CLAHE可使准确率提升2.3%；（v）借助纹理保持指标进行质量控制。表3汇总处理前后的图像质量指标；CLAHE后PSNR因对比度提高而略有下降，在诊断用途下可以接受。</w:t>
      </w:r>
    </w:p>
    <w:p>
      <w:r>
        <w:t>图像质量评估采用PSNR、SSIM与对比度等传统指标。Obuchowicz等[29]提出的非参数纹理评估方法虽更全面，但用于皮肤镜图像时受两方面限制：一是该方法依赖MRI特定的采集参数变化，二是其需要多次采集的纹理稳定性分析，而本文数据集每位患者仅有一次采集。PSNR与SSIM是图像处理领域的标准指标[30,31]，可为与既有研究的比较提供可复现的基线。后续工作将探索把基于纹理的质量评估方法迁移到皮肤镜成像领域。</w:t>
      </w:r>
    </w:p>
    <w:p>
      <w:r>
        <w:t>为提高模型鲁棒性，本文在训练/验证/测试划分完成后才进行模拟真实成像变化的增强，以防止数据泄漏。具体包括：随机旋转（−90°至90°），对应不同皮肤镜朝向；水平与垂直翻转，对应不同采集角度；颜色抖动（亮度=0.4、对比度=0.4），模拟光照差异；高斯模糊（核大小=9）与运动模糊（核大小=9），分别模拟失焦和患者移动；随机阴影，模拟手持设备造成的光照不均。增强参数依据临床实践与智能手机远程皮肤病学中观察到的变化确定。</w:t>
      </w:r>
    </w:p>
    <w:p>
      <w:r>
        <w:t>图2展示了预处理序列，图3给出若干增强后的代表性图像；数据增强流程与病灶边界框生成流程分别详见算法1和算法2。上述增强参数系依据临床实践中观察到的变化以及基于智能手机的远程皮肤病学场景而选取。</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