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通过活体胃癌类器官中的纳米机械振动解析抗癌药物疗效</w:t>
      </w:r>
    </w:p>
    <w:p>
      <w:pPr>
        <w:pStyle w:val="Heading1"/>
      </w:pPr>
      <w:r>
        <w:t>2. 方法</w:t>
      </w:r>
    </w:p>
    <w:p>
      <w:r>
        <w:t>胃类器官构建流程见图1与图S1A。研究从8周龄C57BL/6小鼠或胃癌患者获取胃组织，经酶消化分离胃腺，将腺体碎片包埋于Matrigel中进行三维培养。5至7天内，腺体自组织形成中空球状结构（图S1B）。成熟类器官具有明显中央腔，腔周为单层高度极化上皮细胞，顶端膜面向腔面，基底膜与周围Matrigel相接（图S1A）。</w:t>
      </w:r>
    </w:p>
    <w:p>
      <w:r>
        <w:t>为确认类器官构建成功及其多细胞组成，采用细胞类型特异性标志物进行免疫荧光染色：Lgr5标记干细胞，MUC5AC标记表面黏液细胞，PGC标记壁细胞。上述标志物均呈阳性染色，表明胃类器官含有这些多种细胞类型，证实胃类器官已成功建立（图S1C）。</w:t>
      </w:r>
    </w:p>
    <w:p>
      <w:r>
        <w:t>纳米机械振动检测时，先以轻柔吹打将类器官从Matrigel中释放，洗涤后置于PBS，并转移至纤连蛋白包被的培养皿，再转移至原子力显微镜（AFM；Bruker、JPK、Nanowizard）载物台。使用无针尖NP-O10探针，在Force Modulation Imaging模式下接触类器官表面，达到预设压痕力（setpoint）后保持位置恒定并记录振动信号，以反映类器官内细微振荡活动。</w:t>
      </w:r>
    </w:p>
    <w:p>
      <w:r>
        <w:t>该平台进一步整合深度学习分析，利用振动信号振幅与频谱等特征来检测和区分类器官状态，并将这些振动模式与药物疗效相关联，凸显其在个体化治疗选择中的潜力。总体而言，该纳米机械振动平台可用于评估患者来源类器官的药物反应，有望促进基于类器官的抗癌药物筛选并推动个体化治疗策略。图1总结了整体工作流。</w:t>
      </w:r>
    </w:p>
    <w:p>
      <w:r>
        <w:t>图2A的原始Time-Deflection曲线记录了完整检测过程。当探针接触类器官并施加预设压痕力时（约50 s），AFM记录到振动。为确认振动源于活类器官本身而非环境噪声，进行阴性对照：将探针置于非活性水凝胶表面或悬于PBS中，检测到的振幅均很弱（图2B）。类器官纳米机械振动振幅约为1.5 nm，显著高于水凝胶0.08 nm和PBS 0.02 nm，说明该信号可靠反映类器官内在生物力学活动。</w:t>
      </w:r>
    </w:p>
    <w:p>
      <w:r>
        <w:t>为考察类器官生长过程中纳米机械振动信号的变化，进行系统定量分析（图3）。按生长阶段将类器官分为小（约50 µm）、中（约150 µm）、大（约250 µm）三组，并设置0.5、2、5 nN三个探针压痕力水平。在不同尺寸与压痕力组合下检测振动信号，并以振动标准差量化振幅。结果显示：在恒定压痕力下，类器官尺寸越大，振动振幅越大；在同一尺寸组内，压痕力越高，记录振幅越大。</w:t>
      </w:r>
    </w:p>
    <w:p>
      <w:r>
        <w:t>对此，作者提出一种可能解释：生长过程中振幅增加可能源于更多活跃振动细胞的累积效应、整体代谢活动增强以及细胞间机械耦联效率提高，这些因素可能共同增强所传递的机械信号。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