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大学生AI素养与认知灵活性的剖面分析及其与深度学习能力的相关性</w:t>
      </w:r>
    </w:p>
    <w:p>
      <w:pPr>
        <w:pStyle w:val="Heading1"/>
      </w:pPr>
      <w:r>
        <w:t>2. 方法</w:t>
      </w:r>
    </w:p>
    <w:p>
      <w:r>
        <w:t>研究采用横断面调查设计，于2025年11月至12月在中国内蒙古和黑龙江两省的两所大学开展，对象为在读全日制本科生，要求无诊断认知或学习障碍史。研究遵循《赫尔辛基宣言》，方案获内蒙古工业大学伦理审查委员会批准，所有参与者在纳入前均签署书面知情同意。共收集633份问卷，排除不完整及作答时间&lt;3分钟的无效问卷后，保留591份有效应答用于分析。</w:t>
      </w:r>
    </w:p>
    <w:p>
      <w:r>
        <w:t>抽样采用便利与整群结合的方式，以班级为初级抽样单位，邀请所选班级全体学生参与。研究助理将问卷链接发给班代表，再由班代表通过微信群转发给同学，问卷通过问卷星平台在线自报完成。参与者在填答前被告知研究目的、参与自愿性及回答保密性。问卷收集了性别、生源地（城/乡）、年级（大一至大四）、独生子女、家庭经济状况、专业（自然科学 vs 人文社科）、自评学业成绩（差/一般/好）以及每日AI工具使用频率（&lt;1 h/天、1–3 h/天、&gt;3 h/天）等信息。</w:t>
      </w:r>
    </w:p>
    <w:p>
      <w:r>
        <w:t>AI素养采用Zhou Qiong和Yingchun（2024）开发的AI素养量表测量，包含25个条目，覆盖AI知识、AI技能、AI态度与价值观、AI伦理四个维度。条目按7点李克特评分（1=非常不同意，7=非常同意），均正向计分，总分范围25–175，分数越高表示AI素养越高。本研究中该量表的Cronbach’s α为0.857。</w:t>
      </w:r>
    </w:p>
    <w:p>
      <w:r>
        <w:t>认知灵活性采用Wang Yang等（2016）修订的认知灵活性问卷评估，测量个体在环境需求变化时自发重构认知的能力。问卷共20个条目（如“解释某事发生的原因时，我会考虑所有事实和信息”），按5点计分（1=从不，5=总是），总分越高表示认知灵活性越强。本研究中该量表的Cronbach’s α为0.891。</w:t>
      </w:r>
    </w:p>
    <w:p>
      <w:r>
        <w:t>深度学习能力采用Lu（2016）编制的大学生深度学习量表评估，含20个条目，覆盖实践反思、信息整合、学习态度、学习价值、理解性联系五个维度。条目按5点李克特计分（1=完全不同意，5=完全同意），总分范围20–100，分数越高表示深度学习能力越强。本研究中该量表的Cronbach’s α为0.931。</w:t>
      </w:r>
    </w:p>
    <w:p>
      <w:r>
        <w:t>数据分析方面，使用SPSS 28.0计算所有人口学与研究变量的描述统计。潜在剖面分析在Mplus中进行，以AI素养和认知灵活性为分类指标，采用全信息最大似然（FIML）估计处理缺失数据，比较2至5个剖面模型，依据AIC、BIC、aBIC、熵及LMR-LRT进行模型选择。组间人口学差异采用卡方检验和单因素方差分析。多元逻辑回归用于检验剖面归属的社会人口学和行为相关因素。采用BCH方法比较各剖面的深度学习得分。所有检验均为双尾，显著性水平设为α=0.05。</w:t>
      </w:r>
    </w:p>
    <w:p>
      <w:r>
        <w:t>结果提取出三个潜在剖面：双重受限组（30.5%）、潜在潜力组（31.3%）和综合整合组（38.2%）。城市生源、自然科学专业、学业成绩满意以及频繁使用AI是综合整合组归属的正向预测因素；相反，农村生源、人文社科专业、学业成绩差和不频繁使用AI与双重受限组归属显著相关。深度学习得分从双重受限组到综合整合组呈现统计显著的上升趋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