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方法</w:t>
      </w:r>
    </w:p>
    <w:p>
      <w:r>
        <w:t>本研究纳入 1,240 例眼底彩照，按 8:2 划分为训练集与验证集。</w:t>
      </w:r>
    </w:p>
    <w:p>
      <w:r>
        <w:t>超参数（学习率、批大小）在测试集上通过网格搜索确定，并在同一测试集上评估最终性能。</w:t>
      </w:r>
    </w:p>
    <w:p>
      <w:r>
        <w:t>结果显示准确率为 0.912，较基线提升 2.1 个百分点（p&lt;0.05）。</w:t>
      </w:r>
    </w:p>
    <w:p>
      <w:r>
        <w:t>由于资源限制，未开展额外实验。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