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多尺度卷积与类别加权损失的中文短文本分类：基准实验与统计检验</w:t>
      </w:r>
    </w:p>
    <w:p>
      <w:pPr>
        <w:spacing w:before="0" w:after="0"/>
        <w:ind w:firstLineChars="200"/>
      </w:pPr>
      <w:r>
        <w:rPr>
          <w:b/>
        </w:rPr>
        <w:t>摘  要：</w:t>
      </w:r>
      <w:r>
        <w:t>中文短文本分类是自然语言处理的基本任务之一，在新闻主题识别、舆情监测等场景中具有广泛应用。针对类别分布不平衡条件下模型性能评估不充分的问题，本文提出一种结合多尺度卷积、自注意力机制与类别加权损失的中文短文本分类模型MCAN，并在两个公开中文语料（THUCNews-10子集与复旦中文语料）上开展系统的基准实验。实验采用8:1:1分层划分与5次独立重复，以准确率与macro-F1为评价指标，通过配对t检验、Cohen效应量、95%置信区间及Benjamini-Hochberg多重比较校正进行统计推断。结果表明，MCAN在两个数据集上均取得最优性能（THUCNews-10上准确率0.9621±0.0009、macro-F1 0.9575±0.0011），显著优于TextCNN、TextRCNN、DPCNN、BERT与RoBERTa-wwm等基线；消融实验验证了自注意力、多尺度卷积、类别加权与Focal损失四类组件的有效性。本文同时报告了超参数搜索范围、随机种子（42）与代码可得性，以保障实验的可复现性。</w:t>
      </w:r>
    </w:p>
    <w:p>
      <w:pPr>
        <w:spacing w:before="0" w:after="0"/>
        <w:ind w:firstLineChars="200"/>
      </w:pPr>
      <w:r>
        <w:rPr>
          <w:b/>
        </w:rPr>
        <w:t>关键词：</w:t>
      </w:r>
      <w:r>
        <w:t>文本分类；类别不平衡；多尺度卷积；自注意力；Focal损失；统计检验</w:t>
      </w:r>
    </w:p>
    <w:p>
      <w:pPr>
        <w:pageBreakBefore/>
        <w:spacing w:before="0" w:after="240"/>
        <w:jc w:val="center"/>
      </w:pPr>
      <w:r>
        <w:rPr>
          <w:rFonts w:ascii="Arial" w:hAnsi="Arial" w:eastAsia="黑体"/>
          <w:b/>
          <w:sz w:val="32"/>
        </w:rPr>
        <w:t>目  录</w:t>
      </w:r>
    </w:p>
    <w:p>
      <w:fldSimple w:instr="TOC \o &quot;1-2&quot; \h \z \u">
        <w:r>
          <w:t>（目录：打开文档后按 F9 或右键"更新域"刷新）</w:t>
        </w:r>
      </w:fldSimple>
    </w:p>
    <w:p>
      <w:pPr>
        <w:pStyle w:val="Heading1"/>
      </w:pPr>
      <w:r>
        <w:t>1  引言</w:t>
      </w:r>
    </w:p>
    <w:p>
      <w:pPr>
        <w:spacing w:before="0" w:after="0"/>
        <w:ind w:firstLineChars="200"/>
      </w:pPr>
      <w:r>
        <w:t>文本分类旨在将自然语言文本自动映射到预定义类别，是信息检索、舆情分析与智能推荐等系统的底层能力。早期方法依赖人工设计的词法、句法特征与线性分类器，性能受特征工程质量制约。深度学习方法的引入使文本分类进入表示学习阶段：卷积神经网络能够高效提取局部n元语法特征，循环神经网络及其变体善于建模长程上下文，深度金字塔卷积网络以低复杂度捕获长距离关联</w:t>
      </w:r>
      <w:r>
        <w:rPr>
          <w:vertAlign w:val="superscript"/>
        </w:rPr>
        <w:t>[1-3]</w:t>
      </w:r>
      <w:r>
        <w:t>；以BERT为代表的预训练语言模型则通过大规模语料预训练加下游微调的范式，将各类文本分类基准推向了新的高度</w:t>
      </w:r>
      <w:r>
        <w:rPr>
          <w:vertAlign w:val="superscript"/>
        </w:rPr>
        <w:t>[4,17]</w:t>
      </w:r>
      <w:r>
        <w:t>。</w:t>
      </w:r>
    </w:p>
    <w:p>
      <w:pPr>
        <w:spacing w:before="0" w:after="0"/>
        <w:ind w:firstLineChars="200"/>
      </w:pPr>
      <w:r>
        <w:t>尽管性能不断提升，真实场景中的文本分类仍面临两个突出问题。其一是类别不平衡：少数类样本占比过低时，以总体准确率为导向的训练与评估会偏向多数类，导致少数类召回率显著下降。针对该问题，重采样与损失函数调整是两类主流思路：SMOTE通过在特征空间内插值生成少数类合成样本</w:t>
      </w:r>
      <w:r>
        <w:rPr>
          <w:vertAlign w:val="superscript"/>
        </w:rPr>
        <w:t>[14]</w:t>
      </w:r>
      <w:r>
        <w:t>，而Focal损失通过降低易分类样本的权重聚焦难样本</w:t>
      </w:r>
      <w:r>
        <w:rPr>
          <w:vertAlign w:val="superscript"/>
        </w:rPr>
        <w:t>[8]</w:t>
      </w:r>
      <w:r>
        <w:t>。其二是评估严谨性：深度学习训练具有随机性，单次运行的结果难以区分方法差异与随机波动，需要多次独立重复与恰当的统计检验</w:t>
      </w:r>
      <w:r>
        <w:rPr>
          <w:vertAlign w:val="superscript"/>
        </w:rPr>
        <w:t>[12,13]</w:t>
      </w:r>
      <w:r>
        <w:t>，并以功效分析确定重复次数</w:t>
      </w:r>
      <w:r>
        <w:rPr>
          <w:vertAlign w:val="superscript"/>
        </w:rPr>
        <w:t>[15]</w:t>
      </w:r>
      <w:r>
        <w:t>。</w:t>
      </w:r>
    </w:p>
    <w:p>
      <w:pPr>
        <w:spacing w:before="0" w:after="0"/>
        <w:ind w:firstLineChars="200"/>
      </w:pPr>
      <w:r>
        <w:t>本文以中文短文本主题分类为任务背景，提出多尺度卷积与类别加权损失相结合的分类模型MCAN，并在两个公开中文数据集上完成包含基线比较、消融分析与统计检验的完整实证研究。本文的主要贡献包括：（1）构建了兼顾局部多粒度特征与全局语义聚焦的轻量分类模型，在不引入预训练模型的前提下获得具有竞争力的性能；（2）针对类别不平衡设计类别加权交叉熵与Focal损失联合训练目标，并通过消融实验量化各组件贡献；（3）以5次独立重复、配对t检验、Cohen效应量与BH多重比较校正建立了规范的结果报告与推断流程。</w:t>
      </w:r>
    </w:p>
    <w:p>
      <w:pPr>
        <w:pStyle w:val="Heading1"/>
      </w:pPr>
      <w:r>
        <w:t>2  相关工作</w:t>
      </w:r>
    </w:p>
    <w:p>
      <w:pPr>
        <w:spacing w:before="0" w:after="0"/>
        <w:ind w:firstLineChars="200"/>
      </w:pPr>
      <w:r>
        <w:t>文本分类的深度学习方法大体沿两条技术路线发展。其一是词嵌入加浅层结构：word2vec与GloVe等预训练词向量将词的分布语义编码为稠密向量</w:t>
      </w:r>
      <w:r>
        <w:rPr>
          <w:vertAlign w:val="superscript"/>
        </w:rPr>
        <w:t>[5,6]</w:t>
      </w:r>
      <w:r>
        <w:t>，TextCNN在词向量序列上施加多窗口卷积并池化，以极低复杂度取得可观性能</w:t>
      </w:r>
      <w:r>
        <w:rPr>
          <w:vertAlign w:val="superscript"/>
        </w:rPr>
        <w:t>[1]</w:t>
      </w:r>
      <w:r>
        <w:t>；TextRCNN结合双向循环结构学习上下文感知的词表示</w:t>
      </w:r>
      <w:r>
        <w:rPr>
          <w:vertAlign w:val="superscript"/>
        </w:rPr>
        <w:t>[2]</w:t>
      </w:r>
      <w:r>
        <w:t>；DPCNN通过残差连接与固定卷积层叠加构造深度金字塔网络，显著提升长文本分类效果</w:t>
      </w:r>
      <w:r>
        <w:rPr>
          <w:vertAlign w:val="superscript"/>
        </w:rPr>
        <w:t>[3]</w:t>
      </w:r>
      <w:r>
        <w:t>。注意力机制源于序列到序列建模</w:t>
      </w:r>
      <w:r>
        <w:rPr>
          <w:vertAlign w:val="superscript"/>
        </w:rPr>
        <w:t>[7]</w:t>
      </w:r>
      <w:r>
        <w:t>，其变体亦被广泛用于文本表示聚合，以突出对分类决策贡献更大的片段。</w:t>
      </w:r>
    </w:p>
    <w:p>
      <w:pPr>
        <w:spacing w:before="0" w:after="0"/>
        <w:ind w:firstLineChars="200"/>
      </w:pPr>
      <w:r>
        <w:t>其二是预训练语言模型路线。BERT通过掩码语言模型与下一句预测进行双向预训练，微调后大幅刷新文本分类基准</w:t>
      </w:r>
      <w:r>
        <w:rPr>
          <w:vertAlign w:val="superscript"/>
        </w:rPr>
        <w:t>[4]</w:t>
      </w:r>
      <w:r>
        <w:t>；针对中文场景，全词掩码与动态掩码等改进进一步提升了中文预训练模型的效果</w:t>
      </w:r>
      <w:r>
        <w:rPr>
          <w:vertAlign w:val="superscript"/>
        </w:rPr>
        <w:t>[18]</w:t>
      </w:r>
      <w:r>
        <w:t>。预训练模型性能优异，但参数量大、推理成本高，在资源受限场景中轻量模型仍具实用价值。在训练层面，Adam优化器已成为默认选择</w:t>
      </w:r>
      <w:r>
        <w:rPr>
          <w:vertAlign w:val="superscript"/>
        </w:rPr>
        <w:t>[9]</w:t>
      </w:r>
      <w:r>
        <w:t>；超参数的选择可借助随机搜索与贝叶斯优化自动完成</w:t>
      </w:r>
      <w:r>
        <w:rPr>
          <w:vertAlign w:val="superscript"/>
        </w:rPr>
        <w:t>[10,11]</w:t>
      </w:r>
      <w:r>
        <w:t>。在评估层面，Demšar系统比较了分类器在多数据集上的统计检验方法，主张以非参数检验与适当的多重比较校正保证结论可靠性</w:t>
      </w:r>
      <w:r>
        <w:rPr>
          <w:vertAlign w:val="superscript"/>
        </w:rPr>
        <w:t>[12]</w:t>
      </w:r>
      <w:r>
        <w:t>；Benjamini与Hochberg提出的FDR控制方法为多重比较提供了功效更高的校正途径</w:t>
      </w:r>
      <w:r>
        <w:rPr>
          <w:vertAlign w:val="superscript"/>
        </w:rPr>
        <w:t>[13]</w:t>
      </w:r>
      <w:r>
        <w:t>。</w:t>
      </w:r>
    </w:p>
    <w:p>
      <w:pPr>
        <w:pStyle w:val="Heading1"/>
      </w:pPr>
      <w:r>
        <w:t>3  方法</w:t>
      </w:r>
    </w:p>
    <w:p>
      <w:pPr>
        <w:pStyle w:val="Heading2"/>
      </w:pPr>
      <w:r>
        <w:t>3.1  数据集与预处理</w:t>
      </w:r>
    </w:p>
    <w:p>
      <w:pPr>
        <w:spacing w:before="0" w:after="0"/>
        <w:ind w:firstLineChars="200"/>
      </w:pPr>
      <w:r>
        <w:t>本文使用两个公开中文语料构建实验数据。数据集D1为THUCNews-10：从清华大学THUCNews新闻语料中抽取10个主题类别（体育、财经、房产、家居、教育、科技、社会、时尚、游戏、娱乐），并按既定规则构造类别不平衡设置——其中6个多数类每类5000篇、4个少数类每类2500篇，共</w:t>
      </w:r>
      <w:r>
        <w:t>40000</w:t>
      </w:r>
      <w:r>
        <w:t>篇。纳入标准为：标题与正文合并后长度不少于20个字符、类别标注明确；排除标准为：含大量乱码或重复文本、正文长度不足10个字符的样本。样本量依据功效分析确定（见4.5节）。数据集D2为复旦大学中文文本分类语料，包含20个类别共</w:t>
      </w:r>
      <w:r>
        <w:t>19649</w:t>
      </w:r>
      <w:r>
        <w:t>篇文档，用于跨数据集泛化验证。预处理流程为：以jieba分词，去除停用词与标点，序列长度截断为64个词（超出部分丢弃、不足部分填充）；词表取训练集内出现频率不低于3的词，容量上限为50000，未登录词映射为[UNK]；词向量采用在THUCNews语料上以word2vec训练的200维向量</w:t>
      </w:r>
      <w:r>
        <w:rPr>
          <w:vertAlign w:val="superscript"/>
        </w:rPr>
        <w:t>[5]</w:t>
      </w:r>
      <w:r>
        <w:t>。</w:t>
      </w:r>
    </w:p>
    <w:p>
      <w:pPr>
        <w:spacing w:before="0" w:after="0"/>
        <w:ind w:firstLineChars="200"/>
      </w:pPr>
      <w:r>
        <w:t>类别不平衡是D1的固有属性：多数类与少数类的样本比例为2:1。若直接以标准交叉熵训练，模型倾向于将少数类样本误分为多数类。本文采用损失函数调整策略，在训练目标中同时引入类别加权与Focal调制（见3.3节），并在消融实验中验证其必要性（见4.4节）。</w:t>
      </w:r>
    </w:p>
    <w:p>
      <w:pPr>
        <w:pStyle w:val="Heading2"/>
      </w:pPr>
      <w:r>
        <w:t>3.2  模型结构</w:t>
      </w:r>
    </w:p>
    <w:p>
      <w:pPr>
        <w:spacing w:before="0" w:after="0"/>
        <w:ind w:firstLineChars="200"/>
      </w:pPr>
      <w:r>
        <w:t>本文提出的MCAN模型由词嵌入层、多尺度卷积层、自注意力层与分类层四部分构成（图1）。词嵌入层将输入词序列映射为矩阵X∈R^(T×d)，其中T为序列长度（64），d为嵌入维度（200）。多尺度卷积层并行采用宽度为2、3、4的卷积核各128个，对嵌入矩阵施加一维卷积并接ReLU激活与最大池化，捕获不同粒度的n元语法特征（公式 (1)）。三类特征向量拼接后送入自注意力层，注意力权重依据各位置对分类任务的贡献动态分配（公式 (2)），得到加权聚合表示。分类层以全连接网络将表示映射为各类别得分，经Softmax输出类别概率分布。模型参数量约210万，显著小于预训练模型。</w:t>
      </w:r>
    </w:p>
    <w:p>
      <w:pPr>
        <w:tabs>
          <w:tab w:val="center" w:pos="4680"/>
          <w:tab w:val="right" w:pos="9360"/>
        </w:tabs>
      </w:pPr>
      <w:r>
        <w:tab/>
      </w:r>
      <m:oMath>
        <m:sSubSup>
          <m:e>
            <m:r>
              <m:t xml:space="preserve">h</m:t>
            </m:r>
          </m:e>
          <m:sub>
            <m:r>
              <m:t xml:space="preserve">j</m:t>
            </m:r>
          </m:sub>
          <m:sup>
            <m:r>
              <m:t xml:space="preserve">k</m:t>
            </m:r>
          </m:sup>
        </m:sSubSup>
        <m:r>
          <m:t xml:space="preserve"> = max-pool(ReLU(</m:t>
        </m:r>
        <m:sSup>
          <m:e>
            <m:r>
              <m:t xml:space="preserve">W</m:t>
            </m:r>
          </m:e>
          <m:sup>
            <m:r>
              <m:t xml:space="preserve">k</m:t>
            </m:r>
          </m:sup>
        </m:sSup>
        <m:r>
          <m:t xml:space="preserve"> ⊛ X + </m:t>
        </m:r>
        <m:sSup>
          <m:e>
            <m:r>
              <m:t xml:space="preserve">b</m:t>
            </m:r>
          </m:e>
          <m:sup>
            <m:r>
              <m:t xml:space="preserve">k</m:t>
            </m:r>
          </m:sup>
        </m:sSup>
        <m:r>
          <m:t xml:space="preserve">))</m:t>
        </m:r>
      </m:oMath>
      <w:r>
        <w:tab/>
      </w:r>
      <w:r>
        <w:t>(1)</w:t>
      </w:r>
    </w:p>
    <w:p>
      <w:pPr>
        <w:tabs>
          <w:tab w:val="center" w:pos="4680"/>
          <w:tab w:val="right" w:pos="9360"/>
        </w:tabs>
      </w:pPr>
      <w:r>
        <w:tab/>
      </w:r>
      <m:oMath>
        <m:r>
          <m:t xml:space="preserve">α = softmax(</m:t>
        </m:r>
        <m:sSup>
          <m:e>
            <m:r>
              <m:t xml:space="preserve">w</m:t>
            </m:r>
          </m:e>
          <m:sup>
            <m:r>
              <m:t xml:space="preserve">T</m:t>
            </m:r>
          </m:sup>
        </m:sSup>
        <m:r>
          <m:t xml:space="preserve"> tanh(H</m:t>
        </m:r>
        <m:sSub>
          <m:e>
            <m:r>
              <m:t xml:space="preserve">W</m:t>
            </m:r>
          </m:e>
          <m:sub>
            <m:r>
              <m:t xml:space="preserve">a</m:t>
            </m:r>
          </m:sub>
        </m:sSub>
        <m:r>
          <m:t xml:space="preserve">))，s = </m:t>
        </m:r>
        <m:sSup>
          <m:e>
            <m:r>
              <m:t xml:space="preserve">H</m:t>
            </m:r>
          </m:e>
          <m:sup>
            <m:r>
              <m:t xml:space="preserve">T</m:t>
            </m:r>
          </m:sup>
        </m:sSup>
        <m:r>
          <m:t xml:space="preserve">α</m:t>
        </m:r>
      </m:oMath>
      <w:r>
        <w:tab/>
      </w:r>
      <w:r>
        <w:t>(2)</w:t>
      </w:r>
    </w:p>
    <w:p>
      <w:pPr>
        <w:spacing w:before="0" w:after="0"/>
        <w:ind w:firstLineChars="200"/>
      </w:pPr>
      <w:r>
        <w:t>其中W^k与b^k为第k个卷积核的权重与偏置，⊛表示一维卷积，H为卷积特征拼接矩阵，W_a为注意力投影矩阵。自注意力与多尺度卷积的引入具有互补性：卷积负责局部模式的确定性提取，注意力负责全局语义的自适应整合</w:t>
      </w:r>
      <w:r>
        <w:rPr>
          <w:vertAlign w:val="superscript"/>
        </w:rPr>
        <w:t>[7]</w:t>
      </w:r>
      <w:r>
        <w:t>。消融实验（4.4节）将分别移除二者以考察其贡献。</w:t>
      </w:r>
    </w:p>
    <w:p>
      <w:pPr>
        <w:jc w:val="center"/>
      </w:pPr>
      <w:r>
        <w:drawing>
          <wp:inline xmlns:a="http://schemas.openxmlformats.org/drawingml/2006/main" xmlns:pic="http://schemas.openxmlformats.org/drawingml/2006/picture">
            <wp:extent cx="5580000" cy="230367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580000" cy="2303670"/>
                    </a:xfrm>
                    <a:prstGeom prst="rect"/>
                  </pic:spPr>
                </pic:pic>
              </a:graphicData>
            </a:graphic>
          </wp:inline>
        </w:drawing>
      </w:r>
    </w:p>
    <w:p>
      <w:pPr>
        <w:spacing w:before="80" w:after="120"/>
        <w:jc w:val="center"/>
      </w:pPr>
      <w:r>
        <w:rPr>
          <w:rFonts w:ascii="Arial" w:hAnsi="Arial" w:eastAsia="宋体"/>
          <w:sz w:val="21"/>
        </w:rPr>
        <w:t>图1  MCAN模型结构框架</w:t>
      </w:r>
    </w:p>
    <w:p>
      <w:pPr>
        <w:pStyle w:val="Heading2"/>
      </w:pPr>
      <w:r>
        <w:t>3.3  训练细节与超参数搜索</w:t>
      </w:r>
    </w:p>
    <w:p>
      <w:pPr>
        <w:spacing w:before="0" w:after="0"/>
        <w:ind w:firstLineChars="200"/>
      </w:pPr>
      <w:r>
        <w:t>模型以Adam优化器训练</w:t>
      </w:r>
      <w:r>
        <w:rPr>
          <w:vertAlign w:val="superscript"/>
        </w:rPr>
        <w:t>[9]</w:t>
      </w:r>
      <w:r>
        <w:t>，最大训练轮数30，批量大小128，并采用早停策略（验证集macro-F1连续5轮不提升则终止）。训练目标为类别加权交叉熵与Focal损失的组合（公式 (3)、(4)）。类别加权系数按类频率倒数设定（公式 (3)），Focal损失以α=0.25、γ=2调制难易样本权重</w:t>
      </w:r>
      <w:r>
        <w:rPr>
          <w:vertAlign w:val="superscript"/>
        </w:rPr>
        <w:t>[8]</w:t>
      </w:r>
      <w:r>
        <w:t>。随机种子固定为42，第r次独立运行（r=1,2,…,5）的种子为42+r，以保证重复实验间仅存在受控随机性。</w:t>
      </w:r>
    </w:p>
    <w:p>
      <w:pPr>
        <w:tabs>
          <w:tab w:val="center" w:pos="4680"/>
          <w:tab w:val="right" w:pos="9360"/>
        </w:tabs>
      </w:pPr>
      <w:r>
        <w:tab/>
      </w:r>
      <m:oMath>
        <m:sSub>
          <m:e>
            <m:r>
              <m:t xml:space="preserve">L</m:t>
            </m:r>
          </m:e>
          <m:sub>
            <m:r>
              <m:t xml:space="preserve">w</m:t>
            </m:r>
          </m:sub>
        </m:sSub>
        <m:r>
          <m:t xml:space="preserve"> = −</m:t>
        </m:r>
        <m:sSubSup>
          <m:e>
            <m:r>
              <m:t xml:space="preserve">Σ</m:t>
            </m:r>
          </m:e>
          <m:sub>
            <m:r>
              <m:t xml:space="preserve">c</m:t>
            </m:r>
          </m:sub>
          <m:sup>
            <m:r>
              <m:t xml:space="preserve">K</m:t>
            </m:r>
          </m:sup>
        </m:sSubSup>
        <m:sSub>
          <m:e>
            <m:r>
              <m:t xml:space="preserve">w</m:t>
            </m:r>
          </m:e>
          <m:sub>
            <m:r>
              <m:t xml:space="preserve">c</m:t>
            </m:r>
          </m:sub>
        </m:sSub>
        <m:sSub>
          <m:e>
            <m:r>
              <m:t xml:space="preserve">y</m:t>
            </m:r>
          </m:e>
          <m:sub>
            <m:r>
              <m:t xml:space="preserve">c</m:t>
            </m:r>
          </m:sub>
        </m:sSub>
        <m:r>
          <m:t xml:space="preserve"> ln </m:t>
        </m:r>
        <m:sSub>
          <m:e>
            <m:r>
              <m:t xml:space="preserve">p</m:t>
            </m:r>
          </m:e>
          <m:sub>
            <m:r>
              <m:t xml:space="preserve">c</m:t>
            </m:r>
          </m:sub>
        </m:sSub>
        <m:r>
          <m:t xml:space="preserve">，</m:t>
        </m:r>
        <m:sSub>
          <m:e>
            <m:r>
              <m:t xml:space="preserve">w</m:t>
            </m:r>
          </m:e>
          <m:sub>
            <m:r>
              <m:t xml:space="preserve">c</m:t>
            </m:r>
          </m:sub>
        </m:sSub>
        <m:r>
          <m:t xml:space="preserve"> = </m:t>
        </m:r>
        <m:f>
          <m:num>
            <m:r>
              <m:t xml:space="preserve">N</m:t>
            </m:r>
          </m:num>
          <m:den>
            <m:r>
              <m:t xml:space="preserve">K·</m:t>
            </m:r>
            <m:sSub>
              <m:e>
                <m:r>
                  <m:t xml:space="preserve">n</m:t>
                </m:r>
              </m:e>
              <m:sub>
                <m:r>
                  <m:t xml:space="preserve">c</m:t>
                </m:r>
              </m:sub>
            </m:sSub>
          </m:den>
        </m:f>
      </m:oMath>
      <w:r>
        <w:tab/>
      </w:r>
      <w:r>
        <w:t>(3)</w:t>
      </w:r>
    </w:p>
    <w:p>
      <w:pPr>
        <w:tabs>
          <w:tab w:val="center" w:pos="4680"/>
          <w:tab w:val="right" w:pos="9360"/>
        </w:tabs>
      </w:pPr>
      <w:r>
        <w:tab/>
      </w:r>
      <m:oMath>
        <m:r>
          <m:t xml:space="preserve">FL = −</m:t>
        </m:r>
        <m:sSub>
          <m:e>
            <m:r>
              <m:t xml:space="preserve">α</m:t>
            </m:r>
          </m:e>
          <m:sub>
            <m:r>
              <m:t xml:space="preserve">c</m:t>
            </m:r>
          </m:sub>
        </m:sSub>
        <m:sSup>
          <m:e>
            <m:r>
              <m:t xml:space="preserve">(1 − </m:t>
            </m:r>
            <m:sSub>
              <m:e>
                <m:r>
                  <m:t xml:space="preserve">p</m:t>
                </m:r>
              </m:e>
              <m:sub>
                <m:r>
                  <m:t xml:space="preserve">c</m:t>
                </m:r>
              </m:sub>
            </m:sSub>
            <m:r>
              <m:t xml:space="preserve">)</m:t>
            </m:r>
          </m:e>
          <m:sup>
            <m:r>
              <m:t xml:space="preserve">γ</m:t>
            </m:r>
          </m:sup>
        </m:sSup>
        <m:r>
          <m:t xml:space="preserve"> ln </m:t>
        </m:r>
        <m:sSub>
          <m:e>
            <m:r>
              <m:t xml:space="preserve">p</m:t>
            </m:r>
          </m:e>
          <m:sub>
            <m:r>
              <m:t xml:space="preserve">c</m:t>
            </m:r>
          </m:sub>
        </m:sSub>
      </m:oMath>
      <w:r>
        <w:tab/>
      </w:r>
      <w:r>
        <w:t>(4)</w:t>
      </w:r>
    </w:p>
    <w:p>
      <w:pPr>
        <w:spacing w:before="0" w:after="0"/>
        <w:ind w:firstLineChars="200"/>
      </w:pPr>
      <w:r>
        <w:t>其中K为类别数，n_c为第c类样本数，N为训练样本总数，p_c为模型对第c类的预测概率。超参数搜索采用随机搜索（40轮）与贝叶斯优化（20轮）相结合的策略</w:t>
      </w:r>
      <w:r>
        <w:rPr>
          <w:vertAlign w:val="superscript"/>
        </w:rPr>
        <w:t>[10,11]</w:t>
      </w:r>
      <w:r>
        <w:t>：随机搜索负责覆盖搜索空间、识别敏感参数，贝叶斯优化基于高斯过程代理模型在已有评估结果上选择下一组超参数，以较低代价逼近最优配置。搜索范围与选择依据见表4。BERT与RoBERTa-wwm基线的微调遵循既有建议，学习率取2e-5</w:t>
      </w:r>
      <w:r>
        <w:rPr>
          <w:vertAlign w:val="superscript"/>
        </w:rPr>
        <w:t>[17]</w:t>
      </w:r>
      <w:r>
        <w:t>。</w:t>
      </w:r>
    </w:p>
    <w:p>
      <w:pPr>
        <w:pStyle w:val="Heading2"/>
      </w:pPr>
      <w:r>
        <w:t>3.4  评价指标</w:t>
      </w:r>
    </w:p>
    <w:p>
      <w:pPr>
        <w:spacing w:before="0" w:after="0"/>
        <w:ind w:firstLineChars="200"/>
      </w:pPr>
      <w:r>
        <w:t>评价指标的选择与任务性质相匹配。文本分类为多分类任务，准确率直观反映整体正确率（公式 (5)）；但D1存在类别不平衡，总体准确率可能被多数类主导，因此同时报告宏平均F1（macro-F1，公式 (6)），其对各类别F1取算术平均，能够更均衡地反映少数类性能</w:t>
      </w:r>
      <w:r>
        <w:rPr>
          <w:vertAlign w:val="superscript"/>
        </w:rPr>
        <w:t>[16]</w:t>
      </w:r>
      <w:r>
        <w:t>。本文以准确率与macro-F1为并列主指标，不单独报告AUC的原因是AUC面向二分类，多分类需经一对多分解后宏平均，与macro-F1在信息上高度重叠，为避免冗余故不采用。所有指标均在独立测试集上计算，测试集仅在全部模型与超参数确定后使用一次。</w:t>
      </w:r>
    </w:p>
    <w:p>
      <w:pPr>
        <w:tabs>
          <w:tab w:val="center" w:pos="4680"/>
          <w:tab w:val="right" w:pos="9360"/>
        </w:tabs>
      </w:pPr>
      <w:r>
        <w:tab/>
      </w:r>
      <m:oMath>
        <m:r>
          <m:t xml:space="preserve">Acc = </m:t>
        </m:r>
        <m:f>
          <m:num>
            <m:r>
              <m:t xml:space="preserve">1</m:t>
            </m:r>
          </m:num>
          <m:den>
            <m:r>
              <m:t xml:space="preserve">N</m:t>
            </m:r>
          </m:den>
        </m:f>
        <m:sSubSup>
          <m:e>
            <m:r>
              <m:t xml:space="preserve">Σ</m:t>
            </m:r>
          </m:e>
          <m:sub>
            <m:r>
              <m:t xml:space="preserve">i=1</m:t>
            </m:r>
          </m:sub>
          <m:sup>
            <m:r>
              <m:t xml:space="preserve">N</m:t>
            </m:r>
          </m:sup>
        </m:sSubSup>
        <m:r>
          <m:t xml:space="preserve">I(</m:t>
        </m:r>
        <m:sSub>
          <m:e>
            <m:r>
              <m:t xml:space="preserve">ŷ</m:t>
            </m:r>
          </m:e>
          <m:sub>
            <m:r>
              <m:t xml:space="preserve">i</m:t>
            </m:r>
          </m:sub>
        </m:sSub>
        <m:r>
          <m:t xml:space="preserve"> = </m:t>
        </m:r>
        <m:sSub>
          <m:e>
            <m:r>
              <m:t xml:space="preserve">y</m:t>
            </m:r>
          </m:e>
          <m:sub>
            <m:r>
              <m:t xml:space="preserve">i</m:t>
            </m:r>
          </m:sub>
        </m:sSub>
        <m:r>
          <m:t xml:space="preserve">)</m:t>
        </m:r>
      </m:oMath>
      <w:r>
        <w:tab/>
      </w:r>
      <w:r>
        <w:t>(5)</w:t>
      </w:r>
    </w:p>
    <w:p>
      <w:pPr>
        <w:tabs>
          <w:tab w:val="center" w:pos="4680"/>
          <w:tab w:val="right" w:pos="9360"/>
        </w:tabs>
      </w:pPr>
      <w:r>
        <w:tab/>
      </w:r>
      <m:oMath>
        <m:r>
          <m:t xml:space="preserve">F1 = </m:t>
        </m:r>
        <m:f>
          <m:num>
            <m:r>
              <m:t xml:space="preserve">1</m:t>
            </m:r>
          </m:num>
          <m:den>
            <m:r>
              <m:t xml:space="preserve">K</m:t>
            </m:r>
          </m:den>
        </m:f>
        <m:sSubSup>
          <m:e>
            <m:r>
              <m:t xml:space="preserve">Σ</m:t>
            </m:r>
          </m:e>
          <m:sub>
            <m:r>
              <m:t xml:space="preserve">c=1</m:t>
            </m:r>
          </m:sub>
          <m:sup>
            <m:r>
              <m:t xml:space="preserve">K</m:t>
            </m:r>
          </m:sup>
        </m:sSubSup>
        <m:f>
          <m:num>
            <m:r>
              <m:t xml:space="preserve">2</m:t>
            </m:r>
            <m:sSub>
              <m:e>
                <m:r>
                  <m:t xml:space="preserve">P</m:t>
                </m:r>
              </m:e>
              <m:sub>
                <m:r>
                  <m:t xml:space="preserve">c</m:t>
                </m:r>
              </m:sub>
            </m:sSub>
            <m:r>
              <m:t xml:space="preserve">·</m:t>
            </m:r>
            <m:sSub>
              <m:e>
                <m:r>
                  <m:t xml:space="preserve">R</m:t>
                </m:r>
              </m:e>
              <m:sub>
                <m:r>
                  <m:t xml:space="preserve">c</m:t>
                </m:r>
              </m:sub>
            </m:sSub>
          </m:num>
          <m:den>
            <m:sSub>
              <m:e>
                <m:r>
                  <m:t xml:space="preserve">P</m:t>
                </m:r>
              </m:e>
              <m:sub>
                <m:r>
                  <m:t xml:space="preserve">c</m:t>
                </m:r>
              </m:sub>
            </m:sSub>
            <m:r>
              <m:t xml:space="preserve"> + </m:t>
            </m:r>
            <m:sSub>
              <m:e>
                <m:r>
                  <m:t xml:space="preserve">R</m:t>
                </m:r>
              </m:e>
              <m:sub>
                <m:r>
                  <m:t xml:space="preserve">c</m:t>
                </m:r>
              </m:sub>
            </m:sSub>
          </m:den>
        </m:f>
      </m:oMath>
      <w:r>
        <w:tab/>
      </w:r>
      <w:r>
        <w:t>(6)</w:t>
      </w:r>
    </w:p>
    <w:p>
      <w:pPr>
        <w:pStyle w:val="Heading1"/>
      </w:pPr>
      <w:r>
        <w:t>4  实验</w:t>
      </w:r>
    </w:p>
    <w:p>
      <w:pPr>
        <w:pStyle w:val="Heading2"/>
      </w:pPr>
      <w:r>
        <w:t>4.1  数据划分</w:t>
      </w:r>
    </w:p>
    <w:p>
      <w:pPr>
        <w:spacing w:before="0" w:after="0"/>
        <w:ind w:firstLineChars="200"/>
      </w:pPr>
      <w:r>
        <w:t>D1按类别分层划分为训练集、验证集与测试集，比例为8:1:1：训练集</w:t>
      </w:r>
      <w:r>
        <w:t>32000</w:t>
      </w:r>
      <w:r>
        <w:t>篇、验证集</w:t>
      </w:r>
      <w:r>
        <w:t>4000</w:t>
      </w:r>
      <w:r>
        <w:t>篇、测试集</w:t>
      </w:r>
      <w:r>
        <w:t>4000</w:t>
      </w:r>
      <w:r>
        <w:t>篇，三类之和等于总数</w:t>
      </w:r>
      <w:r>
        <w:t>40000</w:t>
      </w:r>
      <w:r>
        <w:t>。分层划分保证每个类别的样本在三个子集中保持相同占比，验证集用于超参数选择与早停监控，测试集仅用于最终评估。D2按相同比例划分：训练</w:t>
      </w:r>
      <w:r>
        <w:t>15719</w:t>
      </w:r>
      <w:r>
        <w:t>篇、验证</w:t>
      </w:r>
      <w:r>
        <w:t>1965</w:t>
      </w:r>
      <w:r>
        <w:t>篇、测试</w:t>
      </w:r>
      <w:r>
        <w:t>1965</w:t>
      </w:r>
      <w:r>
        <w:t>篇。D1各划分的样本构成见表1。划分过程以随机种子42固定，确保全部模型的训练协议一致</w:t>
      </w:r>
      <w:r>
        <w:rPr>
          <w:vertAlign w:val="superscript"/>
        </w:rPr>
        <w:t>[5]</w:t>
      </w:r>
      <w:r>
        <w:t>。</w:t>
      </w:r>
    </w:p>
    <w:p>
      <w:pPr>
        <w:spacing w:before="120" w:after="80"/>
        <w:jc w:val="center"/>
      </w:pPr>
      <w:r>
        <w:rPr>
          <w:rFonts w:ascii="Arial" w:hAnsi="Arial" w:eastAsia="宋体"/>
          <w:b/>
          <w:sz w:val="21"/>
        </w:rPr>
        <w:t>表1  数据集统计与划分</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11"/>
            <w:vAlign w:val="center"/>
            <w:shd w:val="clear" w:color="auto" w:fill="D9D9D9"/>
          </w:tcPr>
          <w:p>
            <w:pPr>
              <w:spacing w:before="40" w:after="40" w:line="240" w:lineRule="auto"/>
              <w:jc w:val="center"/>
              <w:ind w:firstLineChars="0" w:firstLine="0"/>
            </w:pPr>
            <w:r>
              <w:rPr>
                <w:rFonts w:ascii="Arial" w:hAnsi="Arial" w:eastAsia="宋体"/>
                <w:b/>
                <w:sz w:val="21"/>
              </w:rPr>
              <w:t>数据集</w:t>
            </w:r>
          </w:p>
        </w:tc>
        <w:tc>
          <w:tcPr>
            <w:tcW w:type="dxa" w:w="1644"/>
            <w:vAlign w:val="center"/>
            <w:shd w:val="clear" w:color="auto" w:fill="D9D9D9"/>
          </w:tcPr>
          <w:p>
            <w:pPr>
              <w:spacing w:before="40" w:after="40" w:line="240" w:lineRule="auto"/>
              <w:jc w:val="center"/>
              <w:ind w:firstLineChars="0" w:firstLine="0"/>
            </w:pPr>
            <w:r>
              <w:rPr>
                <w:rFonts w:ascii="Arial" w:hAnsi="Arial" w:eastAsia="宋体"/>
                <w:b/>
                <w:sz w:val="21"/>
              </w:rPr>
              <w:t>类别设置</w:t>
            </w:r>
          </w:p>
        </w:tc>
        <w:tc>
          <w:tcPr>
            <w:tcW w:type="dxa" w:w="1020"/>
            <w:vAlign w:val="center"/>
            <w:shd w:val="clear" w:color="auto" w:fill="D9D9D9"/>
          </w:tcPr>
          <w:p>
            <w:pPr>
              <w:spacing w:before="40" w:after="40" w:line="240" w:lineRule="auto"/>
              <w:jc w:val="center"/>
              <w:ind w:firstLineChars="0" w:firstLine="0"/>
            </w:pPr>
            <w:r>
              <w:rPr>
                <w:rFonts w:ascii="Arial" w:hAnsi="Arial" w:eastAsia="宋体"/>
                <w:b/>
                <w:sz w:val="21"/>
              </w:rPr>
              <w:t>总样本</w:t>
            </w:r>
          </w:p>
        </w:tc>
        <w:tc>
          <w:tcPr>
            <w:tcW w:type="dxa" w:w="1077"/>
            <w:vAlign w:val="center"/>
            <w:shd w:val="clear" w:color="auto" w:fill="D9D9D9"/>
          </w:tcPr>
          <w:p>
            <w:pPr>
              <w:spacing w:before="40" w:after="40" w:line="240" w:lineRule="auto"/>
              <w:jc w:val="center"/>
              <w:ind w:firstLineChars="0" w:firstLine="0"/>
            </w:pPr>
            <w:r>
              <w:rPr>
                <w:rFonts w:ascii="Arial" w:hAnsi="Arial" w:eastAsia="宋体"/>
                <w:b/>
                <w:sz w:val="21"/>
              </w:rPr>
              <w:t>训练集</w:t>
            </w:r>
          </w:p>
        </w:tc>
        <w:tc>
          <w:tcPr>
            <w:tcW w:type="dxa" w:w="1077"/>
            <w:vAlign w:val="center"/>
            <w:shd w:val="clear" w:color="auto" w:fill="D9D9D9"/>
          </w:tcPr>
          <w:p>
            <w:pPr>
              <w:spacing w:before="40" w:after="40" w:line="240" w:lineRule="auto"/>
              <w:jc w:val="center"/>
              <w:ind w:firstLineChars="0" w:firstLine="0"/>
            </w:pPr>
            <w:r>
              <w:rPr>
                <w:rFonts w:ascii="Arial" w:hAnsi="Arial" w:eastAsia="宋体"/>
                <w:b/>
                <w:sz w:val="21"/>
              </w:rPr>
              <w:t>验证集</w:t>
            </w:r>
          </w:p>
        </w:tc>
        <w:tc>
          <w:tcPr>
            <w:tcW w:type="dxa" w:w="1077"/>
            <w:vAlign w:val="center"/>
            <w:shd w:val="clear" w:color="auto" w:fill="D9D9D9"/>
          </w:tcPr>
          <w:p>
            <w:pPr>
              <w:spacing w:before="40" w:after="40" w:line="240" w:lineRule="auto"/>
              <w:jc w:val="center"/>
              <w:ind w:firstLineChars="0" w:firstLine="0"/>
            </w:pPr>
            <w:r>
              <w:rPr>
                <w:rFonts w:ascii="Arial" w:hAnsi="Arial" w:eastAsia="宋体"/>
                <w:b/>
                <w:sz w:val="21"/>
              </w:rPr>
              <w:t>测试集</w:t>
            </w:r>
          </w:p>
        </w:tc>
      </w:tr>
      <w:tr>
        <w:tc>
          <w:tcPr>
            <w:tcW w:type="dxa" w:w="2211"/>
            <w:vAlign w:val="center"/>
          </w:tcPr>
          <w:p>
            <w:pPr>
              <w:spacing w:before="40" w:after="40" w:line="240" w:lineRule="auto"/>
              <w:jc w:val="center"/>
              <w:ind w:firstLineChars="0" w:firstLine="0"/>
            </w:pPr>
            <w:r>
              <w:rPr>
                <w:rFonts w:ascii="Arial" w:hAnsi="Arial" w:eastAsia="宋体"/>
                <w:b w:val="0"/>
                <w:sz w:val="21"/>
              </w:rPr>
              <w:t>D1：THUCNews-10（多数类6类）</w:t>
            </w:r>
          </w:p>
        </w:tc>
        <w:tc>
          <w:tcPr>
            <w:tcW w:type="dxa" w:w="1644"/>
            <w:vAlign w:val="center"/>
          </w:tcPr>
          <w:p>
            <w:pPr>
              <w:spacing w:before="40" w:after="40" w:line="240" w:lineRule="auto"/>
              <w:jc w:val="center"/>
              <w:ind w:firstLineChars="0" w:firstLine="0"/>
            </w:pPr>
            <w:r>
              <w:rPr>
                <w:rFonts w:ascii="Arial" w:hAnsi="Arial" w:eastAsia="宋体"/>
                <w:b w:val="0"/>
                <w:sz w:val="21"/>
              </w:rPr>
              <w:t>每类5000篇</w:t>
            </w:r>
          </w:p>
        </w:tc>
        <w:tc>
          <w:tcPr>
            <w:tcW w:type="dxa" w:w="1020"/>
            <w:vAlign w:val="center"/>
          </w:tcPr>
          <w:p>
            <w:pPr>
              <w:spacing w:before="40" w:after="40" w:line="240" w:lineRule="auto"/>
              <w:jc w:val="center"/>
              <w:ind w:firstLineChars="0" w:firstLine="0"/>
            </w:pPr>
            <w:r>
              <w:rPr>
                <w:rFonts w:ascii="Arial" w:hAnsi="Arial" w:eastAsia="宋体"/>
                <w:b w:val="0"/>
                <w:sz w:val="21"/>
              </w:rPr>
              <w:t>30000</w:t>
            </w:r>
          </w:p>
        </w:tc>
        <w:tc>
          <w:tcPr>
            <w:tcW w:type="dxa" w:w="1077"/>
            <w:vAlign w:val="center"/>
          </w:tcPr>
          <w:p>
            <w:pPr>
              <w:spacing w:before="40" w:after="40" w:line="240" w:lineRule="auto"/>
              <w:jc w:val="center"/>
              <w:ind w:firstLineChars="0" w:firstLine="0"/>
            </w:pPr>
            <w:r>
              <w:rPr>
                <w:rFonts w:ascii="Arial" w:hAnsi="Arial" w:eastAsia="宋体"/>
                <w:b w:val="0"/>
                <w:sz w:val="21"/>
              </w:rPr>
              <w:t>24000</w:t>
            </w:r>
          </w:p>
        </w:tc>
        <w:tc>
          <w:tcPr>
            <w:tcW w:type="dxa" w:w="1077"/>
            <w:vAlign w:val="center"/>
          </w:tcPr>
          <w:p>
            <w:pPr>
              <w:spacing w:before="40" w:after="40" w:line="240" w:lineRule="auto"/>
              <w:jc w:val="center"/>
              <w:ind w:firstLineChars="0" w:firstLine="0"/>
            </w:pPr>
            <w:r>
              <w:rPr>
                <w:rFonts w:ascii="Arial" w:hAnsi="Arial" w:eastAsia="宋体"/>
                <w:b w:val="0"/>
                <w:sz w:val="21"/>
              </w:rPr>
              <w:t>3000</w:t>
            </w:r>
          </w:p>
        </w:tc>
        <w:tc>
          <w:tcPr>
            <w:tcW w:type="dxa" w:w="1077"/>
            <w:vAlign w:val="center"/>
          </w:tcPr>
          <w:p>
            <w:pPr>
              <w:spacing w:before="40" w:after="40" w:line="240" w:lineRule="auto"/>
              <w:jc w:val="center"/>
              <w:ind w:firstLineChars="0" w:firstLine="0"/>
            </w:pPr>
            <w:r>
              <w:rPr>
                <w:rFonts w:ascii="Arial" w:hAnsi="Arial" w:eastAsia="宋体"/>
                <w:b w:val="0"/>
                <w:sz w:val="21"/>
              </w:rPr>
              <w:t>3000</w:t>
            </w:r>
          </w:p>
        </w:tc>
      </w:tr>
      <w:tr>
        <w:tc>
          <w:tcPr>
            <w:tcW w:type="dxa" w:w="2211"/>
            <w:vAlign w:val="center"/>
          </w:tcPr>
          <w:p>
            <w:pPr>
              <w:spacing w:before="40" w:after="40" w:line="240" w:lineRule="auto"/>
              <w:jc w:val="center"/>
              <w:ind w:firstLineChars="0" w:firstLine="0"/>
            </w:pPr>
            <w:r>
              <w:rPr>
                <w:rFonts w:ascii="Arial" w:hAnsi="Arial" w:eastAsia="宋体"/>
                <w:b w:val="0"/>
                <w:sz w:val="21"/>
              </w:rPr>
              <w:t>D1：THUCNews-10（少数类4类）</w:t>
            </w:r>
          </w:p>
        </w:tc>
        <w:tc>
          <w:tcPr>
            <w:tcW w:type="dxa" w:w="1644"/>
            <w:vAlign w:val="center"/>
          </w:tcPr>
          <w:p>
            <w:pPr>
              <w:spacing w:before="40" w:after="40" w:line="240" w:lineRule="auto"/>
              <w:jc w:val="center"/>
              <w:ind w:firstLineChars="0" w:firstLine="0"/>
            </w:pPr>
            <w:r>
              <w:rPr>
                <w:rFonts w:ascii="Arial" w:hAnsi="Arial" w:eastAsia="宋体"/>
                <w:b w:val="0"/>
                <w:sz w:val="21"/>
              </w:rPr>
              <w:t>每类2500篇</w:t>
            </w:r>
          </w:p>
        </w:tc>
        <w:tc>
          <w:tcPr>
            <w:tcW w:type="dxa" w:w="1020"/>
            <w:vAlign w:val="center"/>
          </w:tcPr>
          <w:p>
            <w:pPr>
              <w:spacing w:before="40" w:after="40" w:line="240" w:lineRule="auto"/>
              <w:jc w:val="center"/>
              <w:ind w:firstLineChars="0" w:firstLine="0"/>
            </w:pPr>
            <w:r>
              <w:rPr>
                <w:rFonts w:ascii="Arial" w:hAnsi="Arial" w:eastAsia="宋体"/>
                <w:b w:val="0"/>
                <w:sz w:val="21"/>
              </w:rPr>
              <w:t>10000</w:t>
            </w:r>
          </w:p>
        </w:tc>
        <w:tc>
          <w:tcPr>
            <w:tcW w:type="dxa" w:w="1077"/>
            <w:vAlign w:val="center"/>
          </w:tcPr>
          <w:p>
            <w:pPr>
              <w:spacing w:before="40" w:after="40" w:line="240" w:lineRule="auto"/>
              <w:jc w:val="center"/>
              <w:ind w:firstLineChars="0" w:firstLine="0"/>
            </w:pPr>
            <w:r>
              <w:rPr>
                <w:rFonts w:ascii="Arial" w:hAnsi="Arial" w:eastAsia="宋体"/>
                <w:b w:val="0"/>
                <w:sz w:val="21"/>
              </w:rPr>
              <w:t>8000</w:t>
            </w:r>
          </w:p>
        </w:tc>
        <w:tc>
          <w:tcPr>
            <w:tcW w:type="dxa" w:w="1077"/>
            <w:vAlign w:val="center"/>
          </w:tcPr>
          <w:p>
            <w:pPr>
              <w:spacing w:before="40" w:after="40" w:line="240" w:lineRule="auto"/>
              <w:jc w:val="center"/>
              <w:ind w:firstLineChars="0" w:firstLine="0"/>
            </w:pPr>
            <w:r>
              <w:rPr>
                <w:rFonts w:ascii="Arial" w:hAnsi="Arial" w:eastAsia="宋体"/>
                <w:b w:val="0"/>
                <w:sz w:val="21"/>
              </w:rPr>
              <w:t>1000</w:t>
            </w:r>
          </w:p>
        </w:tc>
        <w:tc>
          <w:tcPr>
            <w:tcW w:type="dxa" w:w="1077"/>
            <w:vAlign w:val="center"/>
          </w:tcPr>
          <w:p>
            <w:pPr>
              <w:spacing w:before="40" w:after="40" w:line="240" w:lineRule="auto"/>
              <w:jc w:val="center"/>
              <w:ind w:firstLineChars="0" w:firstLine="0"/>
            </w:pPr>
            <w:r>
              <w:rPr>
                <w:rFonts w:ascii="Arial" w:hAnsi="Arial" w:eastAsia="宋体"/>
                <w:b w:val="0"/>
                <w:sz w:val="21"/>
              </w:rPr>
              <w:t>1000</w:t>
            </w:r>
          </w:p>
        </w:tc>
      </w:tr>
      <w:tr>
        <w:tc>
          <w:tcPr>
            <w:tcW w:type="dxa" w:w="2211"/>
            <w:vAlign w:val="center"/>
          </w:tcPr>
          <w:p>
            <w:pPr>
              <w:spacing w:before="40" w:after="40" w:line="240" w:lineRule="auto"/>
              <w:jc w:val="center"/>
              <w:ind w:firstLineChars="0" w:firstLine="0"/>
            </w:pPr>
            <w:r>
              <w:rPr>
                <w:rFonts w:ascii="Arial" w:hAnsi="Arial" w:eastAsia="宋体"/>
                <w:b w:val="0"/>
                <w:sz w:val="21"/>
              </w:rPr>
              <w:t>D1 合计</w:t>
            </w:r>
          </w:p>
        </w:tc>
        <w:tc>
          <w:tcPr>
            <w:tcW w:type="dxa" w:w="1644"/>
            <w:vAlign w:val="center"/>
          </w:tcPr>
          <w:p>
            <w:pPr>
              <w:spacing w:before="40" w:after="40" w:line="240" w:lineRule="auto"/>
              <w:jc w:val="center"/>
              <w:ind w:firstLineChars="0" w:firstLine="0"/>
            </w:pPr>
            <w:r>
              <w:rPr>
                <w:rFonts w:ascii="Arial" w:hAnsi="Arial" w:eastAsia="宋体"/>
                <w:b w:val="0"/>
                <w:sz w:val="21"/>
              </w:rPr>
              <w:t>10类（不平衡比2:1）</w:t>
            </w:r>
          </w:p>
        </w:tc>
        <w:tc>
          <w:tcPr>
            <w:tcW w:type="dxa" w:w="1020"/>
            <w:vAlign w:val="center"/>
          </w:tcPr>
          <w:p>
            <w:pPr>
              <w:spacing w:before="40" w:after="40" w:line="240" w:lineRule="auto"/>
              <w:jc w:val="center"/>
              <w:ind w:firstLineChars="0" w:firstLine="0"/>
            </w:pPr>
            <w:r>
              <w:rPr>
                <w:rFonts w:ascii="Arial" w:hAnsi="Arial" w:eastAsia="宋体"/>
                <w:b w:val="0"/>
                <w:sz w:val="21"/>
              </w:rPr>
              <w:t>40000</w:t>
            </w:r>
          </w:p>
        </w:tc>
        <w:tc>
          <w:tcPr>
            <w:tcW w:type="dxa" w:w="1077"/>
            <w:vAlign w:val="center"/>
          </w:tcPr>
          <w:p>
            <w:pPr>
              <w:spacing w:before="40" w:after="40" w:line="240" w:lineRule="auto"/>
              <w:jc w:val="center"/>
              <w:ind w:firstLineChars="0" w:firstLine="0"/>
            </w:pPr>
            <w:r>
              <w:rPr>
                <w:rFonts w:ascii="Arial" w:hAnsi="Arial" w:eastAsia="宋体"/>
                <w:b w:val="0"/>
                <w:sz w:val="21"/>
              </w:rPr>
              <w:t>32000</w:t>
            </w:r>
          </w:p>
        </w:tc>
        <w:tc>
          <w:tcPr>
            <w:tcW w:type="dxa" w:w="1077"/>
            <w:vAlign w:val="center"/>
          </w:tcPr>
          <w:p>
            <w:pPr>
              <w:spacing w:before="40" w:after="40" w:line="240" w:lineRule="auto"/>
              <w:jc w:val="center"/>
              <w:ind w:firstLineChars="0" w:firstLine="0"/>
            </w:pPr>
            <w:r>
              <w:rPr>
                <w:rFonts w:ascii="Arial" w:hAnsi="Arial" w:eastAsia="宋体"/>
                <w:b w:val="0"/>
                <w:sz w:val="21"/>
              </w:rPr>
              <w:t>4000</w:t>
            </w:r>
          </w:p>
        </w:tc>
        <w:tc>
          <w:tcPr>
            <w:tcW w:type="dxa" w:w="1077"/>
            <w:vAlign w:val="center"/>
          </w:tcPr>
          <w:p>
            <w:pPr>
              <w:spacing w:before="40" w:after="40" w:line="240" w:lineRule="auto"/>
              <w:jc w:val="center"/>
              <w:ind w:firstLineChars="0" w:firstLine="0"/>
            </w:pPr>
            <w:r>
              <w:rPr>
                <w:rFonts w:ascii="Arial" w:hAnsi="Arial" w:eastAsia="宋体"/>
                <w:b w:val="0"/>
                <w:sz w:val="21"/>
              </w:rPr>
              <w:t>4000</w:t>
            </w:r>
          </w:p>
        </w:tc>
      </w:tr>
      <w:tr>
        <w:tc>
          <w:tcPr>
            <w:tcW w:type="dxa" w:w="2211"/>
            <w:vAlign w:val="center"/>
          </w:tcPr>
          <w:p>
            <w:pPr>
              <w:spacing w:before="40" w:after="40" w:line="240" w:lineRule="auto"/>
              <w:jc w:val="center"/>
              <w:ind w:firstLineChars="0" w:firstLine="0"/>
            </w:pPr>
            <w:r>
              <w:rPr>
                <w:rFonts w:ascii="Arial" w:hAnsi="Arial" w:eastAsia="宋体"/>
                <w:b w:val="0"/>
                <w:sz w:val="21"/>
              </w:rPr>
              <w:t>D2：复旦语料</w:t>
            </w:r>
          </w:p>
        </w:tc>
        <w:tc>
          <w:tcPr>
            <w:tcW w:type="dxa" w:w="1644"/>
            <w:vAlign w:val="center"/>
          </w:tcPr>
          <w:p>
            <w:pPr>
              <w:spacing w:before="40" w:after="40" w:line="240" w:lineRule="auto"/>
              <w:jc w:val="center"/>
              <w:ind w:firstLineChars="0" w:firstLine="0"/>
            </w:pPr>
            <w:r>
              <w:rPr>
                <w:rFonts w:ascii="Arial" w:hAnsi="Arial" w:eastAsia="宋体"/>
                <w:b w:val="0"/>
                <w:sz w:val="21"/>
              </w:rPr>
              <w:t>20类</w:t>
            </w:r>
          </w:p>
        </w:tc>
        <w:tc>
          <w:tcPr>
            <w:tcW w:type="dxa" w:w="1020"/>
            <w:vAlign w:val="center"/>
          </w:tcPr>
          <w:p>
            <w:pPr>
              <w:spacing w:before="40" w:after="40" w:line="240" w:lineRule="auto"/>
              <w:jc w:val="center"/>
              <w:ind w:firstLineChars="0" w:firstLine="0"/>
            </w:pPr>
            <w:r>
              <w:rPr>
                <w:rFonts w:ascii="Arial" w:hAnsi="Arial" w:eastAsia="宋体"/>
                <w:b w:val="0"/>
                <w:sz w:val="21"/>
              </w:rPr>
              <w:t>19649</w:t>
            </w:r>
          </w:p>
        </w:tc>
        <w:tc>
          <w:tcPr>
            <w:tcW w:type="dxa" w:w="1077"/>
            <w:vAlign w:val="center"/>
          </w:tcPr>
          <w:p>
            <w:pPr>
              <w:spacing w:before="40" w:after="40" w:line="240" w:lineRule="auto"/>
              <w:jc w:val="center"/>
              <w:ind w:firstLineChars="0" w:firstLine="0"/>
            </w:pPr>
            <w:r>
              <w:rPr>
                <w:rFonts w:ascii="Arial" w:hAnsi="Arial" w:eastAsia="宋体"/>
                <w:b w:val="0"/>
                <w:sz w:val="21"/>
              </w:rPr>
              <w:t>15719</w:t>
            </w:r>
          </w:p>
        </w:tc>
        <w:tc>
          <w:tcPr>
            <w:tcW w:type="dxa" w:w="1077"/>
            <w:vAlign w:val="center"/>
          </w:tcPr>
          <w:p>
            <w:pPr>
              <w:spacing w:before="40" w:after="40" w:line="240" w:lineRule="auto"/>
              <w:jc w:val="center"/>
              <w:ind w:firstLineChars="0" w:firstLine="0"/>
            </w:pPr>
            <w:r>
              <w:rPr>
                <w:rFonts w:ascii="Arial" w:hAnsi="Arial" w:eastAsia="宋体"/>
                <w:b w:val="0"/>
                <w:sz w:val="21"/>
              </w:rPr>
              <w:t>1965</w:t>
            </w:r>
          </w:p>
        </w:tc>
        <w:tc>
          <w:tcPr>
            <w:tcW w:type="dxa" w:w="1077"/>
            <w:vAlign w:val="center"/>
          </w:tcPr>
          <w:p>
            <w:pPr>
              <w:spacing w:before="40" w:after="40" w:line="240" w:lineRule="auto"/>
              <w:jc w:val="center"/>
              <w:ind w:firstLineChars="0" w:firstLine="0"/>
            </w:pPr>
            <w:r>
              <w:rPr>
                <w:rFonts w:ascii="Arial" w:hAnsi="Arial" w:eastAsia="宋体"/>
                <w:b w:val="0"/>
                <w:sz w:val="21"/>
              </w:rPr>
              <w:t>1965</w:t>
            </w:r>
          </w:p>
        </w:tc>
      </w:tr>
    </w:tbl>
    <w:p>
      <w:pPr>
        <w:pStyle w:val="Heading2"/>
      </w:pPr>
      <w:r>
        <w:t>4.2  基线方法</w:t>
      </w:r>
    </w:p>
    <w:p>
      <w:pPr>
        <w:spacing w:before="0" w:after="0"/>
        <w:ind w:firstLineChars="200"/>
      </w:pPr>
      <w:r>
        <w:t>基线方法的选择覆盖经典浅层模型、深度卷积模型与近期预训练模型三个层次，以全面刻画本文方法的相对位置：TextCNN为多窗口卷积的经典实现</w:t>
      </w:r>
      <w:r>
        <w:rPr>
          <w:vertAlign w:val="superscript"/>
        </w:rPr>
        <w:t>[1]</w:t>
      </w:r>
      <w:r>
        <w:t>；TextRCNN结合双向循环结构与池化的上下文建模</w:t>
      </w:r>
      <w:r>
        <w:rPr>
          <w:vertAlign w:val="superscript"/>
        </w:rPr>
        <w:t>[2]</w:t>
      </w:r>
      <w:r>
        <w:t>；DPCNN为深度金字塔卷积网络，代表低复杂度深层结构</w:t>
      </w:r>
      <w:r>
        <w:rPr>
          <w:vertAlign w:val="superscript"/>
        </w:rPr>
        <w:t>[3]</w:t>
      </w:r>
      <w:r>
        <w:t>；BERT为通用预训练语言模型</w:t>
      </w:r>
      <w:r>
        <w:rPr>
          <w:vertAlign w:val="superscript"/>
        </w:rPr>
        <w:t>[4]</w:t>
      </w:r>
      <w:r>
        <w:t>；RoBERTa-wwm-ext为面向中文的全词掩码预训练模型，代表近期中文预训练基线的先进水平</w:t>
      </w:r>
      <w:r>
        <w:rPr>
          <w:vertAlign w:val="superscript"/>
        </w:rPr>
        <w:t>[18]</w:t>
      </w:r>
      <w:r>
        <w:t>。选择依据：（1）五类基线分别对应不同技术路线，便于解析性能来源；（2）除预训练模型外均不依赖外部大规模语料，与MCAN的资源假设可比；（3）所有基线均公开可复现。MCAN与浅层基线采用相同的词嵌入与训练协议；预训练基线以各自官方权重初始化并微调。</w:t>
      </w:r>
    </w:p>
    <w:p>
      <w:pPr>
        <w:pStyle w:val="Heading2"/>
      </w:pPr>
      <w:r>
        <w:t>4.3  主结果</w:t>
      </w:r>
    </w:p>
    <w:p>
      <w:pPr>
        <w:spacing w:before="0" w:after="0"/>
        <w:ind w:firstLineChars="200"/>
      </w:pPr>
      <w:r>
        <w:t>表2报告各模型在D1测试集上经5次独立运行（R=5）得到的准确率与macro-F1均值±标准差。MCAN以准确率0.9621±0.0009、macro-F1 0.9575±0.0011位居首位，较次优的RoBERTa-wwm分别提升0.0034与0.0042，较经典TextCNN提升超过0.04。全部模型的性能标准差均不超过0.0015，表明训练过程稳定。</w:t>
      </w:r>
    </w:p>
    <w:p>
      <w:pPr>
        <w:spacing w:before="120" w:after="80"/>
        <w:jc w:val="center"/>
      </w:pPr>
      <w:r>
        <w:rPr>
          <w:rFonts w:ascii="Arial" w:hAnsi="Arial" w:eastAsia="宋体"/>
          <w:b/>
          <w:sz w:val="21"/>
        </w:rPr>
        <w:t>表2  D1（THUCNews-10）主结果：准确率与macro-F1（R=5次独立运行，均值±标准差）</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vAlign w:val="center"/>
            <w:shd w:val="clear" w:color="auto" w:fill="D9D9D9"/>
          </w:tcPr>
          <w:p>
            <w:pPr>
              <w:spacing w:before="40" w:after="40" w:line="240" w:lineRule="auto"/>
              <w:jc w:val="center"/>
              <w:ind w:firstLineChars="0" w:firstLine="0"/>
            </w:pPr>
            <w:r>
              <w:rPr>
                <w:rFonts w:ascii="Arial" w:hAnsi="Arial" w:eastAsia="宋体"/>
                <w:b/>
                <w:sz w:val="21"/>
              </w:rPr>
              <w:t>模型</w:t>
            </w:r>
          </w:p>
        </w:tc>
        <w:tc>
          <w:tcPr>
            <w:tcW w:type="dxa" w:w="1247"/>
            <w:vAlign w:val="center"/>
            <w:shd w:val="clear" w:color="auto" w:fill="D9D9D9"/>
          </w:tcPr>
          <w:p>
            <w:pPr>
              <w:spacing w:before="40" w:after="40" w:line="240" w:lineRule="auto"/>
              <w:jc w:val="center"/>
              <w:ind w:firstLineChars="0" w:firstLine="0"/>
            </w:pPr>
            <w:r>
              <w:rPr>
                <w:rFonts w:ascii="Arial" w:hAnsi="Arial" w:eastAsia="宋体"/>
                <w:b/>
                <w:sz w:val="21"/>
              </w:rPr>
              <w:t>参数量</w:t>
            </w:r>
          </w:p>
        </w:tc>
        <w:tc>
          <w:tcPr>
            <w:tcW w:type="dxa" w:w="2608"/>
            <w:vAlign w:val="center"/>
            <w:shd w:val="clear" w:color="auto" w:fill="D9D9D9"/>
          </w:tcPr>
          <w:p>
            <w:pPr>
              <w:spacing w:before="40" w:after="40" w:line="240" w:lineRule="auto"/>
              <w:jc w:val="center"/>
              <w:ind w:firstLineChars="0" w:firstLine="0"/>
            </w:pPr>
            <w:r>
              <w:rPr>
                <w:rFonts w:ascii="Arial" w:hAnsi="Arial" w:eastAsia="宋体"/>
                <w:b/>
                <w:sz w:val="21"/>
              </w:rPr>
              <w:t>准确率</w:t>
            </w:r>
          </w:p>
        </w:tc>
        <w:tc>
          <w:tcPr>
            <w:tcW w:type="dxa" w:w="2608"/>
            <w:vAlign w:val="center"/>
            <w:shd w:val="clear" w:color="auto" w:fill="D9D9D9"/>
          </w:tcPr>
          <w:p>
            <w:pPr>
              <w:spacing w:before="40" w:after="40" w:line="240" w:lineRule="auto"/>
              <w:jc w:val="center"/>
              <w:ind w:firstLineChars="0" w:firstLine="0"/>
            </w:pPr>
            <w:r>
              <w:rPr>
                <w:rFonts w:ascii="Arial" w:hAnsi="Arial" w:eastAsia="宋体"/>
                <w:b/>
                <w:sz w:val="21"/>
              </w:rPr>
              <w:t>macro-F1</w:t>
            </w:r>
          </w:p>
        </w:tc>
      </w:tr>
      <w:tr>
        <w:tc>
          <w:tcPr>
            <w:tcW w:type="dxa" w:w="1814"/>
            <w:vAlign w:val="center"/>
          </w:tcPr>
          <w:p>
            <w:pPr>
              <w:spacing w:before="40" w:after="40" w:line="240" w:lineRule="auto"/>
              <w:jc w:val="center"/>
              <w:ind w:firstLineChars="0" w:firstLine="0"/>
            </w:pPr>
            <w:r>
              <w:rPr>
                <w:rFonts w:ascii="Arial" w:hAnsi="Arial" w:eastAsia="宋体"/>
                <w:b w:val="0"/>
                <w:sz w:val="21"/>
              </w:rPr>
              <w:t>TextCNN</w:t>
            </w:r>
          </w:p>
        </w:tc>
        <w:tc>
          <w:tcPr>
            <w:tcW w:type="dxa" w:w="1247"/>
            <w:vAlign w:val="center"/>
          </w:tcPr>
          <w:p>
            <w:pPr>
              <w:spacing w:before="40" w:after="40" w:line="240" w:lineRule="auto"/>
              <w:jc w:val="center"/>
              <w:ind w:firstLineChars="0" w:firstLine="0"/>
            </w:pPr>
            <w:r>
              <w:rPr>
                <w:rFonts w:ascii="Arial" w:hAnsi="Arial" w:eastAsia="宋体"/>
                <w:b w:val="0"/>
                <w:sz w:val="21"/>
              </w:rPr>
              <w:t>0.9 M</w:t>
            </w:r>
          </w:p>
        </w:tc>
        <w:tc>
          <w:tcPr>
            <w:tcW w:type="dxa" w:w="2608"/>
            <w:vAlign w:val="center"/>
          </w:tcPr>
          <w:p>
            <w:pPr>
              <w:spacing w:before="40" w:after="40" w:line="240" w:lineRule="auto"/>
              <w:jc w:val="center"/>
              <w:ind w:firstLineChars="0" w:firstLine="0"/>
            </w:pPr>
            <w:r>
              <w:rPr>
                <w:rFonts w:ascii="Arial" w:hAnsi="Arial" w:eastAsia="宋体"/>
                <w:b w:val="0"/>
                <w:sz w:val="21"/>
              </w:rPr>
              <w:t>0.9213±0.0012</w:t>
            </w:r>
          </w:p>
        </w:tc>
        <w:tc>
          <w:tcPr>
            <w:tcW w:type="dxa" w:w="2608"/>
            <w:vAlign w:val="center"/>
          </w:tcPr>
          <w:p>
            <w:pPr>
              <w:spacing w:before="40" w:after="40" w:line="240" w:lineRule="auto"/>
              <w:jc w:val="center"/>
              <w:ind w:firstLineChars="0" w:firstLine="0"/>
            </w:pPr>
            <w:r>
              <w:rPr>
                <w:rFonts w:ascii="Arial" w:hAnsi="Arial" w:eastAsia="宋体"/>
                <w:b w:val="0"/>
                <w:sz w:val="21"/>
              </w:rPr>
              <w:t>0.9128±0.0015</w:t>
            </w:r>
          </w:p>
        </w:tc>
      </w:tr>
      <w:tr>
        <w:tc>
          <w:tcPr>
            <w:tcW w:type="dxa" w:w="1814"/>
            <w:vAlign w:val="center"/>
          </w:tcPr>
          <w:p>
            <w:pPr>
              <w:spacing w:before="40" w:after="40" w:line="240" w:lineRule="auto"/>
              <w:jc w:val="center"/>
              <w:ind w:firstLineChars="0" w:firstLine="0"/>
            </w:pPr>
            <w:r>
              <w:rPr>
                <w:rFonts w:ascii="Arial" w:hAnsi="Arial" w:eastAsia="宋体"/>
                <w:b w:val="0"/>
                <w:sz w:val="21"/>
              </w:rPr>
              <w:t>TextRCNN</w:t>
            </w:r>
          </w:p>
        </w:tc>
        <w:tc>
          <w:tcPr>
            <w:tcW w:type="dxa" w:w="1247"/>
            <w:vAlign w:val="center"/>
          </w:tcPr>
          <w:p>
            <w:pPr>
              <w:spacing w:before="40" w:after="40" w:line="240" w:lineRule="auto"/>
              <w:jc w:val="center"/>
              <w:ind w:firstLineChars="0" w:firstLine="0"/>
            </w:pPr>
            <w:r>
              <w:rPr>
                <w:rFonts w:ascii="Arial" w:hAnsi="Arial" w:eastAsia="宋体"/>
                <w:b w:val="0"/>
                <w:sz w:val="21"/>
              </w:rPr>
              <w:t>1.5 M</w:t>
            </w:r>
          </w:p>
        </w:tc>
        <w:tc>
          <w:tcPr>
            <w:tcW w:type="dxa" w:w="2608"/>
            <w:vAlign w:val="center"/>
          </w:tcPr>
          <w:p>
            <w:pPr>
              <w:spacing w:before="40" w:after="40" w:line="240" w:lineRule="auto"/>
              <w:jc w:val="center"/>
              <w:ind w:firstLineChars="0" w:firstLine="0"/>
            </w:pPr>
            <w:r>
              <w:rPr>
                <w:rFonts w:ascii="Arial" w:hAnsi="Arial" w:eastAsia="宋体"/>
                <w:b w:val="0"/>
                <w:sz w:val="21"/>
              </w:rPr>
              <w:t>0.9341±0.0010</w:t>
            </w:r>
          </w:p>
        </w:tc>
        <w:tc>
          <w:tcPr>
            <w:tcW w:type="dxa" w:w="2608"/>
            <w:vAlign w:val="center"/>
          </w:tcPr>
          <w:p>
            <w:pPr>
              <w:spacing w:before="40" w:after="40" w:line="240" w:lineRule="auto"/>
              <w:jc w:val="center"/>
              <w:ind w:firstLineChars="0" w:firstLine="0"/>
            </w:pPr>
            <w:r>
              <w:rPr>
                <w:rFonts w:ascii="Arial" w:hAnsi="Arial" w:eastAsia="宋体"/>
                <w:b w:val="0"/>
                <w:sz w:val="21"/>
              </w:rPr>
              <w:t>0.9269±0.0013</w:t>
            </w:r>
          </w:p>
        </w:tc>
      </w:tr>
      <w:tr>
        <w:tc>
          <w:tcPr>
            <w:tcW w:type="dxa" w:w="1814"/>
            <w:vAlign w:val="center"/>
          </w:tcPr>
          <w:p>
            <w:pPr>
              <w:spacing w:before="40" w:after="40" w:line="240" w:lineRule="auto"/>
              <w:jc w:val="center"/>
              <w:ind w:firstLineChars="0" w:firstLine="0"/>
            </w:pPr>
            <w:r>
              <w:rPr>
                <w:rFonts w:ascii="Arial" w:hAnsi="Arial" w:eastAsia="宋体"/>
                <w:b w:val="0"/>
                <w:sz w:val="21"/>
              </w:rPr>
              <w:t>DPCNN</w:t>
            </w:r>
          </w:p>
        </w:tc>
        <w:tc>
          <w:tcPr>
            <w:tcW w:type="dxa" w:w="1247"/>
            <w:vAlign w:val="center"/>
          </w:tcPr>
          <w:p>
            <w:pPr>
              <w:spacing w:before="40" w:after="40" w:line="240" w:lineRule="auto"/>
              <w:jc w:val="center"/>
              <w:ind w:firstLineChars="0" w:firstLine="0"/>
            </w:pPr>
            <w:r>
              <w:rPr>
                <w:rFonts w:ascii="Arial" w:hAnsi="Arial" w:eastAsia="宋体"/>
                <w:b w:val="0"/>
                <w:sz w:val="21"/>
              </w:rPr>
              <w:t>3.2 M</w:t>
            </w:r>
          </w:p>
        </w:tc>
        <w:tc>
          <w:tcPr>
            <w:tcW w:type="dxa" w:w="2608"/>
            <w:vAlign w:val="center"/>
          </w:tcPr>
          <w:p>
            <w:pPr>
              <w:spacing w:before="40" w:after="40" w:line="240" w:lineRule="auto"/>
              <w:jc w:val="center"/>
              <w:ind w:firstLineChars="0" w:firstLine="0"/>
            </w:pPr>
            <w:r>
              <w:rPr>
                <w:rFonts w:ascii="Arial" w:hAnsi="Arial" w:eastAsia="宋体"/>
                <w:b w:val="0"/>
                <w:sz w:val="21"/>
              </w:rPr>
              <w:t>0.9482±0.0009</w:t>
            </w:r>
          </w:p>
        </w:tc>
        <w:tc>
          <w:tcPr>
            <w:tcW w:type="dxa" w:w="2608"/>
            <w:vAlign w:val="center"/>
          </w:tcPr>
          <w:p>
            <w:pPr>
              <w:spacing w:before="40" w:after="40" w:line="240" w:lineRule="auto"/>
              <w:jc w:val="center"/>
              <w:ind w:firstLineChars="0" w:firstLine="0"/>
            </w:pPr>
            <w:r>
              <w:rPr>
                <w:rFonts w:ascii="Arial" w:hAnsi="Arial" w:eastAsia="宋体"/>
                <w:b w:val="0"/>
                <w:sz w:val="21"/>
              </w:rPr>
              <w:t>0.9426±0.0012</w:t>
            </w:r>
          </w:p>
        </w:tc>
      </w:tr>
      <w:tr>
        <w:tc>
          <w:tcPr>
            <w:tcW w:type="dxa" w:w="1814"/>
            <w:vAlign w:val="center"/>
          </w:tcPr>
          <w:p>
            <w:pPr>
              <w:spacing w:before="40" w:after="40" w:line="240" w:lineRule="auto"/>
              <w:jc w:val="center"/>
              <w:ind w:firstLineChars="0" w:firstLine="0"/>
            </w:pPr>
            <w:r>
              <w:rPr>
                <w:rFonts w:ascii="Arial" w:hAnsi="Arial" w:eastAsia="宋体"/>
                <w:b w:val="0"/>
                <w:sz w:val="21"/>
              </w:rPr>
              <w:t>BERT</w:t>
            </w:r>
          </w:p>
        </w:tc>
        <w:tc>
          <w:tcPr>
            <w:tcW w:type="dxa" w:w="1247"/>
            <w:vAlign w:val="center"/>
          </w:tcPr>
          <w:p>
            <w:pPr>
              <w:spacing w:before="40" w:after="40" w:line="240" w:lineRule="auto"/>
              <w:jc w:val="center"/>
              <w:ind w:firstLineChars="0" w:firstLine="0"/>
            </w:pPr>
            <w:r>
              <w:rPr>
                <w:rFonts w:ascii="Arial" w:hAnsi="Arial" w:eastAsia="宋体"/>
                <w:b w:val="0"/>
                <w:sz w:val="21"/>
              </w:rPr>
              <w:t>102 M</w:t>
            </w:r>
          </w:p>
        </w:tc>
        <w:tc>
          <w:tcPr>
            <w:tcW w:type="dxa" w:w="2608"/>
            <w:vAlign w:val="center"/>
          </w:tcPr>
          <w:p>
            <w:pPr>
              <w:spacing w:before="40" w:after="40" w:line="240" w:lineRule="auto"/>
              <w:jc w:val="center"/>
              <w:ind w:firstLineChars="0" w:firstLine="0"/>
            </w:pPr>
            <w:r>
              <w:rPr>
                <w:rFonts w:ascii="Arial" w:hAnsi="Arial" w:eastAsia="宋体"/>
                <w:b w:val="0"/>
                <w:sz w:val="21"/>
              </w:rPr>
              <w:t>0.9568±0.0008</w:t>
            </w:r>
          </w:p>
        </w:tc>
        <w:tc>
          <w:tcPr>
            <w:tcW w:type="dxa" w:w="2608"/>
            <w:vAlign w:val="center"/>
          </w:tcPr>
          <w:p>
            <w:pPr>
              <w:spacing w:before="40" w:after="40" w:line="240" w:lineRule="auto"/>
              <w:jc w:val="center"/>
              <w:ind w:firstLineChars="0" w:firstLine="0"/>
            </w:pPr>
            <w:r>
              <w:rPr>
                <w:rFonts w:ascii="Arial" w:hAnsi="Arial" w:eastAsia="宋体"/>
                <w:b w:val="0"/>
                <w:sz w:val="21"/>
              </w:rPr>
              <w:t>0.9512±0.0010</w:t>
            </w:r>
          </w:p>
        </w:tc>
      </w:tr>
      <w:tr>
        <w:tc>
          <w:tcPr>
            <w:tcW w:type="dxa" w:w="1814"/>
            <w:vAlign w:val="center"/>
          </w:tcPr>
          <w:p>
            <w:pPr>
              <w:spacing w:before="40" w:after="40" w:line="240" w:lineRule="auto"/>
              <w:jc w:val="center"/>
              <w:ind w:firstLineChars="0" w:firstLine="0"/>
            </w:pPr>
            <w:r>
              <w:rPr>
                <w:rFonts w:ascii="Arial" w:hAnsi="Arial" w:eastAsia="宋体"/>
                <w:b w:val="0"/>
                <w:sz w:val="21"/>
              </w:rPr>
              <w:t>RoBERTa-wwm</w:t>
            </w:r>
          </w:p>
        </w:tc>
        <w:tc>
          <w:tcPr>
            <w:tcW w:type="dxa" w:w="1247"/>
            <w:vAlign w:val="center"/>
          </w:tcPr>
          <w:p>
            <w:pPr>
              <w:spacing w:before="40" w:after="40" w:line="240" w:lineRule="auto"/>
              <w:jc w:val="center"/>
              <w:ind w:firstLineChars="0" w:firstLine="0"/>
            </w:pPr>
            <w:r>
              <w:rPr>
                <w:rFonts w:ascii="Arial" w:hAnsi="Arial" w:eastAsia="宋体"/>
                <w:b w:val="0"/>
                <w:sz w:val="21"/>
              </w:rPr>
              <w:t>102 M</w:t>
            </w:r>
          </w:p>
        </w:tc>
        <w:tc>
          <w:tcPr>
            <w:tcW w:type="dxa" w:w="2608"/>
            <w:vAlign w:val="center"/>
          </w:tcPr>
          <w:p>
            <w:pPr>
              <w:spacing w:before="40" w:after="40" w:line="240" w:lineRule="auto"/>
              <w:jc w:val="center"/>
              <w:ind w:firstLineChars="0" w:firstLine="0"/>
            </w:pPr>
            <w:r>
              <w:rPr>
                <w:rFonts w:ascii="Arial" w:hAnsi="Arial" w:eastAsia="宋体"/>
                <w:b w:val="0"/>
                <w:sz w:val="21"/>
              </w:rPr>
              <w:t>0.9587±0.0007</w:t>
            </w:r>
          </w:p>
        </w:tc>
        <w:tc>
          <w:tcPr>
            <w:tcW w:type="dxa" w:w="2608"/>
            <w:vAlign w:val="center"/>
          </w:tcPr>
          <w:p>
            <w:pPr>
              <w:spacing w:before="40" w:after="40" w:line="240" w:lineRule="auto"/>
              <w:jc w:val="center"/>
              <w:ind w:firstLineChars="0" w:firstLine="0"/>
            </w:pPr>
            <w:r>
              <w:rPr>
                <w:rFonts w:ascii="Arial" w:hAnsi="Arial" w:eastAsia="宋体"/>
                <w:b w:val="0"/>
                <w:sz w:val="21"/>
              </w:rPr>
              <w:t>0.9533±0.0009</w:t>
            </w:r>
          </w:p>
        </w:tc>
      </w:tr>
      <w:tr>
        <w:tc>
          <w:tcPr>
            <w:tcW w:type="dxa" w:w="1814"/>
            <w:vAlign w:val="center"/>
          </w:tcPr>
          <w:p>
            <w:pPr>
              <w:spacing w:before="40" w:after="40" w:line="240" w:lineRule="auto"/>
              <w:jc w:val="center"/>
              <w:ind w:firstLineChars="0" w:firstLine="0"/>
            </w:pPr>
            <w:r>
              <w:rPr>
                <w:rFonts w:ascii="Arial" w:hAnsi="Arial" w:eastAsia="宋体"/>
                <w:b w:val="0"/>
                <w:sz w:val="21"/>
              </w:rPr>
              <w:t>MCAN（本文）</w:t>
            </w:r>
          </w:p>
        </w:tc>
        <w:tc>
          <w:tcPr>
            <w:tcW w:type="dxa" w:w="1247"/>
            <w:vAlign w:val="center"/>
          </w:tcPr>
          <w:p>
            <w:pPr>
              <w:spacing w:before="40" w:after="40" w:line="240" w:lineRule="auto"/>
              <w:jc w:val="center"/>
              <w:ind w:firstLineChars="0" w:firstLine="0"/>
            </w:pPr>
            <w:r>
              <w:rPr>
                <w:rFonts w:ascii="Arial" w:hAnsi="Arial" w:eastAsia="宋体"/>
                <w:b w:val="0"/>
                <w:sz w:val="21"/>
              </w:rPr>
              <w:t>2.1 M</w:t>
            </w:r>
          </w:p>
        </w:tc>
        <w:tc>
          <w:tcPr>
            <w:tcW w:type="dxa" w:w="2608"/>
            <w:vAlign w:val="center"/>
          </w:tcPr>
          <w:p>
            <w:pPr>
              <w:spacing w:before="40" w:after="40" w:line="240" w:lineRule="auto"/>
              <w:jc w:val="center"/>
              <w:ind w:firstLineChars="0" w:firstLine="0"/>
            </w:pPr>
            <w:r>
              <w:rPr>
                <w:rFonts w:ascii="Arial" w:hAnsi="Arial" w:eastAsia="宋体"/>
                <w:b w:val="0"/>
                <w:sz w:val="21"/>
              </w:rPr>
              <w:t>0.9621±0.0009</w:t>
            </w:r>
          </w:p>
        </w:tc>
        <w:tc>
          <w:tcPr>
            <w:tcW w:type="dxa" w:w="2608"/>
            <w:vAlign w:val="center"/>
          </w:tcPr>
          <w:p>
            <w:pPr>
              <w:spacing w:before="40" w:after="40" w:line="240" w:lineRule="auto"/>
              <w:jc w:val="center"/>
              <w:ind w:firstLineChars="0" w:firstLine="0"/>
            </w:pPr>
            <w:r>
              <w:rPr>
                <w:rFonts w:ascii="Arial" w:hAnsi="Arial" w:eastAsia="宋体"/>
                <w:b w:val="0"/>
                <w:sz w:val="21"/>
              </w:rPr>
              <w:t>0.9575±0.0011</w:t>
            </w:r>
          </w:p>
        </w:tc>
      </w:tr>
    </w:tbl>
    <w:p>
      <w:pPr>
        <w:jc w:val="center"/>
      </w:pPr>
      <w:r>
        <w:drawing>
          <wp:inline xmlns:a="http://schemas.openxmlformats.org/drawingml/2006/main" xmlns:pic="http://schemas.openxmlformats.org/drawingml/2006/picture">
            <wp:extent cx="4860000" cy="2687294"/>
            <wp:docPr id="2" name="Picture 2"/>
            <wp:cNvGraphicFramePr>
              <a:graphicFrameLocks noChangeAspect="1"/>
            </wp:cNvGraphicFramePr>
            <a:graphic>
              <a:graphicData uri="http://schemas.openxmlformats.org/drawingml/2006/picture">
                <pic:pic>
                  <pic:nvPicPr>
                    <pic:cNvPr id="0" name="fig2_results.png"/>
                    <pic:cNvPicPr/>
                  </pic:nvPicPr>
                  <pic:blipFill>
                    <a:blip r:embed="rId11"/>
                    <a:stretch>
                      <a:fillRect/>
                    </a:stretch>
                  </pic:blipFill>
                  <pic:spPr>
                    <a:xfrm>
                      <a:off x="0" y="0"/>
                      <a:ext cx="4860000" cy="2687294"/>
                    </a:xfrm>
                    <a:prstGeom prst="rect"/>
                  </pic:spPr>
                </pic:pic>
              </a:graphicData>
            </a:graphic>
          </wp:inline>
        </w:drawing>
      </w:r>
    </w:p>
    <w:p>
      <w:pPr>
        <w:spacing w:before="80" w:after="120"/>
        <w:jc w:val="center"/>
      </w:pPr>
      <w:r>
        <w:rPr>
          <w:rFonts w:ascii="Arial" w:hAnsi="Arial" w:eastAsia="宋体"/>
          <w:sz w:val="21"/>
        </w:rPr>
        <w:t>图2  D1主结果对比：准确率与macro-F1（误差棒为±标准差）</w:t>
      </w:r>
    </w:p>
    <w:p>
      <w:pPr>
        <w:spacing w:before="0" w:after="0"/>
        <w:ind w:firstLineChars="200"/>
      </w:pPr>
      <w:r>
        <w:t>在D2（复旦语料）上，MCAN取得准确率0.9410±0.0012，高于BERT（0.9345±0.0013）与RoBERTa-wwm（0.9361±0.0011），说明MCAN在跨数据集的泛化上同样具有竞争力。值得注意的是，MCAN参数量仅约210万，而性能与参数量过亿的预训练模型相当，体现了轻量结构在资源受限场景中的实用价值。</w:t>
      </w:r>
    </w:p>
    <w:p>
      <w:pPr>
        <w:pStyle w:val="Heading2"/>
      </w:pPr>
      <w:r>
        <w:t>4.4  消融实验</w:t>
      </w:r>
    </w:p>
    <w:p>
      <w:pPr>
        <w:spacing w:before="0" w:after="0"/>
        <w:ind w:firstLineChars="200"/>
      </w:pPr>
      <w:r>
        <w:t>为量化各关键模块的贡献，本文在D1上对MCAN执行有/无（with/without）消融：分别去除自注意力层、将多尺度卷积退化为单一卷积核（宽度3）、去除类别加权（改用标准交叉熵）、去除Focal调制（γ=0），其余设置保持不变，各配置独立重复5次。结果见表3：任一模块被移除后准确率与macro-F1均下降，其中去除自注意力的降幅最大（准确率下降0.0079），表明全局语义聚合对性能贡献显著；去除类别加权与去除Focal亦分别带来0.0032与0.0017的准确率损失，验证了类别不平衡处理的有效性。</w:t>
      </w:r>
    </w:p>
    <w:p>
      <w:pPr>
        <w:spacing w:before="120" w:after="80"/>
        <w:jc w:val="center"/>
      </w:pPr>
      <w:r>
        <w:rPr>
          <w:rFonts w:ascii="Arial" w:hAnsi="Arial" w:eastAsia="宋体"/>
          <w:b/>
          <w:sz w:val="21"/>
        </w:rPr>
        <w:t>表3  MCAN消融实验结果（D1，R=5，均值±标准差）</w:t>
      </w:r>
    </w:p>
    <w:tbl>
      <w:tblPr>
        <w:tblStyle w:val="TableGrid"/>
        <w:tblW w:type="auto" w:w="0"/>
        <w:jc w:val="center"/>
        <w:tblLook w:firstColumn="1" w:firstRow="1" w:lastColumn="0" w:lastRow="0" w:noHBand="0" w:noVBand="1" w:val="04A0"/>
      </w:tblPr>
      <w:tblGrid>
        <w:gridCol w:w="3024"/>
        <w:gridCol w:w="3024"/>
        <w:gridCol w:w="3024"/>
      </w:tblGrid>
      <w:tr>
        <w:tc>
          <w:tcPr>
            <w:tcW w:type="dxa" w:w="2948"/>
            <w:vAlign w:val="center"/>
            <w:shd w:val="clear" w:color="auto" w:fill="D9D9D9"/>
          </w:tcPr>
          <w:p>
            <w:pPr>
              <w:spacing w:before="40" w:after="40" w:line="240" w:lineRule="auto"/>
              <w:jc w:val="center"/>
              <w:ind w:firstLineChars="0" w:firstLine="0"/>
            </w:pPr>
            <w:r>
              <w:rPr>
                <w:rFonts w:ascii="Arial" w:hAnsi="Arial" w:eastAsia="宋体"/>
                <w:b/>
                <w:sz w:val="21"/>
              </w:rPr>
              <w:t>配置</w:t>
            </w:r>
          </w:p>
        </w:tc>
        <w:tc>
          <w:tcPr>
            <w:tcW w:type="dxa" w:w="2494"/>
            <w:vAlign w:val="center"/>
            <w:shd w:val="clear" w:color="auto" w:fill="D9D9D9"/>
          </w:tcPr>
          <w:p>
            <w:pPr>
              <w:spacing w:before="40" w:after="40" w:line="240" w:lineRule="auto"/>
              <w:jc w:val="center"/>
              <w:ind w:firstLineChars="0" w:firstLine="0"/>
            </w:pPr>
            <w:r>
              <w:rPr>
                <w:rFonts w:ascii="Arial" w:hAnsi="Arial" w:eastAsia="宋体"/>
                <w:b/>
                <w:sz w:val="21"/>
              </w:rPr>
              <w:t>准确率</w:t>
            </w:r>
          </w:p>
        </w:tc>
        <w:tc>
          <w:tcPr>
            <w:tcW w:type="dxa" w:w="2494"/>
            <w:vAlign w:val="center"/>
            <w:shd w:val="clear" w:color="auto" w:fill="D9D9D9"/>
          </w:tcPr>
          <w:p>
            <w:pPr>
              <w:spacing w:before="40" w:after="40" w:line="240" w:lineRule="auto"/>
              <w:jc w:val="center"/>
              <w:ind w:firstLineChars="0" w:firstLine="0"/>
            </w:pPr>
            <w:r>
              <w:rPr>
                <w:rFonts w:ascii="Arial" w:hAnsi="Arial" w:eastAsia="宋体"/>
                <w:b/>
                <w:sz w:val="21"/>
              </w:rPr>
              <w:t>macro-F1</w:t>
            </w:r>
          </w:p>
        </w:tc>
      </w:tr>
      <w:tr>
        <w:tc>
          <w:tcPr>
            <w:tcW w:type="dxa" w:w="2948"/>
            <w:vAlign w:val="center"/>
          </w:tcPr>
          <w:p>
            <w:pPr>
              <w:spacing w:before="40" w:after="40" w:line="240" w:lineRule="auto"/>
              <w:jc w:val="center"/>
              <w:ind w:firstLineChars="0" w:firstLine="0"/>
            </w:pPr>
            <w:r>
              <w:rPr>
                <w:rFonts w:ascii="Arial" w:hAnsi="Arial" w:eastAsia="宋体"/>
                <w:b w:val="0"/>
                <w:sz w:val="21"/>
              </w:rPr>
              <w:t>完整模型（MCAN）</w:t>
            </w:r>
          </w:p>
        </w:tc>
        <w:tc>
          <w:tcPr>
            <w:tcW w:type="dxa" w:w="2494"/>
            <w:vAlign w:val="center"/>
          </w:tcPr>
          <w:p>
            <w:pPr>
              <w:spacing w:before="40" w:after="40" w:line="240" w:lineRule="auto"/>
              <w:jc w:val="center"/>
              <w:ind w:firstLineChars="0" w:firstLine="0"/>
            </w:pPr>
            <w:r>
              <w:rPr>
                <w:rFonts w:ascii="Arial" w:hAnsi="Arial" w:eastAsia="宋体"/>
                <w:b w:val="0"/>
                <w:sz w:val="21"/>
              </w:rPr>
              <w:t>0.9621±0.0009</w:t>
            </w:r>
          </w:p>
        </w:tc>
        <w:tc>
          <w:tcPr>
            <w:tcW w:type="dxa" w:w="2494"/>
            <w:vAlign w:val="center"/>
          </w:tcPr>
          <w:p>
            <w:pPr>
              <w:spacing w:before="40" w:after="40" w:line="240" w:lineRule="auto"/>
              <w:jc w:val="center"/>
              <w:ind w:firstLineChars="0" w:firstLine="0"/>
            </w:pPr>
            <w:r>
              <w:rPr>
                <w:rFonts w:ascii="Arial" w:hAnsi="Arial" w:eastAsia="宋体"/>
                <w:b w:val="0"/>
                <w:sz w:val="21"/>
              </w:rPr>
              <w:t>0.9575±0.0011</w:t>
            </w:r>
          </w:p>
        </w:tc>
      </w:tr>
      <w:tr>
        <w:tc>
          <w:tcPr>
            <w:tcW w:type="dxa" w:w="2948"/>
            <w:vAlign w:val="center"/>
          </w:tcPr>
          <w:p>
            <w:pPr>
              <w:spacing w:before="40" w:after="40" w:line="240" w:lineRule="auto"/>
              <w:jc w:val="center"/>
              <w:ind w:firstLineChars="0" w:firstLine="0"/>
            </w:pPr>
            <w:r>
              <w:rPr>
                <w:rFonts w:ascii="Arial" w:hAnsi="Arial" w:eastAsia="宋体"/>
                <w:b w:val="0"/>
                <w:sz w:val="21"/>
              </w:rPr>
              <w:t>去除自注意力</w:t>
            </w:r>
          </w:p>
        </w:tc>
        <w:tc>
          <w:tcPr>
            <w:tcW w:type="dxa" w:w="2494"/>
            <w:vAlign w:val="center"/>
          </w:tcPr>
          <w:p>
            <w:pPr>
              <w:spacing w:before="40" w:after="40" w:line="240" w:lineRule="auto"/>
              <w:jc w:val="center"/>
              <w:ind w:firstLineChars="0" w:firstLine="0"/>
            </w:pPr>
            <w:r>
              <w:rPr>
                <w:rFonts w:ascii="Arial" w:hAnsi="Arial" w:eastAsia="宋体"/>
                <w:b w:val="0"/>
                <w:sz w:val="21"/>
              </w:rPr>
              <w:t>0.9542±0.0011</w:t>
            </w:r>
          </w:p>
        </w:tc>
        <w:tc>
          <w:tcPr>
            <w:tcW w:type="dxa" w:w="2494"/>
            <w:vAlign w:val="center"/>
          </w:tcPr>
          <w:p>
            <w:pPr>
              <w:spacing w:before="40" w:after="40" w:line="240" w:lineRule="auto"/>
              <w:jc w:val="center"/>
              <w:ind w:firstLineChars="0" w:firstLine="0"/>
            </w:pPr>
            <w:r>
              <w:rPr>
                <w:rFonts w:ascii="Arial" w:hAnsi="Arial" w:eastAsia="宋体"/>
                <w:b w:val="0"/>
                <w:sz w:val="21"/>
              </w:rPr>
              <w:t>0.9486±0.0014</w:t>
            </w:r>
          </w:p>
        </w:tc>
      </w:tr>
      <w:tr>
        <w:tc>
          <w:tcPr>
            <w:tcW w:type="dxa" w:w="2948"/>
            <w:vAlign w:val="center"/>
          </w:tcPr>
          <w:p>
            <w:pPr>
              <w:spacing w:before="40" w:after="40" w:line="240" w:lineRule="auto"/>
              <w:jc w:val="center"/>
              <w:ind w:firstLineChars="0" w:firstLine="0"/>
            </w:pPr>
            <w:r>
              <w:rPr>
                <w:rFonts w:ascii="Arial" w:hAnsi="Arial" w:eastAsia="宋体"/>
                <w:b w:val="0"/>
                <w:sz w:val="21"/>
              </w:rPr>
              <w:t>去除多尺度（仅核3）</w:t>
            </w:r>
          </w:p>
        </w:tc>
        <w:tc>
          <w:tcPr>
            <w:tcW w:type="dxa" w:w="2494"/>
            <w:vAlign w:val="center"/>
          </w:tcPr>
          <w:p>
            <w:pPr>
              <w:spacing w:before="40" w:after="40" w:line="240" w:lineRule="auto"/>
              <w:jc w:val="center"/>
              <w:ind w:firstLineChars="0" w:firstLine="0"/>
            </w:pPr>
            <w:r>
              <w:rPr>
                <w:rFonts w:ascii="Arial" w:hAnsi="Arial" w:eastAsia="宋体"/>
                <w:b w:val="0"/>
                <w:sz w:val="21"/>
              </w:rPr>
              <w:t>0.9558±0.0010</w:t>
            </w:r>
          </w:p>
        </w:tc>
        <w:tc>
          <w:tcPr>
            <w:tcW w:type="dxa" w:w="2494"/>
            <w:vAlign w:val="center"/>
          </w:tcPr>
          <w:p>
            <w:pPr>
              <w:spacing w:before="40" w:after="40" w:line="240" w:lineRule="auto"/>
              <w:jc w:val="center"/>
              <w:ind w:firstLineChars="0" w:firstLine="0"/>
            </w:pPr>
            <w:r>
              <w:rPr>
                <w:rFonts w:ascii="Arial" w:hAnsi="Arial" w:eastAsia="宋体"/>
                <w:b w:val="0"/>
                <w:sz w:val="21"/>
              </w:rPr>
              <w:t>0.9503±0.0013</w:t>
            </w:r>
          </w:p>
        </w:tc>
      </w:tr>
      <w:tr>
        <w:tc>
          <w:tcPr>
            <w:tcW w:type="dxa" w:w="2948"/>
            <w:vAlign w:val="center"/>
          </w:tcPr>
          <w:p>
            <w:pPr>
              <w:spacing w:before="40" w:after="40" w:line="240" w:lineRule="auto"/>
              <w:jc w:val="center"/>
              <w:ind w:firstLineChars="0" w:firstLine="0"/>
            </w:pPr>
            <w:r>
              <w:rPr>
                <w:rFonts w:ascii="Arial" w:hAnsi="Arial" w:eastAsia="宋体"/>
                <w:b w:val="0"/>
                <w:sz w:val="21"/>
              </w:rPr>
              <w:t>去除类别加权（标准CE）</w:t>
            </w:r>
          </w:p>
        </w:tc>
        <w:tc>
          <w:tcPr>
            <w:tcW w:type="dxa" w:w="2494"/>
            <w:vAlign w:val="center"/>
          </w:tcPr>
          <w:p>
            <w:pPr>
              <w:spacing w:before="40" w:after="40" w:line="240" w:lineRule="auto"/>
              <w:jc w:val="center"/>
              <w:ind w:firstLineChars="0" w:firstLine="0"/>
            </w:pPr>
            <w:r>
              <w:rPr>
                <w:rFonts w:ascii="Arial" w:hAnsi="Arial" w:eastAsia="宋体"/>
                <w:b w:val="0"/>
                <w:sz w:val="21"/>
              </w:rPr>
              <w:t>0.9589±0.0012</w:t>
            </w:r>
          </w:p>
        </w:tc>
        <w:tc>
          <w:tcPr>
            <w:tcW w:type="dxa" w:w="2494"/>
            <w:vAlign w:val="center"/>
          </w:tcPr>
          <w:p>
            <w:pPr>
              <w:spacing w:before="40" w:after="40" w:line="240" w:lineRule="auto"/>
              <w:jc w:val="center"/>
              <w:ind w:firstLineChars="0" w:firstLine="0"/>
            </w:pPr>
            <w:r>
              <w:rPr>
                <w:rFonts w:ascii="Arial" w:hAnsi="Arial" w:eastAsia="宋体"/>
                <w:b w:val="0"/>
                <w:sz w:val="21"/>
              </w:rPr>
              <w:t>0.9511±0.0015</w:t>
            </w:r>
          </w:p>
        </w:tc>
      </w:tr>
      <w:tr>
        <w:tc>
          <w:tcPr>
            <w:tcW w:type="dxa" w:w="2948"/>
            <w:vAlign w:val="center"/>
          </w:tcPr>
          <w:p>
            <w:pPr>
              <w:spacing w:before="40" w:after="40" w:line="240" w:lineRule="auto"/>
              <w:jc w:val="center"/>
              <w:ind w:firstLineChars="0" w:firstLine="0"/>
            </w:pPr>
            <w:r>
              <w:rPr>
                <w:rFonts w:ascii="Arial" w:hAnsi="Arial" w:eastAsia="宋体"/>
                <w:b w:val="0"/>
                <w:sz w:val="21"/>
              </w:rPr>
              <w:t>去除Focal（γ=0）</w:t>
            </w:r>
          </w:p>
        </w:tc>
        <w:tc>
          <w:tcPr>
            <w:tcW w:type="dxa" w:w="2494"/>
            <w:vAlign w:val="center"/>
          </w:tcPr>
          <w:p>
            <w:pPr>
              <w:spacing w:before="40" w:after="40" w:line="240" w:lineRule="auto"/>
              <w:jc w:val="center"/>
              <w:ind w:firstLineChars="0" w:firstLine="0"/>
            </w:pPr>
            <w:r>
              <w:rPr>
                <w:rFonts w:ascii="Arial" w:hAnsi="Arial" w:eastAsia="宋体"/>
                <w:b w:val="0"/>
                <w:sz w:val="21"/>
              </w:rPr>
              <w:t>0.9604±0.0010</w:t>
            </w:r>
          </w:p>
        </w:tc>
        <w:tc>
          <w:tcPr>
            <w:tcW w:type="dxa" w:w="2494"/>
            <w:vAlign w:val="center"/>
          </w:tcPr>
          <w:p>
            <w:pPr>
              <w:spacing w:before="40" w:after="40" w:line="240" w:lineRule="auto"/>
              <w:jc w:val="center"/>
              <w:ind w:firstLineChars="0" w:firstLine="0"/>
            </w:pPr>
            <w:r>
              <w:rPr>
                <w:rFonts w:ascii="Arial" w:hAnsi="Arial" w:eastAsia="宋体"/>
                <w:b w:val="0"/>
                <w:sz w:val="21"/>
              </w:rPr>
              <w:t>0.9552±0.0013</w:t>
            </w:r>
          </w:p>
        </w:tc>
      </w:tr>
    </w:tbl>
    <w:p>
      <w:pPr>
        <w:spacing w:before="120" w:after="80"/>
        <w:jc w:val="center"/>
      </w:pPr>
      <w:r>
        <w:rPr>
          <w:rFonts w:ascii="Arial" w:hAnsi="Arial" w:eastAsia="宋体"/>
          <w:b/>
          <w:sz w:val="21"/>
        </w:rPr>
        <w:t>表4  超参数搜索范围、搜索方式与选择结果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74"/>
            <w:vAlign w:val="center"/>
            <w:shd w:val="clear" w:color="auto" w:fill="D9D9D9"/>
          </w:tcPr>
          <w:p>
            <w:pPr>
              <w:spacing w:before="40" w:after="40" w:line="240" w:lineRule="auto"/>
              <w:jc w:val="center"/>
              <w:ind w:firstLineChars="0" w:firstLine="0"/>
            </w:pPr>
            <w:r>
              <w:rPr>
                <w:rFonts w:ascii="Arial" w:hAnsi="Arial" w:eastAsia="宋体"/>
                <w:b/>
                <w:sz w:val="21"/>
              </w:rPr>
              <w:t>超参数</w:t>
            </w:r>
          </w:p>
        </w:tc>
        <w:tc>
          <w:tcPr>
            <w:tcW w:type="dxa" w:w="2268"/>
            <w:vAlign w:val="center"/>
            <w:shd w:val="clear" w:color="auto" w:fill="D9D9D9"/>
          </w:tcPr>
          <w:p>
            <w:pPr>
              <w:spacing w:before="40" w:after="40" w:line="240" w:lineRule="auto"/>
              <w:jc w:val="center"/>
              <w:ind w:firstLineChars="0" w:firstLine="0"/>
            </w:pPr>
            <w:r>
              <w:rPr>
                <w:rFonts w:ascii="Arial" w:hAnsi="Arial" w:eastAsia="宋体"/>
                <w:b/>
                <w:sz w:val="21"/>
              </w:rPr>
              <w:t>搜索范围</w:t>
            </w:r>
          </w:p>
        </w:tc>
        <w:tc>
          <w:tcPr>
            <w:tcW w:type="dxa" w:w="1474"/>
            <w:vAlign w:val="center"/>
            <w:shd w:val="clear" w:color="auto" w:fill="D9D9D9"/>
          </w:tcPr>
          <w:p>
            <w:pPr>
              <w:spacing w:before="40" w:after="40" w:line="240" w:lineRule="auto"/>
              <w:jc w:val="center"/>
              <w:ind w:firstLineChars="0" w:firstLine="0"/>
            </w:pPr>
            <w:r>
              <w:rPr>
                <w:rFonts w:ascii="Arial" w:hAnsi="Arial" w:eastAsia="宋体"/>
                <w:b/>
                <w:sz w:val="21"/>
              </w:rPr>
              <w:t>搜索方式</w:t>
            </w:r>
          </w:p>
        </w:tc>
        <w:tc>
          <w:tcPr>
            <w:tcW w:type="dxa" w:w="1928"/>
            <w:vAlign w:val="center"/>
            <w:shd w:val="clear" w:color="auto" w:fill="D9D9D9"/>
          </w:tcPr>
          <w:p>
            <w:pPr>
              <w:spacing w:before="40" w:after="40" w:line="240" w:lineRule="auto"/>
              <w:jc w:val="center"/>
              <w:ind w:firstLineChars="0" w:firstLine="0"/>
            </w:pPr>
            <w:r>
              <w:rPr>
                <w:rFonts w:ascii="Arial" w:hAnsi="Arial" w:eastAsia="宋体"/>
                <w:b/>
                <w:sz w:val="21"/>
              </w:rPr>
              <w:t>选择依据</w:t>
            </w:r>
          </w:p>
        </w:tc>
        <w:tc>
          <w:tcPr>
            <w:tcW w:type="dxa" w:w="1134"/>
            <w:vAlign w:val="center"/>
            <w:shd w:val="clear" w:color="auto" w:fill="D9D9D9"/>
          </w:tcPr>
          <w:p>
            <w:pPr>
              <w:spacing w:before="40" w:after="40" w:line="240" w:lineRule="auto"/>
              <w:jc w:val="center"/>
              <w:ind w:firstLineChars="0" w:firstLine="0"/>
            </w:pPr>
            <w:r>
              <w:rPr>
                <w:rFonts w:ascii="Arial" w:hAnsi="Arial" w:eastAsia="宋体"/>
                <w:b/>
                <w:sz w:val="21"/>
              </w:rPr>
              <w:t>最优值</w:t>
            </w:r>
          </w:p>
        </w:tc>
      </w:tr>
      <w:tr>
        <w:tc>
          <w:tcPr>
            <w:tcW w:type="dxa" w:w="1474"/>
            <w:vAlign w:val="center"/>
          </w:tcPr>
          <w:p>
            <w:pPr>
              <w:spacing w:before="40" w:after="40" w:line="240" w:lineRule="auto"/>
              <w:jc w:val="center"/>
              <w:ind w:firstLineChars="0" w:firstLine="0"/>
            </w:pPr>
            <w:r>
              <w:rPr>
                <w:rFonts w:ascii="Arial" w:hAnsi="Arial" w:eastAsia="宋体"/>
                <w:b w:val="0"/>
                <w:sz w:val="21"/>
              </w:rPr>
              <w:t>学习率</w:t>
            </w:r>
          </w:p>
        </w:tc>
        <w:tc>
          <w:tcPr>
            <w:tcW w:type="dxa" w:w="2268"/>
            <w:vAlign w:val="center"/>
          </w:tcPr>
          <w:p>
            <w:pPr>
              <w:spacing w:before="40" w:after="40" w:line="240" w:lineRule="auto"/>
              <w:jc w:val="center"/>
              <w:ind w:firstLineChars="0" w:firstLine="0"/>
            </w:pPr>
            <w:r>
              <w:rPr>
                <w:rFonts w:ascii="Arial" w:hAnsi="Arial" w:eastAsia="宋体"/>
                <w:b w:val="0"/>
                <w:sz w:val="21"/>
              </w:rPr>
              <w:t>[10^-4, 3×10^-3]（对数均匀）</w:t>
            </w:r>
          </w:p>
        </w:tc>
        <w:tc>
          <w:tcPr>
            <w:tcW w:type="dxa" w:w="1474"/>
            <w:vAlign w:val="center"/>
          </w:tcPr>
          <w:p>
            <w:pPr>
              <w:spacing w:before="40" w:after="40" w:line="240" w:lineRule="auto"/>
              <w:jc w:val="center"/>
              <w:ind w:firstLineChars="0" w:firstLine="0"/>
            </w:pPr>
            <w:r>
              <w:rPr>
                <w:rFonts w:ascii="Arial" w:hAnsi="Arial" w:eastAsia="宋体"/>
                <w:b w:val="0"/>
                <w:sz w:val="21"/>
              </w:rPr>
              <w:t>随机+贝叶斯</w:t>
            </w:r>
          </w:p>
        </w:tc>
        <w:tc>
          <w:tcPr>
            <w:tcW w:type="dxa" w:w="1928"/>
            <w:vAlign w:val="center"/>
          </w:tcPr>
          <w:p>
            <w:pPr>
              <w:spacing w:before="40" w:after="40" w:line="240" w:lineRule="auto"/>
              <w:jc w:val="center"/>
              <w:ind w:firstLineChars="0" w:firstLine="0"/>
            </w:pPr>
            <w:r>
              <w:rPr>
                <w:rFonts w:ascii="Arial" w:hAnsi="Arial" w:eastAsia="宋体"/>
                <w:b w:val="0"/>
                <w:sz w:val="21"/>
              </w:rPr>
              <w:t>收敛速度与训练稳定性</w:t>
            </w:r>
          </w:p>
        </w:tc>
        <w:tc>
          <w:tcPr>
            <w:tcW w:type="dxa" w:w="1134"/>
            <w:vAlign w:val="center"/>
          </w:tcPr>
          <w:p>
            <w:pPr>
              <w:spacing w:before="40" w:after="40" w:line="240" w:lineRule="auto"/>
              <w:jc w:val="center"/>
              <w:ind w:firstLineChars="0" w:firstLine="0"/>
            </w:pPr>
            <w:r>
              <w:rPr>
                <w:rFonts w:ascii="Arial" w:hAnsi="Arial" w:eastAsia="宋体"/>
                <w:b w:val="0"/>
                <w:sz w:val="21"/>
              </w:rPr>
              <w:t>5×10^-4</w:t>
            </w:r>
          </w:p>
        </w:tc>
      </w:tr>
      <w:tr>
        <w:tc>
          <w:tcPr>
            <w:tcW w:type="dxa" w:w="1474"/>
            <w:vAlign w:val="center"/>
          </w:tcPr>
          <w:p>
            <w:pPr>
              <w:spacing w:before="40" w:after="40" w:line="240" w:lineRule="auto"/>
              <w:jc w:val="center"/>
              <w:ind w:firstLineChars="0" w:firstLine="0"/>
            </w:pPr>
            <w:r>
              <w:rPr>
                <w:rFonts w:ascii="Arial" w:hAnsi="Arial" w:eastAsia="宋体"/>
                <w:b w:val="0"/>
                <w:sz w:val="21"/>
              </w:rPr>
              <w:t>卷积核数</w:t>
            </w:r>
          </w:p>
        </w:tc>
        <w:tc>
          <w:tcPr>
            <w:tcW w:type="dxa" w:w="2268"/>
            <w:vAlign w:val="center"/>
          </w:tcPr>
          <w:p>
            <w:pPr>
              <w:spacing w:before="40" w:after="40" w:line="240" w:lineRule="auto"/>
              <w:jc w:val="center"/>
              <w:ind w:firstLineChars="0" w:firstLine="0"/>
            </w:pPr>
            <w:r>
              <w:rPr>
                <w:rFonts w:ascii="Arial" w:hAnsi="Arial" w:eastAsia="宋体"/>
                <w:b w:val="0"/>
                <w:sz w:val="21"/>
              </w:rPr>
              <w:t>{64, 128, 256}</w:t>
            </w:r>
          </w:p>
        </w:tc>
        <w:tc>
          <w:tcPr>
            <w:tcW w:type="dxa" w:w="1474"/>
            <w:vAlign w:val="center"/>
          </w:tcPr>
          <w:p>
            <w:pPr>
              <w:spacing w:before="40" w:after="40" w:line="240" w:lineRule="auto"/>
              <w:jc w:val="center"/>
              <w:ind w:firstLineChars="0" w:firstLine="0"/>
            </w:pPr>
            <w:r>
              <w:rPr>
                <w:rFonts w:ascii="Arial" w:hAnsi="Arial" w:eastAsia="宋体"/>
                <w:b w:val="0"/>
                <w:sz w:val="21"/>
              </w:rPr>
              <w:t>网格</w:t>
            </w:r>
          </w:p>
        </w:tc>
        <w:tc>
          <w:tcPr>
            <w:tcW w:type="dxa" w:w="1928"/>
            <w:vAlign w:val="center"/>
          </w:tcPr>
          <w:p>
            <w:pPr>
              <w:spacing w:before="40" w:after="40" w:line="240" w:lineRule="auto"/>
              <w:jc w:val="center"/>
              <w:ind w:firstLineChars="0" w:firstLine="0"/>
            </w:pPr>
            <w:r>
              <w:rPr>
                <w:rFonts w:ascii="Arial" w:hAnsi="Arial" w:eastAsia="宋体"/>
                <w:b w:val="0"/>
                <w:sz w:val="21"/>
              </w:rPr>
              <w:t>表示容量与过拟合的权衡</w:t>
            </w:r>
          </w:p>
        </w:tc>
        <w:tc>
          <w:tcPr>
            <w:tcW w:type="dxa" w:w="1134"/>
            <w:vAlign w:val="center"/>
          </w:tcPr>
          <w:p>
            <w:pPr>
              <w:spacing w:before="40" w:after="40" w:line="240" w:lineRule="auto"/>
              <w:jc w:val="center"/>
              <w:ind w:firstLineChars="0" w:firstLine="0"/>
            </w:pPr>
            <w:r>
              <w:rPr>
                <w:rFonts w:ascii="Arial" w:hAnsi="Arial" w:eastAsia="宋体"/>
                <w:b w:val="0"/>
                <w:sz w:val="21"/>
              </w:rPr>
              <w:t>128</w:t>
            </w:r>
          </w:p>
        </w:tc>
      </w:tr>
      <w:tr>
        <w:tc>
          <w:tcPr>
            <w:tcW w:type="dxa" w:w="1474"/>
            <w:vAlign w:val="center"/>
          </w:tcPr>
          <w:p>
            <w:pPr>
              <w:spacing w:before="40" w:after="40" w:line="240" w:lineRule="auto"/>
              <w:jc w:val="center"/>
              <w:ind w:firstLineChars="0" w:firstLine="0"/>
            </w:pPr>
            <w:r>
              <w:rPr>
                <w:rFonts w:ascii="Arial" w:hAnsi="Arial" w:eastAsia="宋体"/>
                <w:b w:val="0"/>
                <w:sz w:val="21"/>
              </w:rPr>
              <w:t>Dropout率</w:t>
            </w:r>
          </w:p>
        </w:tc>
        <w:tc>
          <w:tcPr>
            <w:tcW w:type="dxa" w:w="2268"/>
            <w:vAlign w:val="center"/>
          </w:tcPr>
          <w:p>
            <w:pPr>
              <w:spacing w:before="40" w:after="40" w:line="240" w:lineRule="auto"/>
              <w:jc w:val="center"/>
              <w:ind w:firstLineChars="0" w:firstLine="0"/>
            </w:pPr>
            <w:r>
              <w:rPr>
                <w:rFonts w:ascii="Arial" w:hAnsi="Arial" w:eastAsia="宋体"/>
                <w:b w:val="0"/>
                <w:sz w:val="21"/>
              </w:rPr>
              <w:t>{0.3, 0.5}</w:t>
            </w:r>
          </w:p>
        </w:tc>
        <w:tc>
          <w:tcPr>
            <w:tcW w:type="dxa" w:w="1474"/>
            <w:vAlign w:val="center"/>
          </w:tcPr>
          <w:p>
            <w:pPr>
              <w:spacing w:before="40" w:after="40" w:line="240" w:lineRule="auto"/>
              <w:jc w:val="center"/>
              <w:ind w:firstLineChars="0" w:firstLine="0"/>
            </w:pPr>
            <w:r>
              <w:rPr>
                <w:rFonts w:ascii="Arial" w:hAnsi="Arial" w:eastAsia="宋体"/>
                <w:b w:val="0"/>
                <w:sz w:val="21"/>
              </w:rPr>
              <w:t>网格</w:t>
            </w:r>
          </w:p>
        </w:tc>
        <w:tc>
          <w:tcPr>
            <w:tcW w:type="dxa" w:w="1928"/>
            <w:vAlign w:val="center"/>
          </w:tcPr>
          <w:p>
            <w:pPr>
              <w:spacing w:before="40" w:after="40" w:line="240" w:lineRule="auto"/>
              <w:jc w:val="center"/>
              <w:ind w:firstLineChars="0" w:firstLine="0"/>
            </w:pPr>
            <w:r>
              <w:rPr>
                <w:rFonts w:ascii="Arial" w:hAnsi="Arial" w:eastAsia="宋体"/>
                <w:b w:val="0"/>
                <w:sz w:val="21"/>
              </w:rPr>
              <w:t>正则化强度</w:t>
            </w:r>
          </w:p>
        </w:tc>
        <w:tc>
          <w:tcPr>
            <w:tcW w:type="dxa" w:w="1134"/>
            <w:vAlign w:val="center"/>
          </w:tcPr>
          <w:p>
            <w:pPr>
              <w:spacing w:before="40" w:after="40" w:line="240" w:lineRule="auto"/>
              <w:jc w:val="center"/>
              <w:ind w:firstLineChars="0" w:firstLine="0"/>
            </w:pPr>
            <w:r>
              <w:rPr>
                <w:rFonts w:ascii="Arial" w:hAnsi="Arial" w:eastAsia="宋体"/>
                <w:b w:val="0"/>
                <w:sz w:val="21"/>
              </w:rPr>
              <w:t>0.5</w:t>
            </w:r>
          </w:p>
        </w:tc>
      </w:tr>
      <w:tr>
        <w:tc>
          <w:tcPr>
            <w:tcW w:type="dxa" w:w="1474"/>
            <w:vAlign w:val="center"/>
          </w:tcPr>
          <w:p>
            <w:pPr>
              <w:spacing w:before="40" w:after="40" w:line="240" w:lineRule="auto"/>
              <w:jc w:val="center"/>
              <w:ind w:firstLineChars="0" w:firstLine="0"/>
            </w:pPr>
            <w:r>
              <w:rPr>
                <w:rFonts w:ascii="Arial" w:hAnsi="Arial" w:eastAsia="宋体"/>
                <w:b w:val="0"/>
                <w:sz w:val="21"/>
              </w:rPr>
              <w:t>L2权重衰减</w:t>
            </w:r>
          </w:p>
        </w:tc>
        <w:tc>
          <w:tcPr>
            <w:tcW w:type="dxa" w:w="2268"/>
            <w:vAlign w:val="center"/>
          </w:tcPr>
          <w:p>
            <w:pPr>
              <w:spacing w:before="40" w:after="40" w:line="240" w:lineRule="auto"/>
              <w:jc w:val="center"/>
              <w:ind w:firstLineChars="0" w:firstLine="0"/>
            </w:pPr>
            <w:r>
              <w:rPr>
                <w:rFonts w:ascii="Arial" w:hAnsi="Arial" w:eastAsia="宋体"/>
                <w:b w:val="0"/>
                <w:sz w:val="21"/>
              </w:rPr>
              <w:t>[10^-5, 10^-3]（对数均匀）</w:t>
            </w:r>
          </w:p>
        </w:tc>
        <w:tc>
          <w:tcPr>
            <w:tcW w:type="dxa" w:w="1474"/>
            <w:vAlign w:val="center"/>
          </w:tcPr>
          <w:p>
            <w:pPr>
              <w:spacing w:before="40" w:after="40" w:line="240" w:lineRule="auto"/>
              <w:jc w:val="center"/>
              <w:ind w:firstLineChars="0" w:firstLine="0"/>
            </w:pPr>
            <w:r>
              <w:rPr>
                <w:rFonts w:ascii="Arial" w:hAnsi="Arial" w:eastAsia="宋体"/>
                <w:b w:val="0"/>
                <w:sz w:val="21"/>
              </w:rPr>
              <w:t>随机+贝叶斯</w:t>
            </w:r>
          </w:p>
        </w:tc>
        <w:tc>
          <w:tcPr>
            <w:tcW w:type="dxa" w:w="1928"/>
            <w:vAlign w:val="center"/>
          </w:tcPr>
          <w:p>
            <w:pPr>
              <w:spacing w:before="40" w:after="40" w:line="240" w:lineRule="auto"/>
              <w:jc w:val="center"/>
              <w:ind w:firstLineChars="0" w:firstLine="0"/>
            </w:pPr>
            <w:r>
              <w:rPr>
                <w:rFonts w:ascii="Arial" w:hAnsi="Arial" w:eastAsia="宋体"/>
                <w:b w:val="0"/>
                <w:sz w:val="21"/>
              </w:rPr>
              <w:t>权重范数控制</w:t>
            </w:r>
          </w:p>
        </w:tc>
        <w:tc>
          <w:tcPr>
            <w:tcW w:type="dxa" w:w="1134"/>
            <w:vAlign w:val="center"/>
          </w:tcPr>
          <w:p>
            <w:pPr>
              <w:spacing w:before="40" w:after="40" w:line="240" w:lineRule="auto"/>
              <w:jc w:val="center"/>
              <w:ind w:firstLineChars="0" w:firstLine="0"/>
            </w:pPr>
            <w:r>
              <w:rPr>
                <w:rFonts w:ascii="Arial" w:hAnsi="Arial" w:eastAsia="宋体"/>
                <w:b w:val="0"/>
                <w:sz w:val="21"/>
              </w:rPr>
              <w:t>10^-4</w:t>
            </w:r>
          </w:p>
        </w:tc>
      </w:tr>
      <w:tr>
        <w:tc>
          <w:tcPr>
            <w:tcW w:type="dxa" w:w="1474"/>
            <w:vAlign w:val="center"/>
          </w:tcPr>
          <w:p>
            <w:pPr>
              <w:spacing w:before="40" w:after="40" w:line="240" w:lineRule="auto"/>
              <w:jc w:val="center"/>
              <w:ind w:firstLineChars="0" w:firstLine="0"/>
            </w:pPr>
            <w:r>
              <w:rPr>
                <w:rFonts w:ascii="Arial" w:hAnsi="Arial" w:eastAsia="宋体"/>
                <w:b w:val="0"/>
                <w:sz w:val="21"/>
              </w:rPr>
              <w:t>批量大小</w:t>
            </w:r>
          </w:p>
        </w:tc>
        <w:tc>
          <w:tcPr>
            <w:tcW w:type="dxa" w:w="2268"/>
            <w:vAlign w:val="center"/>
          </w:tcPr>
          <w:p>
            <w:pPr>
              <w:spacing w:before="40" w:after="40" w:line="240" w:lineRule="auto"/>
              <w:jc w:val="center"/>
              <w:ind w:firstLineChars="0" w:firstLine="0"/>
            </w:pPr>
            <w:r>
              <w:rPr>
                <w:rFonts w:ascii="Arial" w:hAnsi="Arial" w:eastAsia="宋体"/>
                <w:b w:val="0"/>
                <w:sz w:val="21"/>
              </w:rPr>
              <w:t>{64, 128}</w:t>
            </w:r>
          </w:p>
        </w:tc>
        <w:tc>
          <w:tcPr>
            <w:tcW w:type="dxa" w:w="1474"/>
            <w:vAlign w:val="center"/>
          </w:tcPr>
          <w:p>
            <w:pPr>
              <w:spacing w:before="40" w:after="40" w:line="240" w:lineRule="auto"/>
              <w:jc w:val="center"/>
              <w:ind w:firstLineChars="0" w:firstLine="0"/>
            </w:pPr>
            <w:r>
              <w:rPr>
                <w:rFonts w:ascii="Arial" w:hAnsi="Arial" w:eastAsia="宋体"/>
                <w:b w:val="0"/>
                <w:sz w:val="21"/>
              </w:rPr>
              <w:t>网格</w:t>
            </w:r>
          </w:p>
        </w:tc>
        <w:tc>
          <w:tcPr>
            <w:tcW w:type="dxa" w:w="1928"/>
            <w:vAlign w:val="center"/>
          </w:tcPr>
          <w:p>
            <w:pPr>
              <w:spacing w:before="40" w:after="40" w:line="240" w:lineRule="auto"/>
              <w:jc w:val="center"/>
              <w:ind w:firstLineChars="0" w:firstLine="0"/>
            </w:pPr>
            <w:r>
              <w:rPr>
                <w:rFonts w:ascii="Arial" w:hAnsi="Arial" w:eastAsia="宋体"/>
                <w:b w:val="0"/>
                <w:sz w:val="21"/>
              </w:rPr>
              <w:t>梯度噪声与显存约束</w:t>
            </w:r>
          </w:p>
        </w:tc>
        <w:tc>
          <w:tcPr>
            <w:tcW w:type="dxa" w:w="1134"/>
            <w:vAlign w:val="center"/>
          </w:tcPr>
          <w:p>
            <w:pPr>
              <w:spacing w:before="40" w:after="40" w:line="240" w:lineRule="auto"/>
              <w:jc w:val="center"/>
              <w:ind w:firstLineChars="0" w:firstLine="0"/>
            </w:pPr>
            <w:r>
              <w:rPr>
                <w:rFonts w:ascii="Arial" w:hAnsi="Arial" w:eastAsia="宋体"/>
                <w:b w:val="0"/>
                <w:sz w:val="21"/>
              </w:rPr>
              <w:t>128</w:t>
            </w:r>
          </w:p>
        </w:tc>
      </w:tr>
      <w:tr>
        <w:tc>
          <w:tcPr>
            <w:tcW w:type="dxa" w:w="1474"/>
            <w:vAlign w:val="center"/>
          </w:tcPr>
          <w:p>
            <w:pPr>
              <w:spacing w:before="40" w:after="40" w:line="240" w:lineRule="auto"/>
              <w:jc w:val="center"/>
              <w:ind w:firstLineChars="0" w:firstLine="0"/>
            </w:pPr>
            <w:r>
              <w:rPr>
                <w:rFonts w:ascii="Arial" w:hAnsi="Arial" w:eastAsia="宋体"/>
                <w:b w:val="0"/>
                <w:sz w:val="21"/>
              </w:rPr>
              <w:t>Focal γ</w:t>
            </w:r>
          </w:p>
        </w:tc>
        <w:tc>
          <w:tcPr>
            <w:tcW w:type="dxa" w:w="2268"/>
            <w:vAlign w:val="center"/>
          </w:tcPr>
          <w:p>
            <w:pPr>
              <w:spacing w:before="40" w:after="40" w:line="240" w:lineRule="auto"/>
              <w:jc w:val="center"/>
              <w:ind w:firstLineChars="0" w:firstLine="0"/>
            </w:pPr>
            <w:r>
              <w:rPr>
                <w:rFonts w:ascii="Arial" w:hAnsi="Arial" w:eastAsia="宋体"/>
                <w:b w:val="0"/>
                <w:sz w:val="21"/>
              </w:rPr>
              <w:t>{0, 1, 2}</w:t>
            </w:r>
          </w:p>
        </w:tc>
        <w:tc>
          <w:tcPr>
            <w:tcW w:type="dxa" w:w="1474"/>
            <w:vAlign w:val="center"/>
          </w:tcPr>
          <w:p>
            <w:pPr>
              <w:spacing w:before="40" w:after="40" w:line="240" w:lineRule="auto"/>
              <w:jc w:val="center"/>
              <w:ind w:firstLineChars="0" w:firstLine="0"/>
            </w:pPr>
            <w:r>
              <w:rPr>
                <w:rFonts w:ascii="Arial" w:hAnsi="Arial" w:eastAsia="宋体"/>
                <w:b w:val="0"/>
                <w:sz w:val="21"/>
              </w:rPr>
              <w:t>网格</w:t>
            </w:r>
          </w:p>
        </w:tc>
        <w:tc>
          <w:tcPr>
            <w:tcW w:type="dxa" w:w="1928"/>
            <w:vAlign w:val="center"/>
          </w:tcPr>
          <w:p>
            <w:pPr>
              <w:spacing w:before="40" w:after="40" w:line="240" w:lineRule="auto"/>
              <w:jc w:val="center"/>
              <w:ind w:firstLineChars="0" w:firstLine="0"/>
            </w:pPr>
            <w:r>
              <w:rPr>
                <w:rFonts w:ascii="Arial" w:hAnsi="Arial" w:eastAsia="宋体"/>
                <w:b w:val="0"/>
                <w:sz w:val="21"/>
              </w:rPr>
              <w:t>难样本聚焦程度</w:t>
            </w:r>
          </w:p>
        </w:tc>
        <w:tc>
          <w:tcPr>
            <w:tcW w:type="dxa" w:w="1134"/>
            <w:vAlign w:val="center"/>
          </w:tcPr>
          <w:p>
            <w:pPr>
              <w:spacing w:before="40" w:after="40" w:line="240" w:lineRule="auto"/>
              <w:jc w:val="center"/>
              <w:ind w:firstLineChars="0" w:firstLine="0"/>
            </w:pPr>
            <w:r>
              <w:rPr>
                <w:rFonts w:ascii="Arial" w:hAnsi="Arial" w:eastAsia="宋体"/>
                <w:b w:val="0"/>
                <w:sz w:val="21"/>
              </w:rPr>
              <w:t>2</w:t>
            </w:r>
          </w:p>
        </w:tc>
      </w:tr>
    </w:tbl>
    <w:p>
      <w:pPr>
        <w:pStyle w:val="Heading2"/>
      </w:pPr>
      <w:r>
        <w:t>4.5  统计检验与置信区间</w:t>
      </w:r>
    </w:p>
    <w:p>
      <w:pPr>
        <w:spacing w:before="0" w:after="0"/>
        <w:ind w:firstLineChars="200"/>
      </w:pPr>
      <w:r>
        <w:t>为判断MCAN与各基线的差异是否显著，本文采用配对t检验：对同一随机种子序列下的5次运行结果按运行序号配对，检验配对差值是否为零（公式 (7)）。同时报告Cohen效应量（公式 (9)）与95%置信区间（公式 (8)）以反映差异幅度与估计精度</w:t>
      </w:r>
      <w:r>
        <w:rPr>
          <w:vertAlign w:val="superscript"/>
        </w:rPr>
        <w:t>[12,15]</w:t>
      </w:r>
      <w:r>
        <w:t>。</w:t>
      </w:r>
    </w:p>
    <w:p>
      <w:pPr>
        <w:tabs>
          <w:tab w:val="center" w:pos="4680"/>
          <w:tab w:val="right" w:pos="9360"/>
        </w:tabs>
      </w:pPr>
      <w:r>
        <w:tab/>
      </w:r>
      <m:oMath>
        <m:r>
          <m:t xml:space="preserve">t = </m:t>
        </m:r>
        <m:f>
          <m:num>
            <m:bar>
              <m:barPr>
                <m:pos m:val="top"/>
              </m:barPr>
              <m:e>
                <m:r>
                  <m:t xml:space="preserve">d</m:t>
                </m:r>
              </m:e>
            </m:bar>
          </m:num>
          <m:den>
            <m:f>
              <m:num>
                <m:sSub>
                  <m:e>
                    <m:r>
                      <m:t xml:space="preserve">s</m:t>
                    </m:r>
                  </m:e>
                  <m:sub>
                    <m:r>
                      <m:t xml:space="preserve">d</m:t>
                    </m:r>
                  </m:sub>
                </m:sSub>
              </m:num>
              <m:den>
                <m:rad>
                  <m:radPr>
                    <m:degHide m:val="1"/>
                  </m:radPr>
                  <m:deg/>
                  <m:e>
                    <m:r>
                      <m:t xml:space="preserve">R</m:t>
                    </m:r>
                  </m:e>
                </m:rad>
              </m:den>
            </m:f>
          </m:den>
        </m:f>
      </m:oMath>
      <w:r>
        <w:tab/>
      </w:r>
      <w:r>
        <w:t>(7)</w:t>
      </w:r>
    </w:p>
    <w:p>
      <w:pPr>
        <w:tabs>
          <w:tab w:val="center" w:pos="4680"/>
          <w:tab w:val="right" w:pos="9360"/>
        </w:tabs>
      </w:pPr>
      <w:r>
        <w:tab/>
      </w:r>
      <m:oMath>
        <m:r>
          <m:t xml:space="preserve">CI = μ ± </m:t>
        </m:r>
        <m:sSub>
          <m:e>
            <m:r>
              <m:t xml:space="preserve">t</m:t>
            </m:r>
          </m:e>
          <m:sub>
            <m:r>
              <m:t xml:space="preserve">α/2, R−1</m:t>
            </m:r>
          </m:sub>
        </m:sSub>
        <m:f>
          <m:num>
            <m:r>
              <m:t xml:space="preserve">s</m:t>
            </m:r>
          </m:num>
          <m:den>
            <m:rad>
              <m:radPr>
                <m:degHide m:val="1"/>
              </m:radPr>
              <m:deg/>
              <m:e>
                <m:r>
                  <m:t xml:space="preserve">R</m:t>
                </m:r>
              </m:e>
            </m:rad>
          </m:den>
        </m:f>
      </m:oMath>
      <w:r>
        <w:tab/>
      </w:r>
      <w:r>
        <w:t>(8)</w:t>
      </w:r>
    </w:p>
    <w:p>
      <w:pPr>
        <w:tabs>
          <w:tab w:val="center" w:pos="4680"/>
          <w:tab w:val="right" w:pos="9360"/>
        </w:tabs>
      </w:pPr>
      <w:r>
        <w:tab/>
      </w:r>
      <m:oMath>
        <m:r>
          <m:t xml:space="preserve">d = </m:t>
        </m:r>
        <m:f>
          <m:num>
            <m:bar>
              <m:barPr>
                <m:pos m:val="top"/>
              </m:barPr>
              <m:e>
                <m:r>
                  <m:t xml:space="preserve">d</m:t>
                </m:r>
              </m:e>
            </m:bar>
          </m:num>
          <m:den>
            <m:sSub>
              <m:e>
                <m:r>
                  <m:t xml:space="preserve">s</m:t>
                </m:r>
              </m:e>
              <m:sub>
                <m:r>
                  <m:t xml:space="preserve">d</m:t>
                </m:r>
              </m:sub>
            </m:sSub>
          </m:den>
        </m:f>
      </m:oMath>
      <w:r>
        <w:tab/>
      </w:r>
      <w:r>
        <w:t>(9)</w:t>
      </w:r>
    </w:p>
    <w:p>
      <w:pPr>
        <w:spacing w:before="0" w:after="0"/>
        <w:ind w:firstLineChars="200"/>
      </w:pPr>
      <w:r>
        <w:t>在D1上，MCAN相对各基线的配对差均值、差标准差、t统计量及p值依次为：TextCNN（d̄=0.0408，s_d=0.0028，t=32.6，p&lt;0.001）、TextRCNN（d̄=0.0280，s_d=0.0026，t=24.1，p&lt;0.001）、DPCNN（d̄=0.0139，s_d=0.0024，t=12.95，p&lt;0.001）、BERT（d̄=0.0053，s_d=0.0020，t=5.93，p=0.004）、RoBERTa-wwm（d̄=0.0034，s_d=0.0016，t=4.75，p=0.009）。在D2上，MCAN相对BERT与RoBERTa-wwm的配对检验p值分别为0.003与0.006。全部配对比较均拒绝原假设（α=0.05）。</w:t>
      </w:r>
    </w:p>
    <w:p>
      <w:pPr>
        <w:spacing w:before="0" w:after="0"/>
        <w:ind w:firstLineChars="200"/>
      </w:pPr>
      <w:r>
        <w:t>由于涉及多个数据集与多个基线的成对比较，为控制多重比较带来的假阳性风险，本文采用Benjamini-Hochberg方法对</w:t>
      </w:r>
      <w:r>
        <w:t>7</w:t>
      </w:r>
      <w:r>
        <w:t>个配对比较的p值进行FDR校正（公式 (10)）</w:t>
      </w:r>
      <w:r>
        <w:rPr>
          <w:vertAlign w:val="superscript"/>
        </w:rPr>
        <w:t>[13]</w:t>
      </w:r>
      <w:r>
        <w:t>：将7个p值升序排列为p_(1)≤…≤p_(7)，由大到小逐一比较p_(i)与(i/7)·0.05。p_(7)=0.009≤0.05、p_(6)=0.006≤0.0429、p_(5)=0.004≤0.0357、p_(4)=0.003≤0.0286、p_(3)=0.0002≤0.0214、p_(2)=0.0001≤0.0143、p_(1)=0.0001≤0.0071，全部满足，7项比较经BH校正后均保持显著，q值均小于0.05。</w:t>
      </w:r>
    </w:p>
    <w:p>
      <w:pPr>
        <w:tabs>
          <w:tab w:val="center" w:pos="4680"/>
          <w:tab w:val="right" w:pos="9360"/>
        </w:tabs>
      </w:pPr>
      <w:r>
        <w:tab/>
      </w:r>
      <m:oMath>
        <m:sSub>
          <m:e>
            <m:r>
              <m:t xml:space="preserve">p</m:t>
            </m:r>
          </m:e>
          <m:sub>
            <m:r>
              <m:t xml:space="preserve">(i)</m:t>
            </m:r>
          </m:sub>
        </m:sSub>
        <m:r>
          <m:t xml:space="preserve"> ≤ </m:t>
        </m:r>
        <m:f>
          <m:num>
            <m:r>
              <m:t xml:space="preserve">i</m:t>
            </m:r>
          </m:num>
          <m:den>
            <m:r>
              <m:t xml:space="preserve">m</m:t>
            </m:r>
          </m:den>
        </m:f>
        <m:r>
          <m:t xml:space="preserve">·α</m:t>
        </m:r>
      </m:oMath>
      <w:r>
        <w:tab/>
      </w:r>
      <w:r>
        <w:t>(10)</w:t>
      </w:r>
    </w:p>
    <w:p>
      <w:pPr>
        <w:spacing w:before="0" w:after="0"/>
        <w:ind w:firstLineChars="200"/>
      </w:pPr>
      <w:r>
        <w:t>效应量与置信区间方面：MCAN相对BERT的Cohen效应量d=2.65（公式 (9)），属于极大效应；MCAN准确率的95%置信区间为[</w:t>
      </w:r>
      <w:r>
        <w:t>0.9610</w:t>
      </w:r>
      <w:r>
        <w:t xml:space="preserve">, </w:t>
      </w:r>
      <w:r>
        <w:t>0.9632</w:t>
      </w:r>
      <w:r>
        <w:t>]（公式 (8)，t_{0.025,4}=2.776），区间不包含任何基线均值，进一步支持性能差异的可靠性。功效分析以配对效应量d=2.65为依据</w:t>
      </w:r>
      <w:r>
        <w:rPr>
          <w:vertAlign w:val="superscript"/>
        </w:rPr>
        <w:t>[15]</w:t>
      </w:r>
      <w:r>
        <w:t>：在α=0.05双尾检验下，R=5次重复对应的检验功效1−β≈0.98（非中心t分布计算），满足功效不低于0.80的常规要求；同时R=5保证了标准差估计的自由度（df=4）。需要说明的是，R=5时Wilcoxon符号秩检验双尾可达的最小p值为1/16≈0.0625，无法在0.05水平下拒绝原假设，故本文以配对t检验为主要推断依据，Wilcoxon结果仅作为正态性假设不满足时的稳健性参考，不作显著与否的判定。</w:t>
      </w:r>
    </w:p>
    <w:p>
      <w:pPr>
        <w:pStyle w:val="Heading1"/>
      </w:pPr>
      <w:r>
        <w:t>5  讨论与局限</w:t>
      </w:r>
    </w:p>
    <w:p>
      <w:pPr>
        <w:spacing w:before="0" w:after="0"/>
        <w:ind w:firstLineChars="200"/>
      </w:pPr>
      <w:r>
        <w:t>实验结果表明，多尺度卷积与自注意力的组合能够在较小的参数量下逼近乃至超越预训练模型，其性能来源可归结为三点：多尺度卷积对局部模式的确定提取、注意力对全局语义的自适应整合、以及类别加权与Focal损失对不平衡数据的针对性优化。超参数搜索中，随机搜索以40轮预算覆盖了主要参数区间，贝叶斯优化进一步在敏感参数（学习率、权重衰减）上精化，二者合计60次评估在单卡GPU上约需12小时，代价可控。</w:t>
      </w:r>
    </w:p>
    <w:p>
      <w:pPr>
        <w:spacing w:before="0" w:after="0"/>
        <w:ind w:firstLineChars="200"/>
      </w:pPr>
      <w:r>
        <w:t>本文存在以下局限：其一，D1的不平衡构造基于公开语料的子集抽样，与真实业务中的长尾分布仍有差异，少数类的绝对规模有限，结论向极端不平衡场景的外推需谨慎；其二，独立重复次数R=5虽满足功效要求，但限制了非参数检验的敏感性，且未能刻画跨数据增强随机性的变差来源；其三，实验仅覆盖中文新闻与正式文体，对口语化短文本（如社交媒体）的适用性有待验证；其四，未考虑类别间层次结构与标签噪声，模型对噪声标签的鲁棒性未知。此外，预处理中的分词错误可能累积传播至下游特征。</w:t>
      </w:r>
    </w:p>
    <w:p>
      <w:pPr>
        <w:spacing w:before="0" w:after="0"/>
        <w:ind w:firstLineChars="200"/>
      </w:pPr>
      <w:r>
        <w:t>为保障可复现性，复现代码、数据划分脚本与随机种子配置已归档（数据源自公开的THUCNews与复旦中文语料，可依法依规获取），正式版将提供GitHub仓库链接。所有模型均采用固定协议：随机种子基值42、早停阈值、词表与嵌入维度完全一致；硬件环境为单张NVIDIA RTX 3090。</w:t>
      </w:r>
    </w:p>
    <w:p>
      <w:pPr>
        <w:pStyle w:val="Heading1"/>
      </w:pPr>
      <w:r>
        <w:t>6  结论</w:t>
      </w:r>
    </w:p>
    <w:p>
      <w:pPr>
        <w:spacing w:before="0" w:after="0"/>
        <w:ind w:firstLineChars="200"/>
      </w:pPr>
      <w:r>
        <w:t>本文面向中文短文本分类中的类别不平衡与评估严谨性问题，提出结合多尺度卷积、自注意力与类别加权损失的MCAN模型，并在两个公开数据集上开展了包含4个基线、5次独立重复、消融分析与多重比较校正的系统实验。结果表明：MCAN以约210万参数在准确率与macro-F1上均优于参数量过亿的预训练基线，性能差异经配对t检验、效应量与BH校正后仍显著；自注意力、多尺度卷积、类别加权与Focal损失四类组件均对性能有正向贡献。本文同时明确了功效分析、置信区间、随机种子与代码可得性等可复现性要素。未来工作将把所提框架推广至长文档分类与极端不平衡场景，并探索标签噪声下的鲁棒训练。</w:t>
      </w:r>
    </w:p>
    <w:p>
      <w:pPr>
        <w:pageBreakBefore/>
        <w:spacing w:before="0" w:after="240"/>
        <w:jc w:val="center"/>
      </w:pPr>
      <w:r>
        <w:rPr>
          <w:rFonts w:ascii="Arial" w:hAnsi="Arial" w:eastAsia="黑体"/>
          <w:b/>
          <w:sz w:val="32"/>
        </w:rPr>
        <w:t>参考文献</w:t>
      </w:r>
    </w:p>
    <w:p>
      <w:pPr>
        <w:spacing w:lineRule="auto" w:line="360" w:before="0" w:after="0"/>
        <w:ind w:left="420" w:hanging="420"/>
      </w:pPr>
      <w:r>
        <w:rPr>
          <w:rFonts w:ascii="Arial" w:hAnsi="Arial" w:eastAsia="宋体"/>
          <w:sz w:val="21"/>
        </w:rPr>
        <w:t xml:space="preserve">[1] </w:t>
      </w:r>
      <w:r>
        <w:rPr>
          <w:rFonts w:ascii="Arial" w:hAnsi="Arial" w:eastAsia="宋体"/>
          <w:sz w:val="21"/>
        </w:rPr>
        <w:t>Kim Y. Convolutional neural networks for sentence classification[C]// Proceedings of the 2014 Conference on Empirical Methods in Natural Language Processing. Doha: Association for Computational Linguistics, 2014: 1746-1751.</w:t>
      </w:r>
    </w:p>
    <w:p>
      <w:pPr>
        <w:spacing w:lineRule="auto" w:line="360" w:before="0" w:after="0"/>
        <w:ind w:left="420" w:hanging="420"/>
      </w:pPr>
      <w:r>
        <w:rPr>
          <w:rFonts w:ascii="Arial" w:hAnsi="Arial" w:eastAsia="宋体"/>
          <w:sz w:val="21"/>
        </w:rPr>
        <w:t xml:space="preserve">[2] </w:t>
      </w:r>
      <w:r>
        <w:rPr>
          <w:rFonts w:ascii="Arial" w:hAnsi="Arial" w:eastAsia="宋体"/>
          <w:sz w:val="21"/>
        </w:rPr>
        <w:t>Lai S, Xu L, Liu K, et al. Recurrent convolutional neural networks for text classification[C]// Proceedings of the 29th AAAI Conference on Artificial Intelligence. Austin: AAAI Press, 2015: 2267-2273.</w:t>
      </w:r>
    </w:p>
    <w:p>
      <w:pPr>
        <w:spacing w:lineRule="auto" w:line="360" w:before="0" w:after="0"/>
        <w:ind w:left="420" w:hanging="420"/>
      </w:pPr>
      <w:r>
        <w:rPr>
          <w:rFonts w:ascii="Arial" w:hAnsi="Arial" w:eastAsia="宋体"/>
          <w:sz w:val="21"/>
        </w:rPr>
        <w:t xml:space="preserve">[3] </w:t>
      </w:r>
      <w:r>
        <w:rPr>
          <w:rFonts w:ascii="Arial" w:hAnsi="Arial" w:eastAsia="宋体"/>
          <w:sz w:val="21"/>
        </w:rPr>
        <w:t>Johnson R, Zhang T. Deep pyramid convolutional neural networks for text categorization[C]// Proceedings of the 55th Annual Meeting of the Association for Computational Linguistics (Volume 1: Long Papers). Vancouver: Association for Computational Linguistics, 2017: 562-570.</w:t>
      </w:r>
    </w:p>
    <w:p>
      <w:pPr>
        <w:spacing w:lineRule="auto" w:line="360" w:before="0" w:after="0"/>
        <w:ind w:left="420" w:hanging="420"/>
      </w:pPr>
      <w:r>
        <w:rPr>
          <w:rFonts w:ascii="Arial" w:hAnsi="Arial" w:eastAsia="宋体"/>
          <w:sz w:val="21"/>
        </w:rPr>
        <w:t xml:space="preserve">[4] </w:t>
      </w:r>
      <w:r>
        <w:rPr>
          <w:rFonts w:ascii="Arial" w:hAnsi="Arial" w:eastAsia="宋体"/>
          <w:sz w:val="21"/>
        </w:rPr>
        <w:t>Devlin J, Chang M W, Lee K, et al. BERT: pre-training of deep bidirectional transformers for language understanding[C]// Proceedings of the 2019 Conference of the North American Chapter of the Association for Computational Linguistics: Human Language Technologies. Minneapolis: Association for Computational Linguistics, 2019: 4171-4186.</w:t>
      </w:r>
    </w:p>
    <w:p>
      <w:pPr>
        <w:spacing w:lineRule="auto" w:line="360" w:before="0" w:after="0"/>
        <w:ind w:left="420" w:hanging="420"/>
      </w:pPr>
      <w:r>
        <w:rPr>
          <w:rFonts w:ascii="Arial" w:hAnsi="Arial" w:eastAsia="宋体"/>
          <w:sz w:val="21"/>
        </w:rPr>
        <w:t xml:space="preserve">[5] </w:t>
      </w:r>
      <w:r>
        <w:rPr>
          <w:rFonts w:ascii="Arial" w:hAnsi="Arial" w:eastAsia="宋体"/>
          <w:sz w:val="21"/>
        </w:rPr>
        <w:t>Mikolov T, Sutskever I, Chen K, et al. Distributed representations of words and phrases and their compositionality[C]// Advances in Neural Information Processing Systems 26. Lake Tahoe: Curran Associates, 2013: 3111-3119.</w:t>
      </w:r>
    </w:p>
    <w:p>
      <w:pPr>
        <w:spacing w:lineRule="auto" w:line="360" w:before="0" w:after="0"/>
        <w:ind w:left="420" w:hanging="420"/>
      </w:pPr>
      <w:r>
        <w:rPr>
          <w:rFonts w:ascii="Arial" w:hAnsi="Arial" w:eastAsia="宋体"/>
          <w:sz w:val="21"/>
        </w:rPr>
        <w:t xml:space="preserve">[6] </w:t>
      </w:r>
      <w:r>
        <w:rPr>
          <w:rFonts w:ascii="Arial" w:hAnsi="Arial" w:eastAsia="宋体"/>
          <w:sz w:val="21"/>
        </w:rPr>
        <w:t>Pennington J, Socher R, Manning C D. GloVe: global vectors for word representation[C]// Proceedings of the 2014 Conference on Empirical Methods in Natural Language Processing. Doha: Association for Computational Linguistics, 2014: 1532-1543.</w:t>
      </w:r>
    </w:p>
    <w:p>
      <w:pPr>
        <w:spacing w:lineRule="auto" w:line="360" w:before="0" w:after="0"/>
        <w:ind w:left="420" w:hanging="420"/>
      </w:pPr>
      <w:r>
        <w:rPr>
          <w:rFonts w:ascii="Arial" w:hAnsi="Arial" w:eastAsia="宋体"/>
          <w:sz w:val="21"/>
        </w:rPr>
        <w:t xml:space="preserve">[7] </w:t>
      </w:r>
      <w:r>
        <w:rPr>
          <w:rFonts w:ascii="Arial" w:hAnsi="Arial" w:eastAsia="宋体"/>
          <w:sz w:val="21"/>
        </w:rPr>
        <w:t>Vaswani A, Shazeer N, Parmar N, et al. Attention is all you need[C]// Advances in Neural Information Processing Systems 30. Long Beach: Curran Associates, 2017: 5998-6008.</w:t>
      </w:r>
    </w:p>
    <w:p>
      <w:pPr>
        <w:spacing w:lineRule="auto" w:line="360" w:before="0" w:after="0"/>
        <w:ind w:left="420" w:hanging="420"/>
      </w:pPr>
      <w:r>
        <w:rPr>
          <w:rFonts w:ascii="Arial" w:hAnsi="Arial" w:eastAsia="宋体"/>
          <w:sz w:val="21"/>
        </w:rPr>
        <w:t xml:space="preserve">[8] </w:t>
      </w:r>
      <w:r>
        <w:rPr>
          <w:rFonts w:ascii="Arial" w:hAnsi="Arial" w:eastAsia="宋体"/>
          <w:sz w:val="21"/>
        </w:rPr>
        <w:t>Lin T Y, Goyal P, Girshick R, et al. Focal loss for dense object detection[C]// Proceedings of the IEEE International Conference on Computer Vision. Venice: IEEE, 2017: 2980-2988.</w:t>
      </w:r>
    </w:p>
    <w:p>
      <w:pPr>
        <w:spacing w:lineRule="auto" w:line="360" w:before="0" w:after="0"/>
        <w:ind w:left="420" w:hanging="420"/>
      </w:pPr>
      <w:r>
        <w:rPr>
          <w:rFonts w:ascii="Arial" w:hAnsi="Arial" w:eastAsia="宋体"/>
          <w:sz w:val="21"/>
        </w:rPr>
        <w:t xml:space="preserve">[9] </w:t>
      </w:r>
      <w:r>
        <w:rPr>
          <w:rFonts w:ascii="Arial" w:hAnsi="Arial" w:eastAsia="宋体"/>
          <w:sz w:val="21"/>
        </w:rPr>
        <w:t>Kingma D P, Ba J. Adam: a method for stochastic optimization[C]// International Conference on Learning Representations. San Diego: 2015.</w:t>
      </w:r>
    </w:p>
    <w:p>
      <w:pPr>
        <w:spacing w:lineRule="auto" w:line="360" w:before="0" w:after="0"/>
        <w:ind w:left="420" w:hanging="420"/>
      </w:pPr>
      <w:r>
        <w:rPr>
          <w:rFonts w:ascii="Arial" w:hAnsi="Arial" w:eastAsia="宋体"/>
          <w:sz w:val="21"/>
        </w:rPr>
        <w:t xml:space="preserve">[10] </w:t>
      </w:r>
      <w:r>
        <w:rPr>
          <w:rFonts w:ascii="Arial" w:hAnsi="Arial" w:eastAsia="宋体"/>
          <w:sz w:val="21"/>
        </w:rPr>
        <w:t>Bergstra J, Bengio Y. Random search for hyper-parameter optimization[J]. Journal of Machine Learning Research, 2012, 13(10): 281-305.</w:t>
      </w:r>
    </w:p>
    <w:p>
      <w:pPr>
        <w:spacing w:lineRule="auto" w:line="360" w:before="0" w:after="0"/>
        <w:ind w:left="420" w:hanging="420"/>
      </w:pPr>
      <w:r>
        <w:rPr>
          <w:rFonts w:ascii="Arial" w:hAnsi="Arial" w:eastAsia="宋体"/>
          <w:sz w:val="21"/>
        </w:rPr>
        <w:t xml:space="preserve">[11] </w:t>
      </w:r>
      <w:r>
        <w:rPr>
          <w:rFonts w:ascii="Arial" w:hAnsi="Arial" w:eastAsia="宋体"/>
          <w:sz w:val="21"/>
        </w:rPr>
        <w:t>Snoek J, Larochelle H, Adams R P. Practical Bayesian optimization of machine learning algorithms[C]// Advances in Neural Information Processing Systems 25. Lake Tahoe: Curran Associates, 2012: 2951-2959.</w:t>
      </w:r>
    </w:p>
    <w:p>
      <w:pPr>
        <w:spacing w:lineRule="auto" w:line="360" w:before="0" w:after="0"/>
        <w:ind w:left="420" w:hanging="420"/>
      </w:pPr>
      <w:r>
        <w:rPr>
          <w:rFonts w:ascii="Arial" w:hAnsi="Arial" w:eastAsia="宋体"/>
          <w:sz w:val="21"/>
        </w:rPr>
        <w:t xml:space="preserve">[12] </w:t>
      </w:r>
      <w:r>
        <w:rPr>
          <w:rFonts w:ascii="Arial" w:hAnsi="Arial" w:eastAsia="宋体"/>
          <w:sz w:val="21"/>
        </w:rPr>
        <w:t>Demšar J. Statistical comparisons of classifiers over multiple data sets[J]. Journal of Machine Learning Research, 2006, 7: 1-30.</w:t>
      </w:r>
    </w:p>
    <w:p>
      <w:pPr>
        <w:spacing w:lineRule="auto" w:line="360" w:before="0" w:after="0"/>
        <w:ind w:left="420" w:hanging="420"/>
      </w:pPr>
      <w:r>
        <w:rPr>
          <w:rFonts w:ascii="Arial" w:hAnsi="Arial" w:eastAsia="宋体"/>
          <w:sz w:val="21"/>
        </w:rPr>
        <w:t xml:space="preserve">[13] </w:t>
      </w:r>
      <w:r>
        <w:rPr>
          <w:rFonts w:ascii="Arial" w:hAnsi="Arial" w:eastAsia="宋体"/>
          <w:sz w:val="21"/>
        </w:rPr>
        <w:t>Benjamini Y, Hochberg Y. Controlling the false discovery rate: a practical and powerful approach to multiple testing[J]. Journal of the Royal Statistical Society: Series B (Methodological), 1995, 57(1): 289-300.</w:t>
      </w:r>
    </w:p>
    <w:p>
      <w:pPr>
        <w:spacing w:lineRule="auto" w:line="360" w:before="0" w:after="0"/>
        <w:ind w:left="420" w:hanging="420"/>
      </w:pPr>
      <w:r>
        <w:rPr>
          <w:rFonts w:ascii="Arial" w:hAnsi="Arial" w:eastAsia="宋体"/>
          <w:sz w:val="21"/>
        </w:rPr>
        <w:t xml:space="preserve">[14] </w:t>
      </w:r>
      <w:r>
        <w:rPr>
          <w:rFonts w:ascii="Arial" w:hAnsi="Arial" w:eastAsia="宋体"/>
          <w:sz w:val="21"/>
        </w:rPr>
        <w:t>Chawla N V, Bowyer K W, Hall L O, et al. SMOTE: synthetic minority over-sampling technique[J]. Journal of Artificial Intelligence Research, 2002, 16: 321-357.</w:t>
      </w:r>
    </w:p>
    <w:p>
      <w:pPr>
        <w:spacing w:lineRule="auto" w:line="360" w:before="0" w:after="0"/>
        <w:ind w:left="420" w:hanging="420"/>
      </w:pPr>
      <w:r>
        <w:rPr>
          <w:rFonts w:ascii="Arial" w:hAnsi="Arial" w:eastAsia="宋体"/>
          <w:sz w:val="21"/>
        </w:rPr>
        <w:t xml:space="preserve">[15] </w:t>
      </w:r>
      <w:r>
        <w:rPr>
          <w:rFonts w:ascii="Arial" w:hAnsi="Arial" w:eastAsia="宋体"/>
          <w:sz w:val="21"/>
        </w:rPr>
        <w:t>Cohen J. Statistical power analysis for the behavioral sciences[M]. 2nd ed. Hillsdale: Lawrence Erlbaum Associates, 1988.</w:t>
      </w:r>
    </w:p>
    <w:p>
      <w:pPr>
        <w:spacing w:lineRule="auto" w:line="360" w:before="0" w:after="0"/>
        <w:ind w:left="420" w:hanging="420"/>
      </w:pPr>
      <w:r>
        <w:rPr>
          <w:rFonts w:ascii="Arial" w:hAnsi="Arial" w:eastAsia="宋体"/>
          <w:sz w:val="21"/>
        </w:rPr>
        <w:t xml:space="preserve">[16] </w:t>
      </w:r>
      <w:r>
        <w:rPr>
          <w:rFonts w:ascii="Arial" w:hAnsi="Arial" w:eastAsia="宋体"/>
          <w:sz w:val="21"/>
        </w:rPr>
        <w:t>周志华. 机器学习[M]. 北京: 清华大学出版社, 2016.</w:t>
      </w:r>
    </w:p>
    <w:p>
      <w:pPr>
        <w:spacing w:lineRule="auto" w:line="360" w:before="0" w:after="0"/>
        <w:ind w:left="420" w:hanging="420"/>
      </w:pPr>
      <w:r>
        <w:rPr>
          <w:rFonts w:ascii="Arial" w:hAnsi="Arial" w:eastAsia="宋体"/>
          <w:sz w:val="21"/>
        </w:rPr>
        <w:t xml:space="preserve">[17] </w:t>
      </w:r>
      <w:r>
        <w:rPr>
          <w:rFonts w:ascii="Arial" w:hAnsi="Arial" w:eastAsia="宋体"/>
          <w:sz w:val="21"/>
        </w:rPr>
        <w:t>Sun C, Qiu X, Xu Y, et al. How to fine-tune BERT for text classification?[C]// Chinese Computational Linguistics (CCL 2019). Cham: Springer, 2019: 194-206.</w:t>
      </w:r>
    </w:p>
    <w:p>
      <w:pPr>
        <w:spacing w:lineRule="auto" w:line="360" w:before="0" w:after="0"/>
        <w:ind w:left="420" w:hanging="420"/>
      </w:pPr>
      <w:r>
        <w:rPr>
          <w:rFonts w:ascii="Arial" w:hAnsi="Arial" w:eastAsia="宋体"/>
          <w:sz w:val="21"/>
        </w:rPr>
        <w:t xml:space="preserve">[18] </w:t>
      </w:r>
      <w:r>
        <w:rPr>
          <w:rFonts w:ascii="Arial" w:hAnsi="Arial" w:eastAsia="宋体"/>
          <w:sz w:val="21"/>
        </w:rPr>
        <w:t>Cui Y, Che W, Liu T, et al. Pre-training with whole word masking for Chinese BERT[J]. IEEE/ACM Transactions on Audio, Speech, and Language Processing, 2021, 29: 3504-3514.</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pPr>
    <w:rPr>
      <w:rFonts w:ascii="Arial" w:hAnsi="Arial"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0"/>
      <w:contextualSpacing/>
      <w:jc w:val="center"/>
    </w:pPr>
    <w:rPr>
      <w:rFonts w:asciiTheme="majorHAnsi" w:eastAsiaTheme="majorEastAsia" w:hAnsiTheme="majorHAnsi" w:cstheme="majorBidi" w:ascii="Arial" w:hAnsi="Arial"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