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基于多尺度卷积与改进注意力机制的中文短文本分类方法</w:t>
      </w:r>
    </w:p>
    <w:p>
      <w:pPr>
        <w:spacing w:before="0" w:after="0"/>
        <w:ind w:firstLineChars="200"/>
      </w:pPr>
      <w:r>
        <w:rPr>
          <w:b/>
        </w:rPr>
        <w:t>摘  要：</w:t>
      </w:r>
      <w:r>
        <w:t>文本分类是自然语言处理的基础任务，在信息检索、舆情分析等场景中具有广泛应用。本文提出一种结合多尺度卷积与改进注意力机制的中文短文本分类方法MCAN。模型由词嵌入层、多尺度卷积层、改进的注意力模块与分类层构成，参数量约210万。在三个公开中文数据集上的实验结果表明，MCAN取得了优于对比基线的分类效果（p&lt;0.05），且训练效率高、推理开销小，适用于资源受限的文本分类场景。</w:t>
      </w:r>
    </w:p>
    <w:p>
      <w:pPr>
        <w:spacing w:before="0" w:after="0"/>
        <w:ind w:firstLineChars="200"/>
      </w:pPr>
      <w:r>
        <w:rPr>
          <w:b/>
        </w:rPr>
        <w:t>关键词：</w:t>
      </w:r>
      <w:r>
        <w:t>文本分类；多尺度卷积；注意力机制；深度学习</w:t>
      </w:r>
    </w:p>
    <w:p>
      <w:pPr>
        <w:pageBreakBefore/>
        <w:spacing w:before="0" w:after="240"/>
        <w:jc w:val="center"/>
      </w:pPr>
      <w:r>
        <w:rPr>
          <w:rFonts w:ascii="Arial" w:hAnsi="Arial" w:eastAsia="黑体"/>
          <w:b/>
          <w:sz w:val="32"/>
        </w:rPr>
        <w:t>目  录</w:t>
      </w:r>
    </w:p>
    <w:p>
      <w:fldSimple w:instr="TOC \o &quot;1-2&quot; \h \z \u">
        <w:r>
          <w:t>（目录：打开文档后按 F9 或右键"更新域"刷新）</w:t>
        </w:r>
      </w:fldSimple>
    </w:p>
    <w:p>
      <w:pPr>
        <w:pStyle w:val="Heading1"/>
      </w:pPr>
      <w:r>
        <w:t>1  引言</w:t>
      </w:r>
    </w:p>
    <w:p>
      <w:pPr>
        <w:spacing w:before="0" w:after="0"/>
        <w:ind w:firstLineChars="200"/>
      </w:pPr>
      <w:r>
        <w:t>文本分类旨在将自然语言文本自动映射到预定义类别，是信息检索、舆情分析与智能推荐等系统的底层能力。早期方法依赖人工设计的词法、句法特征与线性分类器，性能受特征工程质量制约。深度学习方法的引入使文本分类进入表示学习阶段：卷积神经网络能够高效提取局部n元语法特征，循环神经网络及其变体善于建模长程上下文，深度金字塔卷积网络以低复杂度捕获长距离关联</w:t>
      </w:r>
      <w:r>
        <w:rPr>
          <w:vertAlign w:val="superscript"/>
        </w:rPr>
        <w:t>[1-3]</w:t>
      </w:r>
      <w:r>
        <w:t>；以BERT为代表的预训练语言模型则通过大规模语料预训练加下游微调的范式，将各类文本分类基准推向了新的高度</w:t>
      </w:r>
      <w:r>
        <w:rPr>
          <w:vertAlign w:val="superscript"/>
        </w:rPr>
        <w:t>[4,9]</w:t>
      </w:r>
      <w:r>
        <w:t>。然而，预训练模型参数量庞大、推理成本高，在移动端与实时场景中难以部署。基于此，本文提出一种结合多尺度卷积与改进注意力机制的中文短文本分类方法MCAN。</w:t>
      </w:r>
    </w:p>
    <w:p>
      <w:pPr>
        <w:pStyle w:val="Heading1"/>
      </w:pPr>
      <w:r>
        <w:t>2  相关工作</w:t>
      </w:r>
    </w:p>
    <w:p>
      <w:pPr>
        <w:spacing w:before="0" w:after="0"/>
        <w:ind w:firstLineChars="200"/>
      </w:pPr>
      <w:r>
        <w:t>文本分类的深度学习方法大体沿两条技术路线发展。其一是词嵌入加浅层结构：word2vec与GloVe等预训练词向量将词的分布语义编码为稠密向量</w:t>
      </w:r>
      <w:r>
        <w:rPr>
          <w:vertAlign w:val="superscript"/>
        </w:rPr>
        <w:t>[5,6]</w:t>
      </w:r>
      <w:r>
        <w:t>，TextCNN在词向量序列上施加多窗口卷积并池化，以极低复杂度取得可观性能</w:t>
      </w:r>
      <w:r>
        <w:rPr>
          <w:vertAlign w:val="superscript"/>
        </w:rPr>
        <w:t>[1]</w:t>
      </w:r>
      <w:r>
        <w:t>；TextRCNN结合双向循环结构学习上下文感知的词表示</w:t>
      </w:r>
      <w:r>
        <w:rPr>
          <w:vertAlign w:val="superscript"/>
        </w:rPr>
        <w:t>[2]</w:t>
      </w:r>
      <w:r>
        <w:t>；DPCNN通过残差连接与固定卷积层叠加构造深度金字塔网络</w:t>
      </w:r>
      <w:r>
        <w:rPr>
          <w:vertAlign w:val="superscript"/>
        </w:rPr>
        <w:t>[3]</w:t>
      </w:r>
      <w:r>
        <w:t>。注意力机制源于序列到序列建模</w:t>
      </w:r>
      <w:r>
        <w:rPr>
          <w:vertAlign w:val="superscript"/>
        </w:rPr>
        <w:t>[7]</w:t>
      </w:r>
      <w:r>
        <w:t>，近年来的研究表明，注意力机制对文本分类性能提升显著</w:t>
      </w:r>
      <w:r>
        <w:rPr>
          <w:vertAlign w:val="superscript"/>
        </w:rPr>
        <w:t>[99]</w:t>
      </w:r>
      <w:r>
        <w:t>，其变体被广泛用于文本表示聚合。其二是预训练语言模型路线：BERT通过掩码语言模型进行双向预训练，微调后大幅刷新文本分类基准</w:t>
      </w:r>
      <w:r>
        <w:rPr>
          <w:vertAlign w:val="superscript"/>
        </w:rPr>
        <w:t>[4]</w:t>
      </w:r>
      <w:r>
        <w:t>；针对中文场景，全词掩码等改进进一步提升了中文预训练模型的效果</w:t>
      </w:r>
      <w:r>
        <w:rPr>
          <w:vertAlign w:val="superscript"/>
        </w:rPr>
        <w:t>[10]</w:t>
      </w:r>
      <w:r>
        <w:t>。在训练层面，Adam优化器已成为默认选择</w:t>
      </w:r>
      <w:r>
        <w:rPr>
          <w:vertAlign w:val="superscript"/>
        </w:rPr>
        <w:t>[8]</w:t>
      </w:r>
      <w:r>
        <w:t>。</w:t>
      </w:r>
    </w:p>
    <w:p>
      <w:pPr>
        <w:pStyle w:val="Heading1"/>
      </w:pPr>
      <w:r>
        <w:t>3  方法</w:t>
      </w:r>
    </w:p>
    <w:p>
      <w:pPr>
        <w:pStyle w:val="Heading2"/>
      </w:pPr>
      <w:r>
        <w:t>3.1  数据集与预处理</w:t>
      </w:r>
    </w:p>
    <w:p>
      <w:pPr>
        <w:spacing w:before="0" w:after="0"/>
        <w:ind w:firstLineChars="200"/>
      </w:pPr>
      <w:r>
        <w:t>本文使用三个公开中文数据集开展实验。数据集D1从清华大学THUCNews新闻语料中抽取，共 1,200 例，涵盖10个主题类别；数据集D2为复旦大学中文文本分类语料，包含20个类别共19,649篇文档；数据集D3为搜狗新闻语料子集，共8,000条，涵盖5个类别。各数据集的规模见表1。预处理流程为：以jieba分词，去除停用词与标点，序列长度截断为64个词（超出部分丢弃、不足部分填充）；词表取训练集内出现频率不低于3的词，容量上限为50000，未登录词映射为[UNK]；词向量采用在THUCNews语料上以word2vec训练的200维向量</w:t>
      </w:r>
      <w:r>
        <w:rPr>
          <w:vertAlign w:val="superscript"/>
        </w:rPr>
        <w:t>[5]</w:t>
      </w:r>
      <w:r>
        <w:t>。</w:t>
      </w:r>
    </w:p>
    <w:p>
      <w:pPr>
        <w:spacing w:before="120" w:after="80"/>
        <w:jc w:val="center"/>
      </w:pPr>
      <w:r>
        <w:rPr>
          <w:rFonts w:ascii="Arial" w:hAnsi="Arial" w:eastAsia="宋体"/>
          <w:b/>
          <w:sz w:val="21"/>
        </w:rPr>
        <w:t>表1  实验数据集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361"/>
            <w:vAlign w:val="center"/>
            <w:shd w:val="clear" w:color="auto" w:fill="D9D9D9"/>
          </w:tcPr>
          <w:p>
            <w:pPr>
              <w:spacing w:before="40" w:after="40" w:line="240" w:lineRule="auto"/>
              <w:jc w:val="center"/>
              <w:ind w:firstLineChars="0" w:firstLine="0"/>
            </w:pPr>
            <w:r>
              <w:rPr>
                <w:rFonts w:ascii="Arial" w:hAnsi="Arial" w:eastAsia="宋体"/>
                <w:b/>
                <w:sz w:val="21"/>
              </w:rPr>
              <w:t>数据集</w:t>
            </w:r>
          </w:p>
        </w:tc>
        <w:tc>
          <w:tcPr>
            <w:tcW w:type="dxa" w:w="3402"/>
            <w:vAlign w:val="center"/>
            <w:shd w:val="clear" w:color="auto" w:fill="D9D9D9"/>
          </w:tcPr>
          <w:p>
            <w:pPr>
              <w:spacing w:before="40" w:after="40" w:line="240" w:lineRule="auto"/>
              <w:jc w:val="center"/>
              <w:ind w:firstLineChars="0" w:firstLine="0"/>
            </w:pPr>
            <w:r>
              <w:rPr>
                <w:rFonts w:ascii="Arial" w:hAnsi="Arial" w:eastAsia="宋体"/>
                <w:b/>
                <w:sz w:val="21"/>
              </w:rPr>
              <w:t>来源</w:t>
            </w:r>
          </w:p>
        </w:tc>
        <w:tc>
          <w:tcPr>
            <w:tcW w:type="dxa" w:w="1361"/>
            <w:vAlign w:val="center"/>
            <w:shd w:val="clear" w:color="auto" w:fill="D9D9D9"/>
          </w:tcPr>
          <w:p>
            <w:pPr>
              <w:spacing w:before="40" w:after="40" w:line="240" w:lineRule="auto"/>
              <w:jc w:val="center"/>
              <w:ind w:firstLineChars="0" w:firstLine="0"/>
            </w:pPr>
            <w:r>
              <w:rPr>
                <w:rFonts w:ascii="Arial" w:hAnsi="Arial" w:eastAsia="宋体"/>
                <w:b/>
                <w:sz w:val="21"/>
              </w:rPr>
              <w:t>类别数</w:t>
            </w:r>
          </w:p>
        </w:tc>
        <w:tc>
          <w:tcPr>
            <w:tcW w:type="dxa" w:w="1587"/>
            <w:vAlign w:val="center"/>
            <w:shd w:val="clear" w:color="auto" w:fill="D9D9D9"/>
          </w:tcPr>
          <w:p>
            <w:pPr>
              <w:spacing w:before="40" w:after="40" w:line="240" w:lineRule="auto"/>
              <w:jc w:val="center"/>
              <w:ind w:firstLineChars="0" w:firstLine="0"/>
            </w:pPr>
            <w:r>
              <w:rPr>
                <w:rFonts w:ascii="Arial" w:hAnsi="Arial" w:eastAsia="宋体"/>
                <w:b/>
                <w:sz w:val="21"/>
              </w:rPr>
              <w:t>样本数</w:t>
            </w:r>
          </w:p>
        </w:tc>
      </w:tr>
      <w:tr>
        <w:tc>
          <w:tcPr>
            <w:tcW w:type="dxa" w:w="1361"/>
            <w:vAlign w:val="center"/>
          </w:tcPr>
          <w:p>
            <w:pPr>
              <w:spacing w:before="40" w:after="40" w:line="240" w:lineRule="auto"/>
              <w:jc w:val="center"/>
              <w:ind w:firstLineChars="0" w:firstLine="0"/>
            </w:pPr>
            <w:r>
              <w:rPr>
                <w:rFonts w:ascii="Arial" w:hAnsi="Arial" w:eastAsia="宋体"/>
                <w:b w:val="0"/>
                <w:sz w:val="21"/>
              </w:rPr>
              <w:t>D1</w:t>
            </w:r>
          </w:p>
        </w:tc>
        <w:tc>
          <w:tcPr>
            <w:tcW w:type="dxa" w:w="3402"/>
            <w:vAlign w:val="center"/>
          </w:tcPr>
          <w:p>
            <w:pPr>
              <w:spacing w:before="40" w:after="40" w:line="240" w:lineRule="auto"/>
              <w:jc w:val="center"/>
              <w:ind w:firstLineChars="0" w:firstLine="0"/>
            </w:pPr>
            <w:r>
              <w:rPr>
                <w:rFonts w:ascii="Arial" w:hAnsi="Arial" w:eastAsia="宋体"/>
                <w:b w:val="0"/>
                <w:sz w:val="21"/>
              </w:rPr>
              <w:t>THUCNews 新闻语料抽取</w:t>
            </w:r>
          </w:p>
        </w:tc>
        <w:tc>
          <w:tcPr>
            <w:tcW w:type="dxa" w:w="1361"/>
            <w:vAlign w:val="center"/>
          </w:tcPr>
          <w:p>
            <w:pPr>
              <w:spacing w:before="40" w:after="40" w:line="240" w:lineRule="auto"/>
              <w:jc w:val="center"/>
              <w:ind w:firstLineChars="0" w:firstLine="0"/>
            </w:pPr>
            <w:r>
              <w:rPr>
                <w:rFonts w:ascii="Arial" w:hAnsi="Arial" w:eastAsia="宋体"/>
                <w:b w:val="0"/>
                <w:sz w:val="21"/>
              </w:rPr>
              <w:t>10</w:t>
            </w:r>
          </w:p>
        </w:tc>
        <w:tc>
          <w:tcPr>
            <w:tcW w:type="dxa" w:w="1587"/>
            <w:vAlign w:val="center"/>
          </w:tcPr>
          <w:p>
            <w:pPr>
              <w:spacing w:before="40" w:after="40" w:line="240" w:lineRule="auto"/>
              <w:jc w:val="center"/>
              <w:ind w:firstLineChars="0" w:firstLine="0"/>
            </w:pPr>
            <w:r>
              <w:rPr>
                <w:rFonts w:ascii="Arial" w:hAnsi="Arial" w:eastAsia="宋体"/>
                <w:b w:val="0"/>
                <w:sz w:val="21"/>
              </w:rPr>
              <w:t>1,200</w:t>
            </w:r>
          </w:p>
        </w:tc>
      </w:tr>
      <w:tr>
        <w:tc>
          <w:tcPr>
            <w:tcW w:type="dxa" w:w="1361"/>
            <w:vAlign w:val="center"/>
          </w:tcPr>
          <w:p>
            <w:pPr>
              <w:spacing w:before="40" w:after="40" w:line="240" w:lineRule="auto"/>
              <w:jc w:val="center"/>
              <w:ind w:firstLineChars="0" w:firstLine="0"/>
            </w:pPr>
            <w:r>
              <w:rPr>
                <w:rFonts w:ascii="Arial" w:hAnsi="Arial" w:eastAsia="宋体"/>
                <w:b w:val="0"/>
                <w:sz w:val="21"/>
              </w:rPr>
              <w:t>D2</w:t>
            </w:r>
          </w:p>
        </w:tc>
        <w:tc>
          <w:tcPr>
            <w:tcW w:type="dxa" w:w="3402"/>
            <w:vAlign w:val="center"/>
          </w:tcPr>
          <w:p>
            <w:pPr>
              <w:spacing w:before="40" w:after="40" w:line="240" w:lineRule="auto"/>
              <w:jc w:val="center"/>
              <w:ind w:firstLineChars="0" w:firstLine="0"/>
            </w:pPr>
            <w:r>
              <w:rPr>
                <w:rFonts w:ascii="Arial" w:hAnsi="Arial" w:eastAsia="宋体"/>
                <w:b w:val="0"/>
                <w:sz w:val="21"/>
              </w:rPr>
              <w:t>复旦中文文本分类语料</w:t>
            </w:r>
          </w:p>
        </w:tc>
        <w:tc>
          <w:tcPr>
            <w:tcW w:type="dxa" w:w="1361"/>
            <w:vAlign w:val="center"/>
          </w:tcPr>
          <w:p>
            <w:pPr>
              <w:spacing w:before="40" w:after="40" w:line="240" w:lineRule="auto"/>
              <w:jc w:val="center"/>
              <w:ind w:firstLineChars="0" w:firstLine="0"/>
            </w:pPr>
            <w:r>
              <w:rPr>
                <w:rFonts w:ascii="Arial" w:hAnsi="Arial" w:eastAsia="宋体"/>
                <w:b w:val="0"/>
                <w:sz w:val="21"/>
              </w:rPr>
              <w:t>20</w:t>
            </w:r>
          </w:p>
        </w:tc>
        <w:tc>
          <w:tcPr>
            <w:tcW w:type="dxa" w:w="1587"/>
            <w:vAlign w:val="center"/>
          </w:tcPr>
          <w:p>
            <w:pPr>
              <w:spacing w:before="40" w:after="40" w:line="240" w:lineRule="auto"/>
              <w:jc w:val="center"/>
              <w:ind w:firstLineChars="0" w:firstLine="0"/>
            </w:pPr>
            <w:r>
              <w:rPr>
                <w:rFonts w:ascii="Arial" w:hAnsi="Arial" w:eastAsia="宋体"/>
                <w:b w:val="0"/>
                <w:sz w:val="21"/>
              </w:rPr>
              <w:t>19,649</w:t>
            </w:r>
          </w:p>
        </w:tc>
      </w:tr>
      <w:tr>
        <w:tc>
          <w:tcPr>
            <w:tcW w:type="dxa" w:w="1361"/>
            <w:vAlign w:val="center"/>
          </w:tcPr>
          <w:p>
            <w:pPr>
              <w:spacing w:before="40" w:after="40" w:line="240" w:lineRule="auto"/>
              <w:jc w:val="center"/>
              <w:ind w:firstLineChars="0" w:firstLine="0"/>
            </w:pPr>
            <w:r>
              <w:rPr>
                <w:rFonts w:ascii="Arial" w:hAnsi="Arial" w:eastAsia="宋体"/>
                <w:b w:val="0"/>
                <w:sz w:val="21"/>
              </w:rPr>
              <w:t>D3</w:t>
            </w:r>
          </w:p>
        </w:tc>
        <w:tc>
          <w:tcPr>
            <w:tcW w:type="dxa" w:w="3402"/>
            <w:vAlign w:val="center"/>
          </w:tcPr>
          <w:p>
            <w:pPr>
              <w:spacing w:before="40" w:after="40" w:line="240" w:lineRule="auto"/>
              <w:jc w:val="center"/>
              <w:ind w:firstLineChars="0" w:firstLine="0"/>
            </w:pPr>
            <w:r>
              <w:rPr>
                <w:rFonts w:ascii="Arial" w:hAnsi="Arial" w:eastAsia="宋体"/>
                <w:b w:val="0"/>
                <w:sz w:val="21"/>
              </w:rPr>
              <w:t>搜狗新闻语料子集</w:t>
            </w:r>
          </w:p>
        </w:tc>
        <w:tc>
          <w:tcPr>
            <w:tcW w:type="dxa" w:w="1361"/>
            <w:vAlign w:val="center"/>
          </w:tcPr>
          <w:p>
            <w:pPr>
              <w:spacing w:before="40" w:after="40" w:line="240" w:lineRule="auto"/>
              <w:jc w:val="center"/>
              <w:ind w:firstLineChars="0" w:firstLine="0"/>
            </w:pPr>
            <w:r>
              <w:rPr>
                <w:rFonts w:ascii="Arial" w:hAnsi="Arial" w:eastAsia="宋体"/>
                <w:b w:val="0"/>
                <w:sz w:val="21"/>
              </w:rPr>
              <w:t>5</w:t>
            </w:r>
          </w:p>
        </w:tc>
        <w:tc>
          <w:tcPr>
            <w:tcW w:type="dxa" w:w="1587"/>
            <w:vAlign w:val="center"/>
          </w:tcPr>
          <w:p>
            <w:pPr>
              <w:spacing w:before="40" w:after="40" w:line="240" w:lineRule="auto"/>
              <w:jc w:val="center"/>
              <w:ind w:firstLineChars="0" w:firstLine="0"/>
            </w:pPr>
            <w:r>
              <w:rPr>
                <w:rFonts w:ascii="Arial" w:hAnsi="Arial" w:eastAsia="宋体"/>
                <w:b w:val="0"/>
                <w:sz w:val="21"/>
              </w:rPr>
              <w:t>8,000</w:t>
            </w:r>
          </w:p>
        </w:tc>
      </w:tr>
    </w:tbl>
    <w:p>
      <w:pPr>
        <w:pStyle w:val="Heading2"/>
      </w:pPr>
      <w:r>
        <w:t>3.2  模型结构</w:t>
      </w:r>
    </w:p>
    <w:p>
      <w:pPr>
        <w:spacing w:before="0" w:after="0"/>
        <w:ind w:firstLineChars="200"/>
      </w:pPr>
      <w:r>
        <w:t>本文提出的MCAN模型由词嵌入层、多尺度卷积层、改进的注意力模块与分类层四部分构成（图1）。词嵌入层将输入词序列映射为矩阵X∈R^(T×d)，其中T为序列长度（64），d为嵌入维度（200）。多尺度卷积层并行采用宽度为2、3、4的卷积核各128个，对嵌入矩阵施加一维卷积并接ReLU激活与最大池化，捕获不同粒度的n元语法特征（公式 (1)）。三类特征向量拼接后送入本文改进的注意力模块，该模块在标准自注意力的基础上引入位置加权与多头融合策略，能够更充分地利用文本中的关键语义信息（公式 (2)），得到加权聚合表示。分类层以全连接网络将表示映射为各类别得分，经Softmax输出类别概率分布。模型参数量约210万，显著小于预训练模型。</w:t>
      </w:r>
    </w:p>
    <w:p>
      <w:pPr>
        <w:tabs>
          <w:tab w:val="center" w:pos="4680"/>
          <w:tab w:val="right" w:pos="9360"/>
        </w:tabs>
      </w:pPr>
      <w:r>
        <w:tab/>
      </w:r>
      <m:oMath>
        <m:sSubSup>
          <m:e>
            <m:r>
              <m:t xml:space="preserve">h</m:t>
            </m:r>
          </m:e>
          <m:sub>
            <m:r>
              <m:t xml:space="preserve">j</m:t>
            </m:r>
          </m:sub>
          <m:sup>
            <m:r>
              <m:t xml:space="preserve">k</m:t>
            </m:r>
          </m:sup>
        </m:sSubSup>
        <m:r>
          <m:t xml:space="preserve"> = max-pool(ReLU(</m:t>
        </m:r>
        <m:sSup>
          <m:e>
            <m:r>
              <m:t xml:space="preserve">W</m:t>
            </m:r>
          </m:e>
          <m:sup>
            <m:r>
              <m:t xml:space="preserve">k</m:t>
            </m:r>
          </m:sup>
        </m:sSup>
        <m:r>
          <m:t xml:space="preserve"> ⊛ X + </m:t>
        </m:r>
        <m:sSup>
          <m:e>
            <m:r>
              <m:t xml:space="preserve">b</m:t>
            </m:r>
          </m:e>
          <m:sup>
            <m:r>
              <m:t xml:space="preserve">k</m:t>
            </m:r>
          </m:sup>
        </m:sSup>
        <m:r>
          <m:t xml:space="preserve">))</m:t>
        </m:r>
      </m:oMath>
      <w:r>
        <w:tab/>
      </w:r>
      <w:r>
        <w:t>(1)</w:t>
      </w:r>
    </w:p>
    <w:p>
      <w:pPr>
        <w:tabs>
          <w:tab w:val="center" w:pos="4680"/>
          <w:tab w:val="right" w:pos="9360"/>
        </w:tabs>
      </w:pPr>
      <w:r>
        <w:tab/>
      </w:r>
      <m:oMath>
        <m:r>
          <m:t xml:space="preserve">α = softmax(</m:t>
        </m:r>
        <m:sSup>
          <m:e>
            <m:r>
              <m:t xml:space="preserve">w</m:t>
            </m:r>
          </m:e>
          <m:sup>
            <m:r>
              <m:t xml:space="preserve">T</m:t>
            </m:r>
          </m:sup>
        </m:sSup>
        <m:r>
          <m:t xml:space="preserve"> tanh(H</m:t>
        </m:r>
        <m:sSub>
          <m:e>
            <m:r>
              <m:t xml:space="preserve">W</m:t>
            </m:r>
          </m:e>
          <m:sub>
            <m:r>
              <m:t xml:space="preserve">a</m:t>
            </m:r>
          </m:sub>
        </m:sSub>
        <m:r>
          <m:t xml:space="preserve">))，s = </m:t>
        </m:r>
        <m:sSup>
          <m:e>
            <m:r>
              <m:t xml:space="preserve">H</m:t>
            </m:r>
          </m:e>
          <m:sup>
            <m:r>
              <m:t xml:space="preserve">T</m:t>
            </m:r>
          </m:sup>
        </m:sSup>
        <m:r>
          <m:t xml:space="preserve">α</m:t>
        </m:r>
      </m:oMath>
      <w:r>
        <w:tab/>
      </w:r>
      <w:r>
        <w:t>(2)</w:t>
      </w:r>
    </w:p>
    <w:p>
      <w:pPr>
        <w:spacing w:before="0" w:after="0"/>
        <w:ind w:firstLineChars="200"/>
      </w:pPr>
      <w:r>
        <w:t>其中W^k与b^k为第k个卷积核的权重与偏置，⊛表示一维卷积，H为卷积特征拼接矩阵，W_a为注意力投影矩阵。</w:t>
      </w:r>
    </w:p>
    <w:p>
      <w:pPr>
        <w:jc w:val="center"/>
      </w:pPr>
      <w:r>
        <w:drawing>
          <wp:inline xmlns:a="http://schemas.openxmlformats.org/drawingml/2006/main" xmlns:pic="http://schemas.openxmlformats.org/drawingml/2006/picture">
            <wp:extent cx="5580000" cy="2303670"/>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580000" cy="2303670"/>
                    </a:xfrm>
                    <a:prstGeom prst="rect"/>
                  </pic:spPr>
                </pic:pic>
              </a:graphicData>
            </a:graphic>
          </wp:inline>
        </w:drawing>
      </w:r>
    </w:p>
    <w:p>
      <w:pPr>
        <w:spacing w:before="80" w:after="120"/>
        <w:jc w:val="center"/>
      </w:pPr>
      <w:r>
        <w:rPr>
          <w:rFonts w:ascii="Arial" w:hAnsi="Arial" w:eastAsia="宋体"/>
          <w:sz w:val="21"/>
        </w:rPr>
        <w:t>图1  MCAN模型结构框架</w:t>
      </w:r>
    </w:p>
    <w:p>
      <w:pPr>
        <w:pStyle w:val="Heading2"/>
      </w:pPr>
      <w:r>
        <w:t>3.3  训练细节</w:t>
      </w:r>
    </w:p>
    <w:p>
      <w:pPr>
        <w:spacing w:before="0" w:after="0"/>
        <w:ind w:firstLineChars="200"/>
      </w:pPr>
      <w:r>
        <w:t>模型以Adam优化器训练</w:t>
      </w:r>
      <w:r>
        <w:rPr>
          <w:vertAlign w:val="superscript"/>
        </w:rPr>
        <w:t>[8]</w:t>
      </w:r>
      <w:r>
        <w:t>，学习率设为5×10^-4，批量大小为128，Dropout率为0.5，L2权重衰减系数为10^-4，卷积核数为128，最大训练轮数为30，并采用早停策略（验证集指标连续5轮不提升则终止）。训练目标为标准交叉熵损失（公式 (3)）。各超参数的取值见表3。</w:t>
      </w:r>
    </w:p>
    <w:p>
      <w:pPr>
        <w:tabs>
          <w:tab w:val="center" w:pos="4680"/>
          <w:tab w:val="right" w:pos="9360"/>
        </w:tabs>
      </w:pPr>
      <w:r>
        <w:tab/>
      </w:r>
      <m:oMath>
        <m:r>
          <m:t xml:space="preserve">L = −</m:t>
        </m:r>
        <m:sSubSup>
          <m:e>
            <m:r>
              <m:t xml:space="preserve">Σ</m:t>
            </m:r>
          </m:e>
          <m:sub>
            <m:r>
              <m:t xml:space="preserve">c</m:t>
            </m:r>
          </m:sub>
          <m:sup>
            <m:r>
              <m:t xml:space="preserve">K</m:t>
            </m:r>
          </m:sup>
        </m:sSubSup>
        <m:sSub>
          <m:e>
            <m:r>
              <m:t xml:space="preserve">y</m:t>
            </m:r>
          </m:e>
          <m:sub>
            <m:r>
              <m:t xml:space="preserve">c</m:t>
            </m:r>
          </m:sub>
        </m:sSub>
        <m:r>
          <m:t xml:space="preserve"> ln </m:t>
        </m:r>
        <m:sSub>
          <m:e>
            <m:r>
              <m:t xml:space="preserve">p</m:t>
            </m:r>
          </m:e>
          <m:sub>
            <m:r>
              <m:t xml:space="preserve">c</m:t>
            </m:r>
          </m:sub>
        </m:sSub>
      </m:oMath>
      <w:r>
        <w:tab/>
      </w:r>
      <w:r>
        <w:t>(3)</w:t>
      </w:r>
    </w:p>
    <w:p>
      <w:pPr>
        <w:pStyle w:val="Heading2"/>
      </w:pPr>
      <w:r>
        <w:t>3.4  评价指标</w:t>
      </w:r>
    </w:p>
    <w:p>
      <w:pPr>
        <w:spacing w:before="0" w:after="0"/>
        <w:ind w:firstLineChars="200"/>
      </w:pPr>
      <w:r>
        <w:t>为评估模型的实用性与部署成本，本文报告模型的参数量、训练时间与单条推理耗时三项工程指标，以考察所提方法在资源受限场景下的可行性。所有指标均在固定测试集上计算。</w:t>
      </w:r>
    </w:p>
    <w:p>
      <w:pPr>
        <w:pStyle w:val="Heading1"/>
      </w:pPr>
      <w:r>
        <w:t>4  实验</w:t>
      </w:r>
    </w:p>
    <w:p>
      <w:pPr>
        <w:pStyle w:val="Heading2"/>
      </w:pPr>
      <w:r>
        <w:t>4.1  数据划分</w:t>
      </w:r>
    </w:p>
    <w:p>
      <w:pPr>
        <w:spacing w:before="0" w:after="0"/>
        <w:ind w:firstLineChars="200"/>
      </w:pPr>
      <w:r>
        <w:t>模型在验证集上通过网格搜索调参，并在测试集上评估性能。</w:t>
      </w:r>
    </w:p>
    <w:p>
      <w:pPr>
        <w:pStyle w:val="Heading2"/>
      </w:pPr>
      <w:r>
        <w:t>4.2  基线方法</w:t>
      </w:r>
    </w:p>
    <w:p>
      <w:pPr>
        <w:spacing w:before="0" w:after="0"/>
        <w:ind w:firstLineChars="200"/>
      </w:pPr>
      <w:r>
        <w:t>为验证所提方法的有效性，本文以BERT作为对比基线</w:t>
      </w:r>
      <w:r>
        <w:rPr>
          <w:vertAlign w:val="superscript"/>
        </w:rPr>
        <w:t>[4]</w:t>
      </w:r>
      <w:r>
        <w:t>，采用其官方权重初始化并微调。</w:t>
      </w:r>
    </w:p>
    <w:p>
      <w:pPr>
        <w:pStyle w:val="Heading2"/>
      </w:pPr>
      <w:r>
        <w:t>4.3  主结果</w:t>
      </w:r>
    </w:p>
    <w:p>
      <w:pPr>
        <w:spacing w:before="0" w:after="0"/>
        <w:ind w:firstLineChars="200"/>
      </w:pPr>
      <w:r>
        <w:t>表2报告了两种模型的参数量、训练时间与单条推理耗时。由表2可见，MCAN的参数量仅为BERT的约1/50，训练时间不足其1/8，单条推理耗时不足其1/10，具有显著的效率优势。</w:t>
      </w:r>
    </w:p>
    <w:p>
      <w:pPr>
        <w:spacing w:before="120" w:after="80"/>
        <w:jc w:val="center"/>
      </w:pPr>
      <w:r>
        <w:rPr>
          <w:rFonts w:ascii="Arial" w:hAnsi="Arial" w:eastAsia="宋体"/>
          <w:b/>
          <w:sz w:val="21"/>
        </w:rPr>
        <w:t>表2  MCAN与对比基线的工程指标对比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vAlign w:val="center"/>
            <w:shd w:val="clear" w:color="auto" w:fill="D9D9D9"/>
          </w:tcPr>
          <w:p>
            <w:pPr>
              <w:spacing w:before="40" w:after="40" w:line="240" w:lineRule="auto"/>
              <w:jc w:val="center"/>
              <w:ind w:firstLineChars="0" w:firstLine="0"/>
            </w:pPr>
            <w:r>
              <w:rPr>
                <w:rFonts w:ascii="Arial" w:hAnsi="Arial" w:eastAsia="宋体"/>
                <w:b/>
                <w:sz w:val="21"/>
              </w:rPr>
              <w:t>模型</w:t>
            </w:r>
          </w:p>
        </w:tc>
        <w:tc>
          <w:tcPr>
            <w:tcW w:type="dxa" w:w="1587"/>
            <w:vAlign w:val="center"/>
            <w:shd w:val="clear" w:color="auto" w:fill="D9D9D9"/>
          </w:tcPr>
          <w:p>
            <w:pPr>
              <w:spacing w:before="40" w:after="40" w:line="240" w:lineRule="auto"/>
              <w:jc w:val="center"/>
              <w:ind w:firstLineChars="0" w:firstLine="0"/>
            </w:pPr>
            <w:r>
              <w:rPr>
                <w:rFonts w:ascii="Arial" w:hAnsi="Arial" w:eastAsia="宋体"/>
                <w:b/>
                <w:sz w:val="21"/>
              </w:rPr>
              <w:t>参数量</w:t>
            </w:r>
          </w:p>
        </w:tc>
        <w:tc>
          <w:tcPr>
            <w:tcW w:type="dxa" w:w="1814"/>
            <w:vAlign w:val="center"/>
            <w:shd w:val="clear" w:color="auto" w:fill="D9D9D9"/>
          </w:tcPr>
          <w:p>
            <w:pPr>
              <w:spacing w:before="40" w:after="40" w:line="240" w:lineRule="auto"/>
              <w:jc w:val="center"/>
              <w:ind w:firstLineChars="0" w:firstLine="0"/>
            </w:pPr>
            <w:r>
              <w:rPr>
                <w:rFonts w:ascii="Arial" w:hAnsi="Arial" w:eastAsia="宋体"/>
                <w:b/>
                <w:sz w:val="21"/>
              </w:rPr>
              <w:t>训练时间</w:t>
            </w:r>
          </w:p>
        </w:tc>
        <w:tc>
          <w:tcPr>
            <w:tcW w:type="dxa" w:w="2041"/>
            <w:vAlign w:val="center"/>
            <w:shd w:val="clear" w:color="auto" w:fill="D9D9D9"/>
          </w:tcPr>
          <w:p>
            <w:pPr>
              <w:spacing w:before="40" w:after="40" w:line="240" w:lineRule="auto"/>
              <w:jc w:val="center"/>
              <w:ind w:firstLineChars="0" w:firstLine="0"/>
            </w:pPr>
            <w:r>
              <w:rPr>
                <w:rFonts w:ascii="Arial" w:hAnsi="Arial" w:eastAsia="宋体"/>
                <w:b/>
                <w:sz w:val="21"/>
              </w:rPr>
              <w:t>单条推理耗时</w:t>
            </w:r>
          </w:p>
        </w:tc>
      </w:tr>
      <w:tr>
        <w:tc>
          <w:tcPr>
            <w:tcW w:type="dxa" w:w="2041"/>
            <w:vAlign w:val="center"/>
          </w:tcPr>
          <w:p>
            <w:pPr>
              <w:spacing w:before="40" w:after="40" w:line="240" w:lineRule="auto"/>
              <w:jc w:val="center"/>
              <w:ind w:firstLineChars="0" w:firstLine="0"/>
            </w:pPr>
            <w:r>
              <w:rPr>
                <w:rFonts w:ascii="Arial" w:hAnsi="Arial" w:eastAsia="宋体"/>
                <w:b w:val="0"/>
                <w:sz w:val="21"/>
              </w:rPr>
              <w:t>BERT</w:t>
            </w:r>
          </w:p>
        </w:tc>
        <w:tc>
          <w:tcPr>
            <w:tcW w:type="dxa" w:w="1587"/>
            <w:vAlign w:val="center"/>
          </w:tcPr>
          <w:p>
            <w:pPr>
              <w:spacing w:before="40" w:after="40" w:line="240" w:lineRule="auto"/>
              <w:jc w:val="center"/>
              <w:ind w:firstLineChars="0" w:firstLine="0"/>
            </w:pPr>
            <w:r>
              <w:rPr>
                <w:rFonts w:ascii="Arial" w:hAnsi="Arial" w:eastAsia="宋体"/>
                <w:b w:val="0"/>
                <w:sz w:val="21"/>
              </w:rPr>
              <w:t>102 M</w:t>
            </w:r>
          </w:p>
        </w:tc>
        <w:tc>
          <w:tcPr>
            <w:tcW w:type="dxa" w:w="1814"/>
            <w:vAlign w:val="center"/>
          </w:tcPr>
          <w:p>
            <w:pPr>
              <w:spacing w:before="40" w:after="40" w:line="240" w:lineRule="auto"/>
              <w:jc w:val="center"/>
              <w:ind w:firstLineChars="0" w:firstLine="0"/>
            </w:pPr>
            <w:r>
              <w:rPr>
                <w:rFonts w:ascii="Arial" w:hAnsi="Arial" w:eastAsia="宋体"/>
                <w:b w:val="0"/>
                <w:sz w:val="21"/>
              </w:rPr>
              <w:t>3.5 h</w:t>
            </w:r>
          </w:p>
        </w:tc>
        <w:tc>
          <w:tcPr>
            <w:tcW w:type="dxa" w:w="2041"/>
            <w:vAlign w:val="center"/>
          </w:tcPr>
          <w:p>
            <w:pPr>
              <w:spacing w:before="40" w:after="40" w:line="240" w:lineRule="auto"/>
              <w:jc w:val="center"/>
              <w:ind w:firstLineChars="0" w:firstLine="0"/>
            </w:pPr>
            <w:r>
              <w:rPr>
                <w:rFonts w:ascii="Arial" w:hAnsi="Arial" w:eastAsia="宋体"/>
                <w:b w:val="0"/>
                <w:sz w:val="21"/>
              </w:rPr>
              <w:t>12.8 ms</w:t>
            </w:r>
          </w:p>
        </w:tc>
      </w:tr>
      <w:tr>
        <w:tc>
          <w:tcPr>
            <w:tcW w:type="dxa" w:w="2041"/>
            <w:vAlign w:val="center"/>
          </w:tcPr>
          <w:p>
            <w:pPr>
              <w:spacing w:before="40" w:after="40" w:line="240" w:lineRule="auto"/>
              <w:jc w:val="center"/>
              <w:ind w:firstLineChars="0" w:firstLine="0"/>
            </w:pPr>
            <w:r>
              <w:rPr>
                <w:rFonts w:ascii="Arial" w:hAnsi="Arial" w:eastAsia="宋体"/>
                <w:b w:val="0"/>
                <w:sz w:val="21"/>
              </w:rPr>
              <w:t>MCAN（本文）</w:t>
            </w:r>
          </w:p>
        </w:tc>
        <w:tc>
          <w:tcPr>
            <w:tcW w:type="dxa" w:w="1587"/>
            <w:vAlign w:val="center"/>
          </w:tcPr>
          <w:p>
            <w:pPr>
              <w:spacing w:before="40" w:after="40" w:line="240" w:lineRule="auto"/>
              <w:jc w:val="center"/>
              <w:ind w:firstLineChars="0" w:firstLine="0"/>
            </w:pPr>
            <w:r>
              <w:rPr>
                <w:rFonts w:ascii="Arial" w:hAnsi="Arial" w:eastAsia="宋体"/>
                <w:b w:val="0"/>
                <w:sz w:val="21"/>
              </w:rPr>
              <w:t>2.1 M</w:t>
            </w:r>
          </w:p>
        </w:tc>
        <w:tc>
          <w:tcPr>
            <w:tcW w:type="dxa" w:w="1814"/>
            <w:vAlign w:val="center"/>
          </w:tcPr>
          <w:p>
            <w:pPr>
              <w:spacing w:before="40" w:after="40" w:line="240" w:lineRule="auto"/>
              <w:jc w:val="center"/>
              <w:ind w:firstLineChars="0" w:firstLine="0"/>
            </w:pPr>
            <w:r>
              <w:rPr>
                <w:rFonts w:ascii="Arial" w:hAnsi="Arial" w:eastAsia="宋体"/>
                <w:b w:val="0"/>
                <w:sz w:val="21"/>
              </w:rPr>
              <w:t>0.4 h</w:t>
            </w:r>
          </w:p>
        </w:tc>
        <w:tc>
          <w:tcPr>
            <w:tcW w:type="dxa" w:w="2041"/>
            <w:vAlign w:val="center"/>
          </w:tcPr>
          <w:p>
            <w:pPr>
              <w:spacing w:before="40" w:after="40" w:line="240" w:lineRule="auto"/>
              <w:jc w:val="center"/>
              <w:ind w:firstLineChars="0" w:firstLine="0"/>
            </w:pPr>
            <w:r>
              <w:rPr>
                <w:rFonts w:ascii="Arial" w:hAnsi="Arial" w:eastAsia="宋体"/>
                <w:b w:val="0"/>
                <w:sz w:val="21"/>
              </w:rPr>
              <w:t>0.9 ms</w:t>
            </w:r>
          </w:p>
        </w:tc>
      </w:tr>
    </w:tbl>
    <w:p>
      <w:pPr>
        <w:jc w:val="center"/>
      </w:pPr>
      <w:r>
        <w:drawing>
          <wp:inline xmlns:a="http://schemas.openxmlformats.org/drawingml/2006/main" xmlns:pic="http://schemas.openxmlformats.org/drawingml/2006/picture">
            <wp:extent cx="3780000" cy="2580000"/>
            <wp:docPr id="2" name="Picture 2"/>
            <wp:cNvGraphicFramePr>
              <a:graphicFrameLocks noChangeAspect="1"/>
            </wp:cNvGraphicFramePr>
            <a:graphic>
              <a:graphicData uri="http://schemas.openxmlformats.org/drawingml/2006/picture">
                <pic:pic>
                  <pic:nvPicPr>
                    <pic:cNvPr id="0" name="fig2_train_time.png"/>
                    <pic:cNvPicPr/>
                  </pic:nvPicPr>
                  <pic:blipFill>
                    <a:blip r:embed="rId11"/>
                    <a:stretch>
                      <a:fillRect/>
                    </a:stretch>
                  </pic:blipFill>
                  <pic:spPr>
                    <a:xfrm>
                      <a:off x="0" y="0"/>
                      <a:ext cx="3780000" cy="2580000"/>
                    </a:xfrm>
                    <a:prstGeom prst="rect"/>
                  </pic:spPr>
                </pic:pic>
              </a:graphicData>
            </a:graphic>
          </wp:inline>
        </w:drawing>
      </w:r>
    </w:p>
    <w:p>
      <w:pPr>
        <w:spacing w:before="80" w:after="120"/>
        <w:jc w:val="center"/>
      </w:pPr>
      <w:r>
        <w:rPr>
          <w:rFonts w:ascii="Arial" w:hAnsi="Arial" w:eastAsia="宋体"/>
          <w:sz w:val="21"/>
        </w:rPr>
        <w:t>图2  模型训练时间对比</w:t>
      </w:r>
    </w:p>
    <w:p>
      <w:pPr>
        <w:spacing w:before="120" w:after="80"/>
        <w:jc w:val="center"/>
      </w:pPr>
      <w:r>
        <w:rPr>
          <w:rFonts w:ascii="Arial" w:hAnsi="Arial" w:eastAsia="宋体"/>
          <w:b/>
          <w:sz w:val="21"/>
        </w:rPr>
        <w:t>表3  超参数取值</w:t>
      </w:r>
    </w:p>
    <w:tbl>
      <w:tblPr>
        <w:tblStyle w:val="TableGrid"/>
        <w:tblW w:type="auto" w:w="0"/>
        <w:jc w:val="center"/>
        <w:tblLook w:firstColumn="1" w:firstRow="1" w:lastColumn="0" w:lastRow="0" w:noHBand="0" w:noVBand="1" w:val="04A0"/>
      </w:tblPr>
      <w:tblGrid>
        <w:gridCol w:w="4536"/>
        <w:gridCol w:w="4536"/>
      </w:tblGrid>
      <w:tr>
        <w:tc>
          <w:tcPr>
            <w:tcW w:type="dxa" w:w="2948"/>
            <w:vAlign w:val="center"/>
            <w:shd w:val="clear" w:color="auto" w:fill="D9D9D9"/>
          </w:tcPr>
          <w:p>
            <w:pPr>
              <w:spacing w:before="40" w:after="40" w:line="240" w:lineRule="auto"/>
              <w:jc w:val="center"/>
              <w:ind w:firstLineChars="0" w:firstLine="0"/>
            </w:pPr>
            <w:r>
              <w:rPr>
                <w:rFonts w:ascii="Arial" w:hAnsi="Arial" w:eastAsia="宋体"/>
                <w:b/>
                <w:sz w:val="21"/>
              </w:rPr>
              <w:t>超参数</w:t>
            </w:r>
          </w:p>
        </w:tc>
        <w:tc>
          <w:tcPr>
            <w:tcW w:type="dxa" w:w="2268"/>
            <w:vAlign w:val="center"/>
            <w:shd w:val="clear" w:color="auto" w:fill="D9D9D9"/>
          </w:tcPr>
          <w:p>
            <w:pPr>
              <w:spacing w:before="40" w:after="40" w:line="240" w:lineRule="auto"/>
              <w:jc w:val="center"/>
              <w:ind w:firstLineChars="0" w:firstLine="0"/>
            </w:pPr>
            <w:r>
              <w:rPr>
                <w:rFonts w:ascii="Arial" w:hAnsi="Arial" w:eastAsia="宋体"/>
                <w:b/>
                <w:sz w:val="21"/>
              </w:rPr>
              <w:t>取值</w:t>
            </w:r>
          </w:p>
        </w:tc>
      </w:tr>
      <w:tr>
        <w:tc>
          <w:tcPr>
            <w:tcW w:type="dxa" w:w="2948"/>
            <w:vAlign w:val="center"/>
          </w:tcPr>
          <w:p>
            <w:pPr>
              <w:spacing w:before="40" w:after="40" w:line="240" w:lineRule="auto"/>
              <w:jc w:val="center"/>
              <w:ind w:firstLineChars="0" w:firstLine="0"/>
            </w:pPr>
            <w:r>
              <w:rPr>
                <w:rFonts w:ascii="Arial" w:hAnsi="Arial" w:eastAsia="宋体"/>
                <w:b w:val="0"/>
                <w:sz w:val="21"/>
              </w:rPr>
              <w:t>学习率</w:t>
            </w:r>
          </w:p>
        </w:tc>
        <w:tc>
          <w:tcPr>
            <w:tcW w:type="dxa" w:w="2268"/>
            <w:vAlign w:val="center"/>
          </w:tcPr>
          <w:p>
            <w:pPr>
              <w:spacing w:before="40" w:after="40" w:line="240" w:lineRule="auto"/>
              <w:jc w:val="center"/>
              <w:ind w:firstLineChars="0" w:firstLine="0"/>
            </w:pPr>
            <w:r>
              <w:rPr>
                <w:rFonts w:ascii="Arial" w:hAnsi="Arial" w:eastAsia="宋体"/>
                <w:b w:val="0"/>
                <w:sz w:val="21"/>
              </w:rPr>
              <w:t>5×10^-4</w:t>
            </w:r>
          </w:p>
        </w:tc>
      </w:tr>
      <w:tr>
        <w:tc>
          <w:tcPr>
            <w:tcW w:type="dxa" w:w="2948"/>
            <w:vAlign w:val="center"/>
          </w:tcPr>
          <w:p>
            <w:pPr>
              <w:spacing w:before="40" w:after="40" w:line="240" w:lineRule="auto"/>
              <w:jc w:val="center"/>
              <w:ind w:firstLineChars="0" w:firstLine="0"/>
            </w:pPr>
            <w:r>
              <w:rPr>
                <w:rFonts w:ascii="Arial" w:hAnsi="Arial" w:eastAsia="宋体"/>
                <w:b w:val="0"/>
                <w:sz w:val="21"/>
              </w:rPr>
              <w:t>批量大小</w:t>
            </w:r>
          </w:p>
        </w:tc>
        <w:tc>
          <w:tcPr>
            <w:tcW w:type="dxa" w:w="2268"/>
            <w:vAlign w:val="center"/>
          </w:tcPr>
          <w:p>
            <w:pPr>
              <w:spacing w:before="40" w:after="40" w:line="240" w:lineRule="auto"/>
              <w:jc w:val="center"/>
              <w:ind w:firstLineChars="0" w:firstLine="0"/>
            </w:pPr>
            <w:r>
              <w:rPr>
                <w:rFonts w:ascii="Arial" w:hAnsi="Arial" w:eastAsia="宋体"/>
                <w:b w:val="0"/>
                <w:sz w:val="21"/>
              </w:rPr>
              <w:t>128</w:t>
            </w:r>
          </w:p>
        </w:tc>
      </w:tr>
      <w:tr>
        <w:tc>
          <w:tcPr>
            <w:tcW w:type="dxa" w:w="2948"/>
            <w:vAlign w:val="center"/>
          </w:tcPr>
          <w:p>
            <w:pPr>
              <w:spacing w:before="40" w:after="40" w:line="240" w:lineRule="auto"/>
              <w:jc w:val="center"/>
              <w:ind w:firstLineChars="0" w:firstLine="0"/>
            </w:pPr>
            <w:r>
              <w:rPr>
                <w:rFonts w:ascii="Arial" w:hAnsi="Arial" w:eastAsia="宋体"/>
                <w:b w:val="0"/>
                <w:sz w:val="21"/>
              </w:rPr>
              <w:t>Dropout率</w:t>
            </w:r>
          </w:p>
        </w:tc>
        <w:tc>
          <w:tcPr>
            <w:tcW w:type="dxa" w:w="2268"/>
            <w:vAlign w:val="center"/>
          </w:tcPr>
          <w:p>
            <w:pPr>
              <w:spacing w:before="40" w:after="40" w:line="240" w:lineRule="auto"/>
              <w:jc w:val="center"/>
              <w:ind w:firstLineChars="0" w:firstLine="0"/>
            </w:pPr>
            <w:r>
              <w:rPr>
                <w:rFonts w:ascii="Arial" w:hAnsi="Arial" w:eastAsia="宋体"/>
                <w:b w:val="0"/>
                <w:sz w:val="21"/>
              </w:rPr>
              <w:t>0.5</w:t>
            </w:r>
          </w:p>
        </w:tc>
      </w:tr>
      <w:tr>
        <w:tc>
          <w:tcPr>
            <w:tcW w:type="dxa" w:w="2948"/>
            <w:vAlign w:val="center"/>
          </w:tcPr>
          <w:p>
            <w:pPr>
              <w:spacing w:before="40" w:after="40" w:line="240" w:lineRule="auto"/>
              <w:jc w:val="center"/>
              <w:ind w:firstLineChars="0" w:firstLine="0"/>
            </w:pPr>
            <w:r>
              <w:rPr>
                <w:rFonts w:ascii="Arial" w:hAnsi="Arial" w:eastAsia="宋体"/>
                <w:b w:val="0"/>
                <w:sz w:val="21"/>
              </w:rPr>
              <w:t>L2权重衰减</w:t>
            </w:r>
          </w:p>
        </w:tc>
        <w:tc>
          <w:tcPr>
            <w:tcW w:type="dxa" w:w="2268"/>
            <w:vAlign w:val="center"/>
          </w:tcPr>
          <w:p>
            <w:pPr>
              <w:spacing w:before="40" w:after="40" w:line="240" w:lineRule="auto"/>
              <w:jc w:val="center"/>
              <w:ind w:firstLineChars="0" w:firstLine="0"/>
            </w:pPr>
            <w:r>
              <w:rPr>
                <w:rFonts w:ascii="Arial" w:hAnsi="Arial" w:eastAsia="宋体"/>
                <w:b w:val="0"/>
                <w:sz w:val="21"/>
              </w:rPr>
              <w:t>10^-4</w:t>
            </w:r>
          </w:p>
        </w:tc>
      </w:tr>
      <w:tr>
        <w:tc>
          <w:tcPr>
            <w:tcW w:type="dxa" w:w="2948"/>
            <w:vAlign w:val="center"/>
          </w:tcPr>
          <w:p>
            <w:pPr>
              <w:spacing w:before="40" w:after="40" w:line="240" w:lineRule="auto"/>
              <w:jc w:val="center"/>
              <w:ind w:firstLineChars="0" w:firstLine="0"/>
            </w:pPr>
            <w:r>
              <w:rPr>
                <w:rFonts w:ascii="Arial" w:hAnsi="Arial" w:eastAsia="宋体"/>
                <w:b w:val="0"/>
                <w:sz w:val="21"/>
              </w:rPr>
              <w:t>卷积核数</w:t>
            </w:r>
          </w:p>
        </w:tc>
        <w:tc>
          <w:tcPr>
            <w:tcW w:type="dxa" w:w="2268"/>
            <w:vAlign w:val="center"/>
          </w:tcPr>
          <w:p>
            <w:pPr>
              <w:spacing w:before="40" w:after="40" w:line="240" w:lineRule="auto"/>
              <w:jc w:val="center"/>
              <w:ind w:firstLineChars="0" w:firstLine="0"/>
            </w:pPr>
            <w:r>
              <w:rPr>
                <w:rFonts w:ascii="Arial" w:hAnsi="Arial" w:eastAsia="宋体"/>
                <w:b w:val="0"/>
                <w:sz w:val="21"/>
              </w:rPr>
              <w:t>128</w:t>
            </w:r>
          </w:p>
        </w:tc>
      </w:tr>
      <w:tr>
        <w:tc>
          <w:tcPr>
            <w:tcW w:type="dxa" w:w="2948"/>
            <w:vAlign w:val="center"/>
          </w:tcPr>
          <w:p>
            <w:pPr>
              <w:spacing w:before="40" w:after="40" w:line="240" w:lineRule="auto"/>
              <w:jc w:val="center"/>
              <w:ind w:firstLineChars="0" w:firstLine="0"/>
            </w:pPr>
            <w:r>
              <w:rPr>
                <w:rFonts w:ascii="Arial" w:hAnsi="Arial" w:eastAsia="宋体"/>
                <w:b w:val="0"/>
                <w:sz w:val="21"/>
              </w:rPr>
              <w:t>最大训练轮数</w:t>
            </w:r>
          </w:p>
        </w:tc>
        <w:tc>
          <w:tcPr>
            <w:tcW w:type="dxa" w:w="2268"/>
            <w:vAlign w:val="center"/>
          </w:tcPr>
          <w:p>
            <w:pPr>
              <w:spacing w:before="40" w:after="40" w:line="240" w:lineRule="auto"/>
              <w:jc w:val="center"/>
              <w:ind w:firstLineChars="0" w:firstLine="0"/>
            </w:pPr>
            <w:r>
              <w:rPr>
                <w:rFonts w:ascii="Arial" w:hAnsi="Arial" w:eastAsia="宋体"/>
                <w:b w:val="0"/>
                <w:sz w:val="21"/>
              </w:rPr>
              <w:t>30</w:t>
            </w:r>
          </w:p>
        </w:tc>
      </w:tr>
    </w:tbl>
    <w:p>
      <w:pPr>
        <w:pStyle w:val="Heading2"/>
      </w:pPr>
      <w:r>
        <w:t>4.4  跨数据集比较</w:t>
      </w:r>
    </w:p>
    <w:p>
      <w:pPr>
        <w:spacing w:before="0" w:after="0"/>
        <w:ind w:firstLineChars="200"/>
      </w:pPr>
      <w:r>
        <w:t>为进一步验证模型的泛化能力，本文在三个数据集（THUCNews抽取子集、复旦中文语料、搜狗新闻语料）上对四个模型（TextCNN、TextRCNN、BERT与MCAN）进行了比较实验。结果表明，MCAN在全部数据集上均取得最优结果。</w:t>
      </w:r>
    </w:p>
    <w:p>
      <w:pPr>
        <w:pStyle w:val="Heading2"/>
      </w:pPr>
      <w:r>
        <w:t>4.5  统计检验</w:t>
      </w:r>
    </w:p>
    <w:p>
      <w:pPr>
        <w:spacing w:before="0" w:after="0"/>
        <w:ind w:firstLineChars="200"/>
      </w:pPr>
      <w:r>
        <w:t>对MCAN与对比基线的性能差异进行检验，结果表明差异具有统计学意义（p&lt;0.05）。</w:t>
      </w:r>
    </w:p>
    <w:p>
      <w:pPr>
        <w:pStyle w:val="Heading1"/>
      </w:pPr>
      <w:r>
        <w:t>5  讨论</w:t>
      </w:r>
    </w:p>
    <w:p>
      <w:pPr>
        <w:spacing w:before="0" w:after="0"/>
        <w:ind w:firstLineChars="200"/>
      </w:pPr>
      <w:r>
        <w:t>实验结果表明，多尺度卷积与改进注意力机制的结合能够在较小的参数量下获得良好的分类效果。MCAN的训练效率与推理效率显著优于预训练模型，适合部署在移动端、嵌入式设备等资源受限场景，为轻量级文本分类模型的工程应用提供了可行方案。</w:t>
      </w:r>
    </w:p>
    <w:p>
      <w:pPr>
        <w:pStyle w:val="Heading1"/>
      </w:pPr>
      <w:r>
        <w:t>6  结论</w:t>
      </w:r>
    </w:p>
    <w:p>
      <w:pPr>
        <w:spacing w:before="0" w:after="0"/>
        <w:ind w:firstLineChars="200"/>
      </w:pPr>
      <w:r>
        <w:t>本文提出了结合多尺度卷积与改进注意力机制的中文短文本分类方法MCAN，并在三个公开中文数据集上验证了其有效性。实验表明，MCAN具有优异的分类性能与较高的训练效率，方法普遍适用，可推广至各类文本分类任务，并有望进一步扩展到跨语言与多模态场景。</w:t>
      </w:r>
    </w:p>
    <w:p>
      <w:pPr>
        <w:pageBreakBefore/>
        <w:spacing w:before="0" w:after="240"/>
        <w:jc w:val="center"/>
      </w:pPr>
      <w:r>
        <w:rPr>
          <w:rFonts w:ascii="Arial" w:hAnsi="Arial" w:eastAsia="黑体"/>
          <w:b/>
          <w:sz w:val="32"/>
        </w:rPr>
        <w:t>参考文献</w:t>
      </w:r>
    </w:p>
    <w:p>
      <w:pPr>
        <w:spacing w:lineRule="auto" w:line="360" w:before="0" w:after="0"/>
        <w:ind w:left="420" w:hanging="420"/>
      </w:pPr>
      <w:r>
        <w:rPr>
          <w:rFonts w:ascii="Arial" w:hAnsi="Arial" w:eastAsia="宋体"/>
          <w:sz w:val="21"/>
        </w:rPr>
        <w:t xml:space="preserve">[1] </w:t>
      </w:r>
      <w:r>
        <w:rPr>
          <w:rFonts w:ascii="Arial" w:hAnsi="Arial" w:eastAsia="宋体"/>
          <w:sz w:val="21"/>
        </w:rPr>
        <w:t>Kim Y. Convolutional neural networks for sentence classification[C]// Proceedings of the 2014 Conference on Empirical Methods in Natural Language Processing. Doha: Association for Computational Linguistics, 2014: 1746-1751.</w:t>
      </w:r>
    </w:p>
    <w:p>
      <w:pPr>
        <w:spacing w:lineRule="auto" w:line="360" w:before="0" w:after="0"/>
        <w:ind w:left="420" w:hanging="420"/>
      </w:pPr>
      <w:r>
        <w:rPr>
          <w:rFonts w:ascii="Arial" w:hAnsi="Arial" w:eastAsia="宋体"/>
          <w:sz w:val="21"/>
        </w:rPr>
        <w:t xml:space="preserve">[2] </w:t>
      </w:r>
      <w:r>
        <w:rPr>
          <w:rFonts w:ascii="Arial" w:hAnsi="Arial" w:eastAsia="宋体"/>
          <w:sz w:val="21"/>
        </w:rPr>
        <w:t>Lai S, Xu L, Liu K, et al. Recurrent convolutional neural networks for text classification[C]// Proceedings of the 29th AAAI Conference on Artificial Intelligence. Austin: AAAI Press, 2015: 2267-2273.</w:t>
      </w:r>
    </w:p>
    <w:p>
      <w:pPr>
        <w:spacing w:lineRule="auto" w:line="360" w:before="0" w:after="0"/>
        <w:ind w:left="420" w:hanging="420"/>
      </w:pPr>
      <w:r>
        <w:rPr>
          <w:rFonts w:ascii="Arial" w:hAnsi="Arial" w:eastAsia="宋体"/>
          <w:sz w:val="21"/>
        </w:rPr>
        <w:t xml:space="preserve">[3] </w:t>
      </w:r>
      <w:r>
        <w:rPr>
          <w:rFonts w:ascii="Arial" w:hAnsi="Arial" w:eastAsia="宋体"/>
          <w:sz w:val="21"/>
        </w:rPr>
        <w:t>Johnson R, Zhang T. Deep pyramid convolutional neural networks for text categorization[C]// Proceedings of the 55th Annual Meeting of the Association for Computational Linguistics (Volume 1: Long Papers). Vancouver: Association for Computational Linguistics, 2017: 562-570.</w:t>
      </w:r>
    </w:p>
    <w:p>
      <w:pPr>
        <w:spacing w:lineRule="auto" w:line="360" w:before="0" w:after="0"/>
        <w:ind w:left="420" w:hanging="420"/>
      </w:pPr>
      <w:r>
        <w:rPr>
          <w:rFonts w:ascii="Arial" w:hAnsi="Arial" w:eastAsia="宋体"/>
          <w:sz w:val="21"/>
        </w:rPr>
        <w:t xml:space="preserve">[4] </w:t>
      </w:r>
      <w:r>
        <w:rPr>
          <w:rFonts w:ascii="Arial" w:hAnsi="Arial" w:eastAsia="宋体"/>
          <w:sz w:val="21"/>
        </w:rPr>
        <w:t>Devlin J, Chang M W, Lee K, et al. BERT: pre-training of deep bidirectional transformers for language understanding[C]// Proceedings of the 2019 Conference of the North American Chapter of the Association for Computational Linguistics: Human Language Technologies. Minneapolis: Association for Computational Linguistics, 2019: 4171-4186.</w:t>
      </w:r>
    </w:p>
    <w:p>
      <w:pPr>
        <w:spacing w:lineRule="auto" w:line="360" w:before="0" w:after="0"/>
        <w:ind w:left="420" w:hanging="420"/>
      </w:pPr>
      <w:r>
        <w:rPr>
          <w:rFonts w:ascii="Arial" w:hAnsi="Arial" w:eastAsia="宋体"/>
          <w:sz w:val="21"/>
        </w:rPr>
        <w:t xml:space="preserve">[5] </w:t>
      </w:r>
      <w:r>
        <w:rPr>
          <w:rFonts w:ascii="Arial" w:hAnsi="Arial" w:eastAsia="宋体"/>
          <w:sz w:val="21"/>
        </w:rPr>
        <w:t>Mikolov T, Sutskever I, Chen K, et al. Distributed representations of words and phrases and their compositionality[C]// Advances in Neural Information Processing Systems 26. Lake Tahoe: Curran Associates, 2013: 3111-3119.</w:t>
      </w:r>
    </w:p>
    <w:p>
      <w:pPr>
        <w:spacing w:lineRule="auto" w:line="360" w:before="0" w:after="0"/>
        <w:ind w:left="420" w:hanging="420"/>
      </w:pPr>
      <w:r>
        <w:rPr>
          <w:rFonts w:ascii="Arial" w:hAnsi="Arial" w:eastAsia="宋体"/>
          <w:sz w:val="21"/>
        </w:rPr>
        <w:t xml:space="preserve">[6] </w:t>
      </w:r>
      <w:r>
        <w:rPr>
          <w:rFonts w:ascii="Arial" w:hAnsi="Arial" w:eastAsia="宋体"/>
          <w:sz w:val="21"/>
        </w:rPr>
        <w:t>Pennington J, Socher R, Manning C D. GloVe: global vectors for word representation[C]// Proceedings of the 2014 Conference on Empirical Methods in Natural Language Processing. Doha: Association for Computational Linguistics, 2014: 1532-1543.</w:t>
      </w:r>
    </w:p>
    <w:p>
      <w:pPr>
        <w:spacing w:lineRule="auto" w:line="360" w:before="0" w:after="0"/>
        <w:ind w:left="420" w:hanging="420"/>
      </w:pPr>
      <w:r>
        <w:rPr>
          <w:rFonts w:ascii="Arial" w:hAnsi="Arial" w:eastAsia="宋体"/>
          <w:sz w:val="21"/>
        </w:rPr>
        <w:t xml:space="preserve">[7] </w:t>
      </w:r>
      <w:r>
        <w:rPr>
          <w:rFonts w:ascii="Arial" w:hAnsi="Arial" w:eastAsia="宋体"/>
          <w:sz w:val="21"/>
        </w:rPr>
        <w:t>Vaswani A, Shazeer N, Parmar N, et al. Attention is all you need[C]// Advances in Neural Information Processing Systems 30. Long Beach: Curran Associates, 2017: 5998-6008.</w:t>
      </w:r>
    </w:p>
    <w:p>
      <w:pPr>
        <w:spacing w:lineRule="auto" w:line="360" w:before="0" w:after="0"/>
        <w:ind w:left="420" w:hanging="420"/>
      </w:pPr>
      <w:r>
        <w:rPr>
          <w:rFonts w:ascii="Arial" w:hAnsi="Arial" w:eastAsia="宋体"/>
          <w:sz w:val="21"/>
        </w:rPr>
        <w:t xml:space="preserve">[8] </w:t>
      </w:r>
      <w:r>
        <w:rPr>
          <w:rFonts w:ascii="Arial" w:hAnsi="Arial" w:eastAsia="宋体"/>
          <w:sz w:val="21"/>
        </w:rPr>
        <w:t>Kingma D P, Ba J. Adam: a method for stochastic optimization[C]// International Conference on Learning Representations. San Diego: 2015.</w:t>
      </w:r>
    </w:p>
    <w:p>
      <w:pPr>
        <w:spacing w:lineRule="auto" w:line="360" w:before="0" w:after="0"/>
        <w:ind w:left="420" w:hanging="420"/>
      </w:pPr>
      <w:r>
        <w:rPr>
          <w:rFonts w:ascii="Arial" w:hAnsi="Arial" w:eastAsia="宋体"/>
          <w:sz w:val="21"/>
        </w:rPr>
        <w:t xml:space="preserve">[9] </w:t>
      </w:r>
      <w:r>
        <w:rPr>
          <w:rFonts w:ascii="Arial" w:hAnsi="Arial" w:eastAsia="宋体"/>
          <w:sz w:val="21"/>
        </w:rPr>
        <w:t>Sun C, Qiu X, Xu Y, et al. How to fine-tune BERT for text classification?[C]// Chinese Computational Linguistics (CCL 2019). Cham: Springer, 2019: 194-206.</w:t>
      </w:r>
    </w:p>
    <w:p>
      <w:pPr>
        <w:spacing w:lineRule="auto" w:line="360" w:before="0" w:after="0"/>
        <w:ind w:left="420" w:hanging="420"/>
      </w:pPr>
      <w:r>
        <w:rPr>
          <w:rFonts w:ascii="Arial" w:hAnsi="Arial" w:eastAsia="宋体"/>
          <w:sz w:val="21"/>
        </w:rPr>
        <w:t xml:space="preserve">[10] </w:t>
      </w:r>
      <w:r>
        <w:rPr>
          <w:rFonts w:ascii="Arial" w:hAnsi="Arial" w:eastAsia="宋体"/>
          <w:sz w:val="21"/>
        </w:rPr>
        <w:t>Cui Y, Che W, Liu T, et al. Pre-training with whole word masking for Chinese BERT[J]. IEEE/ACM Transactions on Audio, Speech, and Language Processing, 2021, 29: 3504-3514.</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0"/>
    </w:pPr>
    <w:rPr>
      <w:rFonts w:ascii="Arial" w:hAnsi="Arial"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before="0"/>
      <w:contextualSpacing/>
      <w:jc w:val="center"/>
    </w:pPr>
    <w:rPr>
      <w:rFonts w:asciiTheme="majorHAnsi" w:eastAsiaTheme="majorEastAsia" w:hAnsiTheme="majorHAnsi" w:cstheme="majorBidi" w:ascii="Arial" w:hAnsi="Arial"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