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超分辨率MRI与2.5D深度学习预测直肠癌神经周围侵犯的瘤内-瘤周影像组学研究</w:t>
      </w:r>
    </w:p>
    <w:p>
      <w:pPr>
        <w:pStyle w:val="Heading1"/>
      </w:pPr>
      <w:r>
        <w:t>2. 方法</w:t>
      </w:r>
    </w:p>
    <w:p>
      <w:r>
        <w:t>本研究为双中心回顾性队列，纳入312例经病理证实直肠腺癌且PNI状态明确者。研究经哈尔滨医科大学附属第二医院伦理委员会（YJSKY2025-086）和珠海市人民医院伦理委员会（2025-66）批准，豁免知情同意。中心1共246例，按7:3划分为训练集172例与内部验证集74例；中心2共66例，全部作为外部测试集。所有患者术前均接受MRI检查，技术规范和成像流程见附录1。</w:t>
      </w:r>
    </w:p>
    <w:p>
      <w:r>
        <w:t>纳入标准为：（1）手术病理确诊直肠恶性肿瘤；（2）术前MRI检查距切除≤14天；（3）术前2周内完成血清CEA与CA19-9评估。排除条件包括：（1）有新辅助治疗史；（2）PNI组织病理记录不完整；（3）存在非诊断性MRI伪影；（4）黏液腺癌亚型；（5）MRI至手术间隔超过14天。选择算法及纳入/排除条件见图1。</w:t>
      </w:r>
    </w:p>
    <w:p>
      <w:r>
        <w:t>术前预测变量包括人口学资料、血清生物标志物（CEA≥5 ng/mL、CA19-9≥37 U/mL）及MRI参数（肿瘤纵向直径、mrT/N分期、mrEMVI/MRF状态），均来自机构EHR和PACS数据库。PNI状态取自术后最终组织病理报告，两家机构均执行直肠癌标准化诊断流程。PNI定义为肿瘤细胞侵犯神经鞘三层（神经外膜、神经束膜或神经内膜）任一层，或直接接触神经并包绕≥33%周径；H&amp;E不确定时用S100免疫组化确认神经结构。资深病理学家复核的共识诊断作为地面真值。</w:t>
      </w:r>
    </w:p>
    <w:p>
      <w:r>
        <w:t>图像采用GAN增强的4×超分辨率重建，实施平台为OnekeyAI（https://github.com/OnekeyAI-Platform/onekey）。预处理包括MRI降噪和强度归一化；通过下采样生成低分辨率图像，与原生高分辨率图像配对对抗训练，以捕捉高频解剖细节。GAN由分辨率增强生成器和评估重建保真度的判别器组成，经竞争优化迭代提高图像质量。为抑制“幻觉”并保证特征稳定，质控包括放射科医生目视检查和外部队列定量验证。</w:t>
      </w:r>
    </w:p>
    <w:p>
      <w:r>
        <w:t>肿瘤边界由两名认证放射科医生在超分辨率重建图像上经ITK-SNAP独立勾画，分歧由第三位专家（&gt;20年经验）裁决形成共识。所有图像按固定分辨率协议标准化至1 mm³各向同性体素，以保证跨模态一致性和模型稳健性。30例随机病例的ICC分析显示：所有特征中位ICC为0.999（范围0.492–1.000），DWI和T2WI中位ICC分别为0.999（范围0.658–1.000）和0.999（范围0.492–1.000）；ICC≤0.75者在特征选择前排除。补充图3展示读者间ROI一致性。</w:t>
      </w:r>
    </w:p>
    <w:p>
      <w:r>
        <w:t>为评估瘤周微环境，在GAN增强T2WI和DWI上径向扩张肿瘤ROI，生成同心瘤周区；影像组学特征从肿瘤及瘤周1–5 mm区域提取。2.5D深度学习模型将最大肿瘤截面和相邻轴位切片作为多通道输入，采用迁移学习的ResNet101骨干网络；切片级特征通过多实例学习（MIL）聚合为患者级预测。特征选择依次使用单变量分析、Pearson相关、mRMR和LASSO回归。</w:t>
      </w:r>
    </w:p>
    <w:p>
      <w:r>
        <w:t>模型通过5折交叉验证和外部测试队列验证。联合模型整合MIL特征、瘤内影像组学、最优（2 mm）瘤周影像组学及临床变量，内部验证AUC为0.912（95% CI：0.850–0.974），外部测试AUC为0.868（95% CI：0.783–0.952）。</w:t>
      </w:r>
    </w:p>
    <w:p>
      <w:r>
        <w:t>梯度加权类激活映射（Grad-CAM）突出肿瘤-神经界面；肿瘤长度被识别为PNI的独立预测因素（OR=1.062，p=0.032）。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