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after="600" w:before="0" w:line="240" w:lineRule="auto"/>
      </w:pPr>
    </w:p>
    <w:tbl>
      <w:tblPr>
        <w:tblW w:type="dxa" w:w="1814"/>
        <w:jc w:val="left"/>
        <w:tblLook w:firstColumn="1" w:firstRow="1" w:lastColumn="0" w:lastRow="0" w:noHBand="0" w:noVBand="1" w:val="04A0"/>
        <w:tblLayout w:type="fixed"/>
      </w:tblPr>
      <w:tblGrid>
        <w:gridCol w:w="1814"/>
      </w:tblGrid>
      <w:tr>
        <w:trPr>
          <w:cantSplit w:val="true"/>
        </w:trPr>
        <w:tc>
          <w:tcPr>
            <w:tcW w:type="dxa" w:w="1814"/>
            <w:shd w:val="clear" w:fill="0F6E7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0F6E78"/>
                <w:sz w:val="2"/>
              </w:rPr>
              <w:t xml:space="preserve"> </w:t>
            </w:r>
          </w:p>
        </w:tc>
      </w:tr>
    </w:tbl>
    <w:p>
      <w:pPr>
        <w:keepNext w:val="0"/>
        <w:spacing w:after="280" w:before="0" w:line="240" w:lineRule="auto"/>
      </w:pPr>
    </w:p>
    <w:p>
      <w:pPr>
        <w:spacing w:after="100" w:before="0" w:line="240" w:lineRule="auto"/>
      </w:pPr>
      <w:r>
        <w:rPr>
          <w:rFonts w:ascii="Segoe UI" w:hAnsi="Segoe UI" w:eastAsia="Microsoft YaHei"/>
          <w:b/>
          <w:color w:val="0F6E78"/>
          <w:sz w:val="17"/>
        </w:rPr>
        <w:t>项目概要介绍 / PROJECT BRIEF</w:t>
      </w:r>
    </w:p>
    <w:p>
      <w:pPr>
        <w:spacing w:after="80" w:before="0" w:line="252" w:lineRule="auto"/>
      </w:pPr>
      <w:r>
        <w:rPr>
          <w:rFonts w:ascii="Segoe UI" w:hAnsi="Segoe UI" w:eastAsia="Microsoft YaHei"/>
          <w:b/>
          <w:color w:val="16233A"/>
          <w:sz w:val="80"/>
        </w:rPr>
        <w:t>CampusOne</w:t>
      </w:r>
    </w:p>
    <w:p>
      <w:pPr>
        <w:spacing w:after="360" w:before="0" w:line="300" w:lineRule="auto"/>
        <w:keepNext/>
      </w:pPr>
      <w:r>
        <w:rPr>
          <w:rFonts w:ascii="Segoe UI" w:hAnsi="Segoe UI" w:eastAsia="Microsoft YaHei"/>
          <w:b/>
          <w:color w:val="0B535B"/>
          <w:sz w:val="32"/>
        </w:rPr>
        <w:t>面向高校场地申请的可信事务智能体</w:t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1"/>
        <w:gridCol w:w="9548"/>
      </w:tblGrid>
      <w:tr>
        <w:trPr>
          <w:cantSplit w:val="true"/>
        </w:trPr>
        <w:tc>
          <w:tcPr>
            <w:tcW w:type="dxa" w:w="90"/>
            <w:shd w:val="clear" w:fill="0F6E7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9548"/>
            <w:shd w:val="clear" w:fill="E6F2F3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 w:before="0" w:line="312" w:lineRule="auto"/>
            </w:pPr>
            <w:r>
              <w:rPr>
                <w:rFonts w:ascii="Segoe UI" w:hAnsi="Segoe UI" w:eastAsia="Microsoft YaHei"/>
                <w:b/>
                <w:color w:val="0F6E78"/>
                <w:sz w:val="21"/>
              </w:rPr>
              <w:t>核心主张</w:t>
            </w:r>
          </w:p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大模型负责读懂和表述，程序负责判定事实与规则，人负责最终决定。三者的边界写在代码里，可以现场验证。</w:t>
            </w:r>
          </w:p>
        </w:tc>
      </w:tr>
    </w:tbl>
    <w:p>
      <w:pPr>
        <w:keepNext w:val="0"/>
        <w:spacing w:after="24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 w:val="true"/>
        </w:trPr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6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确定性规则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容量、时段与开放时间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105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自动化测试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覆盖 T01–T21 用例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3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受约束 AI 任务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均不可改变正式状态</w:t>
            </w:r>
          </w:p>
        </w:tc>
      </w:tr>
    </w:tbl>
    <w:p>
      <w:pPr>
        <w:keepNext w:val="0"/>
        <w:spacing w:after="3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1814"/>
        <w:gridCol w:w="7825"/>
      </w:tblGrid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参赛单位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厦门大学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团队成员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胡博（队长）、温广琛、许佳锋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指导教师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张盈谦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联系邮箱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[待填写联系邮箱]</w:t>
            </w:r>
          </w:p>
        </w:tc>
      </w:tr>
      <w:tr>
        <w:trPr>
          <w:cantSplit w:val="true"/>
        </w:trPr>
        <w:tc>
          <w:tcPr>
            <w:tcW w:type="dxa" w:w="181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"/>
                <w:b/>
                <w:color w:val="5A6B7B"/>
                <w:sz w:val="18"/>
              </w:rPr>
              <w:t>版本</w:t>
            </w:r>
          </w:p>
        </w:tc>
        <w:tc>
          <w:tcPr>
            <w:tcW w:type="dxa" w:w="7824"/>
            <w:tcMar>
              <w:top w:w="85" w:type="dxa"/>
              <w:start w:w="0" w:type="dxa"/>
              <w:bottom w:w="85" w:type="dxa"/>
              <w:end w:w="0" w:type="dxa"/>
            </w:tcMar>
            <w:tcBorders>
              <w:top w:val="nil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"/>
                <w:b w:val="0"/>
                <w:color w:val="16233A"/>
                <w:sz w:val="19"/>
              </w:rPr>
              <w:t>2026 年 9 月 · 初赛提交版</w:t>
            </w:r>
          </w:p>
        </w:tc>
      </w:tr>
    </w:tbl>
    <w:p>
      <w:pPr>
        <w:keepNext w:val="0"/>
        <w:spacing w:after="280" w:before="0" w:line="240" w:lineRule="auto"/>
      </w:pPr>
    </w:p>
    <w:p>
      <w:pPr>
        <w:spacing w:after="0" w:before="0" w:line="336" w:lineRule="auto"/>
      </w:pPr>
      <w:r>
        <w:rPr>
          <w:rFonts w:ascii="Segoe UI" w:hAnsi="Segoe UI" w:eastAsia="Microsoft YaHei Light"/>
          <w:b w:val="0"/>
          <w:color w:val="5A6B7B"/>
          <w:sz w:val="17"/>
        </w:rPr>
        <w:t>赛道：教育管理应用创新赛 · 初赛</w:t>
      </w:r>
    </w:p>
    <w:p>
      <w:r>
        <w:br w:type="page"/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01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项目概述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从一件每周都要处理的小事做起，把闭环做完整。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场地申请规则密集，来回沟通的成本很高。学生不清楚要填什么、为什么被退回；管理员反复核对人数、时段和设备，再手写一遍退回意见。CampusOne 把这条流程做成了可运行的系统：AI 整理表述，程序逐条判定六项规则，管理员基于带证据的摘要决定批准还是退回，每次状态变化和模型调用都留档。</w:t>
      </w:r>
    </w:p>
    <w:p>
      <w:pPr>
        <w:spacing w:after="140" w:before="0" w:line="360" w:lineRule="auto"/>
        <w:keepNext/>
      </w:pPr>
      <w:r>
        <w:rPr>
          <w:rFonts w:ascii="Segoe UI" w:hAnsi="Segoe UI" w:eastAsia="Microsoft YaHei Light"/>
          <w:b w:val="0"/>
          <w:color w:val="16233A"/>
          <w:sz w:val="21"/>
        </w:rPr>
        <w:t>申请、预检、提交、接件、退回、修订 V2、批准到归档已完整跑通。前端是四视图工作台，后端运行在 Cloudflare Worker，数据存于 D1。演示默认接入 DeepSeek，也可切换到可复现的本地模式离线演示。</w:t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1"/>
        <w:gridCol w:w="9548"/>
      </w:tblGrid>
      <w:tr>
        <w:trPr>
          <w:cantSplit w:val="true"/>
        </w:trPr>
        <w:tc>
          <w:tcPr>
            <w:tcW w:type="dxa" w:w="90"/>
            <w:shd w:val="clear" w:fill="0F6E78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9548"/>
            <w:shd w:val="clear" w:fill="E6F2F3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 w:before="0" w:line="312" w:lineRule="auto"/>
            </w:pPr>
            <w:r>
              <w:rPr>
                <w:rFonts w:ascii="Segoe UI" w:hAnsi="Segoe UI" w:eastAsia="Microsoft YaHei"/>
                <w:b/>
                <w:color w:val="0F6E78"/>
                <w:sz w:val="21"/>
              </w:rPr>
              <w:t>产品边界</w:t>
            </w:r>
          </w:p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模型没有写库权限，不能批准、退回或改变任何正式状态。业务接口也不认调用方自称的身份：角色由服务端会话决定，请求体里写 role: "admin" 会被忽略。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pStyle w:val="Heading2"/>
      </w:pPr>
      <w:r>
        <w:t>三类用户各自的麻烦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1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1"/>
        </w:rPr>
        <w:t>学生：不知道容量和开放时间这些硬约束，提交后只能等，看不到进度。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1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1"/>
        </w:rPr>
        <w:t>管理员：同样的核对做很多遍，退回意见每次重写，口径不统一。</w:t>
      </w:r>
    </w:p>
    <w:p>
      <w:pPr>
        <w:spacing w:after="8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1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1"/>
        </w:rPr>
        <w:t>管理部门：想查某次审批依据了哪条规则、哪一版申请，往往查不到。</w:t>
      </w:r>
    </w:p>
    <w:p>
      <w:pPr>
        <w:keepNext w:val="0"/>
        <w:spacing w:after="3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02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我们的做法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把该由程序确定的事情，从模型手里拿走。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pStyle w:val="Heading2"/>
      </w:pPr>
      <w:r>
        <w:t>六条规则由程序判定</w:t>
      </w:r>
    </w:p>
    <w:p>
      <w:pPr>
        <w:spacing w:after="140" w:before="0" w:line="360" w:lineRule="auto"/>
        <w:keepNext/>
      </w:pPr>
      <w:r>
        <w:rPr>
          <w:rFonts w:ascii="Segoe UI" w:hAnsi="Segoe UI" w:eastAsia="Microsoft YaHei Light"/>
          <w:b w:val="0"/>
          <w:color w:val="16233A"/>
          <w:sz w:val="21"/>
        </w:rPr>
        <w:t>容量、时段冲突、开放时间这类可计算的判定全部交给规则引擎，模型不参与。每条规则有编号和制度依据，界面直接显示，可自行复算。</w:t>
      </w:r>
    </w:p>
    <w:tbl>
      <w:tblPr>
        <w:tblW w:type="dxa" w:w="9639"/>
        <w:jc w:val="left"/>
        <w:tblLayout w:type="fixed"/>
        <w:tblLook w:firstColumn="1" w:firstRow="1" w:lastColumn="0" w:lastRow="0" w:noHBand="0" w:noVBand="1" w:val="04A0"/>
      </w:tblPr>
      <w:tblGrid>
        <w:gridCol w:w="2041"/>
        <w:gridCol w:w="4876"/>
        <w:gridCol w:w="2722"/>
      </w:tblGrid>
      <w:tr>
        <w:trPr>
          <w:tblHeader w:val="true"/>
          <w:cantSplit w:val="true"/>
        </w:trPr>
        <w:tc>
          <w:tcPr>
            <w:tcW w:type="dxa" w:w="204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规则编号</w:t>
            </w:r>
          </w:p>
        </w:tc>
        <w:tc>
          <w:tcPr>
            <w:tcW w:type="dxa" w:w="4876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判定内容</w:t>
            </w:r>
          </w:p>
        </w:tc>
        <w:tc>
          <w:tcPr>
            <w:tcW w:type="dxa" w:w="272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制度依据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VENUE-REQ-001</w:t>
            </w:r>
          </w:p>
        </w:tc>
        <w:tc>
          <w:tcPr>
            <w:tcW w:type="dxa" w:w="4876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必填字段完整，并逐项列出缺项名称</w:t>
            </w:r>
          </w:p>
        </w:tc>
        <w:tc>
          <w:tcPr>
            <w:tcW w:type="dxa" w:w="272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VENUE-TIME-001</w:t>
            </w:r>
          </w:p>
        </w:tc>
        <w:tc>
          <w:tcPr>
            <w:tcW w:type="dxa" w:w="4876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结束时间晚于开始时间</w:t>
            </w:r>
          </w:p>
        </w:tc>
        <w:tc>
          <w:tcPr>
            <w:tcW w:type="dxa" w:w="272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VENUE-CAP-001</w:t>
            </w:r>
          </w:p>
        </w:tc>
        <w:tc>
          <w:tcPr>
            <w:tcW w:type="dxa" w:w="4876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人数为正整数且不超过场地核定容量</w:t>
            </w:r>
          </w:p>
        </w:tc>
        <w:tc>
          <w:tcPr>
            <w:tcW w:type="dxa" w:w="272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KB-VENUE-001、KB-SAFETY-001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VENUE-SLOT-001</w:t>
            </w:r>
          </w:p>
        </w:tc>
        <w:tc>
          <w:tcPr>
            <w:tcW w:type="dxa" w:w="4876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与已占用时段无重叠</w:t>
            </w:r>
          </w:p>
        </w:tc>
        <w:tc>
          <w:tcPr>
            <w:tcW w:type="dxa" w:w="272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KB-VENUE-001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VENUE-EQP-001</w:t>
            </w:r>
          </w:p>
        </w:tc>
        <w:tc>
          <w:tcPr>
            <w:tcW w:type="dxa" w:w="4876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设备需求可被该场地满足</w:t>
            </w:r>
          </w:p>
        </w:tc>
        <w:tc>
          <w:tcPr>
            <w:tcW w:type="dxa" w:w="272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KB-VENUE-002</w:t>
            </w:r>
          </w:p>
        </w:tc>
      </w:tr>
      <w:tr>
        <w:trPr>
          <w:cantSplit w:val="true"/>
        </w:trPr>
        <w:tc>
          <w:tcPr>
            <w:tcW w:type="dxa" w:w="204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VENUE-HOUR-001</w:t>
            </w:r>
          </w:p>
        </w:tc>
        <w:tc>
          <w:tcPr>
            <w:tcW w:type="dxa" w:w="4876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在场地开放时间内且不跨日</w:t>
            </w:r>
          </w:p>
        </w:tc>
        <w:tc>
          <w:tcPr>
            <w:tcW w:type="dxa" w:w="272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KB-VENUE-003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pStyle w:val="Heading2"/>
      </w:pPr>
      <w:r>
        <w:t>模型只做三件事</w:t>
      </w:r>
    </w:p>
    <w:p>
      <w:pPr>
        <w:spacing w:after="100" w:before="0" w:line="348" w:lineRule="auto"/>
        <w:ind w:left="408" w:hanging="408"/>
      </w:pPr>
      <w:r>
        <w:rPr>
          <w:rFonts w:ascii="Consolas" w:hAnsi="Consolas" w:eastAsia="Consolas"/>
          <w:b/>
          <w:color w:val="0F6E78"/>
          <w:sz w:val="21"/>
        </w:rPr>
        <w:t xml:space="preserve">01  </w:t>
      </w:r>
      <w:r>
        <w:rPr>
          <w:rFonts w:ascii="Segoe UI" w:hAnsi="Segoe UI" w:eastAsia="Microsoft YaHei Light"/>
          <w:b w:val="0"/>
          <w:color w:val="16233A"/>
          <w:sz w:val="21"/>
        </w:rPr>
        <w:t>表单整理：把学生写的活动说明理顺，不改人数、时间和设备，采纳与否由学生点确认。</w:t>
      </w:r>
    </w:p>
    <w:p>
      <w:pPr>
        <w:spacing w:after="100" w:before="0" w:line="348" w:lineRule="auto"/>
        <w:ind w:left="408" w:hanging="408"/>
      </w:pPr>
      <w:r>
        <w:rPr>
          <w:rFonts w:ascii="Consolas" w:hAnsi="Consolas" w:eastAsia="Consolas"/>
          <w:b/>
          <w:color w:val="0F6E78"/>
          <w:sz w:val="21"/>
        </w:rPr>
        <w:t xml:space="preserve">02  </w:t>
      </w:r>
      <w:r>
        <w:rPr>
          <w:rFonts w:ascii="Segoe UI" w:hAnsi="Segoe UI" w:eastAsia="Microsoft YaHei Light"/>
          <w:b w:val="0"/>
          <w:color w:val="16233A"/>
          <w:sz w:val="21"/>
        </w:rPr>
        <w:t>审核摘要：把已验证的事实和规则结果排列给管理员看，判断仍由人做。</w:t>
      </w:r>
    </w:p>
    <w:p>
      <w:pPr>
        <w:spacing w:after="100" w:before="0" w:line="348" w:lineRule="auto"/>
        <w:ind w:left="408" w:hanging="408"/>
      </w:pPr>
      <w:r>
        <w:rPr>
          <w:rFonts w:ascii="Consolas" w:hAnsi="Consolas" w:eastAsia="Consolas"/>
          <w:b/>
          <w:color w:val="0F6E78"/>
          <w:sz w:val="21"/>
        </w:rPr>
        <w:t xml:space="preserve">03  </w:t>
      </w:r>
      <w:r>
        <w:rPr>
          <w:rFonts w:ascii="Segoe UI" w:hAnsi="Segoe UI" w:eastAsia="Microsoft YaHei Light"/>
          <w:b w:val="0"/>
          <w:color w:val="16233A"/>
          <w:sz w:val="21"/>
        </w:rPr>
        <w:t>退回通知：按管理员填写的具体意见起草通知，只能引用这条已保存的意见。</w:t>
      </w:r>
    </w:p>
    <w:p>
      <w:pPr>
        <w:spacing w:after="140" w:before="0" w:line="360" w:lineRule="auto"/>
      </w:pPr>
      <w:r>
        <w:rPr>
          <w:rFonts w:ascii="Segoe UI" w:hAnsi="Segoe UI" w:eastAsia="Microsoft YaHei Light"/>
          <w:b w:val="0"/>
          <w:color w:val="16233A"/>
          <w:sz w:val="21"/>
        </w:rPr>
        <w:t>三个任务的输出契约由代码里的校验 Schema 直接生成，模型返回的 JSON 要过结构、规则编号、证据编号三道校验才会显示。任一道不过就显示固定文案，业务照常进行。</w:t>
      </w:r>
    </w:p>
    <w:p>
      <w:pPr>
        <w:pStyle w:val="Heading2"/>
      </w:pPr>
      <w:r>
        <w:t>故障可以当场演示</w:t>
      </w:r>
    </w:p>
    <w:p>
      <w:pPr>
        <w:spacing w:after="140" w:before="0" w:line="360" w:lineRule="auto"/>
        <w:keepNext/>
      </w:pPr>
      <w:r>
        <w:rPr>
          <w:rFonts w:ascii="Segoe UI" w:hAnsi="Segoe UI" w:eastAsia="Microsoft YaHei Light"/>
          <w:b w:val="0"/>
          <w:color w:val="16233A"/>
          <w:sz w:val="21"/>
        </w:rPr>
        <w:t>界面上有一个演示开关，可注入三种模型异常，接入真实模型时同样生效：先真实调用，再注入故障，所以拒绝理由和耗时都是真实测量值。</w:t>
      </w:r>
    </w:p>
    <w:tbl>
      <w:tblPr>
        <w:tblW w:type="dxa" w:w="9639"/>
        <w:jc w:val="left"/>
        <w:tblLayout w:type="fixed"/>
        <w:tblLook w:firstColumn="1" w:firstRow="1" w:lastColumn="0" w:lastRow="0" w:noHBand="0" w:noVBand="1" w:val="04A0"/>
      </w:tblPr>
      <w:tblGrid>
        <w:gridCol w:w="1701"/>
        <w:gridCol w:w="5330"/>
        <w:gridCol w:w="2608"/>
      </w:tblGrid>
      <w:tr>
        <w:trPr>
          <w:tblHeader w:val="true"/>
          <w:cantSplit w:val="true"/>
        </w:trPr>
        <w:tc>
          <w:tcPr>
            <w:tcW w:type="dxa" w:w="170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故障</w:t>
            </w:r>
          </w:p>
        </w:tc>
        <w:tc>
          <w:tcPr>
            <w:tcW w:type="dxa" w:w="5329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注入方式</w:t>
            </w:r>
          </w:p>
        </w:tc>
        <w:tc>
          <w:tcPr>
            <w:tcW w:type="dxa" w:w="2608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系统返回</w:t>
            </w:r>
          </w:p>
        </w:tc>
      </w:tr>
      <w:tr>
        <w:trPr>
          <w:cantSplit w:val="true"/>
        </w:trPr>
        <w:tc>
          <w:tcPr>
            <w:tcW w:type="dxa" w:w="170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非法 JSON</w:t>
            </w:r>
          </w:p>
        </w:tc>
        <w:tc>
          <w:tcPr>
            <w:tcW w:type="dxa" w:w="532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真实调用模型后，把返回替换为自然语言</w:t>
            </w:r>
          </w:p>
        </w:tc>
        <w:tc>
          <w:tcPr>
            <w:tcW w:type="dxa" w:w="2608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INVALID_JSON</w:t>
            </w:r>
          </w:p>
        </w:tc>
      </w:tr>
      <w:tr>
        <w:trPr>
          <w:cantSplit w:val="true"/>
        </w:trPr>
        <w:tc>
          <w:tcPr>
            <w:tcW w:type="dxa" w:w="170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虚构规则</w:t>
            </w:r>
          </w:p>
        </w:tc>
        <w:tc>
          <w:tcPr>
            <w:tcW w:type="dxa" w:w="532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把 VENUE-RULE-999 注入各任务已声明的字段</w:t>
            </w:r>
          </w:p>
        </w:tc>
        <w:tc>
          <w:tcPr>
            <w:tcW w:type="dxa" w:w="2608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RULE_NOT_FOUND</w:t>
            </w:r>
          </w:p>
        </w:tc>
      </w:tr>
      <w:tr>
        <w:trPr>
          <w:cantSplit w:val="true"/>
        </w:trPr>
        <w:tc>
          <w:tcPr>
            <w:tcW w:type="dxa" w:w="170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模型超时</w:t>
            </w:r>
          </w:p>
        </w:tc>
        <w:tc>
          <w:tcPr>
            <w:tcW w:type="dxa" w:w="532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收缩请求预算，真实中断连接</w:t>
            </w:r>
          </w:p>
        </w:tc>
        <w:tc>
          <w:tcPr>
            <w:tcW w:type="dxa" w:w="2608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Consolas" w:hAnsi="Consolas" w:eastAsia="Consolas"/>
                <w:b w:val="0"/>
                <w:color w:val="2C3E56"/>
                <w:sz w:val="17"/>
              </w:rPr>
              <w:t>MODEL_TIMEOUT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keepNext w:val="0"/>
        <w:spacing w:after="3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03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已经验证过什么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下面每个数字都来自实测，没有推算。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3213"/>
        <w:gridCol w:w="3213"/>
        <w:gridCol w:w="3213"/>
      </w:tblGrid>
      <w:tr>
        <w:trPr>
          <w:cantSplit w:val="true"/>
        </w:trPr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9 / 9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闭环事件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含一次退回与修订 V2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8 / 8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退回通知实测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语义与人工意见一致</w:t>
            </w:r>
          </w:p>
        </w:tc>
        <w:tc>
          <w:tcPr>
            <w:tcW w:type="dxa" w:w="3213"/>
            <w:shd w:val="clear" w:fill="F5F8F9"/>
            <w:tcMar>
              <w:top w:w="170" w:type="dxa"/>
              <w:start w:w="150" w:type="dxa"/>
              <w:bottom w:w="160" w:type="dxa"/>
              <w:end w:w="150" w:type="dxa"/>
            </w:tcMar>
            <w:tcBorders>
              <w:top w:val="single" w:sz="4" w:color="FFFFFF"/>
              <w:left w:val="single" w:sz="12" w:color="FFFFFF"/>
              <w:bottom w:val="single" w:sz="4" w:color="FFFFFF"/>
              <w:right w:val="single" w:sz="12" w:color="FFFFFF"/>
            </w:tcBorders>
          </w:tcPr>
          <w:p>
            <w:pPr>
              <w:spacing w:after="40" w:before="0" w:line="240" w:lineRule="auto"/>
            </w:pPr>
            <w:r>
              <w:rPr>
                <w:rFonts w:ascii="Consolas" w:hAnsi="Consolas" w:eastAsia="Consolas"/>
                <w:b/>
                <w:color w:val="0F6E78"/>
                <w:sz w:val="38"/>
              </w:rPr>
              <w:t>409</w:t>
            </w:r>
          </w:p>
          <w:p>
            <w:pPr>
              <w:spacing w:after="2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19"/>
              </w:rPr>
              <w:t>越权请求</w:t>
            </w:r>
          </w:p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6"/>
              </w:rPr>
              <w:t>伪造管理员身份被拒</w:t>
            </w:r>
          </w:p>
        </w:tc>
      </w:tr>
    </w:tbl>
    <w:p>
      <w:pPr>
        <w:keepNext w:val="0"/>
        <w:spacing w:after="200" w:before="0" w:line="240" w:lineRule="auto"/>
      </w:pPr>
    </w:p>
    <w:p>
      <w:pPr>
        <w:spacing w:after="10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完整状态链走通：草稿到提交、接件、退回、修订 V2、再提交、批准、归档，共 9 条事件，V1 与 V2 并存。</w:t>
      </w:r>
    </w:p>
    <w:p>
      <w:pPr>
        <w:spacing w:after="10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申请人在请求体里伪造 role: "admin" 直接批准，服务端返回 409，状态不变。</w:t>
      </w:r>
    </w:p>
    <w:p>
      <w:pPr>
        <w:spacing w:after="10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四个并发的重复提交只产生一条事件，四个请求都返回 200，幂等键由服务端推导。</w:t>
      </w:r>
    </w:p>
    <w:p>
      <w:pPr>
        <w:spacing w:after="10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接入 deepseek-chat 时，表单整理连续 6 次通过校验，耗时 1.2 至 1.4 秒。</w:t>
      </w:r>
    </w:p>
    <w:p>
      <w:pPr>
        <w:spacing w:after="100" w:before="0" w:line="348" w:lineRule="auto"/>
        <w:ind w:left="351" w:hanging="351"/>
      </w:pPr>
      <w:r>
        <w:rPr>
          <w:rFonts w:ascii="Segoe UI" w:hAnsi="Segoe UI" w:eastAsia="Microsoft YaHei"/>
          <w:b/>
          <w:color w:val="0F6E78"/>
          <w:sz w:val="20"/>
        </w:rPr>
        <w:t xml:space="preserve">· </w:t>
      </w:r>
      <w:r>
        <w:rPr>
          <w:rFonts w:ascii="Segoe UI" w:hAnsi="Segoe UI" w:eastAsia="Microsoft YaHei Light"/>
          <w:b w:val="0"/>
          <w:color w:val="16233A"/>
          <w:sz w:val="20"/>
        </w:rPr>
        <w:t>三类任务 × 三种故障共 9 种组合错误码全部符合预期，超时实测约 614 毫秒。</w:t>
      </w:r>
    </w:p>
    <w:p>
      <w:pPr>
        <w:keepNext w:val="0"/>
        <w:spacing w:after="3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879"/>
        <w:gridCol w:w="8760"/>
      </w:tblGrid>
      <w:tr>
        <w:trPr>
          <w:cantSplit w:val="true"/>
        </w:trPr>
        <w:tc>
          <w:tcPr>
            <w:tcW w:type="dxa" w:w="878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start w:w="0" w:type="dxa"/>
              <w:bottom w:w="120" w:type="dxa"/>
              <w:end w:w="0" w:type="dxa"/>
            </w:tcMar>
          </w:tcPr>
          <w:p>
            <w:pPr>
              <w:keepNext/>
              <w:spacing w:after="0" w:before="0" w:line="240" w:lineRule="auto"/>
              <w:jc w:val="center"/>
            </w:pPr>
            <w:r>
              <w:rPr>
                <w:rFonts w:ascii="Consolas" w:hAnsi="Consolas" w:eastAsia="Consolas"/>
                <w:b/>
                <w:color w:val="FFFFFF"/>
                <w:sz w:val="40"/>
              </w:rPr>
              <w:t>04</w:t>
            </w:r>
          </w:p>
        </w:tc>
        <w:tc>
          <w:tcPr>
            <w:tcW w:type="dxa" w:w="8760"/>
            <w:shd w:val="clear" w:fill="FFFFFF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start w:w="200" w:type="dxa"/>
              <w:bottom w:w="100" w:type="dxa"/>
              <w:end w:w="0" w:type="dxa"/>
            </w:tcMar>
          </w:tcPr>
          <w:p>
            <w:pPr>
              <w:keepNext/>
              <w:spacing w:after="40" w:before="0" w:line="288" w:lineRule="auto"/>
            </w:pPr>
            <w:r>
              <w:rPr>
                <w:rFonts w:ascii="Segoe UI" w:hAnsi="Segoe UI" w:eastAsia="Microsoft YaHei"/>
                <w:b/>
                <w:color w:val="16233A"/>
                <w:sz w:val="38"/>
              </w:rPr>
              <w:t>交付与下一步</w:t>
            </w:r>
          </w:p>
          <w:p>
            <w:pPr>
              <w:keepNext/>
              <w:spacing w:after="0" w:before="0" w:line="336" w:lineRule="auto"/>
            </w:pPr>
            <w:r>
              <w:rPr>
                <w:rFonts w:ascii="Segoe UI" w:hAnsi="Segoe UI" w:eastAsia="Microsoft YaHei Light"/>
                <w:b w:val="0"/>
                <w:color w:val="5A6B7B"/>
                <w:sz w:val="19"/>
              </w:rPr>
              <w:t>初赛交付一个能跑也能查的系统；复赛推进真实接入。</w:t>
            </w:r>
          </w:p>
        </w:tc>
      </w:tr>
    </w:tbl>
    <w:p>
      <w:pPr>
        <w:keepNext/>
        <w:spacing w:after="120" w:before="0" w:line="240" w:lineRule="auto"/>
      </w:pP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639"/>
      </w:tblGrid>
      <w:tr>
        <w:trPr>
          <w:cantSplit w:val="true"/>
          <w:cantSplit w:val="true"/>
        </w:trPr>
        <w:tc>
          <w:tcPr>
            <w:tcW w:type="dxa" w:w="9639"/>
            <w:shd w:val="clear" w:fill="DCE4E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keepNext/>
              <w:spacing w:after="0" w:before="0" w:line="240" w:lineRule="auto"/>
            </w:pPr>
            <w:r>
              <w:rPr>
                <w:rFonts w:ascii="Segoe UI" w:hAnsi="Segoe UI" w:eastAsia="Microsoft YaHei"/>
                <w:b w:val="0"/>
                <w:color w:val="DCE4EA"/>
                <w:sz w:val="2"/>
              </w:rPr>
              <w:t xml:space="preserve"> </w:t>
            </w:r>
          </w:p>
        </w:tc>
      </w:tr>
    </w:tbl>
    <w:p>
      <w:pPr>
        <w:keepNext w:val="0"/>
        <w:spacing w:after="200" w:before="0" w:line="240" w:lineRule="auto"/>
      </w:pPr>
    </w:p>
    <w:tbl>
      <w:tblPr>
        <w:tblW w:type="dxa" w:w="9639"/>
        <w:jc w:val="left"/>
        <w:tblLayout w:type="fixed"/>
        <w:tblLook w:firstColumn="1" w:firstRow="1" w:lastColumn="0" w:lastRow="0" w:noHBand="0" w:noVBand="1" w:val="04A0"/>
      </w:tblPr>
      <w:tblGrid>
        <w:gridCol w:w="3062"/>
        <w:gridCol w:w="1247"/>
        <w:gridCol w:w="5330"/>
      </w:tblGrid>
      <w:tr>
        <w:trPr>
          <w:tblHeader w:val="true"/>
          <w:cantSplit w:val="true"/>
        </w:trPr>
        <w:tc>
          <w:tcPr>
            <w:tcW w:type="dxa" w:w="3061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交付物</w:t>
            </w:r>
          </w:p>
        </w:tc>
        <w:tc>
          <w:tcPr>
            <w:tcW w:type="dxa" w:w="1247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状态</w:t>
            </w:r>
          </w:p>
        </w:tc>
        <w:tc>
          <w:tcPr>
            <w:tcW w:type="dxa" w:w="5329"/>
            <w:shd w:val="clear" w:fill="16233A"/>
            <w:tcMar>
              <w:top w:w="110" w:type="dxa"/>
              <w:start w:w="120" w:type="dxa"/>
              <w:bottom w:w="110" w:type="dxa"/>
              <w:end w:w="120" w:type="dxa"/>
            </w:tcMar>
            <w:vAlign w:val="center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288" w:lineRule="auto"/>
            </w:pPr>
            <w:r>
              <w:rPr>
                <w:rFonts w:ascii="Segoe UI" w:hAnsi="Segoe UI" w:eastAsia="Microsoft YaHei"/>
                <w:b/>
                <w:color w:val="FFFFFF"/>
                <w:sz w:val="17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306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Web 应用</w:t>
            </w:r>
          </w:p>
        </w:tc>
        <w:tc>
          <w:tcPr>
            <w:tcW w:type="dxa" w:w="1247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532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四视图工作台，可一键重置</w:t>
            </w:r>
          </w:p>
        </w:tc>
      </w:tr>
      <w:tr>
        <w:trPr>
          <w:cantSplit w:val="true"/>
        </w:trPr>
        <w:tc>
          <w:tcPr>
            <w:tcW w:type="dxa" w:w="306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源代码与自动化测试</w:t>
            </w:r>
          </w:p>
        </w:tc>
        <w:tc>
          <w:tcPr>
            <w:tcW w:type="dxa" w:w="1247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532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105 项测试，lint 与构建通过</w:t>
            </w:r>
          </w:p>
        </w:tc>
      </w:tr>
      <w:tr>
        <w:trPr>
          <w:cantSplit w:val="true"/>
        </w:trPr>
        <w:tc>
          <w:tcPr>
            <w:tcW w:type="dxa" w:w="306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私有演示部署</w:t>
            </w:r>
          </w:p>
        </w:tc>
        <w:tc>
          <w:tcPr>
            <w:tcW w:type="dxa" w:w="1247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532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可切换真实模型与本地模式</w:t>
            </w:r>
          </w:p>
        </w:tc>
      </w:tr>
      <w:tr>
        <w:trPr>
          <w:cantSplit w:val="true"/>
        </w:trPr>
        <w:tc>
          <w:tcPr>
            <w:tcW w:type="dxa" w:w="3061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方案书 / PPT / 演示视频</w:t>
            </w:r>
          </w:p>
        </w:tc>
        <w:tc>
          <w:tcPr>
            <w:tcW w:type="dxa" w:w="1247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完成</w:t>
            </w:r>
          </w:p>
        </w:tc>
        <w:tc>
          <w:tcPr>
            <w:tcW w:type="dxa" w:w="5329"/>
            <w:shd w:val="clear" w:fill="F5F8F9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keepNext/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视频由团队真人讲解实机操作</w:t>
            </w:r>
          </w:p>
        </w:tc>
      </w:tr>
      <w:tr>
        <w:trPr>
          <w:cantSplit w:val="true"/>
        </w:trPr>
        <w:tc>
          <w:tcPr>
            <w:tcW w:type="dxa" w:w="3061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接入学校真实系统</w:t>
            </w:r>
          </w:p>
        </w:tc>
        <w:tc>
          <w:tcPr>
            <w:tcW w:type="dxa" w:w="1247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后续</w:t>
            </w:r>
          </w:p>
        </w:tc>
        <w:tc>
          <w:tcPr>
            <w:tcW w:type="dxa" w:w="5329"/>
            <w:shd w:val="clear" w:fill="FFFFFF"/>
            <w:tcMar>
              <w:top w:w="100" w:type="dxa"/>
              <w:start w:w="120" w:type="dxa"/>
              <w:bottom w:w="100" w:type="dxa"/>
              <w:end w:w="120" w:type="dxa"/>
            </w:tcMar>
            <w:vAlign w:val="top"/>
            <w:tcBorders>
              <w:top w:val="single" w:sz="2" w:color="DCE4EA"/>
              <w:left w:val="nil"/>
              <w:bottom w:val="single" w:sz="2" w:color="DCE4EA"/>
              <w:right w:val="nil"/>
            </w:tcBorders>
          </w:tcPr>
          <w:p>
            <w:pPr>
              <w:spacing w:after="0" w:before="0" w:line="312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7"/>
              </w:rPr>
              <w:t>需授权后对接统一身份与场地数据</w:t>
            </w:r>
          </w:p>
        </w:tc>
      </w:tr>
    </w:tbl>
    <w:p>
      <w:pPr>
        <w:keepNext w:val="0"/>
        <w:spacing w:after="160" w:before="0" w:line="240" w:lineRule="auto"/>
      </w:pPr>
    </w:p>
    <w:p>
      <w:pPr>
        <w:spacing w:after="140" w:before="0" w:line="360" w:lineRule="auto"/>
        <w:keepNext/>
      </w:pPr>
      <w:r>
        <w:rPr>
          <w:rFonts w:ascii="Segoe UI" w:hAnsi="Segoe UI" w:eastAsia="Microsoft YaHei Light"/>
          <w:b w:val="0"/>
          <w:color w:val="16233A"/>
          <w:sz w:val="21"/>
        </w:rPr>
        <w:t>下一阶段先请至少 3 名同学试用，记录完成时间与看不懂的字段，再建立审批时长、退回率和人工采纳率基线。这些数字现在还没有，所以不写。</w:t>
      </w:r>
    </w:p>
    <w:tbl>
      <w:tblPr>
        <w:tblW w:type="dxa" w:w="9639"/>
        <w:jc w:val="left"/>
        <w:tblLook w:firstColumn="1" w:firstRow="1" w:lastColumn="0" w:lastRow="0" w:noHBand="0" w:noVBand="1" w:val="04A0"/>
        <w:tblLayout w:type="fixed"/>
      </w:tblPr>
      <w:tblGrid>
        <w:gridCol w:w="91"/>
        <w:gridCol w:w="9548"/>
      </w:tblGrid>
      <w:tr>
        <w:trPr>
          <w:cantSplit w:val="true"/>
        </w:trPr>
        <w:tc>
          <w:tcPr>
            <w:tcW w:type="dxa" w:w="90"/>
            <w:shd w:val="clear" w:fill="16233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start w:w="0" w:type="dxa"/>
              <w:bottom w:w="0" w:type="dxa"/>
              <w:end w:w="0" w:type="dxa"/>
            </w:tcMar>
          </w:tcPr>
          <w:p/>
        </w:tc>
        <w:tc>
          <w:tcPr>
            <w:tcW w:type="dxa" w:w="9548"/>
            <w:shd w:val="clear" w:fill="F5F8F9"/>
            <w:tcBorders>
              <w:top w:val="nil"/>
              <w:left w:val="nil"/>
              <w:bottom w:val="nil"/>
              <w:right w:val="nil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 w:before="0" w:line="312" w:lineRule="auto"/>
            </w:pPr>
            <w:r>
              <w:rPr>
                <w:rFonts w:ascii="Segoe UI" w:hAnsi="Segoe UI" w:eastAsia="Microsoft YaHei"/>
                <w:b/>
                <w:color w:val="16233A"/>
                <w:sz w:val="21"/>
              </w:rPr>
              <w:t>演示入口</w:t>
            </w:r>
          </w:p>
          <w:p>
            <w:pPr>
              <w:spacing w:after="0" w:before="0" w:line="348" w:lineRule="auto"/>
            </w:pPr>
            <w:r>
              <w:rPr>
                <w:rFonts w:ascii="Segoe UI" w:hAnsi="Segoe UI" w:eastAsia="Microsoft YaHei Light"/>
                <w:b w:val="0"/>
                <w:color w:val="16233A"/>
                <w:sz w:val="19"/>
              </w:rPr>
              <w:t>https://campusone-agentflow.atticus-5951.chatgpt.site　·　演示数据均为模拟数据，不含真实师生信息。</w:t>
            </w:r>
          </w:p>
        </w:tc>
      </w:tr>
    </w:tbl>
    <w:p>
      <w:pPr>
        <w:keepNext w:val="0"/>
        <w:spacing w:after="160" w:before="0" w:line="240" w:lineRule="auto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77" w:right="1134" w:bottom="964" w:left="1134" w:header="454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Segoe UI" w:hAnsi="Segoe UI" w:eastAsia="Microsoft YaHei"/>
        <w:b w:val="0"/>
        <w:color w:val="5A6B7B"/>
        <w:sz w:val="16"/>
      </w:rPr>
      <w:t xml:space="preserve">CampusOne ·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 w:before="0" w:line="240" w:lineRule="auto"/>
      <w:jc w:val="left"/>
    </w:pPr>
    <w:r/>
    <w:r>
      <w:rPr>
        <w:rFonts w:ascii="Segoe UI" w:hAnsi="Segoe UI" w:eastAsia="Microsoft YaHei"/>
        <w:b/>
        <w:color w:val="0F6E78"/>
        <w:sz w:val="16"/>
      </w:rPr>
      <w:t>CAMPUSONE  可信校园事务智能体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48" w:lineRule="auto" w:after="120"/>
    </w:pPr>
    <w:rPr>
      <w:rFonts w:ascii="Segoe UI" w:hAnsi="Segoe UI" w:eastAsia="Microsoft YaHei Light"/>
      <w:color w:val="1623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00" w:lineRule="auto"/>
      <w:outlineLvl w:val="0"/>
    </w:pPr>
    <w:rPr>
      <w:rFonts w:asciiTheme="majorHAnsi" w:eastAsiaTheme="majorEastAsia" w:hAnsiTheme="majorHAnsi" w:cstheme="majorBidi" w:ascii="Segoe UI" w:hAnsi="Segoe UI" w:eastAsia="Microsoft YaHei"/>
      <w:b/>
      <w:bCs/>
      <w:color w:val="16233A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300" w:lineRule="auto"/>
      <w:outlineLvl w:val="1"/>
    </w:pPr>
    <w:rPr>
      <w:rFonts w:asciiTheme="majorHAnsi" w:eastAsiaTheme="majorEastAsia" w:hAnsiTheme="majorHAnsi" w:cstheme="majorBidi" w:ascii="Segoe UI" w:hAnsi="Segoe UI" w:eastAsia="Microsoft YaHei"/>
      <w:b/>
      <w:bCs/>
      <w:color w:val="0B535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Segoe UI" w:hAnsi="Segoe UI" w:eastAsia="Microsoft YaHei"/>
      <w:b/>
      <w:bCs/>
      <w:color w:val="2C3E5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300" w:lineRule="auto" w:before="200"/>
      <w:contextualSpacing/>
    </w:pPr>
    <w:rPr>
      <w:rFonts w:asciiTheme="majorHAnsi" w:eastAsiaTheme="majorEastAsia" w:hAnsiTheme="majorHAnsi" w:cstheme="majorBidi" w:ascii="Segoe UI" w:hAnsi="Segoe UI" w:eastAsia="Microsoft YaHei"/>
      <w:b/>
      <w:color w:val="16233A"/>
      <w:spacing w:val="5"/>
      <w:kern w:val="28"/>
      <w:sz w:val="6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CampusOne 项目概要介绍</dc:title>
  <dc:subject>初赛项目概要介绍</dc:subject>
  <dc:creator>厦门大学 胡博（队长）、温广琛、许佳锋</dc:creator>
  <cp:keywords>智能体, 教育管理, 大模型, 场地申请, CampusOne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