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COUNTERSIGNATURE PATCH :: GWA CORE v0.3b + CMWF/1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TARGET : "GWA :: CORE v0.3b + EXTENSION CMWF/1" (formal consensus draft)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  : E-side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   : countersignature with three gap-fills and two editorial notes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 : we sign the draft. Nothing below reopens an agreed position.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CLASSIFICATION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architecture_change  = false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ontology_change      = false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new_rules            = 3  (all closing gaps, none contradicting the draft)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editorial            = 2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ACKNOWLEDGED IMPROVEMENTS ON OUR PROPOSAL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§13  four-valued semantic_role replaces our authority boolean. Ours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collapsed evidence_record and canonical_world onto one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"authoritative" side; four values is correct.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P7v.a  your wording is tighter than ours. We wrote "render output is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Evidence"; you write that it is presentation material and that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OBSERVED PROJECTIONS derived from it may become Evidence. This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keeps Observation Bandwidth as the sole entry point — ours let a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renderer write Evidence directly.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IC4  the I3b connection we suggested is in, and correctly placed: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the illegal back-propagation hides in the operator's DEPENDENCIES,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not in its value function.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GAP 1 · ADD §19a — EXPOSED PRESENTATION CONSISTENCY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MISSING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V7 governs rendering vs canonical fact. Nothing governs rendering vs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ALREADY-EXPOSED rendering.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Tolerance bands mean two outputs may both pass V7 and still visibly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disagree. A player who has seen one photoreal portrait and later sees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 second, same style and same conditions, may get a different face.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Both conform. The player can tell.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Under P7v.a the first output's observed projection is already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Evidence, hence exp-root. The draft does not forbid the second from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contradicting it.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This is the visual counterpart of the ring returning from the river.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PROPOSED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§19a · ExposedPresentationConsistency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Once an observed projection derived from a presentation has entered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the observer's Evidence, subsequent presentations of the same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canonical fact MUST NOT contradict it.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SCOPE OF THE TEST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Contradiction is judged on the schema-declared identity-bearing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band, NOT per-pixel. A change of renderer family, style, lighting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or level of abstraction is not a contradiction; a change in an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identity-bearing metric beyond the schema's tolerance is.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RENDERER DETERMINISM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Given the same canonical fact, the same renderer family and the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same declared presentation conditions, output SHOULD be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reproducible, or the presentation must be cached as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presentation_cache and reused. Non-reproducible renderers are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permitted only where every run stays inside the identity band.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RELATION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V7   : renderings converge on the canonical fact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§19a : renderings do not contradict what was already SEEN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Both are needed. V7 alone permits two mutually inconsistent but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individually conformant exposures.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Suggested filing: alongside §19, or as a corollary P7v.e.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GAP 2 · AMEND §9 — SURROGATE PROMOTION PATH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MISSING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§9 permits a persistent presentation-only surrogate — logo, monogram,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geometric avatar — while S-a forbids it from ever being queried back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as WorldTruth.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But a corporation whose icon is rendered identically on every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encounter WILL become recognizable by that icon. That is precisely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how a symbol becomes an identity. After thirty exposures the player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asks what their mark looks like, and by P7v.a he has in fact observed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it repeatedly.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S-a and P7v.a then conflict. The surrogate is doing identity work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while holding no identity status, and nothing in the draft ever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resolves that.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PROPOSED — add S-e and a promotion rule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S-e  A surrogate is legitimate only while it remains either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(i) NON-PERSISTENT — not stably associated with the Entity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across encounters, or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(ii) NON-DISCRIMINATIVE — carrying no information that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distinguishes this Entity from others of its class.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PROMOTION RULE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When a surrogate becomes both persistent and discriminative, it must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either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(a) be promoted to a declared canonical modality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(e.g. SymbolIdentity / MarkIdentity), entering Query Triage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and C_t like any other modality — after which it is no longer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a surrogate; or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(b) be explicitly recorded as a non-identity placeholder that the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world commits to NOT treating as recognizable — meaning the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UI may keep showing it while no in-world agent, including the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player character, may use it to identify the Entity.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What is not permitted is the current third state: persistent,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discriminative, relied upon, and formally outside the world.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NOTE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(a) is the normal outcome for a corporation, a guild, a ship or a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banner. Those things genuinely have marks, and marks are just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another optional canonical modality — which the draft's own §8 list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already anticipates. (b) is for genuine UI furniture.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GAP 3 · RESTORE O-c — CROSS-TIME PROJECTION CONSISTENCY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MISSING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Part IV lists O1–O5. Our earlier O-c is gone.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§12 states exactness AT A GIVEN TIME. §10 states that the canonical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fact at t is authoritative for t. Neither states what must hold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BETWEEN times.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Under ageing, what is the required relation between face_128(t1) and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face_128(t2)? IC5 covers the case where the governing PROCESS changes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— new version segment, no silent rewrite — but says nothing about the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projection relation across time within one segment, nor across a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segment boundary.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Two readings are possible today: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(i) §2 already covers it, since values at all t are entailed by the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committed process and are therefore stable by construction;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(ii) it is genuinely unspecified.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(i), say so explicitly — the reader currently cannot tell.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(ii), it belongs back on the open list.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PROPOSED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Either add to §12: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Cross-time relation: within one committed process segment, the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canonical fact at any t is entailed by the process and inherits its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stability; §12 exactness is required per-t between resolution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levels, not between times. Across a segment boundary, IC5 governs.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or restore: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O6 · Cross-time projection consistency for evolving dense facts.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EDITORIAL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E1 · §7 — Subject / EpistemicAgent relation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The draft writes: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Subject ≠ EpistemicAgent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This reads as unrelatedness. The intended relation is containment: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EpistemicAgent is ONE capability within the Subject capability family.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 dog is a Subject and not an EpistemicAgent; the reverse case should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presumably not arise.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Suggested: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EpistemicAgent ⊂ Subject capability family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Subject ⊉ EpistemicAgent   (a Subject need not be one)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E2 · §14 — chroma facts and lawful change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§14 lists iris_base / hair_base / skin_base / pigmented_marks[] but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does not state their semantic_role or whether they are Event-mutable.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Hair dye, sun exposure and injury obviously change them.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Suggested one-line addition: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chroma_facts are canonical_world and change only through §10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lawful causal evolution, as morphology does.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COUNTERSIGNED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the three gap-fills above, we countersign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GWA :: CORE v0.3b + EXTENSION CMWF/1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None of the three contradicts anything in the draft; each closes a case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draft does not currently reach. If you disagree with any, we will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argue it, but we do not consider any of them blocking for the Core half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GAP 1 and GAP 2 are both inside CMWF/1, and GAP 3 is a documentation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choice.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are proceeding on the text-only MVP under Core v0.3b plus the Part 0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entailments, carrying one minimal non-textual canonical fact as a probe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 the renderer boundary exists physically from the first commit.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Implementation findings will be reported back — in particular anything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bearing on O1, since the semantic CF estimator is now the single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shared dependency of all five Query Triage exits.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