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rPr>
          <w:rFonts w:hint="eastAsia" w:ascii="Calibri" w:hAnsi="Calibri" w:eastAsia="Heiti SC"/>
        </w:rPr>
        <w:t xml:space="preserve">更新日期：2026年7月2日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审批、物料管理、库区管理、子类别管理、项目编码管理、审计日志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在首页顶部搜索框输入产品代码、物料名称、标签编号、批号、供应商或库位。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选择打印模板：膜材信息标签、化材标准瓶信息标签或化材小瓶信息标签。模板由操作者按实际标签尺寸手动选择。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供应商和备注为选填；测试料如果现场能确认，建议填写，方便后续识别。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连接导出的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Excel，文本对象绑定”标签编号”等字段，二维码对象绑定”二维码内容”字段。打印后，把标签贴到对应物料上，再回到系统扫码入库。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4.5 </w:t>
      </w:r>
      <w:r>
        <w:rPr>
          <w:rFonts w:hint="eastAsia" w:ascii="Calibri" w:hAnsi="Calibri" w:eastAsia="Heiti SC"/>
        </w:rPr>
        <w:t xml:space="preserve">三类标签模板怎么选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膜材卷料、片材外包装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化材标准瓶信息标签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常规瓶装、桶装、袋装化材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标签编号、二维码内容、产品代码、物料名称、原厂型号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化材小瓶信息标签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小瓶、分装瓶、标签空间很小的容器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标签编号、二维码内容、产品代码、原厂型号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BarTender，选择对应的标签模板文件。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中连接数据源，选择系统导出的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文件。预生成标签和补打标签都使用系统导出的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Excel，不要手工建编号。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选择工作表时，选择系统导出的唯一工作表，例如”膜材信息标签”。该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第</w:t>
      </w:r>
      <w:r>
        <w:rPr>
          <w:rFonts w:ascii="Calibri" w:hAnsi="Calibri" w:eastAsia="Songti SC"/>
          <w:sz w:val="21"/>
        </w:rPr>
        <w:t xml:space="preserve"> 1 </w:t>
      </w:r>
      <w:r>
        <w:rPr>
          <w:rFonts w:hint="eastAsia" w:ascii="Calibri" w:hAnsi="Calibri" w:eastAsia="Songti SC"/>
          <w:sz w:val="21"/>
        </w:rPr>
        <w:t xml:space="preserve">行是字段名，第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行开始是标签数据，不再使用旧版”BarTender数据”工作表。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产品代码可以统一使用测试料代码。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原厂型号必须填写，用来区分不同测试样品。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供应商和备注选填，但建议尽量填写。备注可以写”客户A送样、透明液体、小瓶评估样”等现场能帮助识别的信息。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备注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6.4 </w:t>
      </w:r>
      <w:r>
        <w:rPr>
          <w:rFonts w:hint="eastAsia" w:ascii="Calibri" w:hAnsi="Calibri" w:eastAsia="Heiti SC"/>
        </w:rPr>
        <w:t xml:space="preserve">库区和子类别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当前默认化材库区为防爆柜01到防爆柜07。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测试料不知道备注写什么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标签编号是系统和人眼识别用的唯一编号；二维码内容是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BarTender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二维码对象读取的字段。当前默认相同，现场直接把二维码对象绑定到”二维码内容”即可，不需要手工修改。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优先使用”预生成打印标签</w:t>
      </w:r>
      <w:r>
        <w:rPr>
          <w:rFonts w:ascii="Calibri" w:hAnsi="Calibri" w:eastAsia="Songti SC"/>
          <w:sz w:val="21"/>
        </w:rPr>
        <w:t xml:space="preserve"> → BarTender </w:t>
      </w:r>
      <w:r>
        <w:rPr>
          <w:rFonts w:hint="eastAsia" w:ascii="Calibri" w:hAnsi="Calibri" w:eastAsia="Songti SC"/>
          <w:sz w:val="21"/>
        </w:rPr>
        <w:t xml:space="preserve">打印</w:t>
      </w:r>
      <w:r>
        <w:rPr>
          <w:rFonts w:ascii="Calibri" w:hAnsi="Calibri" w:eastAsia="Songti SC"/>
          <w:sz w:val="21"/>
        </w:rPr>
        <w:t xml:space="preserve"> → </w:t>
      </w:r>
      <w:r>
        <w:rPr>
          <w:rFonts w:hint="eastAsia" w:ascii="Calibri" w:hAnsi="Calibri" w:eastAsia="Songti SC"/>
          <w:sz w:val="21"/>
        </w:rPr>
        <w:t xml:space="preserve">贴标</w:t>
      </w:r>
      <w:r>
        <w:rPr>
          <w:rFonts w:ascii="Calibri" w:hAnsi="Calibri" w:eastAsia="Songti SC"/>
          <w:sz w:val="21"/>
        </w:rPr>
        <w:t xml:space="preserve"> → </w:t>
      </w:r>
      <w:r>
        <w:rPr>
          <w:rFonts w:hint="eastAsia" w:ascii="Calibri" w:hAnsi="Calibri" w:eastAsia="Songti SC"/>
          <w:sz w:val="21"/>
        </w:rPr>
        <w:t xml:space="preserve">扫码入库”的流程。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