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before="0" w:after="160"/>
        <w:jc w:val="center"/>
      </w:pPr>
      <w:r>
        <w:rPr>
          <w:rFonts w:ascii="Microsoft YaHei" w:hAnsi="Microsoft YaHei" w:eastAsia="Microsoft YaHei"/>
          <w:b/>
          <w:i w:val="0"/>
          <w:color w:val="203864"/>
          <w:sz w:val="48"/>
        </w:rPr>
        <w:t>实验室库存管理系统试运行文档合集</w:t>
      </w:r>
    </w:p>
    <w:p>
      <w:pPr>
        <w:spacing w:after="360"/>
        <w:ind w:left="1247" w:right="1247"/>
        <w:jc w:val="center"/>
        <w:pBdr>
          <w:bottom w:val="single" w:sz="12" w:space="1" w:color="2F62B5"/>
        </w:pBdr>
      </w:pPr>
      <w:r/>
    </w:p>
    <w:p>
      <w:pPr>
        <w:spacing w:after="120"/>
        <w:jc w:val="center"/>
      </w:pPr>
      <w:r>
        <w:rPr>
          <w:rFonts w:ascii="Microsoft YaHei" w:hAnsi="Microsoft YaHei" w:eastAsia="Microsoft YaHei"/>
          <w:b/>
          <w:i w:val="0"/>
          <w:color w:val="667085"/>
          <w:sz w:val="24"/>
        </w:rPr>
        <w:t>包含试运行使用说明与角色测试数据、测试用例</w:t>
      </w:r>
    </w:p>
    <w:p>
      <w:pPr>
        <w:spacing w:after="760"/>
        <w:jc w:val="center"/>
      </w:pPr>
      <w:r>
        <w:rPr>
          <w:rFonts w:ascii="Microsoft YaHei" w:hAnsi="Microsoft YaHei" w:eastAsia="Microsoft YaHei"/>
          <w:b/>
          <w:i w:val="0"/>
          <w:color w:val="667085"/>
          <w:sz w:val="22"/>
        </w:rPr>
        <w:t>版本：试运行版    生成日期：2026年3月23日</w:t>
      </w:r>
    </w:p>
    <w:p>
      <w:pPr>
        <w:spacing w:after="0"/>
        <w:jc w:val="center"/>
      </w:pPr>
      <w:r>
        <w:rPr>
          <w:rFonts w:ascii="Microsoft YaHei" w:hAnsi="Microsoft YaHei" w:eastAsia="Microsoft YaHei"/>
          <w:b/>
          <w:i w:val="0"/>
          <w:color w:val="2E6CFF"/>
          <w:sz w:val="22"/>
        </w:rPr>
        <w:t>适用于试运行沟通、操作培训、角色测试与问题核对</w:t>
      </w:r>
    </w:p>
    <w:p>
      <w:pPr>
        <w:spacing w:after="440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58"/>
      </w:tblGrid>
      <w:tr>
        <w:tc>
          <w:tcPr>
            <w:tcW w:type="dxa" w:w="8561"/>
            <w:shd w:fill="F5F8FC"/>
            <w:tcBorders>
              <w:top w:val="single" w:sz="10" w:space="0" w:color="2F62B5"/>
              <w:left w:val="single" w:sz="10" w:space="0" w:color="2F62B5"/>
              <w:bottom w:val="single" w:sz="10" w:space="0" w:color="2F62B5"/>
              <w:right w:val="single" w:sz="10" w:space="0" w:color="2F62B5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3864"/>
                <w:sz w:val="21"/>
              </w:rPr>
              <w:t>本合集包含两部分：第一部分为试运行使用说明，第二部分为测试数据与角色测试用例。</w:t>
            </w:r>
          </w:p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3864"/>
                <w:sz w:val="21"/>
              </w:rPr>
              <w:t>适合直接发给参与试运行的同事阅读、操作和记录问题。</w:t>
            </w:r>
          </w:p>
        </w:tc>
      </w:tr>
    </w:tbl>
    <w:p>
      <w:pPr>
        <w:spacing w:after="240"/>
      </w:pP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第一部分 试运行使用说明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58"/>
      </w:tblGrid>
      <w:tr>
        <w:tc>
          <w:tcPr>
            <w:tcW w:type="dxa" w:w="8561"/>
            <w:shd w:fill="F5F8FC"/>
            <w:tcBorders>
              <w:top w:val="single" w:sz="10" w:space="0" w:color="2F62B5"/>
              <w:left w:val="single" w:sz="10" w:space="0" w:color="2F62B5"/>
              <w:bottom w:val="single" w:sz="10" w:space="0" w:color="2F62B5"/>
              <w:right w:val="single" w:sz="10" w:space="0" w:color="2F62B5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3864"/>
                <w:sz w:val="21"/>
              </w:rPr>
              <w:t>本文档按当前系统真实页面和真实业务行为编写，可直接转发给试运行同事。</w:t>
            </w:r>
          </w:p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3864"/>
                <w:sz w:val="21"/>
              </w:rPr>
              <w:t>重点说明：怎么进入系统、每个角色能做什么、每条业务链路如何走、遇到提示语该怎么处理。</w:t>
            </w:r>
          </w:p>
        </w:tc>
      </w:tr>
    </w:tbl>
    <w:p>
      <w:pPr>
        <w:spacing w:after="240"/>
      </w:pP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1. 系统定位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本系统用于实验室化材、膜材的主数据管理、入库、库存查询、领用扣账、日志追溯和权限审批。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系统当前主要有三条业务链路：</w:t>
      </w:r>
    </w:p>
    <w:p>
      <w:pPr>
        <w:pStyle w:val="ListNumber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首页快捷入口：适合快速看统计、首页顶部搜索、扫码领料、快捷领料。</w:t>
      </w:r>
    </w:p>
    <w:p>
      <w:pPr>
        <w:pStyle w:val="ListNumber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库存查询页：适合正式检索库存、查看产品聚合、批次明细和标签最小单元。</w:t>
      </w:r>
    </w:p>
    <w:p>
      <w:pPr>
        <w:pStyle w:val="ListNumber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管理与审批链路：适合管理员做用户审批、主数据维护、导入、审计和角色治理。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首页顶部搜索是库存入口，提交后会跳转到库存查询页，不在首页本身承载结果列表。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首页“快捷领料”是动作入口，适合直接完成领用，不承担正式浏览库存的职责。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系统自动分配遵循 FEFO 原则：优先扣减更早到期的库存；若到期日相同，则优先更早入库的库存。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2. 统一术语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814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术语</w:t>
            </w:r>
          </w:p>
        </w:tc>
        <w:tc>
          <w:tcPr>
            <w:tcW w:type="dxa" w:w="6690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产品代码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系统内统一识别某种物料的标准编码，如 J-001、M-001。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物料名称</w:t>
            </w:r>
          </w:p>
        </w:tc>
        <w:tc>
          <w:tcPr>
            <w:tcW w:type="dxa" w:w="669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物料正式名称，用于展示、检索和建档。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标签编号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单条在库标签的唯一编号，如 L000101。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默认单位</w:t>
            </w:r>
          </w:p>
        </w:tc>
        <w:tc>
          <w:tcPr>
            <w:tcW w:type="dxa" w:w="669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物料主数据默认展示单位，如 kg、m、m²。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幅宽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膜材相关宽度口径；详情页显示当前标签幅宽，主数据页面显示默认幅宽。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主数据</w:t>
            </w:r>
          </w:p>
        </w:tc>
        <w:tc>
          <w:tcPr>
            <w:tcW w:type="dxa" w:w="669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物料标准信息，如名称、类别、子类别、供应商、默认单位等。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在库标签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库存最小记录单元，库存扣减和日志追溯最终都会落到这里。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批次</w:t>
            </w:r>
          </w:p>
        </w:tc>
        <w:tc>
          <w:tcPr>
            <w:tcW w:type="dxa" w:w="669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同一产品代码下的某一批号库存集合。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FEFO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先到期先出；系统自动分配时优先扣减更早到期的库存。</w:t>
            </w:r>
          </w:p>
        </w:tc>
      </w:tr>
    </w:tbl>
    <w:p>
      <w:pPr>
        <w:spacing w:after="200"/>
      </w:pP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3. 账号与状态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系统按微信身份识别，不是账号密码登录。首次进入系统后，用户会经历待审批、已驳回、已激活三种状态。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建议试运行前先确认各测试同事已对应到正确的微信身份，以免角色判断混淆。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3.1 账号状态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待审批：已提交注册信息，等待管理员审批，不能进入正式首页。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已驳回：可查看驳回原因，补充或修改信息后重新提交。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已激活：审批通过后进入系统首页，可按当前角色使用功能。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3.2 角色说明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普通用户：可入库、领料、查库存、看操作日志、提交建档申请。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 admin：在普通用户基础上，可审批、维护主数据、导入、维护库区和子类别、查看审计日志。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超级管理员 super_admin：在管理员基础上，可调整用户角色。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4. 普通用户使用说明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4.1 首页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首页包含四类核心入口：顶部搜索框、智能扫码、快捷领料、常用功能入口。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顶部搜索框：输入产品代码、物料名称、标签编号、批号、供应商、库位后，会跳转到库存查询页。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智能扫码：适合扫码领料、扫码核对库存，或扫到新标签后直接进入单条入库链路。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快捷领料：适合不扫码直接发起领料，按产品总量或按批次总量快速扣账。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统计卡说明：总物料表示当前有在库记录的产品数；预警表示临期或低库存的产品数；今日入库和今日出库表示当天实际记录数。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4.2 智能扫码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适用场景：手上已经拿到标签，想直接扫码领料；或想快速核对某个标签当前库存。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使用方式：首页点击“智能扫码”，扫描标签编号。若标签已存在，会进入领料确认弹窗；若标签不存在，会提示是否立即入库。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扫码领用属于精确标签链路，后台日志会直接记录到对应标签编号。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4.3 快捷领料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首页“快捷领料”是单入口双模式。进入后先选择“按产品代码领料”或“按批次领料”，再选择化材或膜材。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按产品代码领料：适合只知道今天用了哪种料、但不熟悉具体批号或标签编号的场景。选中产品后会直接进入领料确认弹窗，弹窗会显示产品总库存、首个推荐批次、首个推荐标签，并提示系统按 FEFO 自动扣减。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按批次领料：适合已经确认用了哪个批次，但不熟悉具体标签编号的场景。路径是“产品列表 -&gt; 批次列表 -&gt; 领料弹窗”，系统会在该批次内按 FEFO 自动扣减。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使用建议：只关心“今天用了 J-001 多少总量”时，优先用按产品代码领料；已经确认用了 AC240301 这类批次时，再使用按批次领料；如果已经拿到某个标签，则优先用扫码领料或库存详情页精确领料。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4.4 新增物料单条入库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适用单个标签入库、扫码未录入标签后立即补录、已知产品代码手工新增单条库存。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输入已存在产品代码并确认后，系统会自动回填已有主数据。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若产品代码不存在，普通用户会看到阻断卡片，只能发起“立即申请建档”；若产品代码已归档，系统会提示不要继续新增。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标签编号必须唯一；化材和膜材必须按当前 tab 分开录入。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4.5 批量入库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适合同类物料集中扫码入库、连续录入一批标签、同一批次下多条标签一起入库。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先选择当前产品模板，再确认默认批号、效期、库位等批次信息，然后连续扫码或录入标签。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膜材会保留“主数据默认幅宽”和“本批次实际幅宽”的区别；若首批膜材主数据仍缺少必要规格，系统会要求先补齐。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4.6 库存查询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库存查询页是正式库存浏览页，支持搜索字段：产品代码、物料名称、标签编号、批号、供应商、库位。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层级结构为：第一层产品聚合页，第二层批次聚合页，第三层标签层，最深处为标签详情页。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当某个批次只有 1 个标签时，点击可直接进入标签详情；当某个批次有多个标签时，会在当前批次卡片下方展开标签行。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可使用风险筛选查看临期或低库存产品。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4.7 标签详情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标签详情适合做精确核对和精确操作。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可查看标签编号、产品代码、物料名称、批号、当前库存、精确库位、过期日期或长期有效状态。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膜材可查看幅宽、厚度等规格；普通用户可在这里执行精确领用，并查看该标签历史变化。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4.8 操作日志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普通用户可查看“操作日志”。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支持按产品代码、物料名称、标签编号、批号、操作人、类型、描述、备注搜索。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即使是首页按产品代码领料，日志也仍会按实际被扣减的标签逐条记录，便于后续追溯。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4.9 我的申请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普通用户在新增物料页遇到未知产品代码时，可发起建档申请。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“我的申请”页面可查看已提交申请、当前状态、审批结果和驳回原因。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5. 管理员使用说明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5.1 审批中心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管理员可审批新用户注册申请和物料建档申请。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审批通过后，用户会从待审批进入正式首页；通过的物料申请会转为正式主数据。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5.2 物料管理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管理员可按产品代码、物料名称、子类别、供应商、原厂型号、包装形式、规格搜索主数据。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可执行编辑主数据、归档物料、恢复归档物料、直接创建主数据等操作。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5.3 物料导入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管理员可进行批量主数据导入。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推荐流程：先导出系统最新模板 .xlsx，填写后另存为 CSV，再上传、查看预览并确认导入。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如导入预览中存在错误行，该行不会导入；若仅有提醒，建议理解提醒含义后再决定是否继续。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5.4 库区管理与子类别管理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管理员可维护库区，用于结构化库存定位。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管理员可维护正式子类别；导入、建档、物料编辑均以这里的有效子类别为准。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5.5 审计日志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管理员可查看“审计日志”。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搜索字段与普通操作日志保持一致，但展示更偏向治理与审计视角。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5.6 膜材幅宽修正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管理员在标签详情页可看到“修正幅宽”能力。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该操作修正的是当前标签对应库存记录的幅宽显示真值，不是全局改主数据默认幅宽。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6. 超级管理员附录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超级管理员除管理员权限外，还可以调整用户角色。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典型场景包括将普通用户提升为管理员，或将管理员降回普通用户。角色变更会影响首页可见入口与后台管理能力。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7. 常见提示语与处理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下面这些提示语在试运行阶段最常见，建议先统一口径，再转发给测试同事。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814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提示语</w:t>
            </w:r>
          </w:p>
        </w:tc>
        <w:tc>
          <w:tcPr>
            <w:tcW w:type="dxa" w:w="6690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说明与处理建议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待审批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表示账号还未激活，请联系管理员审批。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已驳回</w:t>
            </w:r>
          </w:p>
        </w:tc>
        <w:tc>
          <w:tcPr>
            <w:tcW w:type="dxa" w:w="669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请打开驳回原因，修改后重新提交。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标签重复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表示该标签编号已存在，不能重复入库。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未知编码</w:t>
            </w:r>
          </w:p>
        </w:tc>
        <w:tc>
          <w:tcPr>
            <w:tcW w:type="dxa" w:w="669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表示该产品代码未建档。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归档物料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表示该主数据已停用，不建议继续新增。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无权限</w:t>
            </w:r>
          </w:p>
        </w:tc>
        <w:tc>
          <w:tcPr>
            <w:tcW w:type="dxa" w:w="669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表示当前角色不能访问该页面或执行该操作。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库存不足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表示本次领用量超过当前可用库存。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标签编号错误</w:t>
            </w:r>
          </w:p>
        </w:tc>
        <w:tc>
          <w:tcPr>
            <w:tcW w:type="dxa" w:w="669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表示标签编号格式不符合系统要求。</w:t>
            </w:r>
          </w:p>
        </w:tc>
      </w:tr>
      <w:tr>
        <w:tc>
          <w:tcPr>
            <w:tcW w:type="dxa" w:w="181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默认幅宽未填写</w:t>
            </w:r>
          </w:p>
        </w:tc>
        <w:tc>
          <w:tcPr>
            <w:tcW w:type="dxa" w:w="669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20"/>
              </w:rPr>
              <w:t>表示膜材主数据还没有默认幅宽，后续需要在首次入库或物料管理中补齐。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第二部分 试运行测试数据与角色测试用例包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58"/>
      </w:tblGrid>
      <w:tr>
        <w:tc>
          <w:tcPr>
            <w:tcW w:type="dxa" w:w="8561"/>
            <w:shd w:fill="F5F8FC"/>
            <w:tcBorders>
              <w:top w:val="single" w:sz="10" w:space="0" w:color="2F62B5"/>
              <w:left w:val="single" w:sz="10" w:space="0" w:color="2F62B5"/>
              <w:bottom w:val="single" w:sz="10" w:space="0" w:color="2F62B5"/>
              <w:right w:val="single" w:sz="10" w:space="0" w:color="2F62B5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3864"/>
                <w:sz w:val="21"/>
              </w:rPr>
              <w:t>本测试包面向试运行同事，按“测试账号清单 -&gt; 基础数据 -&gt; 基线期望 -&gt; 角色用例 -&gt; 通过判定”的顺序执行。</w:t>
            </w:r>
          </w:p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3864"/>
                <w:sz w:val="21"/>
              </w:rPr>
              <w:t>所有步骤均以当前系统真实页面行为编写，不需要了解代码实现细节。</w:t>
            </w:r>
          </w:p>
        </w:tc>
      </w:tr>
    </w:tbl>
    <w:p>
      <w:pPr>
        <w:spacing w:after="240"/>
      </w:pP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1. 测试前提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测试账号采用不同微信身份，不是账号密码。若现场没有足够多人，请先由管理员或技术人员预置用户记录，再让对应同事登录。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建议按“先只读、后变更、再审批、最后升权”的顺序执行，便于排查异常。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首页顶部搜索是库存入口；首页“快捷领料”是动作入口，包含“按产品代码领料”和“按批次领料”两种模式。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2. 测试账号清单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871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</w:r>
          </w:p>
        </w:tc>
        <w:tc>
          <w:tcPr>
            <w:tcW w:type="dxa" w:w="1020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实验室库存管理系统试运行测试数据与角色测试用例包</w:t>
            </w:r>
          </w:p>
        </w:tc>
      </w:tr>
    </w:tbl>
    <w:p>
      <w:pPr>
        <w:spacing w:after="200"/>
      </w:pP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3. 初始化基础数据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3.1 库区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化材库区：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实验室1、实验室2、实验室3、物料间。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膜材库区：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研发仓1、研发仓2、实验线。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3.2 子类别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化材子类别：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溶剂、树脂、固化剂。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膜材子类别：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基材-PET、离型膜、保护膜。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3.3 主数据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58"/>
      </w:tblGrid>
      <w:tr>
        <w:tc>
          <w:tcPr>
            <w:tcW w:type="dxa" w:w="1020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本测试包面向试运行同事，按“测试账号清单 -&gt; 基础数据 -&gt; 基线期望 -&gt; 角色用例 -&gt; 通过判定”的顺序执行。 / 所有步骤均以当前系统真实页面行为编写，不需要了解代码实现细节。</w:t>
            </w:r>
          </w:p>
        </w:tc>
      </w:tr>
    </w:tbl>
    <w:p>
      <w:pPr>
        <w:spacing w:after="200"/>
      </w:pP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3.4 初始化在库标签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80"/>
        <w:gridCol w:w="1280"/>
        <w:gridCol w:w="1280"/>
        <w:gridCol w:w="1280"/>
        <w:gridCol w:w="1280"/>
        <w:gridCol w:w="1280"/>
        <w:gridCol w:w="1280"/>
      </w:tblGrid>
      <w:tr>
        <w:tc>
          <w:tcPr>
            <w:tcW w:type="dxa" w:w="1191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标签编号</w:t>
            </w:r>
          </w:p>
        </w:tc>
        <w:tc>
          <w:tcPr>
            <w:tcW w:type="dxa" w:w="964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产品代码</w:t>
            </w:r>
          </w:p>
        </w:tc>
        <w:tc>
          <w:tcPr>
            <w:tcW w:type="dxa" w:w="1020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批号</w:t>
            </w:r>
          </w:p>
        </w:tc>
        <w:tc>
          <w:tcPr>
            <w:tcW w:type="dxa" w:w="1191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库存</w:t>
            </w:r>
          </w:p>
        </w:tc>
        <w:tc>
          <w:tcPr>
            <w:tcW w:type="dxa" w:w="1417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库位</w:t>
            </w:r>
          </w:p>
        </w:tc>
        <w:tc>
          <w:tcPr>
            <w:tcW w:type="dxa" w:w="1247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效期或状态</w:t>
            </w:r>
          </w:p>
        </w:tc>
        <w:tc>
          <w:tcPr>
            <w:tcW w:type="dxa" w:w="1928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L000101</w:t>
            </w:r>
          </w:p>
        </w:tc>
        <w:tc>
          <w:tcPr>
            <w:tcW w:type="dxa" w:w="96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J-001</w:t>
            </w:r>
          </w:p>
        </w:tc>
        <w:tc>
          <w:tcPr>
            <w:tcW w:type="dxa" w:w="102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AC240301</w:t>
            </w:r>
          </w:p>
        </w:tc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2.0 kg</w:t>
            </w:r>
          </w:p>
        </w:tc>
        <w:tc>
          <w:tcPr>
            <w:tcW w:type="dxa" w:w="141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实验室1 / A01</w:t>
            </w:r>
          </w:p>
        </w:tc>
        <w:tc>
          <w:tcPr>
            <w:tcW w:type="dxa" w:w="124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2026-09-30</w:t>
            </w:r>
          </w:p>
        </w:tc>
        <w:tc>
          <w:tcPr>
            <w:tcW w:type="dxa" w:w="1928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化材</w:t>
            </w:r>
          </w:p>
        </w:tc>
      </w:tr>
      <w:tr>
        <w:tc>
          <w:tcPr>
            <w:tcW w:type="dxa" w:w="1191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L000102</w:t>
            </w:r>
          </w:p>
        </w:tc>
        <w:tc>
          <w:tcPr>
            <w:tcW w:type="dxa" w:w="96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J-001</w:t>
            </w:r>
          </w:p>
        </w:tc>
        <w:tc>
          <w:tcPr>
            <w:tcW w:type="dxa" w:w="102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AC240301</w:t>
            </w:r>
          </w:p>
        </w:tc>
        <w:tc>
          <w:tcPr>
            <w:tcW w:type="dxa" w:w="1191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1.5 kg</w:t>
            </w:r>
          </w:p>
        </w:tc>
        <w:tc>
          <w:tcPr>
            <w:tcW w:type="dxa" w:w="1417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实验室1 / A02</w:t>
            </w:r>
          </w:p>
        </w:tc>
        <w:tc>
          <w:tcPr>
            <w:tcW w:type="dxa" w:w="1247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2026-04-10</w:t>
            </w:r>
          </w:p>
        </w:tc>
        <w:tc>
          <w:tcPr>
            <w:tcW w:type="dxa" w:w="1928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化材，较早到期</w:t>
            </w:r>
          </w:p>
        </w:tc>
      </w:tr>
      <w:tr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L000103</w:t>
            </w:r>
          </w:p>
        </w:tc>
        <w:tc>
          <w:tcPr>
            <w:tcW w:type="dxa" w:w="96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J-001</w:t>
            </w:r>
          </w:p>
        </w:tc>
        <w:tc>
          <w:tcPr>
            <w:tcW w:type="dxa" w:w="102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AC240201</w:t>
            </w:r>
          </w:p>
        </w:tc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0.3 kg</w:t>
            </w:r>
          </w:p>
        </w:tc>
        <w:tc>
          <w:tcPr>
            <w:tcW w:type="dxa" w:w="141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实验室2 / B01</w:t>
            </w:r>
          </w:p>
        </w:tc>
        <w:tc>
          <w:tcPr>
            <w:tcW w:type="dxa" w:w="124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2026-05-30</w:t>
            </w:r>
          </w:p>
        </w:tc>
        <w:tc>
          <w:tcPr>
            <w:tcW w:type="dxa" w:w="1928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化材</w:t>
            </w:r>
          </w:p>
        </w:tc>
      </w:tr>
      <w:tr>
        <w:tc>
          <w:tcPr>
            <w:tcW w:type="dxa" w:w="1191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L000104</w:t>
            </w:r>
          </w:p>
        </w:tc>
        <w:tc>
          <w:tcPr>
            <w:tcW w:type="dxa" w:w="96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J-002</w:t>
            </w:r>
          </w:p>
        </w:tc>
        <w:tc>
          <w:tcPr>
            <w:tcW w:type="dxa" w:w="102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EP260101</w:t>
            </w:r>
          </w:p>
        </w:tc>
        <w:tc>
          <w:tcPr>
            <w:tcW w:type="dxa" w:w="1191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5.0 kg</w:t>
            </w:r>
          </w:p>
        </w:tc>
        <w:tc>
          <w:tcPr>
            <w:tcW w:type="dxa" w:w="1417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物料间 / C01</w:t>
            </w:r>
          </w:p>
        </w:tc>
        <w:tc>
          <w:tcPr>
            <w:tcW w:type="dxa" w:w="1247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长期有效</w:t>
            </w:r>
          </w:p>
        </w:tc>
        <w:tc>
          <w:tcPr>
            <w:tcW w:type="dxa" w:w="1928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化材</w:t>
            </w:r>
          </w:p>
        </w:tc>
      </w:tr>
      <w:tr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L000105</w:t>
            </w:r>
          </w:p>
        </w:tc>
        <w:tc>
          <w:tcPr>
            <w:tcW w:type="dxa" w:w="96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J-003</w:t>
            </w:r>
          </w:p>
        </w:tc>
        <w:tc>
          <w:tcPr>
            <w:tcW w:type="dxa" w:w="102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HD260201</w:t>
            </w:r>
          </w:p>
        </w:tc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0.2 kg</w:t>
            </w:r>
          </w:p>
        </w:tc>
        <w:tc>
          <w:tcPr>
            <w:tcW w:type="dxa" w:w="141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实验室3 / D01</w:t>
            </w:r>
          </w:p>
        </w:tc>
        <w:tc>
          <w:tcPr>
            <w:tcW w:type="dxa" w:w="124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2027-01-15</w:t>
            </w:r>
          </w:p>
        </w:tc>
        <w:tc>
          <w:tcPr>
            <w:tcW w:type="dxa" w:w="1928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化材，低库存样本</w:t>
            </w:r>
          </w:p>
        </w:tc>
      </w:tr>
      <w:tr>
        <w:tc>
          <w:tcPr>
            <w:tcW w:type="dxa" w:w="1191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L000201</w:t>
            </w:r>
          </w:p>
        </w:tc>
        <w:tc>
          <w:tcPr>
            <w:tcW w:type="dxa" w:w="96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M-001</w:t>
            </w:r>
          </w:p>
        </w:tc>
        <w:tc>
          <w:tcPr>
            <w:tcW w:type="dxa" w:w="102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PET2601</w:t>
            </w:r>
          </w:p>
        </w:tc>
        <w:tc>
          <w:tcPr>
            <w:tcW w:type="dxa" w:w="1191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120 m</w:t>
            </w:r>
          </w:p>
        </w:tc>
        <w:tc>
          <w:tcPr>
            <w:tcW w:type="dxa" w:w="1417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研发仓1 / F01</w:t>
            </w:r>
          </w:p>
        </w:tc>
        <w:tc>
          <w:tcPr>
            <w:tcW w:type="dxa" w:w="1247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2026-07-01</w:t>
            </w:r>
          </w:p>
        </w:tc>
        <w:tc>
          <w:tcPr>
            <w:tcW w:type="dxa" w:w="1928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膜材</w:t>
            </w:r>
          </w:p>
        </w:tc>
      </w:tr>
      <w:tr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L000202</w:t>
            </w:r>
          </w:p>
        </w:tc>
        <w:tc>
          <w:tcPr>
            <w:tcW w:type="dxa" w:w="96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M-001</w:t>
            </w:r>
          </w:p>
        </w:tc>
        <w:tc>
          <w:tcPr>
            <w:tcW w:type="dxa" w:w="102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PET2601</w:t>
            </w:r>
          </w:p>
        </w:tc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80 m</w:t>
            </w:r>
          </w:p>
        </w:tc>
        <w:tc>
          <w:tcPr>
            <w:tcW w:type="dxa" w:w="141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研发仓2 / F03</w:t>
            </w:r>
          </w:p>
        </w:tc>
        <w:tc>
          <w:tcPr>
            <w:tcW w:type="dxa" w:w="124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2026-04-05</w:t>
            </w:r>
          </w:p>
        </w:tc>
        <w:tc>
          <w:tcPr>
            <w:tcW w:type="dxa" w:w="1928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膜材，较早到期</w:t>
            </w:r>
          </w:p>
        </w:tc>
      </w:tr>
      <w:tr>
        <w:tc>
          <w:tcPr>
            <w:tcW w:type="dxa" w:w="1191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L000203</w:t>
            </w:r>
          </w:p>
        </w:tc>
        <w:tc>
          <w:tcPr>
            <w:tcW w:type="dxa" w:w="96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M-001</w:t>
            </w:r>
          </w:p>
        </w:tc>
        <w:tc>
          <w:tcPr>
            <w:tcW w:type="dxa" w:w="102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PET2512</w:t>
            </w:r>
          </w:p>
        </w:tc>
        <w:tc>
          <w:tcPr>
            <w:tcW w:type="dxa" w:w="1191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40 m</w:t>
            </w:r>
          </w:p>
        </w:tc>
        <w:tc>
          <w:tcPr>
            <w:tcW w:type="dxa" w:w="1417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研发仓1 / F02</w:t>
            </w:r>
          </w:p>
        </w:tc>
        <w:tc>
          <w:tcPr>
            <w:tcW w:type="dxa" w:w="1247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2026-05-20</w:t>
            </w:r>
          </w:p>
        </w:tc>
        <w:tc>
          <w:tcPr>
            <w:tcW w:type="dxa" w:w="1928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膜材</w:t>
            </w:r>
          </w:p>
        </w:tc>
      </w:tr>
      <w:tr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L000204</w:t>
            </w:r>
          </w:p>
        </w:tc>
        <w:tc>
          <w:tcPr>
            <w:tcW w:type="dxa" w:w="96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M-002</w:t>
            </w:r>
          </w:p>
        </w:tc>
        <w:tc>
          <w:tcPr>
            <w:tcW w:type="dxa" w:w="102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RL2602</w:t>
            </w:r>
          </w:p>
        </w:tc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基础长度 100 m</w:t>
            </w:r>
          </w:p>
        </w:tc>
        <w:tc>
          <w:tcPr>
            <w:tcW w:type="dxa" w:w="141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实验线 / G01</w:t>
            </w:r>
          </w:p>
        </w:tc>
        <w:tc>
          <w:tcPr>
            <w:tcW w:type="dxa" w:w="124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2026-12-31</w:t>
            </w:r>
          </w:p>
        </w:tc>
        <w:tc>
          <w:tcPr>
            <w:tcW w:type="dxa" w:w="1928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默认单位应显示为 108 m²</w:t>
            </w:r>
          </w:p>
        </w:tc>
      </w:tr>
    </w:tbl>
    <w:p>
      <w:pPr>
        <w:spacing w:after="200"/>
      </w:pP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4. 基线期望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首页在库产品数应为 5。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首页风险预警应为 3，对应 J-001、J-003、M-001。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首页今日入库应为 0，今日领用应为 0。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风险筛选结果只应出现 J-001、J-003、M-001。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搜索 AC240301 或 L000101 时都应能召回 J-001。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M-001 的批次层应出现 PET2601 与 PET2512，其中 PET2601 为多标签批次，PET2512 为单标签批次。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5. 角色测试用例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5.1 第一组：账号与状态流转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 待审批账号进入系统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U-PENDING-01。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登录系统。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不能进入正式首页，应看到待审批提示页。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页面文案应明确说明等待管理员审批。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用例2 已驳回账号查看原因并重提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U-REJECT-01。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登录系统，查看驳回原因。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应看到“部门信息不完整，请补充后重提”。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应允许修改后重新提交，不应直接进入首页。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用例3 管理员审批通过新用户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U-PENDING-01 尚未通过；管理员使用 U-ADMIN-01。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管理员进入审批中心审批通过 U-PENDING-01；U-PENDING-01 重新进入系统。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该用户刷新后应进入正式首页。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首页应展示普通用户可见入口。</w:t>
      </w:r>
    </w:p>
    <w:p>
      <w:pPr>
        <w:spacing w:after="80"/>
      </w:pP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5.2 第二组：普通用户只读与首页入口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用例4 首页顶部搜索是库存入口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U-USER-01。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在首页顶部搜索输入 J-001 并提交。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应跳转到库存查询页，并显示 J-001 相关结果。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首页本身不承载搜索结果列表。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用例5 首页风险卡进入真实风险结果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U-USER-01。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点击首页“预警”卡片。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应跳转到库存查询页风险筛选结果。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结果中应出现 J-001、J-003、M-001。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用例6 库存页多字段检索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U-USER-01。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分别搜索 J-001、丙酮分析纯、L000101、AC240301、国药、实验室1。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都应能召回 J-001。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命中提示应尽量简洁，不显示调试感文案。</w:t>
      </w:r>
    </w:p>
    <w:p>
      <w:pPr>
        <w:spacing w:after="80"/>
      </w:pP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5.3 第三组：普通用户精确领用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用例7 首页扫码精确领用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U-USER-01。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在首页点击智能扫码，扫码 L000104，领用 1.0 kg。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领用成功，剩余应为 4.0 kg。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日志中应出现 L000104 对应的出库记录。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用例8 库存详情页精确领用膜材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U-USER-01。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进入 L000203 标签详情，领用 10 m。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剩余应为 30 m。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膜材数量展示应保持统一真值，不应出现单位混乱。</w:t>
      </w:r>
    </w:p>
    <w:p>
      <w:pPr>
        <w:spacing w:after="80"/>
      </w:pP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5.4 第四组：普通用户便捷领用（按产品代码模式）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用例9 首页快捷领料按产品代码领用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U-USER-01；确保 J-001 仍为基线库存。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首页点击“快捷领料” -&gt; 选择“按产品代码领料” -&gt; 选择化材 -&gt; 搜索 J-001 -&gt; 选中产品 -&gt; 领用 1.8 kg。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应直接进入领料弹窗，不应强制先选批次。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弹窗中应显示产品总库存、首个推荐批次、首个推荐标签，并提示按 FEFO 自动扣减。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用例10 产品代码模式跨批次 FEFO 扣减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延续用例9；或恢复到基线后单独执行。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确认领用 1.8 kg。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首扣顺序应为 L000102 -&gt; L000103。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L000102 应先被扣至 0；L000103 再扣减 0.3；J-001 产品总库存应变为 2.0 kg。</w:t>
      </w:r>
    </w:p>
    <w:p>
      <w:pPr>
        <w:spacing w:after="80"/>
      </w:pP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5.5 第五组：普通用户便捷领用（按批次模式）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用例11 首页快捷领料按批次领用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U-USER-01；确保 J-001 回到基线库存。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首页点击“快捷领料” -&gt; 选择“按批次领料” -&gt; 选择化材 -&gt; 搜索 J-001 -&gt; 进入批次列表 -&gt; 选择批次 AC240301 -&gt; 领用 1.8 kg。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应先出现产品列表，再进入批次列表，再进入领料弹窗。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弹窗应显示该批次的首扣标签，而不是另一套独立推荐逻辑。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用例12 批次模式批次内 FEFO 扣减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延续用例11；或恢复到基线后单独执行。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确认领用 1.8 kg。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首扣顺序应为 L000102 -&gt; L000101。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批次 AC240301 总库存应从 3.5 kg 变为 1.7 kg。</w:t>
      </w:r>
    </w:p>
    <w:p>
      <w:pPr>
        <w:spacing w:after="80"/>
      </w:pP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5.6 第六组：普通用户入库与申请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用例13 已存在产品代码自动回填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U-USER-01。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进入“新增物料”，输入产品代码 J-002。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系统应自动识别并回填该产品的主数据。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不应要求再额外点一次建议项。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用例14 未知产品代码阻断并申请建档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U-USER-01。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进入“新增物料”，输入未知代码 J-888。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应出现阻断卡片，普通用户只能看到“立即申请建档”。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点击“修改产品代码”后，页面应回到干净初始态，不保留旧回填内容。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用例15 我的申请查看申请结果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已提交 J-888 建档申请。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进入“我的申请”。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应能看到该申请，状态为“待审核”。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状态变化后应同步展示审批结果或驳回原因。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用例16 重复标签阻止入库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系统已有 L000101。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新增入库时输入标签编号 L000101。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系统必须阻止提交。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提示语应明确说明标签重复。</w:t>
      </w:r>
    </w:p>
    <w:p>
      <w:pPr>
        <w:spacing w:after="80"/>
      </w:pP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5.7 第七组：管理员链路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用例17 管理员审批用户与建档申请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存在待审批用户和 J-888 建档申请；使用 U-ADMIN-01。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进入审批中心，分别审批用户和物料申请。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审批通过后，用户可进入首页；J-888 变成正式主数据。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普通用户再次输入 J-888 时应直接识别为已有产品代码。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用例18 管理员未知编码直接建档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U-ADMIN-01。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进入“新增物料”，输入未知膜材代码 M-888。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阻断卡片应提供“直接建档”。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管理员与普通用户共用同页逻辑，但 CTA 不同。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用例19 管理员物料管理搜索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U-ADMIN-01。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进入“物料管理”，分别搜索 J-001、丙酮分析纯、溶剂、国药、IPA、桶装。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都应能召回对应主数据。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搜索字段口径应与页面 placeholder 一致。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用例20 管理员审计日志搜索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U-ADMIN-01。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进入“审计日志”，分别搜索标签编号、批号、操作人、描述、备注。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应能召回对应记录。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普通日志与审计日志搜索口径应一致，只是展示用途不同。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用例21 管理员膜材幅宽修正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U-ADMIN-01。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打开 L000201 详情。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应看到“修正幅宽”能力。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普通用户打开同一详情页时不应看到该能力。</w:t>
      </w:r>
    </w:p>
    <w:p>
      <w:pPr>
        <w:spacing w:after="80"/>
      </w:pP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5.8 第八组：超级管理员链路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用例22 超级管理员提升普通用户为管理员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U-SUPER-01；U-USER-02 当前角色为 user。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进入“人员与权限”，搜索 U-USER-02，将其提升为 admin；U-USER-02 重新进入系统。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U-USER-02 首页应出现管理员入口。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应能看到审批中心、物料管理、审计日志等管理员入口。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用例23 超级管理员将管理员降回普通用户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延续用例22。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将 U-USER-02 角色改回 user；该账号重新进入系统。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管理员入口应消失。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普通功能仍可正常使用。</w:t>
      </w:r>
    </w:p>
    <w:p>
      <w:pPr>
        <w:spacing w:after="80"/>
      </w:pP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5.9 第九组：可选管理员导入测试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用例24 导入两条新主数据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U-ADMIN-01。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先导出最新模板；填写两条新主数据 J-020、M-020；另存为 CSV；上传并确认导入。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预览通过后应可成功导入。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导入完成后，物料管理应能检索到这两条主数据。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建议导入数据：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J-020：化材，名称自拟，子类别选“溶剂”或“树脂”，默认单位 kg。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M-020：膜材，名称自拟，子类别选“保护膜”或“离型膜”，默认单位 m 或 m²，填写膜材厚度，默认幅宽可填可不填。</w:t>
      </w:r>
    </w:p>
    <w:p>
      <w:pPr>
        <w:spacing w:after="80"/>
      </w:pP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6. 通过判定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待审批、驳回、激活三种状态切换正常。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普通用户、管理员、超管权限边界清楚。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首页顶部搜索与库存查询联动正常。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首页快捷领料两种模式都可正常使用。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产品模式能跨批次按 FEFO 扣减。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批次模式能在批次内按 FEFO 扣减。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扫码领料与详情页精确领用正常。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操作日志和审计日志可以按真实字段检索。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未知编码申请、审批通过、再次识别链路闭环。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膜材数量显示与单位换算保持一致。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导入模板、预览、导入成功链路闭环。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7. 测试顺序建议</w:t>
      </w:r>
    </w:p>
    <w:p>
      <w:pPr>
        <w:pStyle w:val="ListNumber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先做基线只读验证。</w:t>
      </w:r>
    </w:p>
    <w:p>
      <w:pPr>
        <w:pStyle w:val="ListNumber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再做普通用户只读与查询验证。</w:t>
      </w:r>
    </w:p>
    <w:p>
      <w:pPr>
        <w:pStyle w:val="ListNumber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再做普通用户精确领用与快捷领用。</w:t>
      </w:r>
    </w:p>
    <w:p>
      <w:pPr>
        <w:pStyle w:val="ListNumber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再做普通用户入库与建档申请。</w:t>
      </w:r>
    </w:p>
    <w:p>
      <w:pPr>
        <w:pStyle w:val="ListNumber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再做管理员审批、管理、导入。</w:t>
      </w:r>
    </w:p>
    <w:p>
      <w:pPr>
        <w:pStyle w:val="ListNumber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最后做超级管理员角色调整。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8. 恢复建议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将 U-USER-02 角色恢复为普通用户。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若执行过 J-001 产品模式或批次模式领用，请恢复 L000101、L000102、L000103 库存。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若执行过 J-002 精确领用，请恢复 L000104 库存。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若执行过 M-001 或 M-002 领用，请恢复对应膜材标签库存。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若创建了 J-888、M-888、J-020、M-020 等测试主数据，按内部规则决定保留或清理。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若新增了测试申请或测试日志，可保留作为审计样本，不建议直接删除历史日志。</w:t>
      </w:r>
    </w:p>
    <w:sectPr w:rsidR="00FC693F" w:rsidRPr="0006063C" w:rsidSect="00034616">
      <w:footerReference w:type="default" r:id="rId9"/>
      <w:pgSz w:w="11906" w:h="16838"/>
      <w:pgMar w:top="1332" w:right="1474" w:bottom="1276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icrosoft YaHei" w:hAnsi="Microsoft YaHei" w:eastAsia="Microsoft YaHei"/>
        <w:b w:val="0"/>
        <w:i w:val="0"/>
        <w:color w:val="7B8798"/>
        <w:sz w:val="17"/>
      </w:rPr>
      <w:t>实验室库存管理系统试运行文档合集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