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rPr>
          <w:rFonts w:hint="eastAsia" w:ascii="Calibri" w:hAnsi="Calibri" w:eastAsia="Heiti SC"/>
        </w:rPr>
        <w:t xml:space="preserve">更新日期：2026年7月2日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审批、物料管理、库区管理、子类别管理、项目编码管理、审计日志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在首页顶部搜索框输入产品代码、物料名称、标签编号、批号、供应商或库位。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填写生产批号、数量、库区、库位详情、过期日期或长期有效。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填写默认批号、默认库区、过期日期或长期有效。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产品代码可以统一使用测试料代码。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原厂型号必须填写，用来区分不同测试样品。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导入前先下载最新模板，避免库区、子类别或字段说明过期。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6.4 </w:t>
      </w:r>
      <w:r>
        <w:rPr>
          <w:rFonts w:hint="eastAsia" w:ascii="Calibri" w:hAnsi="Calibri" w:eastAsia="Heiti SC"/>
        </w:rPr>
        <w:t xml:space="preserve">库区和子类别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管理员可维护化材库区、膜材库区和共享库区。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当前默认化材库区为防爆柜01到防爆柜07。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不再使用的库区建议停用，不建议随意删除历史正在使用的库区。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