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40"/>
        </w:rPr>
        <w:t>实验室库存管理系统试运行使用说明</w:t>
      </w:r>
    </w:p>
    <w:p>
      <w:pPr>
        <w:jc w:val="center"/>
      </w:pPr>
      <w:r>
        <w:rPr>
          <w:rFonts w:ascii="Microsoft YaHei" w:hAnsi="Microsoft YaHei" w:eastAsia="Microsoft YaHei" w:cs="Microsoft YaHei"/>
          <w:sz w:val="23"/>
        </w:rPr>
        <w:t>供普通用户、管理员、超级管理员试运行阅读与参考</w:t>
      </w:r>
    </w:p>
    <w:p>
      <w:pPr>
        <w:jc w:val="center"/>
      </w:pPr>
      <w:r>
        <w:rPr>
          <w:rFonts w:ascii="Microsoft YaHei" w:hAnsi="Microsoft YaHei" w:eastAsia="Microsoft YaHei" w:cs="Microsoft YaHei"/>
          <w:sz w:val="20"/>
        </w:rPr>
        <w:t>版本：试运行版    生成日期：2026年3月25日</w:t>
      </w:r>
    </w:p>
    <w:p>
      <w:pPr>
        <w:jc w:val="center"/>
      </w:pPr>
      <w:r>
        <w:rPr>
          <w:rFonts w:ascii="Microsoft YaHei" w:hAnsi="Microsoft YaHei" w:eastAsia="Microsoft YaHei" w:cs="Microsoft YaHei"/>
          <w:sz w:val="20"/>
        </w:rPr>
        <w:t>依据当前项目实际代码与现有页面行为编写，适用于试运行沟通、培训与现场操作参考</w:t>
      </w:r>
    </w:p>
    <w:p/>
    <w:p>
      <w:pPr>
        <w:pStyle w:val="Heading1"/>
        <w:spacing w:before="120" w:after="80"/>
      </w:pPr>
      <w:r>
        <w:rPr>
          <w:rFonts w:ascii="Microsoft YaHei" w:hAnsi="Microsoft YaHei" w:eastAsia="Microsoft YaHei" w:cs="Microsoft YaHei"/>
          <w:b/>
          <w:sz w:val="30"/>
        </w:rPr>
        <w:t>1. 系统定位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本系统用于实验室化材、膜材的主数据管理、入库、库存查询、领用扣账、日志追溯和审批治理。当前实际落地的使用定位可以收口为三条主链路：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首页是快捷入口，承担顶部库存搜索、智能扫码、快捷领料、统计查看和常用功能跳转。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库存查询页承担正式检索与层级浏览，适合看产品聚合、批次、标签和风险筛选结果。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管理与审批链路承担用户审批、主数据维护、模板导入、库区与子类别维护、审计与角色治理。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首页顶部搜索是库存入口，提交后跳转到库存查询页；首页“快捷领料”是动作入口，负责直接发起领料，不承担正式浏览库存的职责。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系统的自动分配遵循 FEFO 原则：优先扣减更早到期库存；若到期日相同，则继续按更早建账时间、再按标签编号或记录顺序稳定排序。</w:t>
      </w:r>
    </w:p>
    <w:p>
      <w:pPr>
        <w:pStyle w:val="Heading1"/>
        <w:spacing w:before="120" w:after="80"/>
      </w:pPr>
      <w:r>
        <w:rPr>
          <w:rFonts w:ascii="Microsoft YaHei" w:hAnsi="Microsoft YaHei" w:eastAsia="Microsoft YaHei" w:cs="Microsoft YaHei"/>
          <w:b/>
          <w:sz w:val="30"/>
        </w:rPr>
        <w:t>2. 统一术语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041"/>
            <w:vAlign w:val="center"/>
            <w:shd w:fill="EAF0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/>
                <w:sz w:val="21"/>
              </w:rPr>
              <w:t>术语</w:t>
            </w:r>
          </w:p>
        </w:tc>
        <w:tc>
          <w:tcPr>
            <w:tcW w:type="dxa" w:w="7143"/>
            <w:vAlign w:val="center"/>
            <w:shd w:fill="EAF0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/>
                <w:sz w:val="21"/>
              </w:rPr>
              <w:t>当前口径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产品代码</w:t>
            </w:r>
          </w:p>
        </w:tc>
        <w:tc>
          <w:tcPr>
            <w:tcW w:type="dxa" w:w="714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系统内的标准产品编码。化材通常以 J- 开头，膜材通常以 M- 开头。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物料名称</w:t>
            </w:r>
          </w:p>
        </w:tc>
        <w:tc>
          <w:tcPr>
            <w:tcW w:type="dxa" w:w="714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主数据定义的正式名称；入库、库存、导出和日志都尽量沿用这套名称。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标签编号</w:t>
            </w:r>
          </w:p>
        </w:tc>
        <w:tc>
          <w:tcPr>
            <w:tcW w:type="dxa" w:w="714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最小追溯主键，格式为 L + 6 位数字，例如 L000123。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默认单位</w:t>
            </w:r>
          </w:p>
        </w:tc>
        <w:tc>
          <w:tcPr>
            <w:tcW w:type="dxa" w:w="714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属于物料主数据。已存在主数据的入库场景自动跟随，不在现场随意切换。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本批次实际幅宽</w:t>
            </w:r>
          </w:p>
        </w:tc>
        <w:tc>
          <w:tcPr>
            <w:tcW w:type="dxa" w:w="714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膜材当前批次实际使用的幅宽，优先影响当前批次或当前标签的显示与数量换算。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过期日期 / 长期有效</w:t>
            </w:r>
          </w:p>
        </w:tc>
        <w:tc>
          <w:tcPr>
            <w:tcW w:type="dxa" w:w="714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入库时二选一；已知物料的单条入库、批量扫码入库和模板导入均按同一规则处理。</w:t>
            </w:r>
          </w:p>
        </w:tc>
      </w:tr>
    </w:tbl>
    <w:p/>
    <w:p>
      <w:pPr>
        <w:pStyle w:val="Heading1"/>
        <w:spacing w:before="120" w:after="80"/>
      </w:pPr>
      <w:r>
        <w:rPr>
          <w:rFonts w:ascii="Microsoft YaHei" w:hAnsi="Microsoft YaHei" w:eastAsia="Microsoft YaHei" w:cs="Microsoft YaHei"/>
          <w:b/>
          <w:sz w:val="30"/>
        </w:rPr>
        <w:t>3. 账号、状态与角色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系统按微信身份识别，不是账号密码登录。首次进入后，用户会先进入审批状态流转，再根据角色看到不同能力。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041"/>
            <w:vAlign w:val="center"/>
            <w:shd w:fill="EAF0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/>
                <w:sz w:val="21"/>
              </w:rPr>
              <w:t>账号状态</w:t>
            </w:r>
          </w:p>
        </w:tc>
        <w:tc>
          <w:tcPr>
            <w:tcW w:type="dxa" w:w="7143"/>
            <w:vAlign w:val="center"/>
            <w:shd w:fill="EAF0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pending</w:t>
            </w:r>
          </w:p>
        </w:tc>
        <w:tc>
          <w:tcPr>
            <w:tcW w:type="dxa" w:w="714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待审批。可看到等待处理页面，不能进入正式首页。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rejected</w:t>
            </w:r>
          </w:p>
        </w:tc>
        <w:tc>
          <w:tcPr>
            <w:tcW w:type="dxa" w:w="714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已驳回。可查看驳回原因，补充资料后重新提交。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active</w:t>
            </w:r>
          </w:p>
        </w:tc>
        <w:tc>
          <w:tcPr>
            <w:tcW w:type="dxa" w:w="714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已激活。可进入正式首页，并按自己的角色使用对应功能。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041"/>
            <w:vAlign w:val="center"/>
            <w:shd w:fill="EAF0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/>
                <w:sz w:val="21"/>
              </w:rPr>
              <w:t>角色</w:t>
            </w:r>
          </w:p>
        </w:tc>
        <w:tc>
          <w:tcPr>
            <w:tcW w:type="dxa" w:w="7143"/>
            <w:vAlign w:val="center"/>
            <w:shd w:fill="EAF0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/>
                <w:sz w:val="21"/>
              </w:rPr>
              <w:t>当前能力范围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普通用户 user</w:t>
            </w:r>
          </w:p>
        </w:tc>
        <w:tc>
          <w:tcPr>
            <w:tcW w:type="dxa" w:w="714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可入库、领料、查库存、看操作日志、标签导出、提交建档申请。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管理员 admin</w:t>
            </w:r>
          </w:p>
        </w:tc>
        <w:tc>
          <w:tcPr>
            <w:tcW w:type="dxa" w:w="714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在普通用户基础上，可审批、维护主数据、导入主数据、管理库区与子类别、查看审计日志。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超级管理员 super_admin</w:t>
            </w:r>
          </w:p>
        </w:tc>
        <w:tc>
          <w:tcPr>
            <w:tcW w:type="dxa" w:w="714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在管理员基础上，可进入“人员与权限”执行角色调整。</w:t>
            </w:r>
          </w:p>
        </w:tc>
      </w:tr>
    </w:tbl>
    <w:p/>
    <w:p>
      <w:pPr>
        <w:pStyle w:val="Heading1"/>
        <w:spacing w:before="120" w:after="80"/>
      </w:pPr>
      <w:r>
        <w:rPr>
          <w:rFonts w:ascii="Microsoft YaHei" w:hAnsi="Microsoft YaHei" w:eastAsia="Microsoft YaHei" w:cs="Microsoft YaHei"/>
          <w:b/>
          <w:sz w:val="30"/>
        </w:rPr>
        <w:t>4. 普通用户使用说明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 w:cs="Microsoft YaHei"/>
          <w:b/>
          <w:sz w:val="25"/>
        </w:rPr>
        <w:t>4.1 首页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首页是日常最高频的快捷入口，当前主要包括顶部搜索、智能扫码、快捷领料、实时统计卡和常用功能列表。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顶部搜索：支持“产品代码 / 物料名称 / 标签编号 / 批号 / 供应商 / 库位”。输入后会跳转到库存查询页，不在首页自己展示结果列表。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智能扫码：适合拿到具体标签后做精确识别，可用于入库、领料和查询。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快捷领料：不扫码直接发起领料，目前已经是“按产品代码领料”和“按批次领料”双模式。</w:t>
      </w:r>
    </w:p>
    <w:p>
      <w:pPr>
        <w:pStyle w:val="ListBullet"/>
        <w:spacing w:after="20"/>
      </w:pPr>
      <w:r>
        <w:t>统计卡：总物料表示当前有在库记录的产品数；预警表示“临期或低库存”的产品并集；今日入库会统计当天新增入库与化材补料，今日出库对应当天实际出库记录数。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常用功能：普通用户通常可见“新增物料、库存查询、物料查询、标签导出、操作日志”等入口。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 w:cs="Microsoft YaHei"/>
          <w:b/>
          <w:sz w:val="25"/>
        </w:rPr>
        <w:t>4.2 智能扫码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智能扫码适合“我手里已经有一个具体标签”的场景。扫码后系统会按标签编号识别并进入对应链路，适用于精确领用、核对标签详情，或把扫码结果带入入库页面。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它和首页快捷领料的区别是：扫码链路强调单标签精确追溯；快捷领料强调不记具体标签也能快速完成扣账。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 w:cs="Microsoft YaHei"/>
          <w:b/>
          <w:sz w:val="25"/>
        </w:rPr>
        <w:t>4.3 快捷领料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首页“快捷领料”当前是单入口双模式，适合日常快速扣账。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按产品代码领料：搜索并选择一个产品后，直接进入领料弹窗，不再强制先选批次。弹窗会提示产品总库存、首个推荐批次和首个推荐标签，并注明系统会按 FEFO 自动扣减。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按批次领料：先选产品，再进入批次列表，最后进入领料弹窗。系统会在该批次内继续按 FEFO 自动分配。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两种模式都只负责“快速完成领料动作”，不承担库存详情浏览职责。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领用成功后，系统日志仍会逐条记录到实际被扣减的标签，便于后续追溯。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 w:cs="Microsoft YaHei"/>
          <w:b/>
          <w:sz w:val="25"/>
        </w:rPr>
        <w:t>4.4 新增物料（单条入库）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“新增物料”页当前包含化材入库和膜材入库两个页签，同时在页顶提供一个独立的“模板导入入库”通用入口。</w:t>
      </w:r>
    </w:p>
    <w:p>
      <w:pPr>
        <w:pStyle w:val="ListBullet"/>
        <w:spacing w:after="20"/>
      </w:pPr>
      <w:r>
        <w:t>标签编号：必填，格式为 L + 6 位数字。系统会先做格式校验，再校验是否冲突；若是同标签、同产品代码、同批号且原标签仍在库的化材，系统会转入补料确认。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产品代码：输入已存在代码后，系统会自动识别并回填物料名称、子类别等主数据，不需要额外把名称手工再填一遍。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默认单位：对已存在主数据的产品，页面会自动读取主数据默认单位并只读展示。当前提示文案已统一为“默认单位自动跟随主数据”。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过期日期与长期有效：二选一。页面日期选择和后端校验都按“今天及以后”统一处理。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化材单条入库需要填写净含量，包装形式可选；膜材单条入库需要填写厚度、幅宽、长度，其中厚度在主数据已锁定时会只读显示。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如果输入的是未知产品代码：普通用户会看到阻断卡片，只能“立即申请建档”；管理员会看到相同阻断页，但 CTA 为“直接建档”。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普通用户申请建档时，当前申请弹窗已包含“默认单位”必选项，单位范围会按当前类别限制，不再让审批单缺少关键主数据字段。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 w:cs="Microsoft YaHei"/>
          <w:b/>
          <w:sz w:val="25"/>
        </w:rPr>
        <w:t>4.5 模板导入入库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模板导入入库现在已经是新增物料页顶部的独立入口，且对所有 active 用户开放。</w:t>
      </w:r>
    </w:p>
    <w:p>
      <w:pPr>
        <w:pStyle w:val="ListNumber"/>
        <w:spacing w:after="20"/>
      </w:pPr>
      <w:r>
        <w:t>先导出系统当前最新的库存入库模板（.xlsx）；若库区、类别或模板结构刚调整过，应重新导出。</w:t>
      </w:r>
    </w:p>
    <w:p>
      <w:pPr>
        <w:pStyle w:val="ListNumber"/>
        <w:spacing w:after="20"/>
      </w:pPr>
      <w:r>
        <w:t>按模板填写后，直接上传 .xlsx 文件；当前不再支持 CSV。</w:t>
      </w:r>
    </w:p>
    <w:p>
      <w:pPr>
        <w:pStyle w:val="ListNumber"/>
        <w:spacing w:after="20"/>
      </w:pPr>
      <w:r>
        <w:t>上传 .xlsx 后，先看系统预览，再确认正式入库。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模板是化材 / 膜材通用模板，一行对应一个标签编号。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模板前 3 行为分组抬头、字段名和填写提示，正式数据从第 4 行开始。</w:t>
      </w:r>
    </w:p>
    <w:p>
      <w:pPr>
        <w:pStyle w:val="ListBullet"/>
        <w:spacing w:after="20"/>
      </w:pPr>
      <w:r>
        <w:t>模板中的库区、类别和填写说明来自当前系统配置，不建议长期复用旧模板。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未知产品代码不能直接通过模板导入入库；这条链路的目标是批量标准入库，不承担建档申请。</w:t>
      </w:r>
    </w:p>
    <w:p>
      <w:pPr>
        <w:pStyle w:val="ListBullet"/>
        <w:spacing w:after="20"/>
      </w:pPr>
      <w:r>
        <w:t>预览结果会区分“有效 / 错误 / 提醒 / 待补料”。其中化材若命中“同标签、同产品代码、同批号、原标签仍在库”，会显示“待补料”，确认后按补料入库；膜材重复标签仍会直接报错。“疑似重复入库”仍只作为提醒，不会自动拦截；真正阻断以产品代码无效、日期非法、库区无效或不满足补料条件的标签冲突为准。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 w:cs="Microsoft YaHei"/>
          <w:b/>
          <w:sz w:val="25"/>
        </w:rPr>
        <w:t>4.6 批量扫码入库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批量模式仍然保留在当前类别页签语义下，表示“按当前类别做连续扫码入库”。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先选定产品代码，再连续扫描真实标签。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化材会显示当前物料的默认单位和包装形式；膜材会先要求确认本批次实际幅宽，必要时补录厚度。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页面支持统一设置默认批号、默认存储区域、详细坐标和默认过期信息，这些设置会批量应用到新扫码项。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单位继续跟随主数据，不在批量扫码现场临时切换。</w:t>
      </w:r>
    </w:p>
    <w:p>
      <w:r>
        <w:t>若扫到已存在的化材标签，且原标签仍在库、产品代码一致、批号一致，该条会以“待补料”进入列表并在提交前统一确认；膜材重复标签或条件不一致仍会在扫码阶段直接拦截。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 w:cs="Microsoft YaHei"/>
          <w:b/>
          <w:sz w:val="25"/>
        </w:rPr>
        <w:t>4.7 库存查询与标签详情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库存查询页是正式检索入口，适合做日常找料、风险筛选和层级浏览。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当前支持按“产品代码 / 物料名称 / 标签编号 / 批号 / 供应商 / 库位”搜索。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支持从首页预警卡直接进入风险筛选结果。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可在产品聚合、批次和标签三个层级查看库存。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标签详情页适合做单标签核对和精确领用。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膜材详情页中，普通用户只会看到当前标签的规格信息；管理员还会额外看到“修正幅宽”能力，该操作只影响当前标签，不会直接修改主数据默认幅宽。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 w:cs="Microsoft YaHei"/>
          <w:b/>
          <w:sz w:val="25"/>
        </w:rPr>
        <w:t>4.8 物料查询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物料查询页承担主数据只读检索。当前搜索口径为“产品代码 / 物料名称 / 子类别 / 供应商 / 原厂型号 / 包装形式 / 规格”。适合在不进库存层级的情况下快速确认主数据是否已存在。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 w:cs="Microsoft YaHei"/>
          <w:b/>
          <w:sz w:val="25"/>
        </w:rPr>
        <w:t>4.9 标签导出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首页“标签导出”当前已对所有 active 用户开放，不再是管理员专属功能。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支持 3 种模板类型：膜材信息标签、化材标准瓶信息标签、化材小瓶信息标签。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支持按“标签编号 / 产品代码 / 物料名称 / 批号”搜索。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导出对象是当前在库标签，且必须先勾选再导出。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页面会固定提示“请按标签编号对应基础二维码标签粘贴”，现场也应按这个口径执行。</w:t>
      </w:r>
    </w:p>
    <w:p>
      <w:pPr>
        <w:pStyle w:val="ListBullet"/>
        <w:spacing w:after="20"/>
      </w:pPr>
      <w:r>
        <w:t>当前导出的是信息标签 Excel（.xlsx），不包含单独的二维码字段。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 w:cs="Microsoft YaHei"/>
          <w:b/>
          <w:sz w:val="25"/>
        </w:rPr>
        <w:t>4.10 操作日志与我的申请</w:t>
      </w:r>
    </w:p>
    <w:p>
      <w:pPr>
        <w:spacing w:after="60"/>
      </w:pPr>
      <w:r>
        <w:t>操作日志当前对所有 active 用户开放，用于追溯入库、补料、领用、纠错、移库和删除等业务动作；“我的申请”用于普通用户查看自己提交的建档申请状态和驳回原因。</w:t>
      </w:r>
    </w:p>
    <w:p>
      <w:r>
        <w:t>当前可按产品代码 / 物料名称 / 标签编号 / 批号 / 操作人 / 类型 / 描述 / 备注搜索，并可按时间、类型和操作人筛选。</w:t>
      </w:r>
    </w:p>
    <w:p>
      <w:r>
        <w:t>入库类型日志支持发起库存纠错申请，管理员会在审批中心的“库存纠错”页签处理；若该入库记录已有后续数量动作，当前版本可能无法直接通过纠错。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若普通用户遇到未知代码阻断，建议的标准处理顺序是：先提交申请，再到“我的申请”跟进审批结果，不建议线下绕开主数据流程。</w:t>
      </w:r>
    </w:p>
    <w:p>
      <w:pPr>
        <w:pStyle w:val="Heading1"/>
        <w:spacing w:before="120" w:after="80"/>
      </w:pPr>
      <w:r>
        <w:rPr>
          <w:rFonts w:ascii="Microsoft YaHei" w:hAnsi="Microsoft YaHei" w:eastAsia="Microsoft YaHei" w:cs="Microsoft YaHei"/>
          <w:b/>
          <w:sz w:val="30"/>
        </w:rPr>
        <w:t>5. 管理员使用说明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 w:cs="Microsoft YaHei"/>
          <w:b/>
          <w:sz w:val="25"/>
        </w:rPr>
        <w:t>5.1 审批中心</w:t>
      </w:r>
    </w:p>
    <w:p>
      <w:pPr>
        <w:spacing w:after="60"/>
      </w:pPr>
      <w:r>
        <w:t>审批中心当前分为“物料审批”“人员审批”和“库存纠错”三个页签。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物料审批：管理员可查看普通用户提交的建档申请，页面会展示产品代码、类别、物料名称、子类别、供应商和默认单位。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人员审批：管理员可审批新注册用户，审批通过后该用户进入 active 状态。</w:t>
      </w:r>
    </w:p>
    <w:p>
      <w:r>
        <w:t>库存纠错：管理员可审批用户从入库日志发起的数量纠错申请，页面会展示标签编号、产品代码、原数量、申请数量和原因。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驳回时可填写驳回原因，申请人端会回显。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 w:cs="Microsoft YaHei"/>
          <w:b/>
          <w:sz w:val="25"/>
        </w:rPr>
        <w:t>5.2 物料管理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物料管理页当前提供“活跃物料 / 已归档”两个页签，并支持导入、新增、编辑、归档和恢复。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搜索字段与页面 placeholder 已收口为“产品代码 / 物料名称 / 子类别 / 供应商 / 原厂型号 / 包装形式 / 规格”。如果主数据默认单位、厚度或默认幅宽需要调整，应在这里处理，而不是在入库现场临时改。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 w:cs="Microsoft YaHei"/>
          <w:b/>
          <w:sz w:val="25"/>
        </w:rPr>
        <w:t>5.3 主数据导入</w:t>
      </w:r>
    </w:p>
    <w:p>
      <w:pPr>
        <w:spacing w:after="60"/>
      </w:pPr>
      <w:r>
        <w:t>管理员仍可通过物料管理页进入物料导入链路。当前做法是：导出最新主数据模板、填写后直接上传 .xlsx、先看预览、再确认导入。若刚调整过子类别，建议重新导出模板。模板会带当前子类别和默认单位说明，不建议长期复用旧文件。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 w:cs="Microsoft YaHei"/>
          <w:b/>
          <w:sz w:val="25"/>
        </w:rPr>
        <w:t>5.4 库区管理与子类别管理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库区管理和子类别管理不是首页独立入口，而是从新增物料、物料编辑等管理页中进入。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库区管理：按化材 / 膜材分别维护当前启用库区。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子类别管理：按化材 / 膜材分别维护正式子类别。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这两类配置会直接影响申请建档、入库模板导出和页面下拉选项。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 w:cs="Microsoft YaHei"/>
          <w:b/>
          <w:sz w:val="25"/>
        </w:rPr>
        <w:t>5.5 审计日志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管理员首页可见“审计日志”。它用于查看更偏治理侧的记录，与普通“操作日志”形成分工。试运行阶段建议管理员把审批、建档、导入、归档和恢复等动作都尽量通过系统内入口完成，便于审计留痕。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 w:cs="Microsoft YaHei"/>
          <w:b/>
          <w:sz w:val="25"/>
        </w:rPr>
        <w:t>5.6 膜材幅宽修正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管理员在膜材标签详情页可看到“修正幅宽”能力。当前能力只修正当前标签，不会直接覆盖物料主数据默认幅宽，适合处理同一物料不同批次或不同单卷的实际规格差异。</w:t>
      </w:r>
    </w:p>
    <w:p>
      <w:pPr>
        <w:pStyle w:val="Heading1"/>
        <w:spacing w:before="120" w:after="80"/>
      </w:pPr>
      <w:r>
        <w:rPr>
          <w:rFonts w:ascii="Microsoft YaHei" w:hAnsi="Microsoft YaHei" w:eastAsia="Microsoft YaHei" w:cs="Microsoft YaHei"/>
          <w:b/>
          <w:sz w:val="30"/>
        </w:rPr>
        <w:t>6. 超级管理员附录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超级管理员在管理员能力基础上，还可进入首页“人员与权限”，对已激活用户执行角色调整。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可把普通用户提升为 admin。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也可把管理员降回普通用户。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角色调整完成后，目标账号重新进入系统时，首页入口会随角色变化同步更新。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建议试运行期间把角色变更集中在少量测试账号上执行，避免真实使用账号的权限被频繁切换。</w:t>
      </w:r>
    </w:p>
    <w:p>
      <w:pPr>
        <w:pStyle w:val="Heading1"/>
        <w:spacing w:before="120" w:after="80"/>
      </w:pPr>
      <w:r>
        <w:rPr>
          <w:rFonts w:ascii="Microsoft YaHei" w:hAnsi="Microsoft YaHei" w:eastAsia="Microsoft YaHei" w:cs="Microsoft YaHei"/>
          <w:b/>
          <w:sz w:val="30"/>
        </w:rPr>
        <w:t>7. 常见提示语与处理建议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381"/>
            <w:vAlign w:val="center"/>
            <w:shd w:fill="EAF0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/>
                <w:sz w:val="21"/>
              </w:rPr>
              <w:t>常见情况</w:t>
            </w:r>
          </w:p>
        </w:tc>
        <w:tc>
          <w:tcPr>
            <w:tcW w:type="dxa" w:w="6803"/>
            <w:vAlign w:val="center"/>
            <w:shd w:fill="EAF0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/>
                <w:sz w:val="21"/>
              </w:rPr>
              <w:t>建议理解与处理方式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待审批 / 已驳回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说明账号尚未进入正式可用状态。待审批请联系管理员处理；已驳回请先看原因再重提。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标签重复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标签编号是最小主键。系统提示重复时应立即停下核对，不要换个产品代码继续录。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标签格式错误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当前正式格式是 L + 6 位数字，例如 L000123。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未知编码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普通用户先申请建档；管理员可直接建档。不要把未知产品代码直接当成已存在物料入库。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归档物料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说明该代码曾存在但已停用。需管理员恢复后才可继续使用。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无权限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先确认账号状态是否为 active，再确认当前角色是否具备对应能力。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库存不足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说明当前可扣减库存不足，应先核对库存真值、批次或标签。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模板导入提醒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提醒类信息不是阻断。若提示疑似重复入库，应先人工确认是否真的是补打一批一样的货。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标签导出提示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当前现场匹配以标签编号为准，不靠产品代码或批号判断贴哪张信息标签。</w:t>
            </w:r>
          </w:p>
        </w:tc>
      </w:tr>
    </w:tbl>
    <w:p/>
    <w:p>
      <w:pPr>
        <w:pStyle w:val="Heading1"/>
        <w:spacing w:before="120" w:after="80"/>
      </w:pPr>
      <w:r>
        <w:rPr>
          <w:rFonts w:ascii="Microsoft YaHei" w:hAnsi="Microsoft YaHei" w:eastAsia="Microsoft YaHei" w:cs="Microsoft YaHei"/>
          <w:b/>
          <w:sz w:val="30"/>
        </w:rPr>
        <w:t>8. 试运行建议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先用少量真实样本跑通：扫码、单条入库、快捷领料、库存查询、标签导出。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试运行初期尽量保留同事间的口头复核，尤其是未知代码申请、批量导入和标签补打。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如果主数据、库区或子类别刚改过，请重新导出最新模板，不要沿用本地旧文件。</w:t>
      </w:r>
    </w:p>
    <w:sectPr w:rsidR="00FC693F" w:rsidRPr="0006063C" w:rsidSect="00034616">
      <w:pgSz w:w="11906" w:h="16838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