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40"/>
        </w:rPr>
        <w:t>实验室库存管理系统试运行使用说明</w:t>
      </w:r>
    </w:p>
    <w:p>
      <w:pPr>
        <w:jc w:val="center"/>
      </w:pPr>
      <w:r>
        <w:rPr>
          <w:rFonts w:ascii="Microsoft YaHei" w:hAnsi="Microsoft YaHei" w:eastAsia="Microsoft YaHei" w:cs="Microsoft YaHei"/>
          <w:sz w:val="23"/>
        </w:rPr>
        <w:t>供普通用户、管理员、超级管理员试运行阅读与参考</w:t>
      </w:r>
    </w:p>
    <w:p>
      <w:pPr>
        <w:jc w:val="center"/>
      </w:pPr>
      <w:r>
        <w:rPr>
          <w:rFonts w:ascii="Microsoft YaHei" w:hAnsi="Microsoft YaHei" w:eastAsia="Microsoft YaHei" w:cs="Microsoft YaHei"/>
          <w:sz w:val="20"/>
        </w:rPr>
        <w:t>版本：试运行版    生成日期：2026年3月25日</w:t>
      </w:r>
    </w:p>
    <w:p>
      <w:pPr>
        <w:jc w:val="center"/>
      </w:pPr>
      <w:r>
        <w:rPr>
          <w:rFonts w:ascii="Microsoft YaHei" w:hAnsi="Microsoft YaHei" w:eastAsia="Microsoft YaHei" w:cs="Microsoft YaHei"/>
          <w:sz w:val="20"/>
        </w:rPr>
        <w:t>依据当前项目实际代码与现有页面行为编写，适用于试运行沟通、培训与现场操作参考</w:t>
      </w:r>
    </w:p>
    <w:p/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1. 系统定位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本系统用于实验室化材、膜材的主数据管理、入库、库存查询、领用扣账、日志追溯和审批治理。当前实际落地的使用定位可以收口为三条主链路：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首页是快捷入口，承担顶部库存搜索、智能扫码、快捷领料、统计查看和常用功能跳转。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库存查询页承担正式检索与层级浏览，适合看产品聚合、批次、标签和风险筛选结果。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管理与审批链路承担用户审批、主数据维护、模板导入、库区与子类别维护、审计与角色治理。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首页顶部搜索是库存入口，提交后跳转到库存查询页；首页“快捷领料”是动作入口，负责直接发起领料，不承担正式浏览库存的职责。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系统的自动分配遵循 FEFO 原则：优先扣减更早到期库存；若到期日相同，则继续按更早建账时间、再按标签编号或记录顺序稳定排序。</w:t>
      </w:r>
    </w:p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2. 统一术语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041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术语</w:t>
            </w:r>
          </w:p>
        </w:tc>
        <w:tc>
          <w:tcPr>
            <w:tcW w:type="dxa" w:w="7143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当前口径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产品代码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系统内的标准产品编码。化材通常以 J- 开头，膜材通常以 M- 开头。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物料名称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主数据定义的正式名称；入库、库存、导出和日志都尽量沿用这套名称。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标签编号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最小追溯主键，格式为 L + 6 位数字，例如 L000123。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默认单位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属于物料主数据。已存在主数据的入库场景自动跟随，不在现场随意切换。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本批次实际幅宽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膜材当前批次实际使用的幅宽，优先影响当前批次或当前标签的显示与数量换算。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过期日期 / 长期有效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入库时二选一；已知物料的单条入库、批量扫码入库和模板导入均按同一规则处理。</w:t>
            </w:r>
          </w:p>
        </w:tc>
      </w:tr>
    </w:tbl>
    <w:p/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3. 账号、状态与角色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系统按微信身份识别，不是账号密码登录。首次进入后，用户会先进入审批状态流转，再根据角色看到不同能力。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041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账号状态</w:t>
            </w:r>
          </w:p>
        </w:tc>
        <w:tc>
          <w:tcPr>
            <w:tcW w:type="dxa" w:w="7143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pending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待审批。可看到等待处理页面，不能进入正式首页。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rejected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已驳回。可查看驳回原因，补充资料后重新提交。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active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已激活。可进入正式首页，并按自己的角色使用对应功能。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041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角色</w:t>
            </w:r>
          </w:p>
        </w:tc>
        <w:tc>
          <w:tcPr>
            <w:tcW w:type="dxa" w:w="7143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当前能力范围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普通用户 user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可入库、领料、查库存、看操作日志、标签导出、提交建档申请。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管理员 admin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在普通用户基础上，可审批、维护主数据、导入主数据、管理库区与子类别、查看审计日志。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超级管理员 super_admin</w:t>
            </w:r>
          </w:p>
        </w:tc>
        <w:tc>
          <w:tcPr>
            <w:tcW w:type="dxa" w:w="714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在管理员基础上，可进入“人员与权限”执行角色调整。</w:t>
            </w:r>
          </w:p>
        </w:tc>
      </w:tr>
    </w:tbl>
    <w:p/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4. 普通用户使用说明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4.1 首页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首页是日常最高频的快捷入口，当前主要包括顶部搜索、智能扫码、快捷领料、实时统计卡和常用功能列表。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顶部搜索：支持“产品代码 / 物料名称 / 标签编号 / 批号 / 供应商 / 库位”。输入后会跳转到库存查询页，不在首页自己展示结果列表。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智能扫码：适合拿到具体标签后做精确识别，可用于入库、领料和查询。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快捷领料：不扫码直接发起领料，目前已经是“按产品代码领料”和“按批次领料”双模式。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统计卡：总物料表示当前有在库记录的产品数；预警表示“临期或低库存”的产品并集；今日入库和今日出库对应当天实际记录数。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常用功能：普通用户通常可见“新增物料、库存查询、物料查询、标签导出、操作日志”等入口。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4.2 智能扫码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智能扫码适合“我手里已经有一个具体标签”的场景。扫码后系统会按标签编号识别并进入对应链路，适用于精确领用、核对标签详情，或把扫码结果带入入库页面。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它和首页快捷领料的区别是：扫码链路强调单标签精确追溯；快捷领料强调不记具体标签也能快速完成扣账。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4.3 快捷领料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首页“快捷领料”当前是单入口双模式，适合日常快速扣账。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按产品代码领料：搜索并选择一个产品后，直接进入领料弹窗，不再强制先选批次。弹窗会提示产品总库存、首个推荐批次和首个推荐标签，并注明系统会按 FEFO 自动扣减。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按批次领料：先选产品，再进入批次列表，最后进入领料弹窗。系统会在该批次内继续按 FEFO 自动分配。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两种模式都只负责“快速完成领料动作”，不承担库存详情浏览职责。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领用成功后，系统日志仍会逐条记录到实际被扣减的标签，便于后续追溯。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4.4 新增物料（单条入库）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“新增物料”页当前包含化材入库和膜材入库两个页签，同时在页顶提供一个独立的“模板导入入库”通用入口。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标签编号：必填，格式为 L + 6 位数字。系统会先做格式校验，再校验是否重复。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产品代码：输入已存在代码后，系统会自动识别并回填物料名称、子类别等主数据，不需要额外把名称手工再填一遍。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默认单位：对已存在主数据的产品，页面会自动读取主数据默认单位并只读展示。当前提示文案已统一为“默认单位自动跟随主数据”。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过期日期与长期有效：二选一。页面日期选择和后端校验都按“今天及以后”统一处理。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化材单条入库需要填写净含量，包装形式可选；膜材单条入库需要填写厚度、幅宽、长度，其中厚度在主数据已锁定时会只读显示。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如果输入的是未知产品代码：普通用户会看到阻断卡片，只能“立即申请建档”；管理员会看到相同阻断页，但 CTA 为“直接建档”。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普通用户申请建档时，当前申请弹窗已包含“默认单位”必选项，单位范围会按当前类别限制，不再让审批单缺少关键主数据字段。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4.5 模板导入入库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模板导入入库现在已经是新增物料页顶部的独立入口，且对所有 active 用户开放。</w:t>
      </w:r>
    </w:p>
    <w:p>
      <w:pPr>
        <w:pStyle w:val="ListNumber"/>
        <w:spacing w:after="20"/>
      </w:pPr>
      <w:r>
        <w:rPr>
          <w:rFonts w:ascii="Microsoft YaHei" w:hAnsi="Microsoft YaHei" w:eastAsia="Microsoft YaHei" w:cs="Microsoft YaHei"/>
          <w:sz w:val="21"/>
        </w:rPr>
        <w:t>先导出系统当前最新的库存入库模板（.xlsx）。</w:t>
      </w:r>
    </w:p>
    <w:p>
      <w:pPr>
        <w:pStyle w:val="ListNumber"/>
        <w:spacing w:after="20"/>
      </w:pPr>
      <w:r>
        <w:rPr>
          <w:rFonts w:ascii="Microsoft YaHei" w:hAnsi="Microsoft YaHei" w:eastAsia="Microsoft YaHei" w:cs="Microsoft YaHei"/>
          <w:sz w:val="21"/>
        </w:rPr>
        <w:t>按模板填写后另存为 CSV。</w:t>
      </w:r>
    </w:p>
    <w:p>
      <w:pPr>
        <w:pStyle w:val="ListNumber"/>
        <w:spacing w:after="20"/>
      </w:pPr>
      <w:r>
        <w:rPr>
          <w:rFonts w:ascii="Microsoft YaHei" w:hAnsi="Microsoft YaHei" w:eastAsia="Microsoft YaHei" w:cs="Microsoft YaHei"/>
          <w:sz w:val="21"/>
        </w:rPr>
        <w:t>上传 CSV，先看系统预览，再确认正式入库。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模板是化材 / 膜材通用模板，一行对应一个标签编号。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模板前 3 行为分组抬头、字段名和填写提示，正式数据从第 4 行开始。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模板中的库区、类别和填写说明来自当前系统配置，不建议复用旧模板。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未知产品代码不能直接通过模板导入入库；这条链路的目标是批量标准入库，不承担建档申请。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预览结果会区分“有效 / 错误 / 提醒”。其中“疑似重复入库”只作为提醒，不会自动拦截；真正阻断仍以标签编号重复、产品代码无效、日期非法等错误为准。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4.6 批量扫码入库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批量模式仍然保留在当前类别页签语义下，表示“按当前类别做连续扫码入库”。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先选定产品代码，再连续扫描真实标签。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化材会显示当前物料的默认单位和包装形式；膜材会先要求确认本批次实际幅宽，必要时补录厚度。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页面支持统一设置默认批号、默认存储区域、详细坐标和默认过期信息，这些设置会批量应用到新扫码项。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单位继续跟随主数据，不在批量扫码现场临时切换。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4.7 库存查询与标签详情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库存查询页是正式检索入口，适合做日常找料、风险筛选和层级浏览。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当前支持按“产品代码 / 物料名称 / 标签编号 / 批号 / 供应商 / 库位”搜索。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支持从首页预警卡直接进入风险筛选结果。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可在产品聚合、批次和标签三个层级查看库存。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标签详情页适合做单标签核对和精确领用。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膜材详情页中，普通用户只会看到当前标签的规格信息；管理员还会额外看到“修正幅宽”能力，该操作只影响当前标签，不会直接修改主数据默认幅宽。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4.8 物料查询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物料查询页承担主数据只读检索。当前搜索口径为“产品代码 / 物料名称 / 子类别 / 供应商 / 原厂型号 / 包装形式 / 规格”。适合在不进库存层级的情况下快速确认主数据是否已存在。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4.9 标签导出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首页“标签导出”当前已对所有 active 用户开放，不再是管理员专属功能。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支持 3 种模板类型：膜材信息标签、化材标准瓶信息标签、化材小瓶信息标签。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支持按“标签编号 / 产品代码 / 物料名称 / 批号”搜索。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导出对象是当前在库标签，且必须先勾选再导出。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页面会固定提示“请按标签编号对应基础二维码标签粘贴”，现场也应按这个口径执行。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当前导出的是信息标签 Excel，不包含单独的二维码字段。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4.10 操作日志与我的申请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操作日志用于追溯入库、领用等业务动作；“我的申请”用于普通用户查看自己提交的建档申请状态和驳回原因。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若普通用户遇到未知代码阻断，建议的标准处理顺序是：先提交申请，再到“我的申请”跟进审批结果，不建议线下绕开主数据流程。</w:t>
      </w:r>
    </w:p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5. 管理员使用说明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5.1 审批中心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审批中心当前分为“物料审批”和“人员审批”两个页签。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物料审批：管理员可查看普通用户提交的建档申请，页面会展示产品代码、类别、物料名称、子类别、供应商和默认单位。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人员审批：管理员可审批新注册用户，审批通过后该用户进入 active 状态。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驳回时可填写驳回原因，申请人端会回显。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5.2 物料管理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物料管理页当前提供“活跃物料 / 已归档”两个页签，并支持导入、新增、编辑、归档和恢复。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搜索字段与页面 placeholder 已收口为“产品代码 / 物料名称 / 子类别 / 供应商 / 原厂型号 / 包装形式 / 规格”。如果主数据默认单位、厚度或默认幅宽需要调整，应在这里处理，而不是在入库现场临时改。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5.3 主数据导入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管理员仍可通过物料管理页进入物料导入链路。当前做法是：导出最新主数据模板、填写后另存为 CSV、上传预览、确认导入。模板会带当前子类别和默认单位说明，不建议复用旧文件。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5.4 库区管理与子类别管理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库区管理和子类别管理不是首页独立入口，而是从新增物料、物料编辑等管理页中进入。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库区管理：按化材 / 膜材分别维护当前启用库区。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子类别管理：按化材 / 膜材分别维护正式子类别。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这两类配置会直接影响申请建档、入库模板导出和页面下拉选项。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5.5 审计日志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管理员首页可见“审计日志”。它用于查看更偏治理侧的记录，与普通“操作日志”形成分工。试运行阶段建议管理员把审批、建档、导入、归档和恢复等动作都尽量通过系统内入口完成，便于审计留痕。</w:t>
      </w:r>
    </w:p>
    <w:p>
      <w:pPr>
        <w:pStyle w:val="Heading2"/>
        <w:spacing w:before="120" w:after="80"/>
      </w:pPr>
      <w:r>
        <w:rPr>
          <w:rFonts w:ascii="Microsoft YaHei" w:hAnsi="Microsoft YaHei" w:eastAsia="Microsoft YaHei" w:cs="Microsoft YaHei"/>
          <w:b/>
          <w:sz w:val="25"/>
        </w:rPr>
        <w:t>5.6 膜材幅宽修正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管理员在膜材标签详情页可看到“修正幅宽”能力。当前能力只修正当前标签，不会直接覆盖物料主数据默认幅宽，适合处理同一物料不同批次或不同单卷的实际规格差异。</w:t>
      </w:r>
    </w:p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6. 超级管理员附录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超级管理员在管理员能力基础上，还可进入首页“人员与权限”，对已激活用户执行角色调整。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可把普通用户提升为 admin。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也可把管理员降回普通用户。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角色调整完成后，目标账号重新进入系统时，首页入口会随角色变化同步更新。</w:t>
      </w:r>
    </w:p>
    <w:p>
      <w:pPr>
        <w:spacing w:after="60"/>
      </w:pPr>
      <w:r>
        <w:rPr>
          <w:rFonts w:ascii="Microsoft YaHei" w:hAnsi="Microsoft YaHei" w:eastAsia="Microsoft YaHei" w:cs="Microsoft YaHei"/>
          <w:sz w:val="21"/>
        </w:rPr>
        <w:t>建议试运行期间把角色变更集中在少量测试账号上执行，避免真实使用账号的权限被频繁切换。</w:t>
      </w:r>
    </w:p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7. 常见提示语与处理建议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381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常见情况</w:t>
            </w:r>
          </w:p>
        </w:tc>
        <w:tc>
          <w:tcPr>
            <w:tcW w:type="dxa" w:w="6803"/>
            <w:vAlign w:val="center"/>
            <w:shd w:fill="EAF0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/>
                <w:sz w:val="21"/>
              </w:rPr>
              <w:t>建议理解与处理方式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待审批 / 已驳回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说明账号尚未进入正式可用状态。待审批请联系管理员处理；已驳回请先看原因再重提。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标签重复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标签编号是最小主键。系统提示重复时应立即停下核对，不要换个产品代码继续录。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标签格式错误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当前正式格式是 L + 6 位数字，例如 L000123。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未知编码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普通用户先申请建档；管理员可直接建档。不要把未知产品代码直接当成已存在物料入库。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归档物料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说明该代码曾存在但已停用。需管理员恢复后才可继续使用。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无权限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先确认账号状态是否为 active，再确认当前角色是否具备对应能力。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库存不足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说明当前可扣减库存不足，应先核对库存真值、批次或标签。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模板导入提醒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提醒类信息不是阻断。若提示疑似重复入库，应先人工确认是否真的是补打一批一样的货。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标签导出提示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 w:cs="Microsoft YaHei"/>
                <w:b w:val="0"/>
                <w:sz w:val="21"/>
              </w:rPr>
              <w:t>当前现场匹配以标签编号为准，不靠产品代码或批号判断贴哪张信息标签。</w:t>
            </w:r>
          </w:p>
        </w:tc>
      </w:tr>
    </w:tbl>
    <w:p/>
    <w:p>
      <w:pPr>
        <w:pStyle w:val="Heading1"/>
        <w:spacing w:before="120" w:after="80"/>
      </w:pPr>
      <w:r>
        <w:rPr>
          <w:rFonts w:ascii="Microsoft YaHei" w:hAnsi="Microsoft YaHei" w:eastAsia="Microsoft YaHei" w:cs="Microsoft YaHei"/>
          <w:b/>
          <w:sz w:val="30"/>
        </w:rPr>
        <w:t>8. 试运行建议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先用少量真实样本跑通：扫码、单条入库、快捷领料、库存查询、标签导出。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试运行初期尽量保留同事间的口头复核，尤其是未知代码申请、批量导入和标签补打。</w:t>
      </w:r>
    </w:p>
    <w:p>
      <w:pPr>
        <w:pStyle w:val="ListBullet"/>
        <w:spacing w:after="20"/>
      </w:pPr>
      <w:r>
        <w:rPr>
          <w:rFonts w:ascii="Microsoft YaHei" w:hAnsi="Microsoft YaHei" w:eastAsia="Microsoft YaHei" w:cs="Microsoft YaHei"/>
          <w:sz w:val="21"/>
        </w:rPr>
        <w:t>如果主数据、库区或子类别刚改过，请重新导出最新模板，不要沿用本地旧文件。</w:t>
      </w:r>
    </w:p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