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B4A89"/>
          <w:sz w:val="48"/>
        </w:rPr>
        <w:t>实验室库存管理系统试运行使用说明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4"/>
        </w:rPr>
        <w:t>供普通用户、管理员、超级管理员试运行阅读与参考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1"/>
        </w:rPr>
        <w:t>版本：试运行版</w:t>
      </w:r>
      <w:r>
        <w:rPr>
          <w:rFonts w:ascii="Microsoft YaHei" w:hAnsi="Microsoft YaHei" w:eastAsia="Microsoft YaHei"/>
          <w:b w:val="0"/>
          <w:color w:val="646464"/>
          <w:sz w:val="21"/>
        </w:rPr>
        <w:t xml:space="preserve">    生成日期：2026年3月23日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C68FF"/>
          <w:sz w:val="22"/>
        </w:rPr>
        <w:t>适用于普通用户、管理员、超级管理员试运行沟通与操作验证</w:t>
      </w: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F5F9FF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B4A89"/>
              </w:rPr>
              <w:t>本文档按当前系统真实页面和真实业务行为编写，可直接转发给试运行同事。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color w:val="1B4A89"/>
              </w:rPr>
              <w:t>重点说明：怎么进入系统、每个角色能做什么、每条业务链路如何走、遇到提示该怎么处理。</w:t>
            </w:r>
          </w:p>
        </w:tc>
      </w:tr>
    </w:tbl>
    <w:p/>
    <w:p>
      <w:pPr>
        <w:pStyle w:val="Heading1"/>
      </w:pPr>
      <w:r>
        <w:t>1. 系统定位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本系统用于实验室化材、膜材的入库、库存查询、领用扣账、日志追溯和主数据管理。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系统当前主要有三条业务链路：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首页快捷入口：适合快速看统计、首页搜索、扫码领料、按产品或批次便捷领用。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库存查询页：适合正式检索库存、查看产品聚合、批次明细和标签最小单元。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精确标签链路：适合按标签编号核对库存、库位、效期，并对单标签执行精确领用。</w:t>
      </w:r>
    </w:p>
    <w:p>
      <w:pPr>
        <w:pStyle w:val="Heading1"/>
      </w:pPr>
      <w:r>
        <w:t>2. 统一术语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70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术语</w:t>
            </w:r>
          </w:p>
        </w:tc>
        <w:tc>
          <w:tcPr>
            <w:tcW w:type="dxa" w:w="6690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说明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产品代码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物料主数据编码。化材一般为 J-xxx，膜材一般为 M-xxx。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物料名称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物料正式名称。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标签编号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单条库存记录的唯一标签，格式固定为 L+6位数字，例如 L000101。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默认单位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物料主数据默认显示单位。化材支持 kg / g / L / mL；膜材支持 m / m²。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幅宽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膜材宽度相关展示文案。主数据场景常见为默认幅宽，库存详情场景显示为幅宽。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批号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同一批来料的批次编号。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风险预警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临期或低库存的产品并集，不是标签数，也不是批次数。</w:t>
            </w:r>
          </w:p>
        </w:tc>
      </w:tr>
    </w:tbl>
    <w:p/>
    <w:p>
      <w:pPr>
        <w:pStyle w:val="Heading1"/>
      </w:pPr>
      <w:r>
        <w:t>3. 账号与状态说明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系统按微信身份识别，不是账号密码登录。首次使用时，未注册用户会先进入注册页。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注册后，账号会在以下状态之间流转：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36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状态</w:t>
            </w:r>
          </w:p>
        </w:tc>
        <w:tc>
          <w:tcPr>
            <w:tcW w:type="dxa" w:w="4876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2268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处理建议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待审批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注册信息已提交，但管理员还未放行。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等待管理员审批，或在待审批页点击刷新检查。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已驳回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管理员拒绝了本次注册。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查看驳回原因，修改后重新提交。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已激活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可以正常进入业务首页并执行对应角色操作。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正常使用系统。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已禁用</w:t>
            </w:r>
          </w:p>
        </w:tc>
        <w:tc>
          <w:tcPr>
            <w:tcW w:type="dxa" w:w="4876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账号当前不可继续使用。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联系管理员处理。</w:t>
            </w:r>
          </w:p>
        </w:tc>
      </w:tr>
    </w:tbl>
    <w:p/>
    <w:p>
      <w:pPr>
        <w:spacing w:after="120"/>
      </w:pPr>
      <w:r>
        <w:rPr>
          <w:rFonts w:ascii="Microsoft YaHei" w:hAnsi="Microsoft YaHei" w:eastAsia="Microsoft YaHei"/>
          <w:b w:val="0"/>
        </w:rPr>
        <w:t>注册页当前至少要求填写姓名。手机号和部门建议一并补全，试运行阶段更有利于管理员快速判断是否通过。</w:t>
      </w:r>
    </w:p>
    <w:p>
      <w:pPr>
        <w:pStyle w:val="Heading1"/>
      </w:pPr>
      <w:r>
        <w:t>4. 普通用户使用手册</w:t>
      </w:r>
    </w:p>
    <w:p>
      <w:pPr>
        <w:pStyle w:val="Heading2"/>
      </w:pPr>
      <w:r>
        <w:t>4.1 首页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首页是快捷入口，不是正式结果承载页。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首页主要承担以下作用：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查看在库产品数、风险预警、今日入库、今日领用。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从顶部搜索框快速进入库存搜索。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通过扫码领料快速对单标签扣账。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通过“检索领料”按产品和批次做便捷扣账。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重要说明：首页顶部搜索后，会跳转到库存查询页，不会在首页直接展示搜索结果。</w:t>
      </w:r>
    </w:p>
    <w:p>
      <w:pPr>
        <w:pStyle w:val="Heading2"/>
      </w:pPr>
      <w:r>
        <w:t>4.2 扫码领料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适用场景：已经拿到具体标签，想精确扣减这一条标签库存。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操作步骤：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首页点击“扫码领料”。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扫描标签编号。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系统识别后打开领用弹窗。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输入领用数量和用途说明并提交。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系统行为：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如果标签存在且在库，会直接打开该标签的领用弹窗。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如果标签不存在，会提示“标签未录入”，并可直接进入入库页。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如果标签格式不正确，会提示标签编号错误。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注意：标签编号格式固定为 L+6位数字，例如 L000101。</w:t>
      </w:r>
    </w:p>
    <w:p>
      <w:pPr>
        <w:pStyle w:val="Heading2"/>
      </w:pPr>
      <w:r>
        <w:t>4.3 检索领料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适用场景：知道自己用了哪种物料、哪个批次，但不一定记得具体哪个标签。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当前链路为“产品聚合 -&gt; 批次选择 -&gt; 系统在该批次内自动分配扣减”。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首页点击“检索领料”。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先按化材或膜材搜索产品。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选中产品后，系统展示该产品下的批次列表。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选中批次后，输入本次总领用量并提交。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当前系统采用 FEFO 规则自动扣减：优先从更早到期的标签开始扣；到期日相同则更早入库优先；仍相同则按稳定顺序继续分配。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这条链路适合做便捷扣账，不适合做精确标签核对。</w:t>
      </w:r>
    </w:p>
    <w:p>
      <w:pPr>
        <w:pStyle w:val="Heading2"/>
      </w:pPr>
      <w:r>
        <w:t>4.4 新增物料单条入库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适用场景：单个标签逐条入库。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进入“新增物料”页，先选择化材或膜材。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输入或扫码标签编号。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输入产品代码。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如果产品代码已存在，系统会自动回填物料主数据。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补充批号、数量、库位、效期等信息后提交。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关键规则：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化材页输入 001，会按化材规则识别为 J-001。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膜材页输入 001，会按膜材规则识别为 M-001。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如果标签编号已存在，系统会阻止重复入库。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如果输入的是未知产品代码，普通用户只能提交申请建档。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如果输入的是归档物料代码，页面会阻断，不允许按正常新品继续录入。</w:t>
      </w:r>
    </w:p>
    <w:p>
      <w:pPr>
        <w:pStyle w:val="Heading2"/>
      </w:pPr>
      <w:r>
        <w:t>4.5 批量入库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适用场景：同一种物料连续录入多个标签。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在新增物料页点击“批量模式”。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先选择一个已存在的产品代码模板。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再连续扫码多个标签。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逐个补充批号、数量、效期、库位等信息。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统一提交。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说明：批量模式建立在“同一种物料连续录入”的前提下。膜材批量入库时，首次会涉及厚度和本批次实际幅宽确认。</w:t>
      </w:r>
    </w:p>
    <w:p>
      <w:pPr>
        <w:pStyle w:val="Heading2"/>
      </w:pPr>
      <w:r>
        <w:t>4.6 库存查询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适用场景：正式检索库存，查看产品、批次、标签三层信息。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当前库存搜索范围包括：产品代码、物料名称、标签编号、批号、供应商、库位。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页面层级说明：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第一层是产品聚合层。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点击产品后进入批次层。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单标签批次会直接进入标签详情。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</w:rPr>
        <w:t>多标签批次会在当前批次卡片下方展开标签列表。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多标签批次展开时，会显示标签编号、精确库存、精确库位；如果某个标签即将过期，会在该标签行显示“即将过期”。</w:t>
      </w:r>
    </w:p>
    <w:p>
      <w:pPr>
        <w:pStyle w:val="Heading2"/>
      </w:pPr>
      <w:r>
        <w:t>4.7 标签详情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标签详情是库存最小单元详情页。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在这里可以看到：标签编号、产品代码、物料名称、批号、供应商、当前库存、库位、效期以及该标签的日志入口。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普通用户可执行的核心动作是：领用、查看该标签相关日志。</w:t>
      </w:r>
    </w:p>
    <w:p>
      <w:pPr>
        <w:pStyle w:val="Heading2"/>
      </w:pPr>
      <w:r>
        <w:t>4.8 操作日志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普通日志适合查看入库、领用、移库等业务记录。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支持的筛选维度包括：时间、类型、操作人、搜索关键词。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普通日志搜索范围包括：产品代码、物料名称、标签编号、批号、操作人、类型、描述、备注。</w:t>
      </w:r>
    </w:p>
    <w:p>
      <w:pPr>
        <w:pStyle w:val="Heading2"/>
      </w:pPr>
      <w:r>
        <w:t>4.9 我的申请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当普通用户提交未知编码建档申请后，可在“我的申请”页面查看审批进度。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常见状态包括：待审核、已通过、已驳回。</w:t>
      </w:r>
    </w:p>
    <w:p>
      <w:pPr>
        <w:pStyle w:val="Heading1"/>
      </w:pPr>
      <w:r>
        <w:t>5. 管理员使用手册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管理员拥有普通用户全部能力，并额外拥有审批、主数据维护、导入、库区与子类别管理、管理员日志查看等能力。</w:t>
      </w:r>
    </w:p>
    <w:p>
      <w:pPr>
        <w:pStyle w:val="Heading2"/>
      </w:pPr>
      <w:r>
        <w:t>5.1 审批中心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处理用户注册审批。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处理物料建档申请审批。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支持通过与驳回，驳回时可填写原因。</w:t>
      </w:r>
    </w:p>
    <w:p>
      <w:pPr>
        <w:pStyle w:val="Heading2"/>
      </w:pPr>
      <w:r>
        <w:t>5.2 物料管理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查看有效物料和归档物料。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按产品代码、物料名称、子类别、供应商、原厂型号、包装形式、规格搜索。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编辑、归档、恢复主数据。</w:t>
      </w:r>
    </w:p>
    <w:p>
      <w:pPr>
        <w:pStyle w:val="Heading2"/>
      </w:pPr>
      <w:r>
        <w:t>5.3 物料导入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先导出系统最新模板。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按模板填写并另存为 CSV。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上传后先看预览校验，再确认导入。</w:t>
      </w:r>
    </w:p>
    <w:p>
      <w:pPr>
        <w:pStyle w:val="Heading2"/>
      </w:pPr>
      <w:r>
        <w:t>5.4 库区管理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分别维护化材和膜材库区。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新增、编辑、启停库区。</w:t>
      </w:r>
    </w:p>
    <w:p>
      <w:pPr>
        <w:pStyle w:val="Heading2"/>
      </w:pPr>
      <w:r>
        <w:t>5.5 子类别管理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维护化材和膜材正式子类别。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影响新增物料、物料导入和搜索展示口径。</w:t>
      </w:r>
    </w:p>
    <w:p>
      <w:pPr>
        <w:pStyle w:val="Heading2"/>
      </w:pPr>
      <w:r>
        <w:t>5.6 管理员日志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查看更完整的审计信息。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适合做全局追踪和异常排查。</w:t>
      </w:r>
    </w:p>
    <w:p>
      <w:pPr>
        <w:pStyle w:val="Heading2"/>
      </w:pPr>
      <w:r>
        <w:t>5.7 膜材幅宽修正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管理员在膜材标签详情页可见“修正幅宽”能力。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修正的是当前标签库存记录对应的幅宽，不是整批联动，也不是主数据默认幅宽联动。</w:t>
      </w:r>
    </w:p>
    <w:p>
      <w:pPr>
        <w:pStyle w:val="Heading1"/>
      </w:pPr>
      <w:r>
        <w:t>6. 超级管理员附录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超级管理员在管理员能力基础上，额外拥有用户角色管理能力。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查看活跃用户列表。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搜索用户。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把普通用户提升为管理员。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把管理员降回普通用户。</w:t>
      </w:r>
    </w:p>
    <w:p>
      <w:pPr>
        <w:spacing w:after="120"/>
      </w:pPr>
      <w:r>
        <w:rPr>
          <w:rFonts w:ascii="Microsoft YaHei" w:hAnsi="Microsoft YaHei" w:eastAsia="Microsoft YaHei"/>
          <w:b w:val="0"/>
        </w:rPr>
        <w:t>角色变更属于敏感操作，只建议在试运行授权场景中使用。测试结束后，建议把临时升权账号恢复为普通用户。</w:t>
      </w:r>
    </w:p>
    <w:p>
      <w:pPr>
        <w:pStyle w:val="Heading1"/>
      </w:pPr>
      <w:r>
        <w:t>7. 常见提示语与处理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361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提示语</w:t>
            </w:r>
          </w:p>
        </w:tc>
        <w:tc>
          <w:tcPr>
            <w:tcW w:type="dxa" w:w="3515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3628"/>
            <w:shd w:fill="2C68FF"/>
            <w:vAlign w:val="center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</w:rPr>
              <w:t>处理建议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待审批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注册已提交，管理员还未放行。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联系管理员审核，或在待审批页点击刷新。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已驳回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注册被拒绝。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查看原因，修改资料后重新提交。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标签编号重复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该标签已入库。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不可重复建账，请核对是否扫错标签。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未知编码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系统中没有这个产品代码。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普通用户走申请建档，管理员可直接建档。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归档物料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该代码对应物料已归档。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不要按正常新品录入，先联系管理员确认是否恢复。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无权限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当前角色不能访问该页面或动作。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使用对应角色账号测试，或联系管理员。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库存不足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领用量超过可用库存。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减少领用量，或换批次/换标签确认。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Microsoft YaHei" w:hAnsi="Microsoft YaHei" w:eastAsia="Microsoft YaHei"/>
                <w:b w:val="0"/>
              </w:rPr>
              <w:t>标签编号错误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标签格式不符合规则。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Microsoft YaHei" w:hAnsi="Microsoft YaHei" w:eastAsia="Microsoft YaHei"/>
                <w:b w:val="0"/>
              </w:rPr>
              <w:t>按 L+6位数字重新输入，例如 L000101。</w:t>
            </w:r>
          </w:p>
        </w:tc>
      </w:tr>
    </w:tbl>
    <w:p/>
    <w:p>
      <w:pPr>
        <w:pStyle w:val="Heading1"/>
      </w:pPr>
      <w:r>
        <w:t>8. 使用建议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如果你知道具体标签，请优先走扫码领料或标签详情领用，这样追溯最清楚。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如果你只知道今天用了某个产品或某个批次，可以走首页“检索领料”做便捷扣账。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</w:rPr>
        <w:t>如果遇到未知编码，不要自行猜填现有物料，请按系统阻断路径走申请建档或管理员建档。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B4A8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C68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B4A8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B4A8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