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B4A89"/>
          <w:sz w:val="48"/>
        </w:rPr>
        <w:t>实验室库存管理系统试运行测试数据与角色测试用例包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4"/>
        </w:rPr>
        <w:t>供测试同事执行试运行、记录结果与回归验证使用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1"/>
        </w:rPr>
        <w:t>版本：试运行版</w:t>
      </w:r>
      <w:r>
        <w:rPr>
          <w:rFonts w:ascii="Microsoft YaHei" w:hAnsi="Microsoft YaHei" w:eastAsia="Microsoft YaHei"/>
          <w:b w:val="0"/>
          <w:color w:val="646464"/>
          <w:sz w:val="21"/>
        </w:rPr>
        <w:t xml:space="preserve">    生成日期：2026年3月23日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C68FF"/>
          <w:sz w:val="22"/>
        </w:rPr>
        <w:t>适用于普通用户、管理员、超级管理员试运行沟通与操作验证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5F9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B4A89"/>
              </w:rPr>
              <w:t>本文档用于组织试运行测试，不要求测试同事理解实现细节。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color w:val="1B4A89"/>
              </w:rPr>
              <w:t>所有步骤都按“页面名称 -&gt; 点什么 -&gt; 会看到什么”来写，适合直接照单执行。</w:t>
            </w:r>
          </w:p>
        </w:tc>
      </w:tr>
    </w:tbl>
    <w:p/>
    <w:p>
      <w:pPr>
        <w:pStyle w:val="Heading1"/>
      </w:pPr>
      <w:r>
        <w:t>1. 测试前提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建议使用独立测试环境或至少使用独立测试数据，不要直接在正式数据上试。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必须准备不同微信身份，对应不同角色。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如果暂时没有这么多真实微信号，就先预置多条用户记录，再分配给测试同事登录。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以下基线中的临期和风险判断，默认以 2026年3月23日 为验收基准日。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如果实际试运行日期明显晚于 2026年3月23日，建议把测试数据中的效期整体顺延，保持“是否在30天内”的相对关系不变。</w:t>
      </w:r>
    </w:p>
    <w:p>
      <w:pPr>
        <w:pStyle w:val="Heading1"/>
      </w:pPr>
      <w:r>
        <w:t>2. 测试账号清单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70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账号别名</w:t>
            </w:r>
          </w:p>
        </w:tc>
        <w:tc>
          <w:tcPr>
            <w:tcW w:type="dxa" w:w="124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姓名</w:t>
            </w:r>
          </w:p>
        </w:tc>
        <w:tc>
          <w:tcPr>
            <w:tcW w:type="dxa" w:w="113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角色</w:t>
            </w:r>
          </w:p>
        </w:tc>
        <w:tc>
          <w:tcPr>
            <w:tcW w:type="dxa" w:w="113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状态</w:t>
            </w:r>
          </w:p>
        </w:tc>
        <w:tc>
          <w:tcPr>
            <w:tcW w:type="dxa" w:w="3685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备注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U-PENDING-01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张测试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user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pending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用于待审批流转测试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U-REJECT-01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李测试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user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rejected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驳回原因为“部门信息不完整，请补充后重提”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U-USER-01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王测试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user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普通用户主测试账号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U-USER-02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刘测试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user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专供超管升权/降权测试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U-ADMIN-01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陈管理员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admin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管理员主测试账号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U-SUPER-01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赵超管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super_admin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  <w:tc>
          <w:tcPr>
            <w:tcW w:type="dxa" w:w="368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超管主测试账号</w:t>
            </w:r>
          </w:p>
        </w:tc>
      </w:tr>
    </w:tbl>
    <w:p/>
    <w:p>
      <w:pPr>
        <w:pStyle w:val="Heading1"/>
      </w:pPr>
      <w:r>
        <w:t>3. 库区与子类别准备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库区建议至少准备：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化材：实验室1、实验室2、实验室3、物料间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膜材：研发仓1、研发仓2、实验线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子类别建议至少启用：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化材：溶剂、树脂、固化剂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膜材：基材-PET、离型膜、保护膜</w:t>
      </w:r>
    </w:p>
    <w:p>
      <w:pPr>
        <w:pStyle w:val="Heading1"/>
      </w:pPr>
      <w:r>
        <w:t>4. 初始化主数据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24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产品代码</w:t>
            </w:r>
          </w:p>
        </w:tc>
        <w:tc>
          <w:tcPr>
            <w:tcW w:type="dxa" w:w="215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物料名称</w:t>
            </w:r>
          </w:p>
        </w:tc>
        <w:tc>
          <w:tcPr>
            <w:tcW w:type="dxa" w:w="85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类别</w:t>
            </w:r>
          </w:p>
        </w:tc>
        <w:tc>
          <w:tcPr>
            <w:tcW w:type="dxa" w:w="141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子类别</w:t>
            </w:r>
          </w:p>
        </w:tc>
        <w:tc>
          <w:tcPr>
            <w:tcW w:type="dxa" w:w="102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默认单位</w:t>
            </w:r>
          </w:p>
        </w:tc>
        <w:tc>
          <w:tcPr>
            <w:tcW w:type="dxa" w:w="255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包装/规格</w:t>
            </w:r>
          </w:p>
        </w:tc>
        <w:tc>
          <w:tcPr>
            <w:tcW w:type="dxa" w:w="113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供应商</w:t>
            </w:r>
          </w:p>
        </w:tc>
        <w:tc>
          <w:tcPr>
            <w:tcW w:type="dxa" w:w="102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状态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J-001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丙酮分析纯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化材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溶剂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kg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桶装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国药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J-002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环氧树脂A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化材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树脂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kg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桶装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南亚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J-003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固化剂B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化材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固化剂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kg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瓶装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巴斯夫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M-001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PET离型基膜50u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膜材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基材-PET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厚度50，默认幅宽520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可自定义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M-002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离型膜A75u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膜材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离型膜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m²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厚度75，默认幅宽1080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可自定义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active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J-099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旧版清洗剂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化材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溶剂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kg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桶装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可自定义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archived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M-099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已归档保护膜</w:t>
            </w:r>
          </w:p>
        </w:tc>
        <w:tc>
          <w:tcPr>
            <w:tcW w:type="dxa" w:w="85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膜材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保护膜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</w:t>
            </w:r>
          </w:p>
        </w:tc>
        <w:tc>
          <w:tcPr>
            <w:tcW w:type="dxa" w:w="255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厚度可自定义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可自定义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archived</w:t>
            </w:r>
          </w:p>
        </w:tc>
      </w:tr>
    </w:tbl>
    <w:p/>
    <w:p>
      <w:pPr>
        <w:pStyle w:val="Heading1"/>
      </w:pPr>
      <w:r>
        <w:t>5. 初始化在库标签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41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标签编号</w:t>
            </w:r>
          </w:p>
        </w:tc>
        <w:tc>
          <w:tcPr>
            <w:tcW w:type="dxa" w:w="102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产品代码</w:t>
            </w:r>
          </w:p>
        </w:tc>
        <w:tc>
          <w:tcPr>
            <w:tcW w:type="dxa" w:w="130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批号</w:t>
            </w:r>
          </w:p>
        </w:tc>
        <w:tc>
          <w:tcPr>
            <w:tcW w:type="dxa" w:w="1304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库存</w:t>
            </w:r>
          </w:p>
        </w:tc>
        <w:tc>
          <w:tcPr>
            <w:tcW w:type="dxa" w:w="1928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库位</w:t>
            </w:r>
          </w:p>
        </w:tc>
        <w:tc>
          <w:tcPr>
            <w:tcW w:type="dxa" w:w="1417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效期/状态</w:t>
            </w:r>
          </w:p>
        </w:tc>
        <w:tc>
          <w:tcPr>
            <w:tcW w:type="dxa" w:w="272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用途说明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AC240301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2.0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实验室1 | A01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2026-09-30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与 L000102 同批次，用于 FEFO 分摊测试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AC240301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1.5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实验室1 | A02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2026-04-10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同批次中更早到期，用于推荐首扣测试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AC240201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0.3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实验室2 | B01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2026-05-30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用于低库存/风险测试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J-002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EP260101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5.0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物料间 | C01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长期有效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用于扫码精确领用测试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L000105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J-003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HD260201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0.2 kg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实验室3 | D01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2027-01-15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用于低库存风险测试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L000201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PET2601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120 m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研发仓1 | F01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2026-07-01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多标签膜材批次之一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L000202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PET2601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80 m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研发仓2 | F03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2026-04-05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多标签膜材批次之一，且临期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L000203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M-001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PET2512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40 m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研发仓1 | F02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2026-05-20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单标签批次，用于详情直达测试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L000204</w:t>
            </w:r>
          </w:p>
        </w:tc>
        <w:tc>
          <w:tcPr>
            <w:tcW w:type="dxa" w:w="102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M-002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RL2602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基础长度 100 m</w:t>
            </w:r>
          </w:p>
        </w:tc>
        <w:tc>
          <w:tcPr>
            <w:tcW w:type="dxa" w:w="19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实验线 | G01</w:t>
            </w:r>
          </w:p>
        </w:tc>
        <w:tc>
          <w:tcPr>
            <w:tcW w:type="dxa" w:w="1417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2026-12-31</w:t>
            </w:r>
          </w:p>
        </w:tc>
        <w:tc>
          <w:tcPr>
            <w:tcW w:type="dxa" w:w="2721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默认单位展示应为 108 m²</w:t>
            </w:r>
          </w:p>
        </w:tc>
      </w:tr>
    </w:tbl>
    <w:p/>
    <w:p>
      <w:pPr>
        <w:pStyle w:val="Heading1"/>
      </w:pPr>
      <w:r>
        <w:t>6. 初始化基线期望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首页在库产品数 = 5。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首页风险预警 = 3。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风险产品应为 J-001、J-003、M-001。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首页今日入库 = 0。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首页今日领用 = 0。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库存页风险筛选结果只应出现 J-001、J-003、M-001。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搜索 AC240301 或 L000101 时都应召回 J-001。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M-001 的批次页应出现 PET2601 和 PET2512。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PET2601 应为多标签批次，PET2512 应为单标签批次。</w:t>
      </w:r>
    </w:p>
    <w:p>
      <w:pPr>
        <w:pStyle w:val="Heading1"/>
      </w:pPr>
      <w:r>
        <w:t>7. 角色测试用例</w:t>
      </w:r>
    </w:p>
    <w:p>
      <w:pPr>
        <w:pStyle w:val="Heading2"/>
      </w:pPr>
      <w:r>
        <w:t>7.1 第一组：账号与状态流转</w:t>
      </w:r>
    </w:p>
    <w:p>
      <w:pPr>
        <w:pStyle w:val="Heading2"/>
      </w:pPr>
      <w:r>
        <w:t>G1-01 新用户注册进入待审批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未注册新用户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使用一个从未注册过的小程序微信号。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打开小程序。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进入注册页。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填写姓名，建议同时填写手机号和部门。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页面提示注册成功。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随后进入待审批页面。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不能直接进入首页业务页。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待审批页应有刷新检查入口。</w:t>
      </w:r>
    </w:p>
    <w:p>
      <w:pPr>
        <w:pStyle w:val="Heading2"/>
      </w:pPr>
      <w:r>
        <w:t>G1-02 已驳回用户查看原因并重提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U-REJECT-01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账号状态为 rejected。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登录小程序。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查看驳回状态页。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点击修改资料。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重新填写信息并提交。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页面能看到驳回原因“部门信息不完整，请补充后重提”。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点击修改后可回到注册页。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重提后状态回到待审批。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重提后不应仍停留在已驳回状态。</w:t>
      </w:r>
    </w:p>
    <w:p>
      <w:pPr>
        <w:pStyle w:val="Heading2"/>
      </w:pPr>
      <w:r>
        <w:t>G1-03 管理员审批用户后用户进入首页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 与 U-PENDING-01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有一个待审批用户。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管理员登录并进入审批中心。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在用户审批中通过 U-PENDING-01。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待审批用户重新打开小程序或在待审批页点刷新。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管理员侧提示操作成功。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U-PENDING-01 不再停留在待审批页。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U-PENDING-01 正常进入首页。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审批后首页入口应和普通用户一致。</w:t>
      </w:r>
    </w:p>
    <w:p>
      <w:pPr>
        <w:pStyle w:val="Heading2"/>
      </w:pPr>
      <w:r>
        <w:t>7.2 第二组：普通用户只读与快捷入口</w:t>
      </w:r>
    </w:p>
    <w:p>
      <w:pPr>
        <w:pStyle w:val="Heading2"/>
      </w:pPr>
      <w:r>
        <w:t>G2-01 首页顶部搜索跳转库存聚合页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已激活普通用户。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在首页顶部搜索框输入 J-001。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等待自动跳转，或点击搜索确认。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页面跳转到库存查询页。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结果页显示 J-001 对应的产品聚合卡片。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首页本身不展示搜索结果列表。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回首页后顶部搜索框不会长期卡在结果页状态。</w:t>
      </w:r>
    </w:p>
    <w:p>
      <w:pPr>
        <w:pStyle w:val="Heading2"/>
      </w:pPr>
      <w:r>
        <w:t>G2-02 首页风险卡进入真实风险筛选结果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初始化数据已完成。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在首页点击风险预警卡。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进入库存查询页。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页面处于风险筛选状态。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结果只显示 J-001、J-003、M-001。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关闭风险提示后，应可回到普通库存列表。</w:t>
      </w:r>
    </w:p>
    <w:p>
      <w:pPr>
        <w:pStyle w:val="Heading2"/>
      </w:pPr>
      <w:r>
        <w:t>G2-03 库存页搜索字段覆盖验证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库存初始化完成。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在库存查询页分别搜索 J-001、丙酮、L000101、AC240301、对应供应商、对应库位。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每一种关键词都能召回 J-001 产品卡。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产品卡命中原因提示只在需要时出现。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搜索标签编号或批号时，召回的是产品聚合卡，不是直接跳详情。</w:t>
      </w:r>
    </w:p>
    <w:p>
      <w:pPr>
        <w:pStyle w:val="Heading2"/>
      </w:pPr>
      <w:r>
        <w:t>7.3 第三组：普通用户精确领用</w:t>
      </w:r>
    </w:p>
    <w:p>
      <w:pPr>
        <w:pStyle w:val="Heading2"/>
      </w:pPr>
      <w:r>
        <w:t>G3-01 首页扫码精确领用化材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L000104 当前库存为 5.0 kg。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首页点击扫码领料。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扫描 L000104。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在弹窗中输入领用量 1.0。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弹窗显示当前库存。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提交成功后提示剩余 4.0 kg。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该标签详情再次打开时显示库存已变为 4.0 kg。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首页统计和库存详情返回后应刷新。</w:t>
      </w:r>
    </w:p>
    <w:p>
      <w:pPr>
        <w:pStyle w:val="Heading2"/>
      </w:pPr>
      <w:r>
        <w:t>G3-02 库存详情精确领用膜材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L000203 当前库存为 40 m。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进入库存查询页。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打开 M-001。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进入批次 PET2512。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因为这是单标签批次，应直接进入标签详情。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领用 10 m。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提交成功。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剩余显示为 30 m。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返回上层后，该批次和产品总库存同步刷新。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膜材数量应按当前显示单位规则展示，不能出现原始字段直出。</w:t>
      </w:r>
    </w:p>
    <w:p>
      <w:pPr>
        <w:pStyle w:val="Heading2"/>
      </w:pPr>
      <w:r>
        <w:t>G3-03 按标签查日志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已执行一次标签领用。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从标签详情进入操作日志。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或直接在日志页搜索 L000104。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能查到对应领用记录。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记录上能看到产品代码、物料名称、操作类型、时间、数量。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日志时间顺序应为最新在前。</w:t>
      </w:r>
    </w:p>
    <w:p>
      <w:pPr>
        <w:pStyle w:val="Heading2"/>
      </w:pPr>
      <w:r>
        <w:t>7.4 第四组：普通用户便捷领用</w:t>
      </w:r>
    </w:p>
    <w:p>
      <w:pPr>
        <w:pStyle w:val="Heading2"/>
      </w:pPr>
      <w:r>
        <w:t>G4-01 首页检索领料的 FEFO 首扣验证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J-001 批号 AC240301 下有 L000101=2.0kg、L000102=1.5kg，其中 L000102 更早到期。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首页打开“检索领料”。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搜索 J-001。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选择产品后进入批次列表。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选择批次 AC240301。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输入领用量 1.8 kg 并提交。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系统应优先从 L000102 开始扣减。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实际扣减顺序应为 L000102 -&gt; L000101。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该批次剩余库存应为 1.7 kg。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对应日志里应能体现分摊后的多条记录。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这条链路是“批次总量扣减”，不要求用户自己逐个点选标签。</w:t>
      </w:r>
    </w:p>
    <w:p>
      <w:pPr>
        <w:pStyle w:val="Heading2"/>
      </w:pPr>
      <w:r>
        <w:t>7.5 第五组：普通用户入库与申请</w:t>
      </w:r>
    </w:p>
    <w:p>
      <w:pPr>
        <w:pStyle w:val="Heading2"/>
      </w:pPr>
      <w:r>
        <w:t>G5-01 已存在代码自动回填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J-002 已存在主数据。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进入新增物料页，选择化材。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输入产品代码数字部分 002。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等待查询完成。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页面自动识别为 J-002。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物料名称、子类别、单位等主数据被自动回填。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如果继续把代码改成别的不存在编码，旧回填内容应退出旧上下文，不应继续误导。</w:t>
      </w:r>
    </w:p>
    <w:p>
      <w:pPr>
        <w:pStyle w:val="Heading2"/>
      </w:pPr>
      <w:r>
        <w:t>G5-02 普通用户未知编码申请建档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J-888 不存在于主数据中，也未归档。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在新增物料页输入 888。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等待页面识别为未知编码。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在阻断卡片中提交建档申请。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页面出现未知编码阻断，不允许直接按已有主数据继续入库。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普通用户只能看到申请建档路径。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提交后提示申请成功。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“我的申请”中出现一条待审核记录。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管理员账号在同场景下应看到“直接建档”，不是“申请建档”。</w:t>
      </w:r>
    </w:p>
    <w:p>
      <w:pPr>
        <w:pStyle w:val="Heading2"/>
      </w:pPr>
      <w:r>
        <w:t>G5-03 重复标签阻止入库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L000101 已存在库存。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在新增物料页输入或扫码 L000101。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尝试提交。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系统提示标签编号重复。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不允许继续成功入库。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重复校验应发生在录入阶段，而不是提交成功后才发现。</w:t>
      </w:r>
    </w:p>
    <w:p>
      <w:pPr>
        <w:pStyle w:val="Heading2"/>
      </w:pPr>
      <w:r>
        <w:t>7.6 第六组：管理员链路</w:t>
      </w:r>
    </w:p>
    <w:p>
      <w:pPr>
        <w:pStyle w:val="Heading2"/>
      </w:pPr>
      <w:r>
        <w:t>G6-01 管理员审批物料申请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已有一条普通用户提交的 J-888 建档申请。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管理员进入审批中心。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在物料申请中找到 J-888。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点击通过。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审批成功。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J-888 被加入正式主数据。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普通用户再次输入该代码时，页面应识别为已存在主数据，而不是未知编码。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审批后“我的申请”中的状态应变更。</w:t>
      </w:r>
    </w:p>
    <w:p>
      <w:pPr>
        <w:pStyle w:val="Heading2"/>
      </w:pPr>
      <w:r>
        <w:t>G6-02 管理员直接建档未知膜材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M-888 不存在。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管理员进入新增物料页，切到膜材。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 888。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在未知编码阻断中点击直接建档。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管理员可进入直接建档路径。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普通用户不应有这个入口。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管理员和普通用户的阻断页面节奏应一致，只是 CTA 不同。</w:t>
      </w:r>
    </w:p>
    <w:p>
      <w:pPr>
        <w:pStyle w:val="Heading2"/>
      </w:pPr>
      <w:r>
        <w:t>G6-03 管理员物料管理搜索覆盖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主数据已初始化。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进入物料管理页。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分别按产品代码、物料名称、子类别、供应商、原厂型号、包装形式、规格搜索。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对应物料能被检索到。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有效物料与归档物料分页和 Tab 切换正常。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归档页应能查到 J-099、M-099。</w:t>
      </w:r>
    </w:p>
    <w:p>
      <w:pPr>
        <w:pStyle w:val="Heading2"/>
      </w:pPr>
      <w:r>
        <w:t>G6-04 管理员日志搜索覆盖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已产生若干入库、领用、审批相关测试记录。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打开管理员日志。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分别按标签编号、批号、操作人、描述、备注搜索。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能检索到对应记录。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时间、类型、操作人筛选正常。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管理员日志用于全局审计，不应只看到单标签局部记录。</w:t>
      </w:r>
    </w:p>
    <w:p>
      <w:pPr>
        <w:pStyle w:val="Heading2"/>
      </w:pPr>
      <w:r>
        <w:t>G6-05 管理员膜材幅宽修正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 与 U-USER-01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L000201 为膜材标签。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管理员打开 L000201 详情。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查看是否存在“修正幅宽”能力。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普通用户打开同一标签详情。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管理员可见该能力。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普通用户不可见该能力。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该动作属于管理员特权，不应通过前端隐藏但后端放行的方式失守。</w:t>
      </w:r>
    </w:p>
    <w:p>
      <w:pPr>
        <w:pStyle w:val="Heading2"/>
      </w:pPr>
      <w:r>
        <w:t>7.7 第七组：超管链路</w:t>
      </w:r>
    </w:p>
    <w:p>
      <w:pPr>
        <w:pStyle w:val="Heading2"/>
      </w:pPr>
      <w:r>
        <w:t>G7-01 超管升权普通用户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U-SUPER-01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U-USER-02 当前为普通用户。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超管进入用户管理页。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搜索并找到 U-USER-02。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将其提升为管理员。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用 U-USER-02 重新登录首页。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角色变更成功。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U-USER-02 首页出现管理员相关入口。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只有超管可做此操作，管理员不可做。</w:t>
      </w:r>
    </w:p>
    <w:p>
      <w:pPr>
        <w:pStyle w:val="Heading2"/>
      </w:pPr>
      <w:r>
        <w:t>G7-02 超管降权管理员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U-SUPER-01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U-USER-02 已被提升为管理员。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超管再次进入用户管理页。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将 U-USER-02 降回普通用户。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用 U-USER-02 重新登录首页。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角色变更成功。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管理员入口消失。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建议在试运行结束后执行该恢复动作。</w:t>
      </w:r>
    </w:p>
    <w:p>
      <w:pPr>
        <w:pStyle w:val="Heading2"/>
      </w:pPr>
      <w:r>
        <w:t>7.8 第八组：可选管理员导入测试</w:t>
      </w:r>
    </w:p>
    <w:p>
      <w:pPr>
        <w:pStyle w:val="Heading2"/>
      </w:pPr>
      <w:r>
        <w:t>G8-01 可选管理员导入测试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角色：</w:t>
      </w:r>
      <w:r>
        <w:rPr>
          <w:rFonts w:ascii="Microsoft YaHei" w:hAnsi="Microsoft YaHei" w:eastAsia="Microsoft YaHei"/>
          <w:b w:val="0"/>
        </w:rPr>
        <w:t>U-ADMIN-01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前置条件：</w:t>
      </w:r>
      <w:r>
        <w:rPr>
          <w:rFonts w:ascii="Microsoft YaHei" w:hAnsi="Microsoft YaHei" w:eastAsia="Microsoft YaHei"/>
          <w:b w:val="0"/>
        </w:rPr>
        <w:t>管理员角色可用。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操作步骤：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打开物料导入页。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导出系统最新模板。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填入两条新增主数据：J-020、M-020。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另存为 CSV。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回到导入页上传 CSV。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查看预览并确认导入。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预期结果：</w:t>
      </w:r>
      <w:r>
        <w:rPr>
          <w:rFonts w:ascii="Microsoft YaHei" w:hAnsi="Microsoft YaHei" w:eastAsia="Microsoft YaHei"/>
          <w:b w:val="0"/>
        </w:rPr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预览能通过字段校验。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导入成功后物料管理页可搜索到 J-020 和 M-020。</w:t>
      </w:r>
    </w:p>
    <w:p>
      <w:pPr>
        <w:spacing w:after="120"/>
      </w:pPr>
      <w:r>
        <w:rPr>
          <w:rFonts w:ascii="Microsoft YaHei" w:hAnsi="Microsoft YaHei" w:eastAsia="Microsoft YaHei"/>
          <w:b/>
          <w:color w:val="1B4A89"/>
        </w:rPr>
        <w:t>额外观察点：</w:t>
      </w:r>
      <w:r>
        <w:rPr>
          <w:rFonts w:ascii="Microsoft YaHei" w:hAnsi="Microsoft YaHei" w:eastAsia="Microsoft YaHei"/>
          <w:b w:val="0"/>
        </w:rPr>
        <w:t>导入场景应使用系统最新模板，不建议自己手工猜列头。</w:t>
      </w:r>
    </w:p>
    <w:p>
      <w:pPr>
        <w:pStyle w:val="Heading1"/>
      </w:pPr>
      <w:r>
        <w:t>8. 通过判定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用户状态流转正确，待审批和驳回链路都能走通。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普通用户能完成首页搜索、扫码领料、检索领料、单条入库、批量入库、库存查询、日志查询、申请建档。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管理员能完成审批、物料管理、导入、日志查看、膜材幅宽修正。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超管能完成用户升权与降权。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首页风险卡、库存风险筛选、日志搜索、便捷领用与精确领用三条链路都能闭环。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标签库存、批次库存、产品总库存和日志结果在操作后保持一致。</w:t>
      </w:r>
    </w:p>
    <w:p>
      <w:pPr>
        <w:pStyle w:val="Heading1"/>
      </w:pPr>
      <w:r>
        <w:t>9. 测试顺序建议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先做初始化数据核对和首页基线验证。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再做普通用户只读与查询类测试。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再做普通用户领用、入库、申请类测试。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然后做管理员审批与管理类测试。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最后做超管升权/降权测试。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最后统一做恢复动作，便于下次重复回归。</w:t>
      </w:r>
    </w:p>
    <w:p>
      <w:pPr>
        <w:pStyle w:val="Heading1"/>
      </w:pPr>
      <w:r>
        <w:t>10. 恢复建议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把 U-USER-02 恢复为普通用户。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如果还要重复跑同一轮脚本，恢复 J-001、J-002、M-001 的测试库存。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清理测试中新增的无效申请、临时主数据和无意义日志。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如测试日期已变化较大，重新调整效期，确保临期测试仍基于“距测试日 30 天内”的标准。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B4A8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C68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B4A8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B4A8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