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脱敏烟测样本 - business-vehicle-record</w:t>
      </w:r>
    </w:p>
    <w:p>
      <w:r>
        <w:t>以下内容仅用于本地脱敏与还原功能验证，均为虚构测试数据。</w:t>
      </w:r>
    </w:p>
    <w:p>
      <w:r>
        <w:t>Synthetic sensitive-data smoke-test fixture.</w:t>
      </w:r>
    </w:p>
    <w:p>
      <w:r>
        <w:t>Credit code: 91350211M000100Y43; plate: B123456; VIN: 1HGCM82633A004352.</w:t>
      </w:r>
    </w:p>
    <w:p>
      <w:r>
        <w:t>JDBC: jdbc:mysql://db.example.com:3306/customer?user=root; phone: 010-12345678.</w:t>
      </w:r>
    </w:p>
    <w:p>
      <w:r>
        <w:t>Email: support@example.com; date: 2026-08-14.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ONOR Sans CN" w:hAnsi="HONOR Sans CN" w:eastAsia="HONOR Sans CN" w:cs="HONOR Sans C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ONOR Sans CN" w:hAnsi="HONOR Sans CN" w:eastAsia="HONOR Sans CN" w:cs="HONOR Sans CN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HONOR Sans CN" w:hAnsi="HONOR Sans CN" w:eastAsia="HONOR Sans CN" w:cs="HONOR Sans CN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