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脱敏烟测样本 - 企业与{CHINESE_NAME_007}资料</w:t>
      </w:r>
    </w:p>
    <w:p>
      <w:r>
        <w:t>以下内容仅用于本地脱敏与还原功能验证，均为虚构测试数据。</w:t>
      </w:r>
    </w:p>
    <w:p>
      <w:r>
        <w:t>统一社会信用代码：{LANDLINE_006}M000100Y43；组织机构代码：A{LANDLINE_005}-8。</w:t>
      </w:r>
    </w:p>
    <w:p>
      <w:r>
        <w:t>营业执照号码：{BUSINESS_LICENSE_004}；车牌号：{LICENSE_PLATE_003}；车辆识别代码：{VEHICLE_IDENTIFICATION_NUMBER_002}。</w:t>
      </w:r>
    </w:p>
    <w:p>
      <w:r>
        <w:t>JDBC连接串：{JDBC_CONNECTION_001}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