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business-vehicle-record</w:t>
      </w:r>
    </w:p>
    <w:p>
      <w:r>
        <w:t>以下内容仅用于本地脱敏与还原功能验证，均为虚构测试数据。</w:t>
      </w:r>
    </w:p>
    <w:p>
      <w:r>
        <w:t>Synthetic sensitive-data smoke-test fixture.</w:t>
      </w:r>
    </w:p>
    <w:p>
      <w:r>
        <w:t>Credit code: {LANDLINE_006}M000100Y43; plate: B123456; VIN: {VEHICLE_IDENTIFICATION_NUMBER_005}.</w:t>
      </w:r>
    </w:p>
    <w:p>
      <w:r>
        <w:t>JDBC: {JDBC_CONNECTION_004} phone: {LANDLINE_003}.</w:t>
      </w:r>
    </w:p>
    <w:p>
      <w:r>
        <w:t>Email: {EMAIL_002}; date: {DATE_001}.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