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企业与车辆资料</w:t>
      </w:r>
    </w:p>
    <w:p/>
    <w:p>
      <w:r>
        <w:t>以下内容仅用于本地脱敏与还原功能验证，均为虚构测试数据。</w:t>
      </w:r>
    </w:p>
    <w:p>
      <w:r>
        <w:t>统一社会信用代码：91350211M000100Y43；组织机构代码：A1234567-8。</w:t>
      </w:r>
    </w:p>
    <w:p>
      <w:r>
        <w:t>营业执照号码：123456789012345；车牌号：京A12345；车辆识别代码：1HGCM82633A004352。</w:t>
      </w:r>
    </w:p>
    <w:p>
      <w:r>
        <w:t>JDBC连接串：jdbc:mysql://db.example.com:3306/customer?user=root；固定电话：010-12345678。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