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PingFang SC" w:hAnsi="PingFang SC" w:eastAsia="PingFang SC"/>
          <w:b/>
          <w:color w:val="0B2545"/>
          <w:sz w:val="44"/>
        </w:rPr>
        <w:t>敏感信息全面回归测试样本</w:t>
      </w:r>
    </w:p>
    <w:p>
      <w:pPr>
        <w:spacing w:after="280"/>
        <w:jc w:val="center"/>
      </w:pPr>
      <w:r>
        <w:rPr>
          <w:rFonts w:ascii="PingFang SC" w:hAnsi="PingFang SC" w:eastAsia="PingFang SC"/>
          <w:b w:val="0"/>
          <w:color w:val="666666"/>
          <w:sz w:val="20"/>
        </w:rPr>
        <w:t>版本 2.0 · 仅含虚构测试数据 · 请勿替换为真实个人信息</w:t>
      </w:r>
    </w:p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一、使用目标与覆盖范围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用于验证上传解析、内置规则命中、自定义敏感词、人工复核、脱敏、历史记录、映射表下载和还原。表格、段落、清单与键值文本中均故意重复放置敏感样式字段。</w:t>
      </w:r>
    </w:p>
    <w:p>
      <w:pPr>
        <w:spacing w:before="120" w:after="80"/>
      </w:pPr>
      <w:r>
        <w:rPr>
          <w:rFonts w:ascii="PingFang SC" w:hAnsi="PingFang SC" w:eastAsia="PingFang SC"/>
          <w:b/>
          <w:color w:val="0B2545"/>
          <w:sz w:val="22"/>
        </w:rPr>
        <w:t>核心网络与联系方式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3900"/>
        <w:gridCol w:w="3480"/>
      </w:tblGrid>
      <w:tr>
        <w:tc>
          <w:tcPr>
            <w:tcW w:type="dxa" w:w="19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字段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虚构测试数据</w:t>
            </w:r>
          </w:p>
        </w:tc>
        <w:tc>
          <w:tcPr>
            <w:tcW w:type="dxa" w:w="34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检测/复核要点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IPv4 地址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10.23.45.67；172.16.8.9；192.168.100.200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验证多个 IPv4 命中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IPv6 地址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2001:db8:85a3::8a2e:370:7334；fe80::1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 IPv6 与边界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MAC 地址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AA:BB:CC:DD:EE:FF；00-1A-2B-3C-4D-5E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验证冒号/连字符格式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手机号码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13800138000；13900139000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验证手机号规则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固定电话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028-86753090；010-12345678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验证固定电话号码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电子邮箱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test.user@example.test；qa+desens@example.test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验证邮箱规则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JDBC 连接串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jdbc:mysql://db-test.example:3306/desens_demo?user=tester&amp;password=DemoPass_2026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验证连接串及参数</w:t>
            </w:r>
          </w:p>
        </w:tc>
      </w:tr>
    </w:tbl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二、个人、地址与证件信息</w:t>
      </w:r>
    </w:p>
    <w:p>
      <w:pPr>
        <w:spacing w:before="120" w:after="80"/>
      </w:pPr>
      <w:r>
        <w:rPr>
          <w:rFonts w:ascii="PingFang SC" w:hAnsi="PingFang SC" w:eastAsia="PingFang SC"/>
          <w:b/>
          <w:color w:val="0B2545"/>
          <w:sz w:val="22"/>
        </w:rPr>
        <w:t>身份类字段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3900"/>
        <w:gridCol w:w="3480"/>
      </w:tblGrid>
      <w:tr>
        <w:tc>
          <w:tcPr>
            <w:tcW w:type="dxa" w:w="19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字段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虚构测试数据</w:t>
            </w:r>
          </w:p>
        </w:tc>
        <w:tc>
          <w:tcPr>
            <w:tcW w:type="dxa" w:w="34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检测/复核要点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姓名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测试人员甲；张三丰；李小雨；王敏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姓名规则 / 自定义姓名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性别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男；女；非二元（测试标签）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验证枚举词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民族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汉族；回族；藏族；维吾尔族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验证民族字段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地址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测试省示例市演示区隐私路100号测试中心A座1203室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地址规则 / NLP 人工复核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身份证号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11010519491231002X（公开测试样例）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校验码算法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银行卡号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4242 4242 4242 4242（支付测试卡号）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Luhn 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护照号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E12345678；P98765432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正则表达式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港澳通行证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H12345678；M87654321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正则表达式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军官证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军字第2026-001234号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正则表达式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日期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2026-08-17；2026年08月17日；2026/08/17；20260817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验证常见日期格式</w:t>
            </w:r>
          </w:p>
        </w:tc>
      </w:tr>
    </w:tbl>
    <w:p>
      <w:r>
        <w:br w:type="page"/>
      </w:r>
    </w:p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三、车辆、企业与组织标识</w:t>
      </w:r>
    </w:p>
    <w:p>
      <w:pPr>
        <w:spacing w:before="120" w:after="80"/>
      </w:pPr>
      <w:r>
        <w:rPr>
          <w:rFonts w:ascii="PingFang SC" w:hAnsi="PingFang SC" w:eastAsia="PingFang SC"/>
          <w:b/>
          <w:color w:val="0B2545"/>
          <w:sz w:val="22"/>
        </w:rPr>
        <w:t>车辆及企业字段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3900"/>
        <w:gridCol w:w="3480"/>
      </w:tblGrid>
      <w:tr>
        <w:tc>
          <w:tcPr>
            <w:tcW w:type="dxa" w:w="19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字段</w:t>
            </w:r>
          </w:p>
        </w:tc>
        <w:tc>
          <w:tcPr>
            <w:tcW w:type="dxa" w:w="390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虚构测试数据</w:t>
            </w:r>
          </w:p>
        </w:tc>
        <w:tc>
          <w:tcPr>
            <w:tcW w:type="dxa" w:w="3480"/>
            <w:shd w:fill="E8EEF5"/>
            <w:vAlign w:val="center"/>
          </w:tcPr>
          <w:p>
            <w:r>
              <w:rPr>
                <w:rFonts w:ascii="PingFang SC" w:hAnsi="PingFang SC" w:eastAsia="PingFang SC"/>
                <w:b/>
                <w:sz w:val="20"/>
              </w:rPr>
              <w:t>检测/复核要点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车牌号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川A12345；京AD12345；粤B8X888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验证普通与新能源样式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车辆识别代码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1HGCM82633A004352（测试 VIN）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校验码算法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组织机构代码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12345678-9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校验码算法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营业执照号码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91350100M000100Y43（测试统一代码格式）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校验码算法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统一社会信用代码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91350100M000100Y43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校验码算法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企业名称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示例数据科技（测试）有限公司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关键词 / 自定义规则</w:t>
            </w:r>
          </w:p>
        </w:tc>
      </w:tr>
      <w:tr>
        <w:tc>
          <w:tcPr>
            <w:tcW w:type="dxa" w:w="19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项目编号</w:t>
            </w:r>
          </w:p>
        </w:tc>
        <w:tc>
          <w:tcPr>
            <w:tcW w:type="dxa" w:w="390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DEMO-2026-SEC-001；CONFIDENTIAL-ALPHA</w:t>
            </w:r>
          </w:p>
        </w:tc>
        <w:tc>
          <w:tcPr>
            <w:tcW w:type="dxa" w:w="3480"/>
            <w:vAlign w:val="center"/>
          </w:tcPr>
          <w:p>
            <w:pPr>
              <w:spacing w:after="0"/>
            </w:pPr>
            <w:r>
              <w:rPr>
                <w:rFonts w:ascii="PingFang SC" w:hAnsi="PingFang SC" w:eastAsia="PingFang SC"/>
                <w:b w:val="0"/>
                <w:sz w:val="20"/>
              </w:rPr>
              <w:t>测试自定义关键词</w:t>
            </w:r>
          </w:p>
        </w:tc>
      </w:tr>
    </w:tbl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四、混合文本场景 A：客户支持记录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2026-08-17 09:30，测试人员甲通过手机号 13800138000 联系支持人员张三丰，邮箱为 test.user@example.test。其登记地址为测试省示例市演示区隐私路100号测试中心A座1203室，身份证号 11010519491231002X，联系电话 028-86753090。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现场终端使用 IPv4 地址 10.23.45.67、IPv6 地址 2001:db8:85a3::8a2e:370:7334、MAC 地址 AA:BB:CC:DD:EE:FF。数据库排查使用 jdbc:mysql://db-test.example:3306/desens_demo?user=tester&amp;password=DemoPass_2026。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该记录对应测试银行卡 4242 4242 4242 4242、测试护照 E12345678、港澳通行证 H12345678，关联企业为示例数据科技（测试）有限公司。</w:t>
      </w:r>
    </w:p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五、混合文本场景 B：车辆与项目检查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项目编号 DEMO-2026-SEC-001 于 2026年08月17日完成检查。测试车辆川A12345 的车辆识别代码为 1HGCM82633A004352；备用车辆京AD12345 的停放位置为测试省示例市演示区隐私路100号。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项目联系人李小雨（女，汉族）留存手机 13900139000 和邮箱 qa+desens@example.test。记录仅用于回归测试，任何命中项都应在预览中逐条复核。</w:t>
      </w:r>
    </w:p>
    <w:p>
      <w:r>
        <w:br w:type="page"/>
      </w:r>
    </w:p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六、重复与边界测试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重复手机号：13800138000，13800138000，13900139000。重复邮箱：test.user@example.test，test.user@example.test。重复地址：测试省示例市演示区隐私路100号测试中心A座1203室。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混合标点：姓名【王敏】；证件（11010519491231002X）；IP=192.168.100.200；MAC=00-1A-2B-3C-4D-5E；日期：2026/08/17。</w:t>
      </w:r>
    </w:p>
    <w:p>
      <w:pPr>
        <w:spacing w:after="120"/>
      </w:pPr>
      <w:r>
        <w:rPr>
          <w:rFonts w:ascii="PingFang SC" w:hAnsi="PingFang SC" w:eastAsia="PingFang SC"/>
          <w:b w:val="0"/>
          <w:sz w:val="21"/>
        </w:rPr>
        <w:t>不应作为敏感字段的普通文本：系统版本 v2.0，测试状态 PASS，说明文字只用于验证规则边界和人工取消脱敏能力。</w:t>
      </w:r>
    </w:p>
    <w:p>
      <w:pPr>
        <w:spacing w:before="320" w:after="140"/>
      </w:pPr>
      <w:r>
        <w:rPr>
          <w:rFonts w:ascii="PingFang SC" w:hAnsi="PingFang SC" w:eastAsia="PingFang SC"/>
          <w:b/>
          <w:color w:val="2E74B5"/>
          <w:sz w:val="32"/>
        </w:rPr>
        <w:t>七、操作验收清单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上传本文件，检查表格和正文中的同一敏感字段是否均被识别。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在敏感字段页新增“DEMO-2026-SEC-001”和“CONFIDENTIAL-ALPHA”作为关键词后重新检测。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选择至少一条自动识别结果取消脱敏，并手动添加一条规则未命中的内容。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确认脱敏后检查下载文件、映射表和历史记录是否一致。</w:t>
      </w:r>
    </w:p>
    <w:p>
      <w:pPr>
        <w:pStyle w:val="ListNumber"/>
        <w:spacing w:after="100"/>
      </w:pPr>
      <w:r>
        <w:rPr>
          <w:rFonts w:ascii="PingFang SC" w:hAnsi="PingFang SC" w:eastAsia="PingFang SC"/>
          <w:b w:val="0"/>
          <w:sz w:val="21"/>
        </w:rPr>
        <w:t>在还原页选择对应历史记录，确认可恢复原始虚构内容。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sz w:val="16"/>
      </w:rPr>
      <w:t>脱敏系统回归测试数据 · 所有样例均为虚构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